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3E8B" w14:textId="77777777" w:rsidR="0075787A" w:rsidRPr="009C1356" w:rsidRDefault="0075787A" w:rsidP="0075787A">
      <w:pPr>
        <w:contextualSpacing/>
        <w:jc w:val="center"/>
        <w:rPr>
          <w:b/>
          <w:bCs/>
        </w:rPr>
      </w:pPr>
    </w:p>
    <w:p w14:paraId="1ABC1BAA" w14:textId="77777777" w:rsidR="002B3E60" w:rsidRDefault="002B3E60" w:rsidP="0075787A">
      <w:pPr>
        <w:spacing w:line="276" w:lineRule="auto"/>
        <w:contextualSpacing/>
        <w:jc w:val="center"/>
        <w:rPr>
          <w:sz w:val="36"/>
          <w:szCs w:val="36"/>
        </w:rPr>
      </w:pPr>
    </w:p>
    <w:p w14:paraId="2675EDA2" w14:textId="77777777" w:rsidR="002B3E60" w:rsidRDefault="002B3E60" w:rsidP="0075787A">
      <w:pPr>
        <w:spacing w:line="276" w:lineRule="auto"/>
        <w:contextualSpacing/>
        <w:jc w:val="center"/>
        <w:rPr>
          <w:sz w:val="36"/>
          <w:szCs w:val="36"/>
        </w:rPr>
      </w:pPr>
    </w:p>
    <w:p w14:paraId="0D0B8E79" w14:textId="77777777" w:rsidR="002B3E60" w:rsidRDefault="002B3E60" w:rsidP="0075787A">
      <w:pPr>
        <w:spacing w:line="276" w:lineRule="auto"/>
        <w:contextualSpacing/>
        <w:jc w:val="center"/>
        <w:rPr>
          <w:sz w:val="36"/>
          <w:szCs w:val="36"/>
        </w:rPr>
      </w:pPr>
    </w:p>
    <w:p w14:paraId="3FC07F8A" w14:textId="77777777" w:rsidR="002B3E60" w:rsidRDefault="002B3E60" w:rsidP="0075787A">
      <w:pPr>
        <w:spacing w:line="276" w:lineRule="auto"/>
        <w:contextualSpacing/>
        <w:jc w:val="center"/>
        <w:rPr>
          <w:sz w:val="36"/>
          <w:szCs w:val="36"/>
        </w:rPr>
      </w:pPr>
    </w:p>
    <w:p w14:paraId="5FA9A919" w14:textId="77777777" w:rsidR="002B3E60" w:rsidRDefault="002B3E60" w:rsidP="0075787A">
      <w:pPr>
        <w:spacing w:line="276" w:lineRule="auto"/>
        <w:contextualSpacing/>
        <w:jc w:val="center"/>
        <w:rPr>
          <w:sz w:val="36"/>
          <w:szCs w:val="36"/>
        </w:rPr>
      </w:pPr>
    </w:p>
    <w:p w14:paraId="16F623DB" w14:textId="56E9BAA1" w:rsidR="0075787A" w:rsidRPr="009C1356" w:rsidRDefault="0075787A" w:rsidP="0075787A">
      <w:pPr>
        <w:spacing w:line="276" w:lineRule="auto"/>
        <w:contextualSpacing/>
        <w:jc w:val="center"/>
        <w:rPr>
          <w:sz w:val="36"/>
          <w:szCs w:val="36"/>
        </w:rPr>
      </w:pPr>
      <w:r>
        <w:rPr>
          <w:sz w:val="36"/>
          <w:szCs w:val="36"/>
        </w:rPr>
        <w:t xml:space="preserve">Supplementary Materials: </w:t>
      </w:r>
      <w:r w:rsidRPr="009C1356">
        <w:rPr>
          <w:sz w:val="36"/>
          <w:szCs w:val="36"/>
        </w:rPr>
        <w:t>Leveraging Serosurveillance and Postmortem Surveillance to Quantify the Impact of COVID-19 in Africa</w:t>
      </w:r>
    </w:p>
    <w:p w14:paraId="7BCA355D" w14:textId="77777777" w:rsidR="0075787A" w:rsidRPr="009C1356" w:rsidRDefault="0075787A" w:rsidP="0075787A">
      <w:pPr>
        <w:spacing w:line="276" w:lineRule="auto"/>
        <w:contextualSpacing/>
        <w:jc w:val="center"/>
        <w:rPr>
          <w:sz w:val="36"/>
          <w:szCs w:val="36"/>
        </w:rPr>
      </w:pPr>
    </w:p>
    <w:p w14:paraId="176E2274" w14:textId="77777777" w:rsidR="0075787A" w:rsidRPr="009C1356" w:rsidRDefault="0075787A" w:rsidP="0075787A">
      <w:pPr>
        <w:jc w:val="center"/>
      </w:pPr>
      <w:r w:rsidRPr="009C1356">
        <w:t>Nicole E. Kogan</w:t>
      </w:r>
      <w:r w:rsidRPr="009C1356">
        <w:rPr>
          <w:vertAlign w:val="superscript"/>
        </w:rPr>
        <w:t>1,2,*</w:t>
      </w:r>
      <w:r w:rsidRPr="009C1356">
        <w:t xml:space="preserve">         Shae Gantt</w:t>
      </w:r>
      <w:r w:rsidRPr="009C1356">
        <w:rPr>
          <w:vertAlign w:val="superscript"/>
        </w:rPr>
        <w:t>1,*</w:t>
      </w:r>
      <w:r w:rsidRPr="009C1356">
        <w:t xml:space="preserve">         David Swerdlow</w:t>
      </w:r>
      <w:r w:rsidRPr="009C1356">
        <w:rPr>
          <w:vertAlign w:val="superscript"/>
        </w:rPr>
        <w:t>1</w:t>
      </w:r>
      <w:r w:rsidRPr="009C1356">
        <w:t xml:space="preserve">         C</w:t>
      </w:r>
      <w:r w:rsidRPr="009C1356">
        <w:rPr>
          <w:color w:val="202124"/>
          <w:shd w:val="clear" w:color="auto" w:fill="FFFFFF"/>
        </w:rPr>
        <w:t>é</w:t>
      </w:r>
      <w:r w:rsidRPr="009C1356">
        <w:t>cile Viboud</w:t>
      </w:r>
      <w:r w:rsidRPr="009C1356">
        <w:rPr>
          <w:vertAlign w:val="superscript"/>
        </w:rPr>
        <w:t>3</w:t>
      </w:r>
    </w:p>
    <w:p w14:paraId="772C84BE" w14:textId="77777777" w:rsidR="0075787A" w:rsidRPr="009C1356" w:rsidRDefault="0075787A" w:rsidP="0075787A">
      <w:pPr>
        <w:spacing w:line="276" w:lineRule="auto"/>
        <w:jc w:val="center"/>
        <w:rPr>
          <w:color w:val="000000" w:themeColor="text1"/>
          <w:shd w:val="clear" w:color="auto" w:fill="FFFFFF"/>
          <w:vertAlign w:val="superscript"/>
        </w:rPr>
      </w:pPr>
      <w:r w:rsidRPr="009C1356">
        <w:t>Muhammed Semakula</w:t>
      </w:r>
      <w:r w:rsidRPr="009C1356">
        <w:rPr>
          <w:vertAlign w:val="superscript"/>
        </w:rPr>
        <w:t>4</w:t>
      </w:r>
      <w:r w:rsidRPr="009C1356">
        <w:t xml:space="preserve">         Marc Lipsitch</w:t>
      </w:r>
      <w:r w:rsidRPr="009C1356">
        <w:rPr>
          <w:vertAlign w:val="superscript"/>
        </w:rPr>
        <w:t>1</w:t>
      </w:r>
      <w:r w:rsidRPr="009C1356">
        <w:t xml:space="preserve">         Mauricio Santillana</w:t>
      </w:r>
      <w:r w:rsidRPr="009C1356">
        <w:rPr>
          <w:vertAlign w:val="superscript"/>
        </w:rPr>
        <w:t>1,2,</w:t>
      </w:r>
      <w:r w:rsidRPr="009C1356">
        <w:rPr>
          <w:color w:val="000000" w:themeColor="text1"/>
          <w:shd w:val="clear" w:color="auto" w:fill="FFFFFF"/>
          <w:vertAlign w:val="superscript"/>
        </w:rPr>
        <w:t>†</w:t>
      </w:r>
    </w:p>
    <w:p w14:paraId="01ED6D9B" w14:textId="77777777" w:rsidR="0075787A" w:rsidRPr="009C1356" w:rsidRDefault="0075787A" w:rsidP="0075787A">
      <w:pPr>
        <w:spacing w:line="276" w:lineRule="auto"/>
        <w:jc w:val="center"/>
        <w:rPr>
          <w:color w:val="000000" w:themeColor="text1"/>
          <w:sz w:val="36"/>
          <w:szCs w:val="36"/>
          <w:shd w:val="clear" w:color="auto" w:fill="FFFFFF"/>
        </w:rPr>
      </w:pPr>
    </w:p>
    <w:p w14:paraId="0C927B19" w14:textId="77777777" w:rsidR="0075787A" w:rsidRPr="009C1356" w:rsidRDefault="0075787A" w:rsidP="0075787A">
      <w:pPr>
        <w:spacing w:line="276" w:lineRule="auto"/>
        <w:jc w:val="center"/>
        <w:rPr>
          <w:color w:val="000000" w:themeColor="text1"/>
          <w:shd w:val="clear" w:color="auto" w:fill="FFFFFF"/>
        </w:rPr>
      </w:pPr>
      <w:r w:rsidRPr="009C1356">
        <w:rPr>
          <w:color w:val="000000" w:themeColor="text1"/>
          <w:shd w:val="clear" w:color="auto" w:fill="FFFFFF"/>
          <w:vertAlign w:val="superscript"/>
        </w:rPr>
        <w:t>1</w:t>
      </w:r>
      <w:r w:rsidRPr="009C1356">
        <w:rPr>
          <w:color w:val="000000" w:themeColor="text1"/>
          <w:shd w:val="clear" w:color="auto" w:fill="FFFFFF"/>
        </w:rPr>
        <w:t xml:space="preserve"> Department of Epidemiology, Harvard T. H. Chan School of Public Health, Boston, MA</w:t>
      </w:r>
    </w:p>
    <w:p w14:paraId="6A8932DE" w14:textId="77777777" w:rsidR="0075787A" w:rsidRPr="009C1356" w:rsidRDefault="0075787A" w:rsidP="0075787A">
      <w:pPr>
        <w:spacing w:line="276" w:lineRule="auto"/>
        <w:jc w:val="center"/>
        <w:rPr>
          <w:color w:val="000000" w:themeColor="text1"/>
          <w:shd w:val="clear" w:color="auto" w:fill="FFFFFF"/>
        </w:rPr>
      </w:pPr>
      <w:r w:rsidRPr="009C1356">
        <w:rPr>
          <w:color w:val="000000" w:themeColor="text1"/>
          <w:shd w:val="clear" w:color="auto" w:fill="FFFFFF"/>
          <w:vertAlign w:val="superscript"/>
        </w:rPr>
        <w:t>2</w:t>
      </w:r>
      <w:r w:rsidRPr="009C1356">
        <w:rPr>
          <w:color w:val="000000" w:themeColor="text1"/>
          <w:shd w:val="clear" w:color="auto" w:fill="FFFFFF"/>
        </w:rPr>
        <w:t xml:space="preserve"> Machine Intelligence Group for the Betterment of Health and the Environment, Network Science Institute, Northeastern University, Boston, MA</w:t>
      </w:r>
    </w:p>
    <w:p w14:paraId="2C7155BE" w14:textId="77777777" w:rsidR="0075787A" w:rsidRPr="009C1356" w:rsidRDefault="0075787A" w:rsidP="0075787A">
      <w:pPr>
        <w:spacing w:line="276" w:lineRule="auto"/>
        <w:jc w:val="center"/>
        <w:rPr>
          <w:color w:val="000000" w:themeColor="text1"/>
          <w:shd w:val="clear" w:color="auto" w:fill="FFFFFF"/>
        </w:rPr>
      </w:pPr>
      <w:r w:rsidRPr="009C1356">
        <w:rPr>
          <w:color w:val="000000" w:themeColor="text1"/>
          <w:shd w:val="clear" w:color="auto" w:fill="FFFFFF"/>
          <w:vertAlign w:val="superscript"/>
        </w:rPr>
        <w:t>3</w:t>
      </w:r>
      <w:r w:rsidRPr="009C1356">
        <w:rPr>
          <w:color w:val="000000" w:themeColor="text1"/>
          <w:shd w:val="clear" w:color="auto" w:fill="FFFFFF"/>
        </w:rPr>
        <w:t xml:space="preserve"> Division of International Epidemiology and Population Studies, Fogarty International Center, National Institutes of Health, Bethesda, MD</w:t>
      </w:r>
    </w:p>
    <w:p w14:paraId="12F3222F" w14:textId="77777777" w:rsidR="0075787A" w:rsidRPr="009C1356" w:rsidRDefault="0075787A" w:rsidP="0075787A">
      <w:pPr>
        <w:spacing w:line="276" w:lineRule="auto"/>
        <w:jc w:val="center"/>
        <w:rPr>
          <w:color w:val="000000" w:themeColor="text1"/>
          <w:shd w:val="clear" w:color="auto" w:fill="FFFFFF"/>
        </w:rPr>
      </w:pPr>
      <w:r w:rsidRPr="009C1356">
        <w:rPr>
          <w:color w:val="000000" w:themeColor="text1"/>
          <w:shd w:val="clear" w:color="auto" w:fill="FFFFFF"/>
          <w:vertAlign w:val="superscript"/>
        </w:rPr>
        <w:t>4</w:t>
      </w:r>
      <w:r w:rsidRPr="009C1356">
        <w:rPr>
          <w:color w:val="000000" w:themeColor="text1"/>
          <w:shd w:val="clear" w:color="auto" w:fill="FFFFFF"/>
        </w:rPr>
        <w:t xml:space="preserve"> Rwanda Biomedical Centre, Kigali, Rwanda</w:t>
      </w:r>
    </w:p>
    <w:p w14:paraId="1473157B" w14:textId="77777777" w:rsidR="0075787A" w:rsidRPr="009C1356" w:rsidRDefault="0075787A" w:rsidP="0075787A">
      <w:pPr>
        <w:spacing w:line="276" w:lineRule="auto"/>
        <w:jc w:val="center"/>
        <w:rPr>
          <w:color w:val="000000" w:themeColor="text1"/>
          <w:sz w:val="36"/>
          <w:szCs w:val="36"/>
          <w:shd w:val="clear" w:color="auto" w:fill="FFFFFF"/>
        </w:rPr>
      </w:pPr>
    </w:p>
    <w:p w14:paraId="1E0BD033" w14:textId="77777777" w:rsidR="0075787A" w:rsidRPr="009C1356" w:rsidRDefault="0075787A" w:rsidP="0075787A">
      <w:pPr>
        <w:spacing w:line="276" w:lineRule="auto"/>
        <w:contextualSpacing/>
        <w:jc w:val="center"/>
      </w:pPr>
      <w:r w:rsidRPr="009C1356">
        <w:t>* These authors contributed equally to this manuscript</w:t>
      </w:r>
    </w:p>
    <w:p w14:paraId="463EF710" w14:textId="77777777" w:rsidR="0075787A" w:rsidRPr="009C1356" w:rsidRDefault="0075787A" w:rsidP="0075787A">
      <w:pPr>
        <w:spacing w:line="276" w:lineRule="auto"/>
        <w:jc w:val="center"/>
      </w:pPr>
      <w:r w:rsidRPr="009C1356">
        <w:rPr>
          <w:rFonts w:eastAsiaTheme="minorHAnsi"/>
          <w:vertAlign w:val="superscript"/>
        </w:rPr>
        <w:t>†</w:t>
      </w:r>
      <w:r w:rsidRPr="009C1356">
        <w:rPr>
          <w:rFonts w:eastAsiaTheme="minorHAnsi"/>
        </w:rPr>
        <w:t xml:space="preserve"> </w:t>
      </w:r>
      <w:r w:rsidRPr="009C1356">
        <w:rPr>
          <w:rFonts w:eastAsiaTheme="minorHAnsi"/>
          <w:b/>
          <w:bCs/>
        </w:rPr>
        <w:t xml:space="preserve">Correspondence </w:t>
      </w:r>
      <w:r w:rsidRPr="009C1356">
        <w:rPr>
          <w:b/>
          <w:bCs/>
        </w:rPr>
        <w:t>to</w:t>
      </w:r>
      <w:r w:rsidRPr="009C1356">
        <w:t>: Mauricio Santillana (</w:t>
      </w:r>
      <w:hyperlink r:id="rId6" w:history="1">
        <w:r w:rsidRPr="00FF0E81">
          <w:rPr>
            <w:rStyle w:val="Hyperlink"/>
            <w:rFonts w:ascii="Consolas" w:hAnsi="Consolas" w:cs="Consolas"/>
          </w:rPr>
          <w:t>m.santillana@northeastern.edu</w:t>
        </w:r>
      </w:hyperlink>
      <w:r w:rsidRPr="009C1356">
        <w:t>)</w:t>
      </w:r>
    </w:p>
    <w:p w14:paraId="7899060A" w14:textId="77777777" w:rsidR="0075787A" w:rsidRPr="009C1356" w:rsidRDefault="0075787A" w:rsidP="0075787A">
      <w:pPr>
        <w:spacing w:line="276" w:lineRule="auto"/>
        <w:jc w:val="center"/>
        <w:rPr>
          <w:sz w:val="36"/>
          <w:szCs w:val="36"/>
        </w:rPr>
      </w:pPr>
    </w:p>
    <w:p w14:paraId="36668487" w14:textId="77777777" w:rsidR="0075787A" w:rsidRPr="009C1356" w:rsidRDefault="0075787A" w:rsidP="0075787A">
      <w:pPr>
        <w:spacing w:line="276" w:lineRule="auto"/>
        <w:jc w:val="center"/>
        <w:rPr>
          <w:sz w:val="36"/>
          <w:szCs w:val="36"/>
        </w:rPr>
      </w:pPr>
    </w:p>
    <w:p w14:paraId="6EC96AC7" w14:textId="77777777" w:rsidR="0075787A" w:rsidRDefault="0075787A">
      <w:pPr>
        <w:rPr>
          <w:b/>
          <w:bCs/>
          <w:sz w:val="36"/>
          <w:szCs w:val="36"/>
        </w:rPr>
      </w:pPr>
      <w:r>
        <w:rPr>
          <w:b/>
          <w:bCs/>
          <w:sz w:val="36"/>
          <w:szCs w:val="36"/>
        </w:rPr>
        <w:br w:type="page"/>
      </w:r>
    </w:p>
    <w:p w14:paraId="5DFED43B" w14:textId="77777777" w:rsidR="00920B7D" w:rsidRPr="009C1356" w:rsidRDefault="00920B7D" w:rsidP="00920B7D">
      <w:pPr>
        <w:spacing w:line="480" w:lineRule="auto"/>
        <w:contextualSpacing/>
        <w:rPr>
          <w:b/>
          <w:bCs/>
        </w:rPr>
      </w:pPr>
      <w:r w:rsidRPr="009C1356">
        <w:rPr>
          <w:b/>
          <w:bCs/>
        </w:rPr>
        <w:lastRenderedPageBreak/>
        <w:t>Supplementary Figure 1</w:t>
      </w:r>
    </w:p>
    <w:p w14:paraId="1420BBCB" w14:textId="77777777" w:rsidR="00920B7D" w:rsidRPr="009C1356" w:rsidRDefault="00920B7D" w:rsidP="00920B7D">
      <w:pPr>
        <w:spacing w:line="480" w:lineRule="auto"/>
        <w:jc w:val="center"/>
        <w:rPr>
          <w:b/>
          <w:bCs/>
          <w:color w:val="000000"/>
        </w:rPr>
      </w:pPr>
      <w:r w:rsidRPr="009C1356">
        <w:rPr>
          <w:b/>
          <w:bCs/>
          <w:color w:val="000000"/>
        </w:rPr>
        <w:t xml:space="preserve">      (a) Estimates Through December 2020      (b) Estimates Through December 2021</w:t>
      </w:r>
    </w:p>
    <w:p w14:paraId="46D124DA" w14:textId="77777777" w:rsidR="00920B7D" w:rsidRPr="009C1356" w:rsidRDefault="00920B7D" w:rsidP="00920B7D">
      <w:pPr>
        <w:spacing w:line="480" w:lineRule="auto"/>
        <w:rPr>
          <w:b/>
          <w:bCs/>
        </w:rPr>
      </w:pPr>
      <w:r w:rsidRPr="009C1356">
        <w:rPr>
          <w:b/>
          <w:bCs/>
          <w:noProof/>
        </w:rPr>
        <w:drawing>
          <wp:inline distT="0" distB="0" distL="0" distR="0" wp14:anchorId="54CA9E2E" wp14:editId="7C23346E">
            <wp:extent cx="5943600" cy="5995497"/>
            <wp:effectExtent l="0" t="0" r="0" b="0"/>
            <wp:docPr id="97" name="Picture 97"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descr="Chart, scatter chart&#10;&#10;Description automatically generated"/>
                    <pic:cNvPicPr/>
                  </pic:nvPicPr>
                  <pic:blipFill rotWithShape="1">
                    <a:blip r:embed="rId7" cstate="print">
                      <a:extLst>
                        <a:ext uri="{28A0092B-C50C-407E-A947-70E740481C1C}">
                          <a14:useLocalDpi xmlns:a14="http://schemas.microsoft.com/office/drawing/2010/main" val="0"/>
                        </a:ext>
                      </a:extLst>
                    </a:blip>
                    <a:srcRect t="7877"/>
                    <a:stretch/>
                  </pic:blipFill>
                  <pic:spPr bwMode="auto">
                    <a:xfrm>
                      <a:off x="0" y="0"/>
                      <a:ext cx="5943600" cy="5995497"/>
                    </a:xfrm>
                    <a:prstGeom prst="rect">
                      <a:avLst/>
                    </a:prstGeom>
                    <a:ln>
                      <a:noFill/>
                    </a:ln>
                    <a:extLst>
                      <a:ext uri="{53640926-AAD7-44D8-BBD7-CCE9431645EC}">
                        <a14:shadowObscured xmlns:a14="http://schemas.microsoft.com/office/drawing/2010/main"/>
                      </a:ext>
                    </a:extLst>
                  </pic:spPr>
                </pic:pic>
              </a:graphicData>
            </a:graphic>
          </wp:inline>
        </w:drawing>
      </w:r>
    </w:p>
    <w:p w14:paraId="607F8B52" w14:textId="640BB6DD" w:rsidR="00920B7D" w:rsidRPr="009C1356" w:rsidRDefault="00920B7D" w:rsidP="00920B7D">
      <w:pPr>
        <w:jc w:val="center"/>
        <w:rPr>
          <w:i/>
          <w:iCs/>
          <w:color w:val="000000"/>
        </w:rPr>
      </w:pPr>
      <w:r w:rsidRPr="009C1356">
        <w:rPr>
          <w:i/>
          <w:iCs/>
          <w:color w:val="000000"/>
        </w:rPr>
        <w:t xml:space="preserve">Estimated number of deaths with COVID-19 in Africa (n = 54 countries) per 100,000 population. </w:t>
      </w:r>
      <w:r w:rsidR="00231E49">
        <w:rPr>
          <w:i/>
          <w:iCs/>
          <w:color w:val="000000"/>
        </w:rPr>
        <w:t>Gold</w:t>
      </w:r>
      <w:r w:rsidR="00C5254D">
        <w:rPr>
          <w:i/>
          <w:iCs/>
          <w:color w:val="000000"/>
        </w:rPr>
        <w:t xml:space="preserve">-colored markers </w:t>
      </w:r>
      <w:r w:rsidR="00EC5875">
        <w:rPr>
          <w:i/>
          <w:iCs/>
          <w:color w:val="000000"/>
        </w:rPr>
        <w:t>represent</w:t>
      </w:r>
      <w:r w:rsidR="00231E49">
        <w:rPr>
          <w:i/>
          <w:iCs/>
          <w:color w:val="000000"/>
        </w:rPr>
        <w:t xml:space="preserve"> </w:t>
      </w:r>
      <w:r w:rsidR="00945152">
        <w:rPr>
          <w:i/>
          <w:iCs/>
          <w:color w:val="000000"/>
        </w:rPr>
        <w:t xml:space="preserve">estimated deaths derived from </w:t>
      </w:r>
      <w:r w:rsidR="00231E49">
        <w:rPr>
          <w:i/>
          <w:iCs/>
          <w:color w:val="000000"/>
        </w:rPr>
        <w:t xml:space="preserve">excess </w:t>
      </w:r>
      <w:r w:rsidR="00945152">
        <w:rPr>
          <w:i/>
          <w:iCs/>
          <w:color w:val="000000"/>
        </w:rPr>
        <w:t>mortality</w:t>
      </w:r>
      <w:r w:rsidR="00231E49">
        <w:rPr>
          <w:i/>
          <w:iCs/>
          <w:color w:val="000000"/>
        </w:rPr>
        <w:t xml:space="preserve"> (The Economist)</w:t>
      </w:r>
      <w:r w:rsidR="00945152">
        <w:rPr>
          <w:i/>
          <w:iCs/>
          <w:color w:val="000000"/>
        </w:rPr>
        <w:t xml:space="preserve">, dark green-colored markers represent estimated deaths derived from Mwananyanda et al. (2021), and light green-colored markers represent estimated deaths derived from Gill et al. (2022). </w:t>
      </w:r>
    </w:p>
    <w:p w14:paraId="1810B79C" w14:textId="77777777" w:rsidR="00920B7D" w:rsidRPr="009C1356" w:rsidRDefault="00920B7D" w:rsidP="00920B7D">
      <w:pPr>
        <w:spacing w:line="480" w:lineRule="auto"/>
        <w:jc w:val="center"/>
        <w:rPr>
          <w:i/>
          <w:iCs/>
          <w:color w:val="000000"/>
        </w:rPr>
      </w:pPr>
    </w:p>
    <w:p w14:paraId="44020794" w14:textId="77777777" w:rsidR="00364A00" w:rsidRDefault="00364A00" w:rsidP="00920B7D">
      <w:pPr>
        <w:tabs>
          <w:tab w:val="left" w:pos="2596"/>
        </w:tabs>
        <w:spacing w:line="480" w:lineRule="auto"/>
        <w:rPr>
          <w:b/>
          <w:bCs/>
        </w:rPr>
      </w:pPr>
    </w:p>
    <w:p w14:paraId="4534924E" w14:textId="77777777" w:rsidR="00364A00" w:rsidRDefault="00364A00" w:rsidP="00920B7D">
      <w:pPr>
        <w:tabs>
          <w:tab w:val="left" w:pos="2596"/>
        </w:tabs>
        <w:spacing w:line="480" w:lineRule="auto"/>
        <w:rPr>
          <w:b/>
          <w:bCs/>
        </w:rPr>
      </w:pPr>
    </w:p>
    <w:p w14:paraId="5460A7F3" w14:textId="1CE98233" w:rsidR="00920B7D" w:rsidRPr="009C1356" w:rsidRDefault="00920B7D" w:rsidP="00920B7D">
      <w:pPr>
        <w:tabs>
          <w:tab w:val="left" w:pos="2596"/>
        </w:tabs>
        <w:spacing w:line="480" w:lineRule="auto"/>
        <w:rPr>
          <w:b/>
          <w:bCs/>
        </w:rPr>
      </w:pPr>
      <w:r w:rsidRPr="009C1356">
        <w:rPr>
          <w:b/>
          <w:bCs/>
        </w:rPr>
        <w:t>Supplementary Figure 2</w:t>
      </w:r>
    </w:p>
    <w:p w14:paraId="1B17EBAC" w14:textId="77777777" w:rsidR="00920B7D" w:rsidRPr="009C1356" w:rsidRDefault="00920B7D" w:rsidP="00920B7D">
      <w:pPr>
        <w:spacing w:line="480" w:lineRule="auto"/>
        <w:jc w:val="center"/>
        <w:rPr>
          <w:b/>
          <w:bCs/>
          <w:color w:val="000000"/>
        </w:rPr>
      </w:pPr>
      <w:r w:rsidRPr="009C1356">
        <w:rPr>
          <w:b/>
          <w:bCs/>
          <w:color w:val="000000"/>
        </w:rPr>
        <w:t xml:space="preserve">      (a) Estimates Through June 2020      (b) Estimates Through June 2021</w:t>
      </w:r>
    </w:p>
    <w:p w14:paraId="7FB8E984" w14:textId="77777777" w:rsidR="00920B7D" w:rsidRPr="009C1356" w:rsidRDefault="00920B7D" w:rsidP="00920B7D">
      <w:pPr>
        <w:spacing w:line="480" w:lineRule="auto"/>
        <w:rPr>
          <w:b/>
          <w:bCs/>
        </w:rPr>
      </w:pPr>
      <w:r w:rsidRPr="009C1356">
        <w:rPr>
          <w:noProof/>
        </w:rPr>
        <w:drawing>
          <wp:inline distT="0" distB="0" distL="0" distR="0" wp14:anchorId="6D9F6B7A" wp14:editId="17EB098E">
            <wp:extent cx="5943169" cy="6002058"/>
            <wp:effectExtent l="0" t="0" r="0" b="0"/>
            <wp:docPr id="64" name="Picture 64"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Chart, scatter chart&#10;&#10;Description automatically generated"/>
                    <pic:cNvPicPr/>
                  </pic:nvPicPr>
                  <pic:blipFill rotWithShape="1">
                    <a:blip r:embed="rId8" cstate="print">
                      <a:extLst>
                        <a:ext uri="{28A0092B-C50C-407E-A947-70E740481C1C}">
                          <a14:useLocalDpi xmlns:a14="http://schemas.microsoft.com/office/drawing/2010/main" val="0"/>
                        </a:ext>
                      </a:extLst>
                    </a:blip>
                    <a:srcRect t="7768"/>
                    <a:stretch/>
                  </pic:blipFill>
                  <pic:spPr bwMode="auto">
                    <a:xfrm>
                      <a:off x="0" y="0"/>
                      <a:ext cx="5943600" cy="6002493"/>
                    </a:xfrm>
                    <a:prstGeom prst="rect">
                      <a:avLst/>
                    </a:prstGeom>
                    <a:ln>
                      <a:noFill/>
                    </a:ln>
                    <a:extLst>
                      <a:ext uri="{53640926-AAD7-44D8-BBD7-CCE9431645EC}">
                        <a14:shadowObscured xmlns:a14="http://schemas.microsoft.com/office/drawing/2010/main"/>
                      </a:ext>
                    </a:extLst>
                  </pic:spPr>
                </pic:pic>
              </a:graphicData>
            </a:graphic>
          </wp:inline>
        </w:drawing>
      </w:r>
    </w:p>
    <w:p w14:paraId="73E36A75" w14:textId="77777777" w:rsidR="00920B7D" w:rsidRPr="009C1356" w:rsidRDefault="00920B7D" w:rsidP="00920B7D">
      <w:pPr>
        <w:pStyle w:val="NormalWeb"/>
        <w:spacing w:before="0" w:beforeAutospacing="0" w:after="0" w:afterAutospacing="0"/>
        <w:jc w:val="center"/>
        <w:rPr>
          <w:i/>
          <w:iCs/>
          <w:color w:val="000000"/>
        </w:rPr>
      </w:pPr>
      <w:r w:rsidRPr="009C1356">
        <w:rPr>
          <w:i/>
          <w:iCs/>
          <w:color w:val="000000"/>
        </w:rPr>
        <w:t xml:space="preserve">Comparison of reported COVID-19 cases, cumulative seroprevalence-derived COVID-19 infections (available for 12 nations), and cumulative postmortem-derived COVID-19 infections (Onovo et al. available for 44 nations, Sorensen et al. available for 54 nations) per 100,000 </w:t>
      </w:r>
      <w:r w:rsidRPr="009C1356">
        <w:rPr>
          <w:i/>
          <w:iCs/>
          <w:color w:val="000000"/>
        </w:rPr>
        <w:lastRenderedPageBreak/>
        <w:t>population in Africa. The solid black line in each subplot represents 100,000 infections per 100,000 population, implying that an entire population has been infected. Since mortality is reported annually and not semi-annually, only serology-derived estimates are shown.</w:t>
      </w:r>
      <w:r w:rsidRPr="009C1356">
        <w:rPr>
          <w:b/>
          <w:bCs/>
          <w:i/>
          <w:iCs/>
          <w:color w:val="000000"/>
        </w:rPr>
        <w:t xml:space="preserve"> (a)</w:t>
      </w:r>
      <w:r w:rsidRPr="009C1356">
        <w:rPr>
          <w:i/>
          <w:iCs/>
          <w:color w:val="000000"/>
        </w:rPr>
        <w:t xml:space="preserve"> represents infection estimates through June 30, 2020, and it draws from serosurveys taken before this date </w:t>
      </w:r>
      <w:r w:rsidRPr="009C1356">
        <w:rPr>
          <w:b/>
          <w:bCs/>
          <w:i/>
          <w:iCs/>
          <w:color w:val="000000"/>
        </w:rPr>
        <w:t>(b)</w:t>
      </w:r>
      <w:r w:rsidRPr="009C1356">
        <w:rPr>
          <w:i/>
          <w:iCs/>
          <w:color w:val="000000"/>
        </w:rPr>
        <w:t xml:space="preserve"> represents infection estimates through June 30, 2021, and it draws from serosurveys taken between January 1, 2021 and June 30, 2021. </w:t>
      </w:r>
    </w:p>
    <w:p w14:paraId="7677EDEE" w14:textId="77777777" w:rsidR="00920B7D" w:rsidRPr="009C1356" w:rsidRDefault="00920B7D" w:rsidP="00920B7D">
      <w:pPr>
        <w:pStyle w:val="NormalWeb"/>
        <w:spacing w:before="0" w:beforeAutospacing="0" w:after="0" w:afterAutospacing="0"/>
        <w:jc w:val="center"/>
        <w:rPr>
          <w:i/>
          <w:iCs/>
          <w:color w:val="000000"/>
        </w:rPr>
      </w:pPr>
    </w:p>
    <w:p w14:paraId="36AEFD30" w14:textId="77777777" w:rsidR="00D308BD" w:rsidRDefault="00D308BD" w:rsidP="00920B7D">
      <w:pPr>
        <w:spacing w:line="480" w:lineRule="auto"/>
        <w:rPr>
          <w:b/>
          <w:bCs/>
          <w:color w:val="000000"/>
        </w:rPr>
      </w:pPr>
    </w:p>
    <w:p w14:paraId="4D6BA242" w14:textId="77777777" w:rsidR="00D308BD" w:rsidRDefault="00D308BD" w:rsidP="00920B7D">
      <w:pPr>
        <w:spacing w:line="480" w:lineRule="auto"/>
        <w:rPr>
          <w:b/>
          <w:bCs/>
          <w:color w:val="000000"/>
        </w:rPr>
      </w:pPr>
    </w:p>
    <w:p w14:paraId="724DEAF0" w14:textId="77777777" w:rsidR="00D308BD" w:rsidRDefault="00D308BD" w:rsidP="00920B7D">
      <w:pPr>
        <w:spacing w:line="480" w:lineRule="auto"/>
        <w:rPr>
          <w:b/>
          <w:bCs/>
          <w:color w:val="000000"/>
        </w:rPr>
      </w:pPr>
    </w:p>
    <w:p w14:paraId="198A1995" w14:textId="77777777" w:rsidR="00D308BD" w:rsidRDefault="00D308BD" w:rsidP="00920B7D">
      <w:pPr>
        <w:spacing w:line="480" w:lineRule="auto"/>
        <w:rPr>
          <w:b/>
          <w:bCs/>
          <w:color w:val="000000"/>
        </w:rPr>
      </w:pPr>
    </w:p>
    <w:p w14:paraId="51FE2129" w14:textId="77777777" w:rsidR="00D308BD" w:rsidRDefault="00D308BD" w:rsidP="00920B7D">
      <w:pPr>
        <w:spacing w:line="480" w:lineRule="auto"/>
        <w:rPr>
          <w:b/>
          <w:bCs/>
          <w:color w:val="000000"/>
        </w:rPr>
      </w:pPr>
    </w:p>
    <w:p w14:paraId="6431A43B" w14:textId="77777777" w:rsidR="00D308BD" w:rsidRDefault="00D308BD" w:rsidP="00920B7D">
      <w:pPr>
        <w:spacing w:line="480" w:lineRule="auto"/>
        <w:rPr>
          <w:b/>
          <w:bCs/>
          <w:color w:val="000000"/>
        </w:rPr>
      </w:pPr>
    </w:p>
    <w:p w14:paraId="5829B624" w14:textId="77777777" w:rsidR="00D308BD" w:rsidRDefault="00D308BD" w:rsidP="00920B7D">
      <w:pPr>
        <w:spacing w:line="480" w:lineRule="auto"/>
        <w:rPr>
          <w:b/>
          <w:bCs/>
          <w:color w:val="000000"/>
        </w:rPr>
      </w:pPr>
    </w:p>
    <w:p w14:paraId="78416594" w14:textId="77777777" w:rsidR="00D308BD" w:rsidRDefault="00D308BD" w:rsidP="00920B7D">
      <w:pPr>
        <w:spacing w:line="480" w:lineRule="auto"/>
        <w:rPr>
          <w:b/>
          <w:bCs/>
          <w:color w:val="000000"/>
        </w:rPr>
      </w:pPr>
    </w:p>
    <w:p w14:paraId="3B0F9E9B" w14:textId="77777777" w:rsidR="00D308BD" w:rsidRDefault="00D308BD" w:rsidP="00920B7D">
      <w:pPr>
        <w:spacing w:line="480" w:lineRule="auto"/>
        <w:rPr>
          <w:b/>
          <w:bCs/>
          <w:color w:val="000000"/>
        </w:rPr>
      </w:pPr>
    </w:p>
    <w:p w14:paraId="1ABE591A" w14:textId="77777777" w:rsidR="00D308BD" w:rsidRDefault="00D308BD" w:rsidP="00920B7D">
      <w:pPr>
        <w:spacing w:line="480" w:lineRule="auto"/>
        <w:rPr>
          <w:b/>
          <w:bCs/>
          <w:color w:val="000000"/>
        </w:rPr>
      </w:pPr>
    </w:p>
    <w:p w14:paraId="54EA88AA" w14:textId="77777777" w:rsidR="00D308BD" w:rsidRDefault="00D308BD" w:rsidP="00920B7D">
      <w:pPr>
        <w:spacing w:line="480" w:lineRule="auto"/>
        <w:rPr>
          <w:b/>
          <w:bCs/>
          <w:color w:val="000000"/>
        </w:rPr>
      </w:pPr>
    </w:p>
    <w:p w14:paraId="7419A0CD" w14:textId="77777777" w:rsidR="00D308BD" w:rsidRDefault="00D308BD" w:rsidP="00920B7D">
      <w:pPr>
        <w:spacing w:line="480" w:lineRule="auto"/>
        <w:rPr>
          <w:b/>
          <w:bCs/>
          <w:color w:val="000000"/>
        </w:rPr>
      </w:pPr>
    </w:p>
    <w:p w14:paraId="698902C0" w14:textId="77777777" w:rsidR="00D308BD" w:rsidRDefault="00D308BD" w:rsidP="00920B7D">
      <w:pPr>
        <w:spacing w:line="480" w:lineRule="auto"/>
        <w:rPr>
          <w:b/>
          <w:bCs/>
          <w:color w:val="000000"/>
        </w:rPr>
      </w:pPr>
    </w:p>
    <w:p w14:paraId="297295D0" w14:textId="77777777" w:rsidR="00D308BD" w:rsidRDefault="00D308BD" w:rsidP="00920B7D">
      <w:pPr>
        <w:spacing w:line="480" w:lineRule="auto"/>
        <w:rPr>
          <w:b/>
          <w:bCs/>
          <w:color w:val="000000"/>
        </w:rPr>
      </w:pPr>
    </w:p>
    <w:p w14:paraId="4C9FDF54" w14:textId="77777777" w:rsidR="00D308BD" w:rsidRDefault="00D308BD" w:rsidP="00920B7D">
      <w:pPr>
        <w:spacing w:line="480" w:lineRule="auto"/>
        <w:rPr>
          <w:b/>
          <w:bCs/>
          <w:color w:val="000000"/>
        </w:rPr>
      </w:pPr>
    </w:p>
    <w:p w14:paraId="4C7497FB" w14:textId="77777777" w:rsidR="00D308BD" w:rsidRDefault="00D308BD" w:rsidP="00920B7D">
      <w:pPr>
        <w:spacing w:line="480" w:lineRule="auto"/>
        <w:rPr>
          <w:b/>
          <w:bCs/>
          <w:color w:val="000000"/>
        </w:rPr>
      </w:pPr>
    </w:p>
    <w:p w14:paraId="3D57AA42" w14:textId="77777777" w:rsidR="00D308BD" w:rsidRDefault="00D308BD" w:rsidP="00920B7D">
      <w:pPr>
        <w:spacing w:line="480" w:lineRule="auto"/>
        <w:rPr>
          <w:b/>
          <w:bCs/>
          <w:color w:val="000000"/>
        </w:rPr>
      </w:pPr>
    </w:p>
    <w:p w14:paraId="0AA8288B" w14:textId="77777777" w:rsidR="00D308BD" w:rsidRDefault="00D308BD" w:rsidP="00920B7D">
      <w:pPr>
        <w:spacing w:line="480" w:lineRule="auto"/>
        <w:rPr>
          <w:b/>
          <w:bCs/>
          <w:color w:val="000000"/>
        </w:rPr>
      </w:pPr>
    </w:p>
    <w:p w14:paraId="49AC4FA4" w14:textId="77777777" w:rsidR="00D308BD" w:rsidRDefault="00D308BD" w:rsidP="00920B7D">
      <w:pPr>
        <w:spacing w:line="480" w:lineRule="auto"/>
        <w:rPr>
          <w:b/>
          <w:bCs/>
          <w:color w:val="000000"/>
        </w:rPr>
      </w:pPr>
    </w:p>
    <w:p w14:paraId="0591B9C5" w14:textId="77777777" w:rsidR="00D308BD" w:rsidRDefault="00D308BD" w:rsidP="00920B7D">
      <w:pPr>
        <w:spacing w:line="480" w:lineRule="auto"/>
        <w:rPr>
          <w:b/>
          <w:bCs/>
          <w:color w:val="000000"/>
        </w:rPr>
      </w:pPr>
    </w:p>
    <w:p w14:paraId="3BD456E8" w14:textId="77777777" w:rsidR="00D308BD" w:rsidRDefault="00D308BD" w:rsidP="00920B7D">
      <w:pPr>
        <w:spacing w:line="480" w:lineRule="auto"/>
        <w:rPr>
          <w:b/>
          <w:bCs/>
          <w:color w:val="000000"/>
        </w:rPr>
      </w:pPr>
    </w:p>
    <w:p w14:paraId="74801D80" w14:textId="77777777" w:rsidR="00D308BD" w:rsidRDefault="00D308BD" w:rsidP="00920B7D">
      <w:pPr>
        <w:spacing w:line="480" w:lineRule="auto"/>
        <w:rPr>
          <w:b/>
          <w:bCs/>
          <w:color w:val="000000"/>
        </w:rPr>
      </w:pPr>
    </w:p>
    <w:p w14:paraId="71EFC529" w14:textId="5C16DF44" w:rsidR="00920B7D" w:rsidRPr="009C1356" w:rsidRDefault="00920B7D" w:rsidP="00920B7D">
      <w:pPr>
        <w:spacing w:line="480" w:lineRule="auto"/>
        <w:rPr>
          <w:b/>
          <w:bCs/>
          <w:color w:val="000000"/>
        </w:rPr>
      </w:pPr>
      <w:r w:rsidRPr="009C1356">
        <w:rPr>
          <w:b/>
          <w:bCs/>
          <w:color w:val="000000"/>
        </w:rPr>
        <w:t>Supplementary Figure 3</w:t>
      </w:r>
    </w:p>
    <w:p w14:paraId="166B9FEC" w14:textId="77777777" w:rsidR="00920B7D" w:rsidRPr="009C1356" w:rsidRDefault="00920B7D" w:rsidP="00920B7D">
      <w:pPr>
        <w:jc w:val="center"/>
        <w:rPr>
          <w:b/>
          <w:bCs/>
          <w:color w:val="000000"/>
          <w:sz w:val="22"/>
          <w:szCs w:val="22"/>
          <w:bdr w:val="none" w:sz="0" w:space="0" w:color="auto" w:frame="1"/>
        </w:rPr>
      </w:pPr>
      <w:r w:rsidRPr="009C1356">
        <w:rPr>
          <w:b/>
          <w:bCs/>
          <w:noProof/>
          <w:color w:val="000000"/>
          <w:sz w:val="22"/>
          <w:szCs w:val="22"/>
          <w:bdr w:val="none" w:sz="0" w:space="0" w:color="auto" w:frame="1"/>
        </w:rPr>
        <w:drawing>
          <wp:inline distT="0" distB="0" distL="0" distR="0" wp14:anchorId="2EDA4528" wp14:editId="069BEEB2">
            <wp:extent cx="5943600" cy="6005839"/>
            <wp:effectExtent l="0" t="0" r="0" b="1270"/>
            <wp:docPr id="95" name="Picture 9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Chart, bar chart&#10;&#10;Description automatically generated"/>
                    <pic:cNvPicPr/>
                  </pic:nvPicPr>
                  <pic:blipFill rotWithShape="1">
                    <a:blip r:embed="rId9" cstate="print">
                      <a:extLst>
                        <a:ext uri="{28A0092B-C50C-407E-A947-70E740481C1C}">
                          <a14:useLocalDpi xmlns:a14="http://schemas.microsoft.com/office/drawing/2010/main" val="0"/>
                        </a:ext>
                      </a:extLst>
                    </a:blip>
                    <a:srcRect t="7718"/>
                    <a:stretch/>
                  </pic:blipFill>
                  <pic:spPr bwMode="auto">
                    <a:xfrm>
                      <a:off x="0" y="0"/>
                      <a:ext cx="5943600" cy="6005839"/>
                    </a:xfrm>
                    <a:prstGeom prst="rect">
                      <a:avLst/>
                    </a:prstGeom>
                    <a:ln>
                      <a:noFill/>
                    </a:ln>
                    <a:extLst>
                      <a:ext uri="{53640926-AAD7-44D8-BBD7-CCE9431645EC}">
                        <a14:shadowObscured xmlns:a14="http://schemas.microsoft.com/office/drawing/2010/main"/>
                      </a:ext>
                    </a:extLst>
                  </pic:spPr>
                </pic:pic>
              </a:graphicData>
            </a:graphic>
          </wp:inline>
        </w:drawing>
      </w:r>
    </w:p>
    <w:p w14:paraId="39E2D51C" w14:textId="77777777" w:rsidR="00920B7D" w:rsidRPr="009C1356" w:rsidRDefault="00920B7D" w:rsidP="00920B7D">
      <w:pPr>
        <w:jc w:val="center"/>
        <w:rPr>
          <w:b/>
          <w:bCs/>
          <w:color w:val="000000"/>
          <w:sz w:val="22"/>
          <w:szCs w:val="22"/>
          <w:bdr w:val="none" w:sz="0" w:space="0" w:color="auto" w:frame="1"/>
        </w:rPr>
      </w:pPr>
    </w:p>
    <w:p w14:paraId="4E166BBD" w14:textId="77777777" w:rsidR="00920B7D" w:rsidRPr="009C1356" w:rsidRDefault="00920B7D" w:rsidP="00920B7D">
      <w:pPr>
        <w:jc w:val="center"/>
        <w:rPr>
          <w:i/>
          <w:iCs/>
          <w:color w:val="000000"/>
        </w:rPr>
      </w:pPr>
      <w:r w:rsidRPr="009C1356">
        <w:rPr>
          <w:i/>
          <w:iCs/>
          <w:color w:val="000000"/>
        </w:rPr>
        <w:t>A qualitative pan-method comparison of multiplicative factors and vulnerabilities. Rows with blanks for vulnerability denote unavailable data.</w:t>
      </w:r>
    </w:p>
    <w:p w14:paraId="4D2FFFF6" w14:textId="77777777" w:rsidR="00920B7D" w:rsidRPr="009C1356" w:rsidRDefault="00920B7D" w:rsidP="00920B7D">
      <w:pPr>
        <w:spacing w:line="480" w:lineRule="auto"/>
        <w:rPr>
          <w:color w:val="000000"/>
        </w:rPr>
      </w:pPr>
    </w:p>
    <w:p w14:paraId="2076A314" w14:textId="77777777" w:rsidR="00452CEB" w:rsidRDefault="00920B7D" w:rsidP="00920B7D">
      <w:pPr>
        <w:spacing w:line="480" w:lineRule="auto"/>
        <w:rPr>
          <w:b/>
          <w:bCs/>
          <w:color w:val="000000"/>
        </w:rPr>
      </w:pPr>
      <w:r w:rsidRPr="009C1356">
        <w:rPr>
          <w:b/>
          <w:bCs/>
          <w:color w:val="000000"/>
        </w:rPr>
        <w:t xml:space="preserve"> </w:t>
      </w:r>
    </w:p>
    <w:p w14:paraId="383129B5" w14:textId="77777777" w:rsidR="004E6FFC" w:rsidRDefault="004E6FFC" w:rsidP="00920B7D">
      <w:pPr>
        <w:spacing w:line="480" w:lineRule="auto"/>
        <w:rPr>
          <w:b/>
          <w:bCs/>
          <w:color w:val="000000"/>
        </w:rPr>
      </w:pPr>
    </w:p>
    <w:p w14:paraId="64EE07E3" w14:textId="77777777" w:rsidR="004E6FFC" w:rsidRDefault="004E6FFC" w:rsidP="00920B7D">
      <w:pPr>
        <w:spacing w:line="480" w:lineRule="auto"/>
        <w:rPr>
          <w:b/>
          <w:bCs/>
          <w:color w:val="000000"/>
        </w:rPr>
      </w:pPr>
    </w:p>
    <w:p w14:paraId="457B5317" w14:textId="5119C6D7" w:rsidR="00920B7D" w:rsidRPr="009C1356" w:rsidRDefault="00920B7D" w:rsidP="00920B7D">
      <w:pPr>
        <w:spacing w:line="480" w:lineRule="auto"/>
        <w:rPr>
          <w:b/>
          <w:bCs/>
          <w:color w:val="000000"/>
        </w:rPr>
      </w:pPr>
      <w:r w:rsidRPr="009C1356">
        <w:rPr>
          <w:b/>
          <w:bCs/>
          <w:color w:val="000000"/>
        </w:rPr>
        <w:t>Supplementary Figure 4</w:t>
      </w:r>
    </w:p>
    <w:p w14:paraId="272F6137" w14:textId="77777777" w:rsidR="00920B7D" w:rsidRPr="009C1356" w:rsidRDefault="00920B7D" w:rsidP="00920B7D">
      <w:pPr>
        <w:jc w:val="center"/>
        <w:rPr>
          <w:color w:val="000000"/>
          <w:sz w:val="22"/>
          <w:szCs w:val="22"/>
          <w:bdr w:val="none" w:sz="0" w:space="0" w:color="auto" w:frame="1"/>
        </w:rPr>
      </w:pPr>
      <w:r w:rsidRPr="009C1356">
        <w:rPr>
          <w:noProof/>
          <w:color w:val="000000"/>
          <w:sz w:val="22"/>
          <w:szCs w:val="22"/>
          <w:bdr w:val="none" w:sz="0" w:space="0" w:color="auto" w:frame="1"/>
        </w:rPr>
        <w:drawing>
          <wp:inline distT="0" distB="0" distL="0" distR="0" wp14:anchorId="2720CA01" wp14:editId="2FF249B4">
            <wp:extent cx="2673927" cy="1579165"/>
            <wp:effectExtent l="0" t="0" r="0" b="0"/>
            <wp:docPr id="57" name="Picture 4">
              <a:extLst xmlns:a="http://schemas.openxmlformats.org/drawingml/2006/main">
                <a:ext uri="{FF2B5EF4-FFF2-40B4-BE49-F238E27FC236}">
                  <a16:creationId xmlns:a16="http://schemas.microsoft.com/office/drawing/2014/main" id="{1EAB9B0A-BE47-178F-4AAC-2981453B66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EAB9B0A-BE47-178F-4AAC-2981453B662B}"/>
                        </a:ext>
                      </a:extLst>
                    </pic:cNvPr>
                    <pic:cNvPicPr>
                      <a:picLocks noChangeAspect="1"/>
                    </pic:cNvPicPr>
                  </pic:nvPicPr>
                  <pic:blipFill rotWithShape="1">
                    <a:blip r:embed="rId10"/>
                    <a:srcRect t="17569"/>
                    <a:stretch/>
                  </pic:blipFill>
                  <pic:spPr bwMode="auto">
                    <a:xfrm>
                      <a:off x="0" y="0"/>
                      <a:ext cx="2688047" cy="1587504"/>
                    </a:xfrm>
                    <a:prstGeom prst="rect">
                      <a:avLst/>
                    </a:prstGeom>
                    <a:ln>
                      <a:noFill/>
                    </a:ln>
                    <a:extLst>
                      <a:ext uri="{53640926-AAD7-44D8-BBD7-CCE9431645EC}">
                        <a14:shadowObscured xmlns:a14="http://schemas.microsoft.com/office/drawing/2010/main"/>
                      </a:ext>
                    </a:extLst>
                  </pic:spPr>
                </pic:pic>
              </a:graphicData>
            </a:graphic>
          </wp:inline>
        </w:drawing>
      </w:r>
    </w:p>
    <w:p w14:paraId="5FB135DF" w14:textId="77777777" w:rsidR="00920B7D" w:rsidRPr="009C1356" w:rsidRDefault="00920B7D" w:rsidP="00920B7D">
      <w:pPr>
        <w:jc w:val="center"/>
        <w:rPr>
          <w:i/>
          <w:iCs/>
        </w:rPr>
      </w:pPr>
      <w:r w:rsidRPr="009C1356">
        <w:rPr>
          <w:i/>
          <w:iCs/>
          <w:color w:val="000000"/>
        </w:rPr>
        <w:t>Multiplicative factors compared to Joanna Briggs Institute-classified risk of bias (low, medium, high, or unknown).</w:t>
      </w:r>
    </w:p>
    <w:p w14:paraId="2C6CA360" w14:textId="77777777" w:rsidR="00920B7D" w:rsidRPr="009C1356" w:rsidRDefault="00920B7D" w:rsidP="00920B7D">
      <w:pPr>
        <w:spacing w:line="480" w:lineRule="auto"/>
        <w:rPr>
          <w:b/>
          <w:bCs/>
          <w:color w:val="000000"/>
        </w:rPr>
      </w:pPr>
    </w:p>
    <w:p w14:paraId="5EC45AE9" w14:textId="77777777" w:rsidR="00920B7D" w:rsidRPr="009C1356" w:rsidRDefault="00920B7D" w:rsidP="00920B7D">
      <w:pPr>
        <w:rPr>
          <w:b/>
          <w:bCs/>
          <w:color w:val="000000"/>
        </w:rPr>
      </w:pPr>
      <w:r w:rsidRPr="009C1356">
        <w:rPr>
          <w:b/>
          <w:bCs/>
          <w:color w:val="000000"/>
        </w:rPr>
        <w:br w:type="page"/>
      </w:r>
    </w:p>
    <w:tbl>
      <w:tblPr>
        <w:tblpPr w:leftFromText="180" w:rightFromText="180" w:vertAnchor="text" w:horzAnchor="margin" w:tblpXSpec="center" w:tblpY="773"/>
        <w:tblW w:w="11508" w:type="dxa"/>
        <w:tblCellMar>
          <w:top w:w="15" w:type="dxa"/>
          <w:left w:w="15" w:type="dxa"/>
          <w:bottom w:w="15" w:type="dxa"/>
          <w:right w:w="15" w:type="dxa"/>
        </w:tblCellMar>
        <w:tblLook w:val="04A0" w:firstRow="1" w:lastRow="0" w:firstColumn="1" w:lastColumn="0" w:noHBand="0" w:noVBand="1"/>
      </w:tblPr>
      <w:tblGrid>
        <w:gridCol w:w="583"/>
        <w:gridCol w:w="5309"/>
        <w:gridCol w:w="1296"/>
        <w:gridCol w:w="1872"/>
        <w:gridCol w:w="1296"/>
        <w:gridCol w:w="1152"/>
      </w:tblGrid>
      <w:tr w:rsidR="00920B7D" w:rsidRPr="009C1356" w14:paraId="5D016EBD" w14:textId="77777777" w:rsidTr="002D5728">
        <w:trPr>
          <w:trHeight w:val="455"/>
        </w:trPr>
        <w:tc>
          <w:tcPr>
            <w:tcW w:w="583" w:type="dxa"/>
            <w:tcBorders>
              <w:top w:val="single" w:sz="4" w:space="0" w:color="FFFFFF"/>
              <w:left w:val="single" w:sz="4" w:space="0" w:color="FFFFFF"/>
              <w:bottom w:val="single" w:sz="8" w:space="0" w:color="000000"/>
              <w:right w:val="single" w:sz="4" w:space="0" w:color="FFFFFF"/>
            </w:tcBorders>
          </w:tcPr>
          <w:p w14:paraId="2DE08FF6" w14:textId="77777777" w:rsidR="00920B7D" w:rsidRPr="009C1356" w:rsidRDefault="00920B7D" w:rsidP="002D5728">
            <w:pPr>
              <w:pStyle w:val="NormalWeb"/>
              <w:spacing w:before="0" w:beforeAutospacing="0" w:after="0" w:afterAutospacing="0"/>
              <w:jc w:val="center"/>
            </w:pPr>
          </w:p>
        </w:tc>
        <w:tc>
          <w:tcPr>
            <w:tcW w:w="5309" w:type="dxa"/>
            <w:tcBorders>
              <w:top w:val="single" w:sz="4" w:space="0" w:color="FFFFFF"/>
              <w:left w:val="single" w:sz="4" w:space="0" w:color="FFFFFF"/>
              <w:bottom w:val="single" w:sz="8" w:space="0" w:color="000000"/>
              <w:right w:val="single" w:sz="8" w:space="0" w:color="000000"/>
            </w:tcBorders>
            <w:tcMar>
              <w:top w:w="100" w:type="dxa"/>
              <w:left w:w="100" w:type="dxa"/>
              <w:bottom w:w="100" w:type="dxa"/>
              <w:right w:w="100" w:type="dxa"/>
            </w:tcMar>
            <w:vAlign w:val="center"/>
            <w:hideMark/>
          </w:tcPr>
          <w:p w14:paraId="1AFF98C0" w14:textId="77777777" w:rsidR="00920B7D" w:rsidRPr="009C1356" w:rsidRDefault="00920B7D" w:rsidP="002D5728">
            <w:pPr>
              <w:pStyle w:val="NormalWeb"/>
              <w:spacing w:before="0" w:beforeAutospacing="0" w:after="0" w:afterAutospacing="0"/>
              <w:jc w:val="center"/>
            </w:pPr>
          </w:p>
        </w:tc>
        <w:tc>
          <w:tcPr>
            <w:tcW w:w="1296" w:type="dxa"/>
            <w:tcBorders>
              <w:top w:val="single" w:sz="8" w:space="0" w:color="000000"/>
              <w:left w:val="single" w:sz="8" w:space="0" w:color="000000"/>
              <w:bottom w:val="single" w:sz="8" w:space="0" w:color="000000"/>
              <w:right w:val="single" w:sz="8" w:space="0" w:color="000000"/>
            </w:tcBorders>
            <w:vAlign w:val="center"/>
          </w:tcPr>
          <w:p w14:paraId="5A93C30F" w14:textId="77777777" w:rsidR="00920B7D" w:rsidRPr="009C1356" w:rsidRDefault="00920B7D" w:rsidP="002D5728">
            <w:pPr>
              <w:pStyle w:val="NormalWeb"/>
              <w:spacing w:before="0" w:beforeAutospacing="0" w:after="0" w:afterAutospacing="0"/>
              <w:jc w:val="center"/>
              <w:rPr>
                <w:b/>
                <w:bCs/>
                <w:color w:val="000000"/>
              </w:rPr>
            </w:pPr>
            <w:r w:rsidRPr="009C1356">
              <w:rPr>
                <w:b/>
                <w:bCs/>
                <w:color w:val="000000"/>
              </w:rPr>
              <w:t>Zambia</w:t>
            </w:r>
          </w:p>
        </w:tc>
        <w:tc>
          <w:tcPr>
            <w:tcW w:w="1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AEF0F6" w14:textId="77777777" w:rsidR="00920B7D" w:rsidRPr="009C1356" w:rsidRDefault="00920B7D" w:rsidP="002D5728">
            <w:pPr>
              <w:pStyle w:val="NormalWeb"/>
              <w:spacing w:before="0" w:beforeAutospacing="0" w:after="0" w:afterAutospacing="0"/>
              <w:jc w:val="center"/>
            </w:pPr>
            <w:r w:rsidRPr="009C1356">
              <w:rPr>
                <w:b/>
                <w:bCs/>
                <w:color w:val="000000"/>
              </w:rPr>
              <w:t>South Africa</w:t>
            </w:r>
          </w:p>
        </w:tc>
        <w:tc>
          <w:tcPr>
            <w:tcW w:w="1296" w:type="dxa"/>
            <w:tcBorders>
              <w:top w:val="single" w:sz="8" w:space="0" w:color="000000"/>
              <w:left w:val="single" w:sz="8" w:space="0" w:color="000000"/>
              <w:bottom w:val="single" w:sz="8" w:space="0" w:color="000000"/>
              <w:right w:val="single" w:sz="8" w:space="0" w:color="000000"/>
            </w:tcBorders>
            <w:vAlign w:val="center"/>
          </w:tcPr>
          <w:p w14:paraId="5F5EF764" w14:textId="77777777" w:rsidR="00920B7D" w:rsidRPr="009C1356" w:rsidRDefault="00920B7D" w:rsidP="002D5728">
            <w:pPr>
              <w:pStyle w:val="NormalWeb"/>
              <w:spacing w:before="0" w:beforeAutospacing="0" w:after="0" w:afterAutospacing="0"/>
              <w:jc w:val="center"/>
              <w:rPr>
                <w:b/>
                <w:bCs/>
                <w:color w:val="000000"/>
              </w:rPr>
            </w:pPr>
            <w:r w:rsidRPr="009C1356">
              <w:rPr>
                <w:b/>
                <w:bCs/>
                <w:color w:val="000000"/>
              </w:rPr>
              <w:t>Ethiopia</w:t>
            </w:r>
          </w:p>
        </w:tc>
        <w:tc>
          <w:tcPr>
            <w:tcW w:w="1152" w:type="dxa"/>
            <w:tcBorders>
              <w:top w:val="single" w:sz="8" w:space="0" w:color="000000"/>
              <w:left w:val="single" w:sz="8" w:space="0" w:color="000000"/>
              <w:bottom w:val="single" w:sz="8" w:space="0" w:color="000000"/>
              <w:right w:val="single" w:sz="8" w:space="0" w:color="000000"/>
            </w:tcBorders>
            <w:vAlign w:val="center"/>
          </w:tcPr>
          <w:p w14:paraId="59459211" w14:textId="77777777" w:rsidR="00920B7D" w:rsidRPr="009C1356" w:rsidRDefault="00920B7D" w:rsidP="002D5728">
            <w:pPr>
              <w:pStyle w:val="NormalWeb"/>
              <w:spacing w:before="0" w:beforeAutospacing="0" w:after="0" w:afterAutospacing="0"/>
              <w:jc w:val="center"/>
              <w:rPr>
                <w:b/>
                <w:bCs/>
                <w:color w:val="000000"/>
              </w:rPr>
            </w:pPr>
            <w:r w:rsidRPr="009C1356">
              <w:rPr>
                <w:b/>
                <w:bCs/>
                <w:color w:val="000000"/>
              </w:rPr>
              <w:t>Rwanda</w:t>
            </w:r>
          </w:p>
        </w:tc>
      </w:tr>
      <w:tr w:rsidR="00920B7D" w:rsidRPr="009C1356" w14:paraId="16951E0B" w14:textId="77777777" w:rsidTr="002D5728">
        <w:trPr>
          <w:trHeight w:val="455"/>
        </w:trPr>
        <w:tc>
          <w:tcPr>
            <w:tcW w:w="583" w:type="dxa"/>
            <w:vMerge w:val="restart"/>
            <w:tcBorders>
              <w:top w:val="single" w:sz="8" w:space="0" w:color="000000"/>
              <w:left w:val="single" w:sz="8" w:space="0" w:color="000000"/>
              <w:right w:val="single" w:sz="8" w:space="0" w:color="000000"/>
            </w:tcBorders>
            <w:vAlign w:val="center"/>
          </w:tcPr>
          <w:p w14:paraId="1B023D53" w14:textId="77777777" w:rsidR="00920B7D" w:rsidRPr="009C1356" w:rsidRDefault="00920B7D" w:rsidP="002D5728">
            <w:pPr>
              <w:pStyle w:val="NormalWeb"/>
              <w:spacing w:before="0" w:beforeAutospacing="0" w:after="0" w:afterAutospacing="0"/>
              <w:jc w:val="center"/>
              <w:rPr>
                <w:b/>
                <w:bCs/>
                <w:color w:val="000000"/>
                <w:sz w:val="20"/>
                <w:szCs w:val="20"/>
              </w:rPr>
            </w:pPr>
            <w:r w:rsidRPr="009C1356">
              <w:rPr>
                <w:b/>
                <w:bCs/>
                <w:color w:val="000000"/>
                <w:sz w:val="20"/>
                <w:szCs w:val="20"/>
              </w:rPr>
              <w:t>2020</w:t>
            </w:r>
          </w:p>
        </w:tc>
        <w:tc>
          <w:tcPr>
            <w:tcW w:w="5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F76BE0" w14:textId="77777777" w:rsidR="00920B7D" w:rsidRPr="009C1356" w:rsidRDefault="00920B7D" w:rsidP="002D5728">
            <w:pPr>
              <w:pStyle w:val="NormalWeb"/>
              <w:spacing w:before="0" w:beforeAutospacing="0" w:after="0" w:afterAutospacing="0"/>
              <w:jc w:val="center"/>
              <w:rPr>
                <w:b/>
                <w:bCs/>
              </w:rPr>
            </w:pPr>
            <w:r w:rsidRPr="009C1356">
              <w:rPr>
                <w:b/>
                <w:bCs/>
                <w:color w:val="000000"/>
                <w:sz w:val="20"/>
                <w:szCs w:val="20"/>
              </w:rPr>
              <w:t>Projected Population (P20)</w:t>
            </w:r>
          </w:p>
        </w:tc>
        <w:tc>
          <w:tcPr>
            <w:tcW w:w="1296" w:type="dxa"/>
            <w:tcBorders>
              <w:top w:val="single" w:sz="8" w:space="0" w:color="000000"/>
              <w:left w:val="single" w:sz="8" w:space="0" w:color="000000"/>
              <w:bottom w:val="single" w:sz="8" w:space="0" w:color="000000"/>
              <w:right w:val="single" w:sz="8" w:space="0" w:color="000000"/>
            </w:tcBorders>
            <w:vAlign w:val="center"/>
          </w:tcPr>
          <w:p w14:paraId="11F2383C"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18,383,960</w:t>
            </w:r>
          </w:p>
        </w:tc>
        <w:tc>
          <w:tcPr>
            <w:tcW w:w="1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6410B2" w14:textId="77777777" w:rsidR="00920B7D" w:rsidRPr="009C1356" w:rsidRDefault="00920B7D" w:rsidP="002D5728">
            <w:pPr>
              <w:pStyle w:val="NormalWeb"/>
              <w:spacing w:before="0" w:beforeAutospacing="0" w:after="0" w:afterAutospacing="0"/>
              <w:jc w:val="center"/>
              <w:rPr>
                <w:sz w:val="20"/>
                <w:szCs w:val="20"/>
              </w:rPr>
            </w:pPr>
            <w:r w:rsidRPr="009C1356">
              <w:rPr>
                <w:sz w:val="20"/>
                <w:szCs w:val="20"/>
              </w:rPr>
              <w:t>59,308,690</w:t>
            </w:r>
          </w:p>
        </w:tc>
        <w:tc>
          <w:tcPr>
            <w:tcW w:w="1296" w:type="dxa"/>
            <w:tcBorders>
              <w:top w:val="single" w:sz="8" w:space="0" w:color="000000"/>
              <w:left w:val="single" w:sz="8" w:space="0" w:color="000000"/>
              <w:bottom w:val="single" w:sz="8" w:space="0" w:color="000000"/>
              <w:right w:val="single" w:sz="8" w:space="0" w:color="000000"/>
            </w:tcBorders>
            <w:vAlign w:val="center"/>
          </w:tcPr>
          <w:p w14:paraId="5DE1274C" w14:textId="77777777" w:rsidR="00920B7D" w:rsidRPr="009C1356" w:rsidRDefault="00920B7D" w:rsidP="002D5728">
            <w:pPr>
              <w:pStyle w:val="NormalWeb"/>
              <w:spacing w:before="0" w:beforeAutospacing="0" w:after="0" w:afterAutospacing="0"/>
              <w:jc w:val="center"/>
              <w:rPr>
                <w:sz w:val="20"/>
                <w:szCs w:val="20"/>
              </w:rPr>
            </w:pPr>
            <w:r w:rsidRPr="009C1356">
              <w:rPr>
                <w:sz w:val="20"/>
                <w:szCs w:val="20"/>
              </w:rPr>
              <w:t>114,963,580</w:t>
            </w:r>
          </w:p>
        </w:tc>
        <w:tc>
          <w:tcPr>
            <w:tcW w:w="1152" w:type="dxa"/>
            <w:tcBorders>
              <w:top w:val="single" w:sz="8" w:space="0" w:color="000000"/>
              <w:left w:val="single" w:sz="8" w:space="0" w:color="000000"/>
              <w:bottom w:val="single" w:sz="8" w:space="0" w:color="000000"/>
              <w:right w:val="single" w:sz="8" w:space="0" w:color="000000"/>
            </w:tcBorders>
            <w:vAlign w:val="center"/>
          </w:tcPr>
          <w:p w14:paraId="21AD7603" w14:textId="77777777" w:rsidR="00920B7D" w:rsidRPr="009C1356" w:rsidRDefault="00920B7D" w:rsidP="002D5728">
            <w:pPr>
              <w:pStyle w:val="NormalWeb"/>
              <w:spacing w:before="0" w:beforeAutospacing="0" w:after="0" w:afterAutospacing="0"/>
              <w:jc w:val="center"/>
              <w:rPr>
                <w:sz w:val="20"/>
                <w:szCs w:val="20"/>
              </w:rPr>
            </w:pPr>
            <w:r w:rsidRPr="009C1356">
              <w:rPr>
                <w:sz w:val="20"/>
                <w:szCs w:val="20"/>
              </w:rPr>
              <w:t>12,952,210</w:t>
            </w:r>
          </w:p>
        </w:tc>
      </w:tr>
      <w:tr w:rsidR="00920B7D" w:rsidRPr="009C1356" w14:paraId="6984CD86" w14:textId="77777777" w:rsidTr="002D5728">
        <w:trPr>
          <w:trHeight w:val="455"/>
        </w:trPr>
        <w:tc>
          <w:tcPr>
            <w:tcW w:w="583" w:type="dxa"/>
            <w:vMerge/>
            <w:tcBorders>
              <w:left w:val="single" w:sz="8" w:space="0" w:color="000000"/>
              <w:right w:val="single" w:sz="8" w:space="0" w:color="000000"/>
            </w:tcBorders>
          </w:tcPr>
          <w:p w14:paraId="71AE5460" w14:textId="77777777" w:rsidR="00920B7D" w:rsidRPr="009C1356" w:rsidRDefault="00920B7D" w:rsidP="002D5728">
            <w:pPr>
              <w:pStyle w:val="NormalWeb"/>
              <w:spacing w:before="0" w:beforeAutospacing="0" w:after="0" w:afterAutospacing="0"/>
              <w:jc w:val="center"/>
              <w:rPr>
                <w:b/>
                <w:bCs/>
                <w:color w:val="000000"/>
                <w:sz w:val="20"/>
                <w:szCs w:val="20"/>
              </w:rPr>
            </w:pPr>
          </w:p>
        </w:tc>
        <w:tc>
          <w:tcPr>
            <w:tcW w:w="5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E7D28C" w14:textId="77777777" w:rsidR="00920B7D" w:rsidRPr="009C1356" w:rsidRDefault="00920B7D" w:rsidP="002D5728">
            <w:pPr>
              <w:pStyle w:val="NormalWeb"/>
              <w:spacing w:before="0" w:beforeAutospacing="0" w:after="0" w:afterAutospacing="0"/>
              <w:jc w:val="center"/>
              <w:rPr>
                <w:b/>
                <w:bCs/>
                <w:color w:val="000000"/>
                <w:sz w:val="20"/>
                <w:szCs w:val="20"/>
              </w:rPr>
            </w:pPr>
            <w:r w:rsidRPr="009C1356">
              <w:rPr>
                <w:b/>
                <w:bCs/>
                <w:color w:val="000000"/>
                <w:sz w:val="20"/>
                <w:szCs w:val="20"/>
              </w:rPr>
              <w:t>Crude All-Cause Mortality Rate Per 1,000 Population (CMR20)</w:t>
            </w:r>
          </w:p>
        </w:tc>
        <w:tc>
          <w:tcPr>
            <w:tcW w:w="1296" w:type="dxa"/>
            <w:tcBorders>
              <w:top w:val="single" w:sz="8" w:space="0" w:color="000000"/>
              <w:left w:val="single" w:sz="8" w:space="0" w:color="000000"/>
              <w:bottom w:val="single" w:sz="8" w:space="0" w:color="000000"/>
              <w:right w:val="single" w:sz="8" w:space="0" w:color="000000"/>
            </w:tcBorders>
            <w:vAlign w:val="center"/>
          </w:tcPr>
          <w:p w14:paraId="23851F73"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6</w:t>
            </w:r>
          </w:p>
        </w:tc>
        <w:tc>
          <w:tcPr>
            <w:tcW w:w="1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144968"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9</w:t>
            </w:r>
          </w:p>
        </w:tc>
        <w:tc>
          <w:tcPr>
            <w:tcW w:w="1296" w:type="dxa"/>
            <w:tcBorders>
              <w:top w:val="single" w:sz="8" w:space="0" w:color="000000"/>
              <w:left w:val="single" w:sz="8" w:space="0" w:color="000000"/>
              <w:bottom w:val="single" w:sz="8" w:space="0" w:color="000000"/>
              <w:right w:val="single" w:sz="8" w:space="0" w:color="000000"/>
            </w:tcBorders>
            <w:vAlign w:val="center"/>
          </w:tcPr>
          <w:p w14:paraId="3650F153"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6</w:t>
            </w:r>
          </w:p>
        </w:tc>
        <w:tc>
          <w:tcPr>
            <w:tcW w:w="1152" w:type="dxa"/>
            <w:tcBorders>
              <w:top w:val="single" w:sz="8" w:space="0" w:color="000000"/>
              <w:left w:val="single" w:sz="8" w:space="0" w:color="000000"/>
              <w:bottom w:val="single" w:sz="8" w:space="0" w:color="000000"/>
              <w:right w:val="single" w:sz="8" w:space="0" w:color="000000"/>
            </w:tcBorders>
            <w:vAlign w:val="center"/>
          </w:tcPr>
          <w:p w14:paraId="5A46CF1F"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5</w:t>
            </w:r>
          </w:p>
        </w:tc>
      </w:tr>
      <w:tr w:rsidR="00920B7D" w:rsidRPr="009C1356" w14:paraId="269F40C9" w14:textId="77777777" w:rsidTr="002D5728">
        <w:trPr>
          <w:trHeight w:val="455"/>
        </w:trPr>
        <w:tc>
          <w:tcPr>
            <w:tcW w:w="583" w:type="dxa"/>
            <w:vMerge/>
            <w:tcBorders>
              <w:left w:val="single" w:sz="8" w:space="0" w:color="000000"/>
              <w:right w:val="single" w:sz="8" w:space="0" w:color="000000"/>
            </w:tcBorders>
          </w:tcPr>
          <w:p w14:paraId="26CD71C9" w14:textId="77777777" w:rsidR="00920B7D" w:rsidRPr="009C1356" w:rsidRDefault="00920B7D" w:rsidP="002D5728">
            <w:pPr>
              <w:pStyle w:val="NormalWeb"/>
              <w:spacing w:before="0" w:beforeAutospacing="0" w:after="0" w:afterAutospacing="0"/>
              <w:jc w:val="center"/>
              <w:rPr>
                <w:b/>
                <w:bCs/>
                <w:color w:val="000000"/>
                <w:sz w:val="20"/>
                <w:szCs w:val="20"/>
              </w:rPr>
            </w:pPr>
          </w:p>
        </w:tc>
        <w:tc>
          <w:tcPr>
            <w:tcW w:w="5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92F946" w14:textId="77777777" w:rsidR="00920B7D" w:rsidRPr="009C1356" w:rsidRDefault="00920B7D" w:rsidP="002D5728">
            <w:pPr>
              <w:pStyle w:val="NormalWeb"/>
              <w:spacing w:before="0" w:beforeAutospacing="0" w:after="0" w:afterAutospacing="0"/>
              <w:jc w:val="center"/>
              <w:rPr>
                <w:b/>
                <w:bCs/>
                <w:color w:val="000000"/>
                <w:sz w:val="20"/>
                <w:szCs w:val="20"/>
              </w:rPr>
            </w:pPr>
            <w:r w:rsidRPr="009C1356">
              <w:rPr>
                <w:b/>
                <w:bCs/>
                <w:color w:val="000000"/>
                <w:sz w:val="20"/>
                <w:szCs w:val="20"/>
              </w:rPr>
              <w:t>Deaths (D20)</w:t>
            </w:r>
          </w:p>
          <w:p w14:paraId="4B71B052" w14:textId="77777777" w:rsidR="00920B7D" w:rsidRPr="009C1356" w:rsidRDefault="00920B7D" w:rsidP="002D5728">
            <w:pPr>
              <w:pStyle w:val="NormalWeb"/>
              <w:spacing w:before="0" w:beforeAutospacing="0" w:after="0" w:afterAutospacing="0"/>
              <w:jc w:val="center"/>
              <w:rPr>
                <w:b/>
                <w:bCs/>
                <w:color w:val="000000"/>
                <w:sz w:val="20"/>
                <w:szCs w:val="20"/>
              </w:rPr>
            </w:pPr>
            <w:r w:rsidRPr="009C1356">
              <w:rPr>
                <w:b/>
                <w:bCs/>
                <w:color w:val="000000"/>
                <w:sz w:val="20"/>
                <w:szCs w:val="20"/>
              </w:rPr>
              <w:t>= P20 x CMR20</w:t>
            </w:r>
          </w:p>
        </w:tc>
        <w:tc>
          <w:tcPr>
            <w:tcW w:w="1296" w:type="dxa"/>
            <w:tcBorders>
              <w:top w:val="single" w:sz="8" w:space="0" w:color="000000"/>
              <w:left w:val="single" w:sz="8" w:space="0" w:color="000000"/>
              <w:bottom w:val="single" w:sz="8" w:space="0" w:color="000000"/>
              <w:right w:val="single" w:sz="8" w:space="0" w:color="000000"/>
            </w:tcBorders>
            <w:vAlign w:val="center"/>
          </w:tcPr>
          <w:p w14:paraId="638614FA"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110,304</w:t>
            </w:r>
          </w:p>
        </w:tc>
        <w:tc>
          <w:tcPr>
            <w:tcW w:w="1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DF96D5"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533,778</w:t>
            </w:r>
          </w:p>
        </w:tc>
        <w:tc>
          <w:tcPr>
            <w:tcW w:w="1296" w:type="dxa"/>
            <w:tcBorders>
              <w:top w:val="single" w:sz="8" w:space="0" w:color="000000"/>
              <w:left w:val="single" w:sz="8" w:space="0" w:color="000000"/>
              <w:bottom w:val="single" w:sz="8" w:space="0" w:color="000000"/>
              <w:right w:val="single" w:sz="8" w:space="0" w:color="000000"/>
            </w:tcBorders>
            <w:vAlign w:val="center"/>
          </w:tcPr>
          <w:p w14:paraId="01AA4552"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689,781</w:t>
            </w:r>
          </w:p>
        </w:tc>
        <w:tc>
          <w:tcPr>
            <w:tcW w:w="1152" w:type="dxa"/>
            <w:tcBorders>
              <w:top w:val="single" w:sz="8" w:space="0" w:color="000000"/>
              <w:left w:val="single" w:sz="8" w:space="0" w:color="000000"/>
              <w:bottom w:val="single" w:sz="8" w:space="0" w:color="000000"/>
              <w:right w:val="single" w:sz="8" w:space="0" w:color="000000"/>
            </w:tcBorders>
            <w:vAlign w:val="center"/>
          </w:tcPr>
          <w:p w14:paraId="7C320964"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64,761</w:t>
            </w:r>
          </w:p>
        </w:tc>
      </w:tr>
      <w:tr w:rsidR="00920B7D" w:rsidRPr="009C1356" w14:paraId="50796C79" w14:textId="77777777" w:rsidTr="002D5728">
        <w:trPr>
          <w:trHeight w:val="455"/>
        </w:trPr>
        <w:tc>
          <w:tcPr>
            <w:tcW w:w="583" w:type="dxa"/>
            <w:vMerge/>
            <w:tcBorders>
              <w:left w:val="single" w:sz="8" w:space="0" w:color="000000"/>
              <w:right w:val="single" w:sz="8" w:space="0" w:color="000000"/>
            </w:tcBorders>
          </w:tcPr>
          <w:p w14:paraId="46851CFC" w14:textId="77777777" w:rsidR="00920B7D" w:rsidRPr="009C1356" w:rsidRDefault="00920B7D" w:rsidP="002D5728">
            <w:pPr>
              <w:pStyle w:val="NormalWeb"/>
              <w:spacing w:before="0" w:beforeAutospacing="0" w:after="0" w:afterAutospacing="0"/>
              <w:jc w:val="center"/>
              <w:rPr>
                <w:b/>
                <w:bCs/>
                <w:color w:val="000000"/>
                <w:sz w:val="20"/>
                <w:szCs w:val="20"/>
              </w:rPr>
            </w:pPr>
          </w:p>
        </w:tc>
        <w:tc>
          <w:tcPr>
            <w:tcW w:w="5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B5D1B3" w14:textId="77777777" w:rsidR="00920B7D" w:rsidRPr="009C1356" w:rsidRDefault="00920B7D" w:rsidP="002D5728">
            <w:pPr>
              <w:pStyle w:val="NormalWeb"/>
              <w:spacing w:before="0" w:beforeAutospacing="0" w:after="0" w:afterAutospacing="0"/>
              <w:jc w:val="center"/>
              <w:rPr>
                <w:b/>
                <w:bCs/>
                <w:color w:val="000000"/>
                <w:sz w:val="20"/>
                <w:szCs w:val="20"/>
              </w:rPr>
            </w:pPr>
            <w:r w:rsidRPr="009C1356">
              <w:rPr>
                <w:b/>
                <w:bCs/>
                <w:color w:val="000000"/>
                <w:sz w:val="20"/>
                <w:szCs w:val="20"/>
              </w:rPr>
              <w:t>Zambia-Based Multiplier, Mwananyanda et al. (MULT20)</w:t>
            </w:r>
          </w:p>
        </w:tc>
        <w:tc>
          <w:tcPr>
            <w:tcW w:w="1296" w:type="dxa"/>
            <w:tcBorders>
              <w:top w:val="single" w:sz="8" w:space="0" w:color="000000"/>
              <w:left w:val="single" w:sz="8" w:space="0" w:color="000000"/>
              <w:bottom w:val="single" w:sz="8" w:space="0" w:color="000000"/>
              <w:right w:val="single" w:sz="8" w:space="0" w:color="000000"/>
            </w:tcBorders>
            <w:vAlign w:val="center"/>
          </w:tcPr>
          <w:p w14:paraId="093ABE49"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0.159</w:t>
            </w:r>
          </w:p>
        </w:tc>
        <w:tc>
          <w:tcPr>
            <w:tcW w:w="1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A2AC8B"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0.159</w:t>
            </w:r>
          </w:p>
        </w:tc>
        <w:tc>
          <w:tcPr>
            <w:tcW w:w="1296" w:type="dxa"/>
            <w:tcBorders>
              <w:top w:val="single" w:sz="8" w:space="0" w:color="000000"/>
              <w:left w:val="single" w:sz="8" w:space="0" w:color="000000"/>
              <w:bottom w:val="single" w:sz="8" w:space="0" w:color="000000"/>
              <w:right w:val="single" w:sz="8" w:space="0" w:color="000000"/>
            </w:tcBorders>
            <w:vAlign w:val="center"/>
          </w:tcPr>
          <w:p w14:paraId="54C228E9"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0.159</w:t>
            </w:r>
          </w:p>
        </w:tc>
        <w:tc>
          <w:tcPr>
            <w:tcW w:w="1152" w:type="dxa"/>
            <w:tcBorders>
              <w:top w:val="single" w:sz="8" w:space="0" w:color="000000"/>
              <w:left w:val="single" w:sz="8" w:space="0" w:color="000000"/>
              <w:bottom w:val="single" w:sz="8" w:space="0" w:color="000000"/>
              <w:right w:val="single" w:sz="8" w:space="0" w:color="000000"/>
            </w:tcBorders>
            <w:vAlign w:val="center"/>
          </w:tcPr>
          <w:p w14:paraId="37A8595F"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0.159</w:t>
            </w:r>
          </w:p>
        </w:tc>
      </w:tr>
      <w:tr w:rsidR="00920B7D" w:rsidRPr="009C1356" w14:paraId="2957865D" w14:textId="77777777" w:rsidTr="002D5728">
        <w:trPr>
          <w:trHeight w:val="455"/>
        </w:trPr>
        <w:tc>
          <w:tcPr>
            <w:tcW w:w="583" w:type="dxa"/>
            <w:vMerge/>
            <w:tcBorders>
              <w:left w:val="single" w:sz="8" w:space="0" w:color="000000"/>
              <w:bottom w:val="single" w:sz="8" w:space="0" w:color="000000"/>
              <w:right w:val="single" w:sz="8" w:space="0" w:color="000000"/>
            </w:tcBorders>
          </w:tcPr>
          <w:p w14:paraId="5D434B6D" w14:textId="77777777" w:rsidR="00920B7D" w:rsidRPr="009C1356" w:rsidRDefault="00920B7D" w:rsidP="002D5728">
            <w:pPr>
              <w:pStyle w:val="NormalWeb"/>
              <w:spacing w:before="0" w:beforeAutospacing="0" w:after="0" w:afterAutospacing="0"/>
              <w:jc w:val="center"/>
              <w:rPr>
                <w:b/>
                <w:bCs/>
                <w:color w:val="000000"/>
                <w:sz w:val="20"/>
                <w:szCs w:val="20"/>
              </w:rPr>
            </w:pPr>
          </w:p>
        </w:tc>
        <w:tc>
          <w:tcPr>
            <w:tcW w:w="5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B17CE5" w14:textId="77777777" w:rsidR="00920B7D" w:rsidRPr="009C1356" w:rsidRDefault="00920B7D" w:rsidP="002D5728">
            <w:pPr>
              <w:pStyle w:val="NormalWeb"/>
              <w:spacing w:before="0" w:beforeAutospacing="0" w:after="0" w:afterAutospacing="0"/>
              <w:jc w:val="center"/>
              <w:rPr>
                <w:b/>
                <w:bCs/>
                <w:color w:val="000000"/>
                <w:sz w:val="20"/>
                <w:szCs w:val="20"/>
              </w:rPr>
            </w:pPr>
            <w:r w:rsidRPr="009C1356">
              <w:rPr>
                <w:b/>
                <w:bCs/>
                <w:color w:val="000000"/>
                <w:sz w:val="20"/>
                <w:szCs w:val="20"/>
              </w:rPr>
              <w:t>Expected Deaths With COVID-19 (ED20)</w:t>
            </w:r>
          </w:p>
          <w:p w14:paraId="29115767" w14:textId="77777777" w:rsidR="00920B7D" w:rsidRPr="009C1356" w:rsidRDefault="00920B7D" w:rsidP="002D5728">
            <w:pPr>
              <w:pStyle w:val="NormalWeb"/>
              <w:spacing w:before="0" w:beforeAutospacing="0" w:after="0" w:afterAutospacing="0"/>
              <w:jc w:val="center"/>
              <w:rPr>
                <w:b/>
                <w:bCs/>
                <w:color w:val="000000"/>
                <w:sz w:val="20"/>
                <w:szCs w:val="20"/>
              </w:rPr>
            </w:pPr>
            <w:r w:rsidRPr="009C1356">
              <w:rPr>
                <w:b/>
                <w:bCs/>
                <w:color w:val="000000"/>
                <w:sz w:val="20"/>
                <w:szCs w:val="20"/>
              </w:rPr>
              <w:t>= D20 x MULT20</w:t>
            </w:r>
          </w:p>
        </w:tc>
        <w:tc>
          <w:tcPr>
            <w:tcW w:w="1296" w:type="dxa"/>
            <w:tcBorders>
              <w:top w:val="single" w:sz="8" w:space="0" w:color="000000"/>
              <w:left w:val="single" w:sz="8" w:space="0" w:color="000000"/>
              <w:bottom w:val="single" w:sz="8" w:space="0" w:color="000000"/>
              <w:right w:val="single" w:sz="8" w:space="0" w:color="000000"/>
            </w:tcBorders>
            <w:vAlign w:val="center"/>
          </w:tcPr>
          <w:p w14:paraId="1952C7C9"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17,538</w:t>
            </w:r>
          </w:p>
        </w:tc>
        <w:tc>
          <w:tcPr>
            <w:tcW w:w="1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C73ACC"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84,870</w:t>
            </w:r>
          </w:p>
        </w:tc>
        <w:tc>
          <w:tcPr>
            <w:tcW w:w="1296" w:type="dxa"/>
            <w:tcBorders>
              <w:top w:val="single" w:sz="8" w:space="0" w:color="000000"/>
              <w:left w:val="single" w:sz="8" w:space="0" w:color="000000"/>
              <w:bottom w:val="single" w:sz="8" w:space="0" w:color="000000"/>
              <w:right w:val="single" w:sz="8" w:space="0" w:color="000000"/>
            </w:tcBorders>
            <w:vAlign w:val="center"/>
          </w:tcPr>
          <w:p w14:paraId="5127503E"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109,675</w:t>
            </w:r>
          </w:p>
        </w:tc>
        <w:tc>
          <w:tcPr>
            <w:tcW w:w="1152" w:type="dxa"/>
            <w:tcBorders>
              <w:top w:val="single" w:sz="8" w:space="0" w:color="000000"/>
              <w:left w:val="single" w:sz="8" w:space="0" w:color="000000"/>
              <w:bottom w:val="single" w:sz="8" w:space="0" w:color="000000"/>
              <w:right w:val="single" w:sz="8" w:space="0" w:color="000000"/>
            </w:tcBorders>
            <w:vAlign w:val="center"/>
          </w:tcPr>
          <w:p w14:paraId="6C3E33D6"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10,297</w:t>
            </w:r>
          </w:p>
        </w:tc>
      </w:tr>
      <w:tr w:rsidR="00920B7D" w:rsidRPr="009C1356" w14:paraId="4883F2AF" w14:textId="77777777" w:rsidTr="002D5728">
        <w:trPr>
          <w:trHeight w:val="455"/>
        </w:trPr>
        <w:tc>
          <w:tcPr>
            <w:tcW w:w="583" w:type="dxa"/>
            <w:vMerge w:val="restart"/>
            <w:tcBorders>
              <w:top w:val="single" w:sz="8" w:space="0" w:color="000000"/>
              <w:left w:val="single" w:sz="8" w:space="0" w:color="000000"/>
              <w:right w:val="single" w:sz="8" w:space="0" w:color="000000"/>
            </w:tcBorders>
            <w:vAlign w:val="center"/>
          </w:tcPr>
          <w:p w14:paraId="1DCA6DBC" w14:textId="77777777" w:rsidR="00920B7D" w:rsidRPr="009C1356" w:rsidRDefault="00920B7D" w:rsidP="002D5728">
            <w:pPr>
              <w:pStyle w:val="NormalWeb"/>
              <w:spacing w:before="0" w:beforeAutospacing="0" w:after="0" w:afterAutospacing="0"/>
              <w:jc w:val="center"/>
              <w:rPr>
                <w:b/>
                <w:bCs/>
                <w:color w:val="000000"/>
                <w:sz w:val="20"/>
                <w:szCs w:val="20"/>
              </w:rPr>
            </w:pPr>
            <w:r w:rsidRPr="009C1356">
              <w:rPr>
                <w:b/>
                <w:bCs/>
                <w:color w:val="000000"/>
                <w:sz w:val="20"/>
                <w:szCs w:val="20"/>
              </w:rPr>
              <w:t>2021</w:t>
            </w:r>
          </w:p>
        </w:tc>
        <w:tc>
          <w:tcPr>
            <w:tcW w:w="5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E097DD" w14:textId="77777777" w:rsidR="00920B7D" w:rsidRPr="009C1356" w:rsidRDefault="00920B7D" w:rsidP="002D5728">
            <w:pPr>
              <w:pStyle w:val="NormalWeb"/>
              <w:spacing w:before="0" w:beforeAutospacing="0" w:after="0" w:afterAutospacing="0"/>
              <w:jc w:val="center"/>
              <w:rPr>
                <w:b/>
                <w:bCs/>
                <w:color w:val="000000"/>
                <w:sz w:val="20"/>
                <w:szCs w:val="20"/>
              </w:rPr>
            </w:pPr>
            <w:r w:rsidRPr="009C1356">
              <w:rPr>
                <w:b/>
                <w:bCs/>
                <w:color w:val="000000"/>
                <w:sz w:val="20"/>
                <w:szCs w:val="20"/>
              </w:rPr>
              <w:t>Projected Population (P21)</w:t>
            </w:r>
          </w:p>
        </w:tc>
        <w:tc>
          <w:tcPr>
            <w:tcW w:w="1296" w:type="dxa"/>
            <w:tcBorders>
              <w:top w:val="single" w:sz="8" w:space="0" w:color="000000"/>
              <w:left w:val="single" w:sz="8" w:space="0" w:color="000000"/>
              <w:bottom w:val="single" w:sz="8" w:space="0" w:color="000000"/>
              <w:right w:val="single" w:sz="8" w:space="0" w:color="000000"/>
            </w:tcBorders>
            <w:vAlign w:val="center"/>
          </w:tcPr>
          <w:p w14:paraId="382EFFEF"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18,920,657</w:t>
            </w:r>
          </w:p>
        </w:tc>
        <w:tc>
          <w:tcPr>
            <w:tcW w:w="1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1D3708"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60,041,996</w:t>
            </w:r>
          </w:p>
        </w:tc>
        <w:tc>
          <w:tcPr>
            <w:tcW w:w="1296" w:type="dxa"/>
            <w:tcBorders>
              <w:top w:val="single" w:sz="8" w:space="0" w:color="000000"/>
              <w:left w:val="single" w:sz="8" w:space="0" w:color="000000"/>
              <w:bottom w:val="single" w:sz="8" w:space="0" w:color="000000"/>
              <w:right w:val="single" w:sz="8" w:space="0" w:color="000000"/>
            </w:tcBorders>
            <w:vAlign w:val="center"/>
          </w:tcPr>
          <w:p w14:paraId="41D52B7C"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117,876,226</w:t>
            </w:r>
          </w:p>
        </w:tc>
        <w:tc>
          <w:tcPr>
            <w:tcW w:w="1152" w:type="dxa"/>
            <w:tcBorders>
              <w:top w:val="single" w:sz="8" w:space="0" w:color="000000"/>
              <w:left w:val="single" w:sz="8" w:space="0" w:color="000000"/>
              <w:bottom w:val="single" w:sz="8" w:space="0" w:color="000000"/>
              <w:right w:val="single" w:sz="8" w:space="0" w:color="000000"/>
            </w:tcBorders>
            <w:vAlign w:val="center"/>
          </w:tcPr>
          <w:p w14:paraId="29F21E5F"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13,276,517</w:t>
            </w:r>
          </w:p>
        </w:tc>
      </w:tr>
      <w:tr w:rsidR="00920B7D" w:rsidRPr="009C1356" w14:paraId="40729D1B" w14:textId="77777777" w:rsidTr="002D5728">
        <w:trPr>
          <w:trHeight w:val="455"/>
        </w:trPr>
        <w:tc>
          <w:tcPr>
            <w:tcW w:w="583" w:type="dxa"/>
            <w:vMerge/>
            <w:tcBorders>
              <w:left w:val="single" w:sz="8" w:space="0" w:color="000000"/>
              <w:right w:val="single" w:sz="8" w:space="0" w:color="000000"/>
            </w:tcBorders>
          </w:tcPr>
          <w:p w14:paraId="09020B0E" w14:textId="77777777" w:rsidR="00920B7D" w:rsidRPr="009C1356" w:rsidRDefault="00920B7D" w:rsidP="002D5728">
            <w:pPr>
              <w:pStyle w:val="NormalWeb"/>
              <w:spacing w:before="0" w:beforeAutospacing="0" w:after="0" w:afterAutospacing="0"/>
              <w:jc w:val="center"/>
              <w:rPr>
                <w:b/>
                <w:bCs/>
                <w:color w:val="000000"/>
                <w:sz w:val="20"/>
                <w:szCs w:val="20"/>
              </w:rPr>
            </w:pPr>
          </w:p>
        </w:tc>
        <w:tc>
          <w:tcPr>
            <w:tcW w:w="5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6EC5A5" w14:textId="77777777" w:rsidR="00920B7D" w:rsidRPr="009C1356" w:rsidRDefault="00920B7D" w:rsidP="002D5728">
            <w:pPr>
              <w:pStyle w:val="NormalWeb"/>
              <w:spacing w:before="0" w:beforeAutospacing="0" w:after="0" w:afterAutospacing="0"/>
              <w:jc w:val="center"/>
              <w:rPr>
                <w:b/>
                <w:bCs/>
                <w:color w:val="000000"/>
                <w:sz w:val="20"/>
                <w:szCs w:val="20"/>
              </w:rPr>
            </w:pPr>
            <w:r w:rsidRPr="009C1356">
              <w:rPr>
                <w:b/>
                <w:bCs/>
                <w:color w:val="000000"/>
                <w:sz w:val="20"/>
                <w:szCs w:val="20"/>
              </w:rPr>
              <w:t>Deaths (D21)</w:t>
            </w:r>
          </w:p>
          <w:p w14:paraId="6AA10F33" w14:textId="77777777" w:rsidR="00920B7D" w:rsidRPr="009C1356" w:rsidRDefault="00920B7D" w:rsidP="002D5728">
            <w:pPr>
              <w:pStyle w:val="NormalWeb"/>
              <w:spacing w:before="0" w:beforeAutospacing="0" w:after="0" w:afterAutospacing="0"/>
              <w:jc w:val="center"/>
              <w:rPr>
                <w:b/>
                <w:bCs/>
                <w:color w:val="000000"/>
                <w:sz w:val="20"/>
                <w:szCs w:val="20"/>
              </w:rPr>
            </w:pPr>
            <w:r w:rsidRPr="009C1356">
              <w:rPr>
                <w:b/>
                <w:bCs/>
                <w:color w:val="000000"/>
                <w:sz w:val="20"/>
                <w:szCs w:val="20"/>
              </w:rPr>
              <w:t>= P21 x CMR20</w:t>
            </w:r>
          </w:p>
        </w:tc>
        <w:tc>
          <w:tcPr>
            <w:tcW w:w="1296" w:type="dxa"/>
            <w:tcBorders>
              <w:top w:val="single" w:sz="8" w:space="0" w:color="000000"/>
              <w:left w:val="single" w:sz="8" w:space="0" w:color="000000"/>
              <w:bottom w:val="single" w:sz="8" w:space="0" w:color="000000"/>
              <w:right w:val="single" w:sz="8" w:space="0" w:color="000000"/>
            </w:tcBorders>
            <w:vAlign w:val="center"/>
          </w:tcPr>
          <w:p w14:paraId="3FD10393"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113,524</w:t>
            </w:r>
          </w:p>
        </w:tc>
        <w:tc>
          <w:tcPr>
            <w:tcW w:w="1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82F565"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540,378</w:t>
            </w:r>
          </w:p>
        </w:tc>
        <w:tc>
          <w:tcPr>
            <w:tcW w:w="1296" w:type="dxa"/>
            <w:tcBorders>
              <w:top w:val="single" w:sz="8" w:space="0" w:color="000000"/>
              <w:left w:val="single" w:sz="8" w:space="0" w:color="000000"/>
              <w:bottom w:val="single" w:sz="8" w:space="0" w:color="000000"/>
              <w:right w:val="single" w:sz="8" w:space="0" w:color="000000"/>
            </w:tcBorders>
            <w:vAlign w:val="center"/>
          </w:tcPr>
          <w:p w14:paraId="4B0CF91C"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707,257</w:t>
            </w:r>
          </w:p>
        </w:tc>
        <w:tc>
          <w:tcPr>
            <w:tcW w:w="1152" w:type="dxa"/>
            <w:tcBorders>
              <w:top w:val="single" w:sz="8" w:space="0" w:color="000000"/>
              <w:left w:val="single" w:sz="8" w:space="0" w:color="000000"/>
              <w:bottom w:val="single" w:sz="8" w:space="0" w:color="000000"/>
              <w:right w:val="single" w:sz="8" w:space="0" w:color="000000"/>
            </w:tcBorders>
            <w:vAlign w:val="center"/>
          </w:tcPr>
          <w:p w14:paraId="4BBD83B5"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66,383</w:t>
            </w:r>
          </w:p>
        </w:tc>
      </w:tr>
      <w:tr w:rsidR="00920B7D" w:rsidRPr="009C1356" w14:paraId="192EC009" w14:textId="77777777" w:rsidTr="002D5728">
        <w:trPr>
          <w:trHeight w:val="455"/>
        </w:trPr>
        <w:tc>
          <w:tcPr>
            <w:tcW w:w="583" w:type="dxa"/>
            <w:vMerge/>
            <w:tcBorders>
              <w:left w:val="single" w:sz="8" w:space="0" w:color="000000"/>
              <w:right w:val="single" w:sz="8" w:space="0" w:color="000000"/>
            </w:tcBorders>
          </w:tcPr>
          <w:p w14:paraId="0801F34C" w14:textId="77777777" w:rsidR="00920B7D" w:rsidRPr="009C1356" w:rsidRDefault="00920B7D" w:rsidP="002D5728">
            <w:pPr>
              <w:pStyle w:val="NormalWeb"/>
              <w:spacing w:before="0" w:beforeAutospacing="0" w:after="0" w:afterAutospacing="0"/>
              <w:jc w:val="center"/>
              <w:rPr>
                <w:b/>
                <w:bCs/>
                <w:color w:val="000000"/>
                <w:sz w:val="20"/>
                <w:szCs w:val="20"/>
              </w:rPr>
            </w:pPr>
          </w:p>
        </w:tc>
        <w:tc>
          <w:tcPr>
            <w:tcW w:w="5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DF5FF5" w14:textId="77777777" w:rsidR="00920B7D" w:rsidRPr="009C1356" w:rsidRDefault="00920B7D" w:rsidP="002D5728">
            <w:pPr>
              <w:pStyle w:val="NormalWeb"/>
              <w:spacing w:before="0" w:beforeAutospacing="0" w:after="0" w:afterAutospacing="0"/>
              <w:jc w:val="center"/>
              <w:rPr>
                <w:b/>
                <w:bCs/>
                <w:color w:val="000000"/>
                <w:sz w:val="20"/>
                <w:szCs w:val="20"/>
              </w:rPr>
            </w:pPr>
            <w:r w:rsidRPr="009C1356">
              <w:rPr>
                <w:b/>
                <w:bCs/>
                <w:color w:val="000000"/>
                <w:sz w:val="20"/>
                <w:szCs w:val="20"/>
              </w:rPr>
              <w:t>Zambia-Based Multiplier, Gill et al. (MULT21)</w:t>
            </w:r>
          </w:p>
        </w:tc>
        <w:tc>
          <w:tcPr>
            <w:tcW w:w="1296" w:type="dxa"/>
            <w:tcBorders>
              <w:top w:val="single" w:sz="8" w:space="0" w:color="000000"/>
              <w:left w:val="single" w:sz="8" w:space="0" w:color="000000"/>
              <w:bottom w:val="single" w:sz="8" w:space="0" w:color="000000"/>
              <w:right w:val="single" w:sz="8" w:space="0" w:color="000000"/>
            </w:tcBorders>
            <w:vAlign w:val="center"/>
          </w:tcPr>
          <w:p w14:paraId="0D71206F"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0.32</w:t>
            </w:r>
          </w:p>
        </w:tc>
        <w:tc>
          <w:tcPr>
            <w:tcW w:w="1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F6016A"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0.32</w:t>
            </w:r>
          </w:p>
        </w:tc>
        <w:tc>
          <w:tcPr>
            <w:tcW w:w="1296" w:type="dxa"/>
            <w:tcBorders>
              <w:top w:val="single" w:sz="8" w:space="0" w:color="000000"/>
              <w:left w:val="single" w:sz="8" w:space="0" w:color="000000"/>
              <w:bottom w:val="single" w:sz="8" w:space="0" w:color="000000"/>
              <w:right w:val="single" w:sz="8" w:space="0" w:color="000000"/>
            </w:tcBorders>
            <w:vAlign w:val="center"/>
          </w:tcPr>
          <w:p w14:paraId="43A11719"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0.32</w:t>
            </w:r>
          </w:p>
        </w:tc>
        <w:tc>
          <w:tcPr>
            <w:tcW w:w="1152" w:type="dxa"/>
            <w:tcBorders>
              <w:top w:val="single" w:sz="8" w:space="0" w:color="000000"/>
              <w:left w:val="single" w:sz="8" w:space="0" w:color="000000"/>
              <w:bottom w:val="single" w:sz="8" w:space="0" w:color="000000"/>
              <w:right w:val="single" w:sz="8" w:space="0" w:color="000000"/>
            </w:tcBorders>
            <w:vAlign w:val="center"/>
          </w:tcPr>
          <w:p w14:paraId="160000E3"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0.32</w:t>
            </w:r>
          </w:p>
        </w:tc>
      </w:tr>
      <w:tr w:rsidR="00920B7D" w:rsidRPr="009C1356" w14:paraId="1899BD29" w14:textId="77777777" w:rsidTr="002D5728">
        <w:trPr>
          <w:trHeight w:val="455"/>
        </w:trPr>
        <w:tc>
          <w:tcPr>
            <w:tcW w:w="583" w:type="dxa"/>
            <w:vMerge/>
            <w:tcBorders>
              <w:left w:val="single" w:sz="8" w:space="0" w:color="000000"/>
              <w:right w:val="single" w:sz="8" w:space="0" w:color="000000"/>
            </w:tcBorders>
          </w:tcPr>
          <w:p w14:paraId="3189DC42" w14:textId="77777777" w:rsidR="00920B7D" w:rsidRPr="009C1356" w:rsidRDefault="00920B7D" w:rsidP="002D5728">
            <w:pPr>
              <w:pStyle w:val="NormalWeb"/>
              <w:spacing w:before="0" w:beforeAutospacing="0" w:after="0" w:afterAutospacing="0"/>
              <w:jc w:val="center"/>
              <w:rPr>
                <w:b/>
                <w:bCs/>
                <w:color w:val="000000"/>
                <w:sz w:val="20"/>
                <w:szCs w:val="20"/>
              </w:rPr>
            </w:pPr>
          </w:p>
        </w:tc>
        <w:tc>
          <w:tcPr>
            <w:tcW w:w="5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D3924B" w14:textId="77777777" w:rsidR="00920B7D" w:rsidRPr="009C1356" w:rsidRDefault="00920B7D" w:rsidP="002D5728">
            <w:pPr>
              <w:pStyle w:val="NormalWeb"/>
              <w:spacing w:before="0" w:beforeAutospacing="0" w:after="0" w:afterAutospacing="0"/>
              <w:jc w:val="center"/>
              <w:rPr>
                <w:b/>
                <w:bCs/>
                <w:color w:val="000000"/>
                <w:sz w:val="20"/>
                <w:szCs w:val="20"/>
              </w:rPr>
            </w:pPr>
            <w:r w:rsidRPr="009C1356">
              <w:rPr>
                <w:b/>
                <w:bCs/>
                <w:color w:val="000000"/>
                <w:sz w:val="20"/>
                <w:szCs w:val="20"/>
              </w:rPr>
              <w:t>Expected Deaths With COVID-19 (ED21)</w:t>
            </w:r>
          </w:p>
          <w:p w14:paraId="1F9FF135" w14:textId="77777777" w:rsidR="00920B7D" w:rsidRPr="009C1356" w:rsidRDefault="00920B7D" w:rsidP="002D5728">
            <w:pPr>
              <w:pStyle w:val="NormalWeb"/>
              <w:spacing w:before="0" w:beforeAutospacing="0" w:after="0" w:afterAutospacing="0"/>
              <w:jc w:val="center"/>
              <w:rPr>
                <w:b/>
                <w:bCs/>
                <w:color w:val="000000"/>
                <w:sz w:val="20"/>
                <w:szCs w:val="20"/>
              </w:rPr>
            </w:pPr>
            <w:r w:rsidRPr="009C1356">
              <w:rPr>
                <w:b/>
                <w:bCs/>
                <w:color w:val="000000"/>
                <w:sz w:val="20"/>
                <w:szCs w:val="20"/>
              </w:rPr>
              <w:t>= D2021 x MULT21</w:t>
            </w:r>
          </w:p>
        </w:tc>
        <w:tc>
          <w:tcPr>
            <w:tcW w:w="1296" w:type="dxa"/>
            <w:tcBorders>
              <w:top w:val="single" w:sz="8" w:space="0" w:color="000000"/>
              <w:left w:val="single" w:sz="8" w:space="0" w:color="000000"/>
              <w:bottom w:val="single" w:sz="8" w:space="0" w:color="000000"/>
              <w:right w:val="single" w:sz="8" w:space="0" w:color="000000"/>
            </w:tcBorders>
            <w:vAlign w:val="center"/>
          </w:tcPr>
          <w:p w14:paraId="55F54D4D"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36,328</w:t>
            </w:r>
          </w:p>
        </w:tc>
        <w:tc>
          <w:tcPr>
            <w:tcW w:w="1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A37504"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172,921</w:t>
            </w:r>
          </w:p>
        </w:tc>
        <w:tc>
          <w:tcPr>
            <w:tcW w:w="1296" w:type="dxa"/>
            <w:tcBorders>
              <w:top w:val="single" w:sz="8" w:space="0" w:color="000000"/>
              <w:left w:val="single" w:sz="8" w:space="0" w:color="000000"/>
              <w:bottom w:val="single" w:sz="8" w:space="0" w:color="000000"/>
              <w:right w:val="single" w:sz="8" w:space="0" w:color="000000"/>
            </w:tcBorders>
            <w:vAlign w:val="center"/>
          </w:tcPr>
          <w:p w14:paraId="1FCCDF77"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226,322</w:t>
            </w:r>
          </w:p>
        </w:tc>
        <w:tc>
          <w:tcPr>
            <w:tcW w:w="1152" w:type="dxa"/>
            <w:tcBorders>
              <w:top w:val="single" w:sz="8" w:space="0" w:color="000000"/>
              <w:left w:val="single" w:sz="8" w:space="0" w:color="000000"/>
              <w:bottom w:val="single" w:sz="8" w:space="0" w:color="000000"/>
              <w:right w:val="single" w:sz="8" w:space="0" w:color="000000"/>
            </w:tcBorders>
            <w:vAlign w:val="center"/>
          </w:tcPr>
          <w:p w14:paraId="11A596E0"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21,242</w:t>
            </w:r>
          </w:p>
        </w:tc>
      </w:tr>
      <w:tr w:rsidR="00920B7D" w:rsidRPr="009C1356" w14:paraId="60071922" w14:textId="77777777" w:rsidTr="002D5728">
        <w:trPr>
          <w:trHeight w:val="455"/>
        </w:trPr>
        <w:tc>
          <w:tcPr>
            <w:tcW w:w="583" w:type="dxa"/>
            <w:vMerge/>
            <w:tcBorders>
              <w:left w:val="single" w:sz="8" w:space="0" w:color="000000"/>
              <w:right w:val="single" w:sz="8" w:space="0" w:color="000000"/>
            </w:tcBorders>
          </w:tcPr>
          <w:p w14:paraId="5CFA80B2" w14:textId="77777777" w:rsidR="00920B7D" w:rsidRPr="009C1356" w:rsidRDefault="00920B7D" w:rsidP="002D5728">
            <w:pPr>
              <w:pStyle w:val="NormalWeb"/>
              <w:spacing w:before="0" w:beforeAutospacing="0" w:after="0" w:afterAutospacing="0"/>
              <w:jc w:val="center"/>
              <w:rPr>
                <w:b/>
                <w:bCs/>
                <w:color w:val="000000"/>
                <w:sz w:val="20"/>
                <w:szCs w:val="20"/>
              </w:rPr>
            </w:pPr>
          </w:p>
        </w:tc>
        <w:tc>
          <w:tcPr>
            <w:tcW w:w="5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280C5A" w14:textId="77777777" w:rsidR="00920B7D" w:rsidRPr="009C1356" w:rsidRDefault="00920B7D" w:rsidP="002D5728">
            <w:pPr>
              <w:pStyle w:val="NormalWeb"/>
              <w:spacing w:before="0" w:beforeAutospacing="0" w:after="0" w:afterAutospacing="0"/>
              <w:jc w:val="center"/>
              <w:rPr>
                <w:b/>
                <w:bCs/>
                <w:color w:val="000000"/>
                <w:sz w:val="20"/>
                <w:szCs w:val="20"/>
              </w:rPr>
            </w:pPr>
            <w:r w:rsidRPr="009C1356">
              <w:rPr>
                <w:b/>
                <w:bCs/>
                <w:color w:val="000000"/>
                <w:sz w:val="20"/>
                <w:szCs w:val="20"/>
              </w:rPr>
              <w:t>April ’20 IFR, Sorensen et al.</w:t>
            </w:r>
          </w:p>
        </w:tc>
        <w:tc>
          <w:tcPr>
            <w:tcW w:w="1296" w:type="dxa"/>
            <w:tcBorders>
              <w:top w:val="single" w:sz="8" w:space="0" w:color="000000"/>
              <w:left w:val="single" w:sz="8" w:space="0" w:color="000000"/>
              <w:bottom w:val="single" w:sz="8" w:space="0" w:color="000000"/>
              <w:right w:val="single" w:sz="8" w:space="0" w:color="000000"/>
            </w:tcBorders>
            <w:vAlign w:val="center"/>
          </w:tcPr>
          <w:p w14:paraId="486E8A73"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0.14%</w:t>
            </w:r>
          </w:p>
        </w:tc>
        <w:tc>
          <w:tcPr>
            <w:tcW w:w="1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C228A1"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0.51%</w:t>
            </w:r>
          </w:p>
        </w:tc>
        <w:tc>
          <w:tcPr>
            <w:tcW w:w="1296" w:type="dxa"/>
            <w:tcBorders>
              <w:top w:val="single" w:sz="8" w:space="0" w:color="000000"/>
              <w:left w:val="single" w:sz="8" w:space="0" w:color="000000"/>
              <w:bottom w:val="single" w:sz="8" w:space="0" w:color="000000"/>
              <w:right w:val="single" w:sz="8" w:space="0" w:color="000000"/>
            </w:tcBorders>
            <w:vAlign w:val="center"/>
          </w:tcPr>
          <w:p w14:paraId="5A9D93EF"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0.15%</w:t>
            </w:r>
          </w:p>
        </w:tc>
        <w:tc>
          <w:tcPr>
            <w:tcW w:w="1152" w:type="dxa"/>
            <w:tcBorders>
              <w:top w:val="single" w:sz="8" w:space="0" w:color="000000"/>
              <w:left w:val="single" w:sz="8" w:space="0" w:color="000000"/>
              <w:bottom w:val="single" w:sz="8" w:space="0" w:color="000000"/>
              <w:right w:val="single" w:sz="8" w:space="0" w:color="000000"/>
            </w:tcBorders>
            <w:vAlign w:val="center"/>
          </w:tcPr>
          <w:p w14:paraId="6A4123CB"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0.18%</w:t>
            </w:r>
          </w:p>
        </w:tc>
      </w:tr>
      <w:tr w:rsidR="00920B7D" w:rsidRPr="009C1356" w14:paraId="73F62FBB" w14:textId="77777777" w:rsidTr="002D5728">
        <w:trPr>
          <w:trHeight w:val="455"/>
        </w:trPr>
        <w:tc>
          <w:tcPr>
            <w:tcW w:w="583" w:type="dxa"/>
            <w:vMerge/>
            <w:tcBorders>
              <w:left w:val="single" w:sz="8" w:space="0" w:color="000000"/>
              <w:right w:val="single" w:sz="8" w:space="0" w:color="000000"/>
            </w:tcBorders>
          </w:tcPr>
          <w:p w14:paraId="0B5C06E5" w14:textId="77777777" w:rsidR="00920B7D" w:rsidRPr="009C1356" w:rsidRDefault="00920B7D" w:rsidP="002D5728">
            <w:pPr>
              <w:pStyle w:val="NormalWeb"/>
              <w:spacing w:before="0" w:beforeAutospacing="0" w:after="0" w:afterAutospacing="0"/>
              <w:jc w:val="center"/>
              <w:rPr>
                <w:b/>
                <w:bCs/>
                <w:color w:val="000000"/>
                <w:sz w:val="20"/>
                <w:szCs w:val="20"/>
              </w:rPr>
            </w:pPr>
          </w:p>
        </w:tc>
        <w:tc>
          <w:tcPr>
            <w:tcW w:w="5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8134FD" w14:textId="77777777" w:rsidR="00920B7D" w:rsidRPr="009C1356" w:rsidRDefault="00920B7D" w:rsidP="002D5728">
            <w:pPr>
              <w:pStyle w:val="NormalWeb"/>
              <w:spacing w:before="0" w:beforeAutospacing="0" w:after="0" w:afterAutospacing="0"/>
              <w:jc w:val="center"/>
              <w:rPr>
                <w:b/>
                <w:bCs/>
                <w:color w:val="000000"/>
                <w:sz w:val="20"/>
                <w:szCs w:val="20"/>
              </w:rPr>
            </w:pPr>
            <w:r w:rsidRPr="009C1356">
              <w:rPr>
                <w:b/>
                <w:bCs/>
                <w:color w:val="000000"/>
                <w:sz w:val="20"/>
                <w:szCs w:val="20"/>
              </w:rPr>
              <w:t>Expected COVID-19 Infections Through 2021 (EC21)</w:t>
            </w:r>
          </w:p>
          <w:p w14:paraId="4BDAB7C9" w14:textId="77777777" w:rsidR="00920B7D" w:rsidRPr="009C1356" w:rsidRDefault="00920B7D" w:rsidP="002D5728">
            <w:pPr>
              <w:pStyle w:val="NormalWeb"/>
              <w:spacing w:before="0" w:beforeAutospacing="0" w:after="0" w:afterAutospacing="0"/>
              <w:jc w:val="center"/>
              <w:rPr>
                <w:b/>
                <w:bCs/>
                <w:color w:val="000000"/>
                <w:sz w:val="20"/>
                <w:szCs w:val="20"/>
              </w:rPr>
            </w:pPr>
            <w:r w:rsidRPr="009C1356">
              <w:rPr>
                <w:b/>
                <w:bCs/>
                <w:color w:val="000000"/>
                <w:sz w:val="20"/>
                <w:szCs w:val="20"/>
              </w:rPr>
              <w:t>= ED21 / April ’20 IFR</w:t>
            </w:r>
          </w:p>
        </w:tc>
        <w:tc>
          <w:tcPr>
            <w:tcW w:w="1296" w:type="dxa"/>
            <w:tcBorders>
              <w:top w:val="single" w:sz="8" w:space="0" w:color="000000"/>
              <w:left w:val="single" w:sz="8" w:space="0" w:color="000000"/>
              <w:bottom w:val="single" w:sz="8" w:space="0" w:color="000000"/>
              <w:right w:val="single" w:sz="8" w:space="0" w:color="000000"/>
            </w:tcBorders>
            <w:vAlign w:val="center"/>
          </w:tcPr>
          <w:p w14:paraId="20C966C0"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25,582,860</w:t>
            </w:r>
          </w:p>
        </w:tc>
        <w:tc>
          <w:tcPr>
            <w:tcW w:w="1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778739"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33,839,716</w:t>
            </w:r>
          </w:p>
        </w:tc>
        <w:tc>
          <w:tcPr>
            <w:tcW w:w="1296" w:type="dxa"/>
            <w:tcBorders>
              <w:top w:val="single" w:sz="8" w:space="0" w:color="000000"/>
              <w:left w:val="single" w:sz="8" w:space="0" w:color="000000"/>
              <w:bottom w:val="single" w:sz="8" w:space="0" w:color="000000"/>
              <w:right w:val="single" w:sz="8" w:space="0" w:color="000000"/>
            </w:tcBorders>
            <w:vAlign w:val="center"/>
          </w:tcPr>
          <w:p w14:paraId="298B8DBE"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152,920,509</w:t>
            </w:r>
          </w:p>
        </w:tc>
        <w:tc>
          <w:tcPr>
            <w:tcW w:w="1152" w:type="dxa"/>
            <w:tcBorders>
              <w:top w:val="single" w:sz="8" w:space="0" w:color="000000"/>
              <w:left w:val="single" w:sz="8" w:space="0" w:color="000000"/>
              <w:bottom w:val="single" w:sz="8" w:space="0" w:color="000000"/>
              <w:right w:val="single" w:sz="8" w:space="0" w:color="000000"/>
            </w:tcBorders>
            <w:vAlign w:val="center"/>
          </w:tcPr>
          <w:p w14:paraId="69C98B69"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11,933,948</w:t>
            </w:r>
          </w:p>
        </w:tc>
      </w:tr>
      <w:tr w:rsidR="00920B7D" w:rsidRPr="009C1356" w14:paraId="4F017BA0" w14:textId="77777777" w:rsidTr="002D5728">
        <w:trPr>
          <w:trHeight w:val="455"/>
        </w:trPr>
        <w:tc>
          <w:tcPr>
            <w:tcW w:w="583" w:type="dxa"/>
            <w:vMerge/>
            <w:tcBorders>
              <w:left w:val="single" w:sz="8" w:space="0" w:color="000000"/>
              <w:right w:val="single" w:sz="8" w:space="0" w:color="000000"/>
            </w:tcBorders>
          </w:tcPr>
          <w:p w14:paraId="46920B0D" w14:textId="77777777" w:rsidR="00920B7D" w:rsidRPr="009C1356" w:rsidRDefault="00920B7D" w:rsidP="002D5728">
            <w:pPr>
              <w:pStyle w:val="NormalWeb"/>
              <w:spacing w:before="0" w:beforeAutospacing="0" w:after="0" w:afterAutospacing="0"/>
              <w:jc w:val="center"/>
              <w:rPr>
                <w:b/>
                <w:bCs/>
                <w:color w:val="000000"/>
                <w:sz w:val="20"/>
                <w:szCs w:val="20"/>
              </w:rPr>
            </w:pPr>
          </w:p>
        </w:tc>
        <w:tc>
          <w:tcPr>
            <w:tcW w:w="5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BEBDC6" w14:textId="77777777" w:rsidR="00920B7D" w:rsidRPr="009C1356" w:rsidRDefault="00920B7D" w:rsidP="002D5728">
            <w:pPr>
              <w:pStyle w:val="NormalWeb"/>
              <w:spacing w:before="0" w:beforeAutospacing="0" w:after="0" w:afterAutospacing="0"/>
              <w:jc w:val="center"/>
              <w:rPr>
                <w:b/>
                <w:bCs/>
                <w:color w:val="000000"/>
                <w:sz w:val="20"/>
                <w:szCs w:val="20"/>
              </w:rPr>
            </w:pPr>
            <w:r w:rsidRPr="009C1356">
              <w:rPr>
                <w:b/>
                <w:bCs/>
                <w:color w:val="000000"/>
                <w:sz w:val="20"/>
                <w:szCs w:val="20"/>
              </w:rPr>
              <w:t>Adjusted Population</w:t>
            </w:r>
          </w:p>
          <w:p w14:paraId="0F833CC9" w14:textId="77777777" w:rsidR="00920B7D" w:rsidRPr="009C1356" w:rsidRDefault="00920B7D" w:rsidP="002D5728">
            <w:pPr>
              <w:pStyle w:val="NormalWeb"/>
              <w:spacing w:before="0" w:beforeAutospacing="0" w:after="0" w:afterAutospacing="0"/>
              <w:jc w:val="center"/>
              <w:rPr>
                <w:b/>
                <w:bCs/>
                <w:color w:val="000000"/>
                <w:sz w:val="20"/>
                <w:szCs w:val="20"/>
              </w:rPr>
            </w:pPr>
            <w:r w:rsidRPr="009C1356">
              <w:rPr>
                <w:b/>
                <w:bCs/>
                <w:color w:val="000000"/>
                <w:sz w:val="20"/>
                <w:szCs w:val="20"/>
              </w:rPr>
              <w:t>= Projected Population – D20</w:t>
            </w:r>
          </w:p>
        </w:tc>
        <w:tc>
          <w:tcPr>
            <w:tcW w:w="1296" w:type="dxa"/>
            <w:tcBorders>
              <w:top w:val="single" w:sz="8" w:space="0" w:color="000000"/>
              <w:left w:val="single" w:sz="8" w:space="0" w:color="000000"/>
              <w:bottom w:val="single" w:sz="8" w:space="0" w:color="000000"/>
              <w:right w:val="single" w:sz="8" w:space="0" w:color="000000"/>
            </w:tcBorders>
            <w:vAlign w:val="center"/>
          </w:tcPr>
          <w:p w14:paraId="38BF9534"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18,903,119</w:t>
            </w:r>
          </w:p>
        </w:tc>
        <w:tc>
          <w:tcPr>
            <w:tcW w:w="1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CBCFD9"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59,957,125</w:t>
            </w:r>
          </w:p>
        </w:tc>
        <w:tc>
          <w:tcPr>
            <w:tcW w:w="1296" w:type="dxa"/>
            <w:tcBorders>
              <w:top w:val="single" w:sz="8" w:space="0" w:color="000000"/>
              <w:left w:val="single" w:sz="8" w:space="0" w:color="000000"/>
              <w:bottom w:val="single" w:sz="8" w:space="0" w:color="000000"/>
              <w:right w:val="single" w:sz="8" w:space="0" w:color="000000"/>
            </w:tcBorders>
            <w:vAlign w:val="center"/>
          </w:tcPr>
          <w:p w14:paraId="2DF17726"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117,766,551</w:t>
            </w:r>
          </w:p>
        </w:tc>
        <w:tc>
          <w:tcPr>
            <w:tcW w:w="1152" w:type="dxa"/>
            <w:tcBorders>
              <w:top w:val="single" w:sz="8" w:space="0" w:color="000000"/>
              <w:left w:val="single" w:sz="8" w:space="0" w:color="000000"/>
              <w:bottom w:val="single" w:sz="8" w:space="0" w:color="000000"/>
              <w:right w:val="single" w:sz="8" w:space="0" w:color="000000"/>
            </w:tcBorders>
            <w:vAlign w:val="center"/>
          </w:tcPr>
          <w:p w14:paraId="2374B2F1"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13,266,220</w:t>
            </w:r>
          </w:p>
        </w:tc>
      </w:tr>
      <w:tr w:rsidR="00920B7D" w:rsidRPr="009C1356" w14:paraId="1BAA0E25" w14:textId="77777777" w:rsidTr="002D5728">
        <w:trPr>
          <w:trHeight w:val="455"/>
        </w:trPr>
        <w:tc>
          <w:tcPr>
            <w:tcW w:w="583" w:type="dxa"/>
            <w:vMerge/>
            <w:tcBorders>
              <w:left w:val="single" w:sz="8" w:space="0" w:color="000000"/>
              <w:right w:val="single" w:sz="8" w:space="0" w:color="000000"/>
            </w:tcBorders>
          </w:tcPr>
          <w:p w14:paraId="06F08C2F" w14:textId="77777777" w:rsidR="00920B7D" w:rsidRPr="009C1356" w:rsidRDefault="00920B7D" w:rsidP="002D5728">
            <w:pPr>
              <w:pStyle w:val="NormalWeb"/>
              <w:spacing w:before="0" w:beforeAutospacing="0" w:after="0" w:afterAutospacing="0"/>
              <w:jc w:val="center"/>
              <w:rPr>
                <w:b/>
                <w:bCs/>
                <w:color w:val="000000"/>
                <w:sz w:val="20"/>
                <w:szCs w:val="20"/>
              </w:rPr>
            </w:pPr>
          </w:p>
        </w:tc>
        <w:tc>
          <w:tcPr>
            <w:tcW w:w="5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3E9F7F" w14:textId="77777777" w:rsidR="00920B7D" w:rsidRPr="009C1356" w:rsidRDefault="00920B7D" w:rsidP="002D5728">
            <w:pPr>
              <w:pStyle w:val="NormalWeb"/>
              <w:spacing w:before="0" w:beforeAutospacing="0" w:after="0" w:afterAutospacing="0"/>
              <w:jc w:val="center"/>
              <w:rPr>
                <w:b/>
                <w:bCs/>
                <w:color w:val="000000"/>
                <w:sz w:val="20"/>
                <w:szCs w:val="20"/>
              </w:rPr>
            </w:pPr>
            <w:r w:rsidRPr="009C1356">
              <w:rPr>
                <w:b/>
                <w:bCs/>
                <w:color w:val="000000"/>
                <w:sz w:val="20"/>
                <w:szCs w:val="20"/>
              </w:rPr>
              <w:t>Adjusted Expected COVID-19 Infections Through 2021 (AEC21)</w:t>
            </w:r>
          </w:p>
          <w:p w14:paraId="5E799C5C" w14:textId="77777777" w:rsidR="00920B7D" w:rsidRPr="009C1356" w:rsidRDefault="00920B7D" w:rsidP="002D5728">
            <w:pPr>
              <w:pStyle w:val="NormalWeb"/>
              <w:spacing w:before="0" w:beforeAutospacing="0" w:after="0" w:afterAutospacing="0"/>
              <w:jc w:val="center"/>
              <w:rPr>
                <w:b/>
                <w:bCs/>
                <w:color w:val="000000"/>
                <w:sz w:val="20"/>
                <w:szCs w:val="20"/>
              </w:rPr>
            </w:pPr>
            <w:r w:rsidRPr="009C1356">
              <w:rPr>
                <w:b/>
                <w:bCs/>
                <w:color w:val="000000"/>
                <w:sz w:val="20"/>
                <w:szCs w:val="20"/>
              </w:rPr>
              <w:t>= ED21 / April ’20 IFR</w:t>
            </w:r>
          </w:p>
        </w:tc>
        <w:tc>
          <w:tcPr>
            <w:tcW w:w="1296" w:type="dxa"/>
            <w:tcBorders>
              <w:top w:val="single" w:sz="8" w:space="0" w:color="000000"/>
              <w:left w:val="single" w:sz="8" w:space="0" w:color="000000"/>
              <w:bottom w:val="single" w:sz="8" w:space="0" w:color="000000"/>
              <w:right w:val="single" w:sz="8" w:space="0" w:color="000000"/>
            </w:tcBorders>
            <w:vAlign w:val="center"/>
          </w:tcPr>
          <w:p w14:paraId="7A704B5D"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25,559,146</w:t>
            </w:r>
          </w:p>
        </w:tc>
        <w:tc>
          <w:tcPr>
            <w:tcW w:w="1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0815BD"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33,791,883</w:t>
            </w:r>
          </w:p>
        </w:tc>
        <w:tc>
          <w:tcPr>
            <w:tcW w:w="1296" w:type="dxa"/>
            <w:tcBorders>
              <w:top w:val="single" w:sz="8" w:space="0" w:color="000000"/>
              <w:left w:val="single" w:sz="8" w:space="0" w:color="000000"/>
              <w:bottom w:val="single" w:sz="8" w:space="0" w:color="000000"/>
              <w:right w:val="single" w:sz="8" w:space="0" w:color="000000"/>
            </w:tcBorders>
            <w:vAlign w:val="center"/>
          </w:tcPr>
          <w:p w14:paraId="6E36BD50"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152,778,228</w:t>
            </w:r>
          </w:p>
        </w:tc>
        <w:tc>
          <w:tcPr>
            <w:tcW w:w="1152" w:type="dxa"/>
            <w:tcBorders>
              <w:top w:val="single" w:sz="8" w:space="0" w:color="000000"/>
              <w:left w:val="single" w:sz="8" w:space="0" w:color="000000"/>
              <w:bottom w:val="single" w:sz="8" w:space="0" w:color="000000"/>
              <w:right w:val="single" w:sz="8" w:space="0" w:color="000000"/>
            </w:tcBorders>
            <w:vAlign w:val="center"/>
          </w:tcPr>
          <w:p w14:paraId="4509951B"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11,924,692</w:t>
            </w:r>
          </w:p>
        </w:tc>
      </w:tr>
      <w:tr w:rsidR="00920B7D" w:rsidRPr="009C1356" w14:paraId="14219A64" w14:textId="77777777" w:rsidTr="002D5728">
        <w:trPr>
          <w:trHeight w:val="455"/>
        </w:trPr>
        <w:tc>
          <w:tcPr>
            <w:tcW w:w="583" w:type="dxa"/>
            <w:vMerge/>
            <w:tcBorders>
              <w:left w:val="single" w:sz="8" w:space="0" w:color="000000"/>
              <w:bottom w:val="single" w:sz="8" w:space="0" w:color="000000"/>
              <w:right w:val="single" w:sz="8" w:space="0" w:color="000000"/>
            </w:tcBorders>
          </w:tcPr>
          <w:p w14:paraId="65ED530B" w14:textId="77777777" w:rsidR="00920B7D" w:rsidRPr="009C1356" w:rsidRDefault="00920B7D" w:rsidP="002D5728">
            <w:pPr>
              <w:pStyle w:val="NormalWeb"/>
              <w:spacing w:before="0" w:beforeAutospacing="0" w:after="0" w:afterAutospacing="0"/>
              <w:jc w:val="center"/>
              <w:rPr>
                <w:b/>
                <w:bCs/>
                <w:color w:val="000000"/>
                <w:sz w:val="20"/>
                <w:szCs w:val="20"/>
              </w:rPr>
            </w:pPr>
          </w:p>
        </w:tc>
        <w:tc>
          <w:tcPr>
            <w:tcW w:w="5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97B046" w14:textId="77777777" w:rsidR="00920B7D" w:rsidRPr="009C1356" w:rsidRDefault="00920B7D" w:rsidP="002D5728">
            <w:pPr>
              <w:pStyle w:val="NormalWeb"/>
              <w:spacing w:before="0" w:beforeAutospacing="0" w:after="0" w:afterAutospacing="0"/>
              <w:jc w:val="center"/>
              <w:rPr>
                <w:b/>
                <w:bCs/>
                <w:color w:val="000000"/>
                <w:sz w:val="20"/>
                <w:szCs w:val="20"/>
              </w:rPr>
            </w:pPr>
            <w:r w:rsidRPr="009C1356">
              <w:rPr>
                <w:b/>
                <w:bCs/>
                <w:color w:val="000000"/>
                <w:sz w:val="20"/>
                <w:szCs w:val="20"/>
              </w:rPr>
              <w:t>% Difference</w:t>
            </w:r>
          </w:p>
          <w:p w14:paraId="4252611F" w14:textId="77777777" w:rsidR="00920B7D" w:rsidRPr="009C1356" w:rsidRDefault="00920B7D" w:rsidP="002D5728">
            <w:pPr>
              <w:pStyle w:val="NormalWeb"/>
              <w:spacing w:before="0" w:beforeAutospacing="0" w:after="0" w:afterAutospacing="0"/>
              <w:jc w:val="center"/>
              <w:rPr>
                <w:b/>
                <w:bCs/>
                <w:color w:val="000000"/>
                <w:sz w:val="20"/>
                <w:szCs w:val="20"/>
              </w:rPr>
            </w:pPr>
            <w:r w:rsidRPr="009C1356">
              <w:rPr>
                <w:b/>
                <w:bCs/>
                <w:color w:val="000000"/>
                <w:sz w:val="20"/>
                <w:szCs w:val="20"/>
              </w:rPr>
              <w:t>= (AEC21 – EC21) / EC21</w:t>
            </w:r>
          </w:p>
        </w:tc>
        <w:tc>
          <w:tcPr>
            <w:tcW w:w="1296" w:type="dxa"/>
            <w:tcBorders>
              <w:top w:val="single" w:sz="8" w:space="0" w:color="000000"/>
              <w:left w:val="single" w:sz="8" w:space="0" w:color="000000"/>
              <w:bottom w:val="single" w:sz="8" w:space="0" w:color="000000"/>
              <w:right w:val="single" w:sz="8" w:space="0" w:color="000000"/>
            </w:tcBorders>
            <w:vAlign w:val="center"/>
          </w:tcPr>
          <w:p w14:paraId="6D64A71E"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-0.09%</w:t>
            </w:r>
          </w:p>
        </w:tc>
        <w:tc>
          <w:tcPr>
            <w:tcW w:w="18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6C2754"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0.14%</w:t>
            </w:r>
          </w:p>
        </w:tc>
        <w:tc>
          <w:tcPr>
            <w:tcW w:w="1296" w:type="dxa"/>
            <w:tcBorders>
              <w:top w:val="single" w:sz="8" w:space="0" w:color="000000"/>
              <w:left w:val="single" w:sz="8" w:space="0" w:color="000000"/>
              <w:bottom w:val="single" w:sz="8" w:space="0" w:color="000000"/>
              <w:right w:val="single" w:sz="8" w:space="0" w:color="000000"/>
            </w:tcBorders>
            <w:vAlign w:val="center"/>
          </w:tcPr>
          <w:p w14:paraId="552D9E0D"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-0.09%</w:t>
            </w:r>
          </w:p>
        </w:tc>
        <w:tc>
          <w:tcPr>
            <w:tcW w:w="1152" w:type="dxa"/>
            <w:tcBorders>
              <w:top w:val="single" w:sz="8" w:space="0" w:color="000000"/>
              <w:left w:val="single" w:sz="8" w:space="0" w:color="000000"/>
              <w:bottom w:val="single" w:sz="8" w:space="0" w:color="000000"/>
              <w:right w:val="single" w:sz="8" w:space="0" w:color="000000"/>
            </w:tcBorders>
            <w:vAlign w:val="center"/>
          </w:tcPr>
          <w:p w14:paraId="52153F13" w14:textId="77777777" w:rsidR="00920B7D" w:rsidRPr="009C1356" w:rsidRDefault="00920B7D" w:rsidP="002D5728">
            <w:pPr>
              <w:pStyle w:val="NormalWeb"/>
              <w:spacing w:before="0" w:beforeAutospacing="0" w:after="0" w:afterAutospacing="0"/>
              <w:jc w:val="center"/>
              <w:rPr>
                <w:color w:val="000000"/>
                <w:sz w:val="20"/>
                <w:szCs w:val="20"/>
              </w:rPr>
            </w:pPr>
            <w:r w:rsidRPr="009C1356">
              <w:rPr>
                <w:color w:val="000000"/>
                <w:sz w:val="20"/>
                <w:szCs w:val="20"/>
              </w:rPr>
              <w:t>-0.08%</w:t>
            </w:r>
          </w:p>
        </w:tc>
      </w:tr>
    </w:tbl>
    <w:p w14:paraId="682CA3AD" w14:textId="77777777" w:rsidR="00920B7D" w:rsidRPr="009C1356" w:rsidRDefault="00920B7D" w:rsidP="00920B7D">
      <w:pPr>
        <w:spacing w:line="480" w:lineRule="auto"/>
        <w:contextualSpacing/>
        <w:rPr>
          <w:b/>
          <w:bCs/>
          <w:color w:val="000000"/>
        </w:rPr>
      </w:pPr>
      <w:r w:rsidRPr="009C1356">
        <w:rPr>
          <w:b/>
          <w:bCs/>
          <w:color w:val="000000"/>
        </w:rPr>
        <w:t>Supplementary Table 1: Sample Sensitivity Analysis for Infections, 2021 Population Size</w:t>
      </w:r>
    </w:p>
    <w:p w14:paraId="13900A47" w14:textId="77777777" w:rsidR="00920B7D" w:rsidRPr="009C1356" w:rsidRDefault="00920B7D" w:rsidP="00920B7D">
      <w:pPr>
        <w:spacing w:line="480" w:lineRule="auto"/>
        <w:rPr>
          <w:b/>
          <w:bCs/>
          <w:color w:val="000000"/>
        </w:rPr>
      </w:pPr>
    </w:p>
    <w:p w14:paraId="17E704E3" w14:textId="77777777" w:rsidR="00920B7D" w:rsidRPr="009C1356" w:rsidRDefault="00920B7D" w:rsidP="00920B7D">
      <w:pPr>
        <w:rPr>
          <w:b/>
          <w:bCs/>
          <w:color w:val="000000"/>
        </w:rPr>
      </w:pPr>
    </w:p>
    <w:p w14:paraId="14B329B2" w14:textId="77777777" w:rsidR="000A4400" w:rsidRDefault="00000000"/>
    <w:sectPr w:rsidR="000A4400" w:rsidSect="00920B7D">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38121" w14:textId="77777777" w:rsidR="00E47152" w:rsidRDefault="00E47152" w:rsidP="002B3E60">
      <w:r>
        <w:separator/>
      </w:r>
    </w:p>
  </w:endnote>
  <w:endnote w:type="continuationSeparator" w:id="0">
    <w:p w14:paraId="78DADCE0" w14:textId="77777777" w:rsidR="00E47152" w:rsidRDefault="00E47152" w:rsidP="002B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MU Serif Roman">
    <w:altName w:val="CMU SERIF ROMAN"/>
    <w:panose1 w:val="02000603000000000000"/>
    <w:charset w:val="00"/>
    <w:family w:val="auto"/>
    <w:pitch w:val="variable"/>
    <w:sig w:usb0="E10002FF" w:usb1="5201E9EB" w:usb2="02020004"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2632764"/>
      <w:docPartObj>
        <w:docPartGallery w:val="Page Numbers (Bottom of Page)"/>
        <w:docPartUnique/>
      </w:docPartObj>
    </w:sdtPr>
    <w:sdtContent>
      <w:p w14:paraId="7D0240D9" w14:textId="77777777" w:rsidR="00B9405E" w:rsidRDefault="00000000" w:rsidP="001D1B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7EC974" w14:textId="77777777" w:rsidR="00B9405E" w:rsidRDefault="00000000" w:rsidP="00B940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MU Serif Roman" w:hAnsi="CMU Serif Roman" w:cs="CMU Serif Roman"/>
      </w:rPr>
      <w:id w:val="1944252446"/>
      <w:docPartObj>
        <w:docPartGallery w:val="Page Numbers (Bottom of Page)"/>
        <w:docPartUnique/>
      </w:docPartObj>
    </w:sdtPr>
    <w:sdtContent>
      <w:p w14:paraId="13CC0D3C" w14:textId="77777777" w:rsidR="00B9405E" w:rsidRPr="00D23DE2" w:rsidRDefault="00000000" w:rsidP="001D1BD8">
        <w:pPr>
          <w:pStyle w:val="Footer"/>
          <w:framePr w:wrap="none" w:vAnchor="text" w:hAnchor="margin" w:xAlign="right" w:y="1"/>
          <w:rPr>
            <w:rStyle w:val="PageNumber"/>
            <w:rFonts w:ascii="CMU Serif Roman" w:hAnsi="CMU Serif Roman" w:cs="CMU Serif Roman"/>
          </w:rPr>
        </w:pPr>
        <w:r w:rsidRPr="00D23DE2">
          <w:rPr>
            <w:rStyle w:val="PageNumber"/>
            <w:rFonts w:ascii="CMU Serif Roman" w:hAnsi="CMU Serif Roman" w:cs="CMU Serif Roman"/>
          </w:rPr>
          <w:fldChar w:fldCharType="begin"/>
        </w:r>
        <w:r w:rsidRPr="00D23DE2">
          <w:rPr>
            <w:rStyle w:val="PageNumber"/>
            <w:rFonts w:ascii="CMU Serif Roman" w:hAnsi="CMU Serif Roman" w:cs="CMU Serif Roman"/>
          </w:rPr>
          <w:instrText xml:space="preserve"> PAGE </w:instrText>
        </w:r>
        <w:r w:rsidRPr="00D23DE2">
          <w:rPr>
            <w:rStyle w:val="PageNumber"/>
            <w:rFonts w:ascii="CMU Serif Roman" w:hAnsi="CMU Serif Roman" w:cs="CMU Serif Roman"/>
          </w:rPr>
          <w:fldChar w:fldCharType="separate"/>
        </w:r>
        <w:r w:rsidRPr="00D23DE2">
          <w:rPr>
            <w:rStyle w:val="PageNumber"/>
            <w:rFonts w:ascii="CMU Serif Roman" w:hAnsi="CMU Serif Roman" w:cs="CMU Serif Roman"/>
            <w:noProof/>
          </w:rPr>
          <w:t>1</w:t>
        </w:r>
        <w:r w:rsidRPr="00D23DE2">
          <w:rPr>
            <w:rStyle w:val="PageNumber"/>
            <w:rFonts w:ascii="CMU Serif Roman" w:hAnsi="CMU Serif Roman" w:cs="CMU Serif Roman"/>
          </w:rPr>
          <w:fldChar w:fldCharType="end"/>
        </w:r>
      </w:p>
    </w:sdtContent>
  </w:sdt>
  <w:p w14:paraId="16246C86" w14:textId="77777777" w:rsidR="00B9405E" w:rsidRPr="00D23DE2" w:rsidRDefault="00000000" w:rsidP="00B9405E">
    <w:pPr>
      <w:pStyle w:val="Footer"/>
      <w:ind w:right="360"/>
      <w:rPr>
        <w:rFonts w:ascii="CMU Serif Roman" w:hAnsi="CMU Serif Roman" w:cs="CMU Serif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52431" w14:textId="77777777" w:rsidR="00E47152" w:rsidRDefault="00E47152" w:rsidP="002B3E60">
      <w:r>
        <w:separator/>
      </w:r>
    </w:p>
  </w:footnote>
  <w:footnote w:type="continuationSeparator" w:id="0">
    <w:p w14:paraId="619FC1C6" w14:textId="77777777" w:rsidR="00E47152" w:rsidRDefault="00E47152" w:rsidP="002B3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B7D"/>
    <w:rsid w:val="00231E49"/>
    <w:rsid w:val="002B3E60"/>
    <w:rsid w:val="00364A00"/>
    <w:rsid w:val="00452CEB"/>
    <w:rsid w:val="004E6FFC"/>
    <w:rsid w:val="005D36CB"/>
    <w:rsid w:val="0075787A"/>
    <w:rsid w:val="007D1625"/>
    <w:rsid w:val="0086376D"/>
    <w:rsid w:val="00920B7D"/>
    <w:rsid w:val="00945152"/>
    <w:rsid w:val="009B0065"/>
    <w:rsid w:val="009B1339"/>
    <w:rsid w:val="009F48D6"/>
    <w:rsid w:val="00C23D30"/>
    <w:rsid w:val="00C5254D"/>
    <w:rsid w:val="00D308BD"/>
    <w:rsid w:val="00E47152"/>
    <w:rsid w:val="00EC5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6A78EB"/>
  <w15:chartTrackingRefBased/>
  <w15:docId w15:val="{14FBB1BF-038A-3B4F-AE2B-06568790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B7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0B7D"/>
    <w:pPr>
      <w:tabs>
        <w:tab w:val="center" w:pos="4680"/>
        <w:tab w:val="right" w:pos="9360"/>
      </w:tabs>
    </w:pPr>
  </w:style>
  <w:style w:type="character" w:customStyle="1" w:styleId="FooterChar">
    <w:name w:val="Footer Char"/>
    <w:basedOn w:val="DefaultParagraphFont"/>
    <w:link w:val="Footer"/>
    <w:uiPriority w:val="99"/>
    <w:rsid w:val="00920B7D"/>
    <w:rPr>
      <w:rFonts w:ascii="Times New Roman" w:eastAsia="Times New Roman" w:hAnsi="Times New Roman" w:cs="Times New Roman"/>
    </w:rPr>
  </w:style>
  <w:style w:type="character" w:styleId="PageNumber">
    <w:name w:val="page number"/>
    <w:basedOn w:val="DefaultParagraphFont"/>
    <w:uiPriority w:val="99"/>
    <w:semiHidden/>
    <w:unhideWhenUsed/>
    <w:rsid w:val="00920B7D"/>
  </w:style>
  <w:style w:type="paragraph" w:styleId="NormalWeb">
    <w:name w:val="Normal (Web)"/>
    <w:basedOn w:val="Normal"/>
    <w:uiPriority w:val="99"/>
    <w:unhideWhenUsed/>
    <w:rsid w:val="00920B7D"/>
    <w:pPr>
      <w:spacing w:before="100" w:beforeAutospacing="1" w:after="100" w:afterAutospacing="1"/>
    </w:pPr>
  </w:style>
  <w:style w:type="character" w:styleId="LineNumber">
    <w:name w:val="line number"/>
    <w:basedOn w:val="DefaultParagraphFont"/>
    <w:uiPriority w:val="99"/>
    <w:semiHidden/>
    <w:unhideWhenUsed/>
    <w:rsid w:val="00920B7D"/>
  </w:style>
  <w:style w:type="character" w:styleId="Hyperlink">
    <w:name w:val="Hyperlink"/>
    <w:basedOn w:val="DefaultParagraphFont"/>
    <w:uiPriority w:val="99"/>
    <w:unhideWhenUsed/>
    <w:rsid w:val="0075787A"/>
    <w:rPr>
      <w:color w:val="0563C1" w:themeColor="hyperlink"/>
      <w:u w:val="single"/>
    </w:rPr>
  </w:style>
  <w:style w:type="paragraph" w:styleId="Header">
    <w:name w:val="header"/>
    <w:basedOn w:val="Normal"/>
    <w:link w:val="HeaderChar"/>
    <w:uiPriority w:val="99"/>
    <w:unhideWhenUsed/>
    <w:rsid w:val="002B3E60"/>
    <w:pPr>
      <w:tabs>
        <w:tab w:val="center" w:pos="4680"/>
        <w:tab w:val="right" w:pos="9360"/>
      </w:tabs>
    </w:pPr>
  </w:style>
  <w:style w:type="character" w:customStyle="1" w:styleId="HeaderChar">
    <w:name w:val="Header Char"/>
    <w:basedOn w:val="DefaultParagraphFont"/>
    <w:link w:val="Header"/>
    <w:uiPriority w:val="99"/>
    <w:rsid w:val="002B3E6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santillana@northeastern.ed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K</dc:creator>
  <cp:keywords/>
  <dc:description/>
  <cp:lastModifiedBy>N K</cp:lastModifiedBy>
  <cp:revision>14</cp:revision>
  <dcterms:created xsi:type="dcterms:W3CDTF">2022-07-03T01:47:00Z</dcterms:created>
  <dcterms:modified xsi:type="dcterms:W3CDTF">2022-07-03T15:59:00Z</dcterms:modified>
</cp:coreProperties>
</file>