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0"/>
      </w:tblGrid>
      <w:tr w:rsidR="00EB19E0" w:rsidRPr="00567D68" w14:paraId="64A810F6" w14:textId="77777777" w:rsidTr="002206A5">
        <w:tc>
          <w:tcPr>
            <w:tcW w:w="14472" w:type="dxa"/>
            <w:tcBorders>
              <w:bottom w:val="single" w:sz="4" w:space="0" w:color="auto"/>
            </w:tcBorders>
            <w:shd w:val="clear" w:color="auto" w:fill="auto"/>
          </w:tcPr>
          <w:p w14:paraId="7342CC64" w14:textId="77777777" w:rsidR="00EB19E0" w:rsidRPr="00567D68" w:rsidRDefault="00EB19E0" w:rsidP="002206A5">
            <w:pPr>
              <w:rPr>
                <w:b/>
                <w:bCs/>
                <w:sz w:val="18"/>
                <w:szCs w:val="18"/>
              </w:rPr>
            </w:pPr>
            <w:r w:rsidRPr="00567D68">
              <w:rPr>
                <w:b/>
                <w:bCs/>
                <w:sz w:val="18"/>
                <w:szCs w:val="18"/>
              </w:rPr>
              <w:t xml:space="preserve">Figure S5. Estimated risk ratios and 95% confidence intervals—by which covariates are included in the models—of back injury, illness, and fair-to-poor self-rated health using </w:t>
            </w:r>
            <w:r w:rsidRPr="00567D68">
              <w:rPr>
                <w:b/>
                <w:bCs/>
                <w:i/>
                <w:iCs/>
                <w:sz w:val="18"/>
                <w:szCs w:val="18"/>
              </w:rPr>
              <w:t xml:space="preserve">a priori </w:t>
            </w:r>
            <w:r w:rsidRPr="00567D68">
              <w:rPr>
                <w:b/>
                <w:bCs/>
                <w:sz w:val="18"/>
                <w:szCs w:val="18"/>
              </w:rPr>
              <w:t>composite exposure, classification tree, and latent class methods: NDWA-UIC CUED</w:t>
            </w:r>
            <w:r w:rsidRPr="00567D68">
              <w:rPr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567D68">
              <w:rPr>
                <w:b/>
                <w:bCs/>
                <w:sz w:val="18"/>
                <w:szCs w:val="18"/>
              </w:rPr>
              <w:t>data, 14 cities, United States, 2011-2012 (N = 2,086).</w:t>
            </w:r>
          </w:p>
        </w:tc>
      </w:tr>
      <w:tr w:rsidR="00EB19E0" w:rsidRPr="00567D68" w14:paraId="6BA23070" w14:textId="77777777" w:rsidTr="002206A5">
        <w:tc>
          <w:tcPr>
            <w:tcW w:w="14472" w:type="dxa"/>
            <w:tcBorders>
              <w:top w:val="single" w:sz="4" w:space="0" w:color="auto"/>
            </w:tcBorders>
            <w:shd w:val="clear" w:color="auto" w:fill="auto"/>
          </w:tcPr>
          <w:p w14:paraId="1E9F984B" w14:textId="32037192" w:rsidR="00EB19E0" w:rsidRPr="00D9234C" w:rsidRDefault="00EB19E0" w:rsidP="002206A5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50233F5E" wp14:editId="0FD679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9052560" cy="64008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2560" cy="640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19E0" w:rsidRPr="00567D68" w14:paraId="6D92B5F0" w14:textId="77777777" w:rsidTr="002206A5">
        <w:tc>
          <w:tcPr>
            <w:tcW w:w="14472" w:type="dxa"/>
            <w:shd w:val="clear" w:color="auto" w:fill="auto"/>
          </w:tcPr>
          <w:p w14:paraId="4829258F" w14:textId="77777777" w:rsidR="00EB19E0" w:rsidRPr="00567D68" w:rsidRDefault="00EB19E0" w:rsidP="002206A5">
            <w:pPr>
              <w:rPr>
                <w:sz w:val="18"/>
                <w:szCs w:val="18"/>
              </w:rPr>
            </w:pPr>
            <w:r w:rsidRPr="00567D68">
              <w:rPr>
                <w:sz w:val="18"/>
                <w:szCs w:val="18"/>
              </w:rPr>
              <w:lastRenderedPageBreak/>
              <w:t xml:space="preserve">Abbreviations: CI = confidence interval; NDWA-UIC CUED = National Domestic Workers Alliance and University of Illinois Chicago Center for Urban Economic Development; RR = risk ratio. A separate model was fit to obtain each of the color-coded point estimates and confidence intervals shown here. M1 included only the exposure of interest. M2 additionally included the city fixed effects. M3 additionally included the individual covariates (racialized group, </w:t>
            </w:r>
            <w:r>
              <w:rPr>
                <w:sz w:val="18"/>
                <w:szCs w:val="18"/>
              </w:rPr>
              <w:t xml:space="preserve">citizenship and </w:t>
            </w:r>
            <w:r w:rsidRPr="00567D68">
              <w:rPr>
                <w:sz w:val="18"/>
                <w:szCs w:val="18"/>
              </w:rPr>
              <w:t xml:space="preserve">immigration status, gender, age, and formal educational attainment). M4 additionally included the occupational covariates (main </w:t>
            </w:r>
            <w:r>
              <w:rPr>
                <w:sz w:val="18"/>
                <w:szCs w:val="18"/>
              </w:rPr>
              <w:t>domestic work</w:t>
            </w:r>
            <w:r w:rsidRPr="00567D68">
              <w:rPr>
                <w:sz w:val="18"/>
                <w:szCs w:val="18"/>
              </w:rPr>
              <w:t xml:space="preserve"> occupation, live-in status, years worked as a </w:t>
            </w:r>
            <w:r>
              <w:rPr>
                <w:sz w:val="18"/>
                <w:szCs w:val="18"/>
              </w:rPr>
              <w:t>domestic worker in the United States</w:t>
            </w:r>
            <w:r w:rsidRPr="00567D68">
              <w:rPr>
                <w:sz w:val="18"/>
                <w:szCs w:val="18"/>
              </w:rPr>
              <w:t xml:space="preserve">, hours worked last week for one’s main </w:t>
            </w:r>
            <w:r>
              <w:rPr>
                <w:sz w:val="18"/>
                <w:szCs w:val="18"/>
              </w:rPr>
              <w:t>domestic work</w:t>
            </w:r>
            <w:r w:rsidRPr="00567D68">
              <w:rPr>
                <w:sz w:val="18"/>
                <w:szCs w:val="18"/>
              </w:rPr>
              <w:t xml:space="preserve"> employer, number of </w:t>
            </w:r>
            <w:r>
              <w:rPr>
                <w:sz w:val="18"/>
                <w:szCs w:val="18"/>
              </w:rPr>
              <w:t>domestic work</w:t>
            </w:r>
            <w:r w:rsidRPr="00567D68">
              <w:rPr>
                <w:sz w:val="18"/>
                <w:szCs w:val="18"/>
              </w:rPr>
              <w:t xml:space="preserve"> employers, had a contract with any of their </w:t>
            </w:r>
            <w:r>
              <w:rPr>
                <w:sz w:val="18"/>
                <w:szCs w:val="18"/>
              </w:rPr>
              <w:t>domestic work</w:t>
            </w:r>
            <w:r w:rsidRPr="00567D68">
              <w:rPr>
                <w:sz w:val="18"/>
                <w:szCs w:val="18"/>
              </w:rPr>
              <w:t xml:space="preserve"> employers in the last 12 months). M5 additionally included the household covariates (number of people </w:t>
            </w:r>
            <w:r w:rsidRPr="00174E90">
              <w:rPr>
                <w:sz w:val="18"/>
                <w:szCs w:val="18"/>
              </w:rPr>
              <w:t>relying on the participant’s</w:t>
            </w:r>
            <w:r w:rsidRPr="00567D68">
              <w:rPr>
                <w:sz w:val="18"/>
                <w:szCs w:val="18"/>
              </w:rPr>
              <w:t xml:space="preserve"> financial support, income earner status, and household economic insecurity). All confidence intervals are based on cluster robust standard errors, clustered at the city level. </w:t>
            </w:r>
          </w:p>
        </w:tc>
      </w:tr>
    </w:tbl>
    <w:p w14:paraId="410E2820" w14:textId="77777777" w:rsidR="001D5528" w:rsidRDefault="001D5528"/>
    <w:sectPr w:rsidR="001D5528" w:rsidSect="00EB19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0"/>
    <w:rsid w:val="001D5528"/>
    <w:rsid w:val="003730AE"/>
    <w:rsid w:val="003F2814"/>
    <w:rsid w:val="00E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71D982"/>
  <w15:chartTrackingRefBased/>
  <w15:docId w15:val="{908900E2-FF06-421B-8B62-0DCEE64B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9E0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Wright</dc:creator>
  <cp:keywords/>
  <dc:description/>
  <cp:lastModifiedBy>Emily Wright</cp:lastModifiedBy>
  <cp:revision>1</cp:revision>
  <dcterms:created xsi:type="dcterms:W3CDTF">2022-06-24T15:34:00Z</dcterms:created>
  <dcterms:modified xsi:type="dcterms:W3CDTF">2022-06-24T15:35:00Z</dcterms:modified>
</cp:coreProperties>
</file>