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F1114" w14:textId="57B7C6ED" w:rsidR="00D679E3" w:rsidRPr="00636151" w:rsidRDefault="00D679E3" w:rsidP="00934A9A">
      <w:pPr>
        <w:spacing w:line="240" w:lineRule="auto"/>
        <w:rPr>
          <w:rFonts w:ascii="Calibri" w:hAnsi="Calibri" w:cs="Calibri"/>
          <w:b/>
          <w:bCs/>
          <w:sz w:val="20"/>
          <w:szCs w:val="20"/>
        </w:rPr>
      </w:pPr>
      <w:r w:rsidRPr="00636151">
        <w:rPr>
          <w:rFonts w:ascii="Calibri" w:hAnsi="Calibri" w:cs="Calibri"/>
          <w:b/>
          <w:bCs/>
          <w:sz w:val="20"/>
          <w:szCs w:val="20"/>
        </w:rPr>
        <w:t>S. Figure 1 Correlation analysis.jpg</w:t>
      </w:r>
    </w:p>
    <w:p w14:paraId="52329815" w14:textId="1D4722B2" w:rsidR="00FE18BD" w:rsidRPr="00934A9A" w:rsidRDefault="00D679E3" w:rsidP="00E813E3">
      <w:pPr>
        <w:spacing w:line="240" w:lineRule="auto"/>
        <w:ind w:firstLine="720"/>
        <w:rPr>
          <w:rFonts w:ascii="Calibri" w:hAnsi="Calibri" w:cs="Calibri"/>
          <w:sz w:val="20"/>
          <w:szCs w:val="20"/>
        </w:rPr>
      </w:pPr>
      <w:r w:rsidRPr="00934A9A">
        <w:rPr>
          <w:rFonts w:ascii="Calibri" w:hAnsi="Calibri" w:cs="Calibri"/>
          <w:sz w:val="20"/>
          <w:szCs w:val="20"/>
        </w:rPr>
        <w:t xml:space="preserve">Results of correlation analysis of a) DIPG samples with gene differential expressions (DE); b) DIPG samples with activation scores for </w:t>
      </w:r>
      <w:r w:rsidR="00C07990" w:rsidRPr="00934A9A">
        <w:rPr>
          <w:rFonts w:ascii="Calibri" w:hAnsi="Calibri" w:cs="Calibri"/>
          <w:sz w:val="20"/>
          <w:szCs w:val="20"/>
        </w:rPr>
        <w:t xml:space="preserve">gene expression regulators </w:t>
      </w:r>
      <w:r w:rsidRPr="00934A9A">
        <w:rPr>
          <w:rFonts w:ascii="Calibri" w:hAnsi="Calibri" w:cs="Calibri"/>
          <w:sz w:val="20"/>
          <w:szCs w:val="20"/>
        </w:rPr>
        <w:t>based on SNEA analysis with Elsevier Knowledge Graph.</w:t>
      </w:r>
      <w:r w:rsidR="00FE18BD" w:rsidRPr="00934A9A">
        <w:rPr>
          <w:rFonts w:ascii="Calibri" w:hAnsi="Calibri" w:cs="Calibri"/>
          <w:sz w:val="20"/>
          <w:szCs w:val="20"/>
        </w:rPr>
        <w:t xml:space="preserve"> P01 - P3</w:t>
      </w:r>
      <w:r w:rsidR="00D05EB8" w:rsidRPr="00934A9A">
        <w:rPr>
          <w:rFonts w:ascii="Calibri" w:hAnsi="Calibri" w:cs="Calibri"/>
          <w:sz w:val="20"/>
          <w:szCs w:val="20"/>
        </w:rPr>
        <w:t>8</w:t>
      </w:r>
      <w:r w:rsidR="00FE18BD" w:rsidRPr="00934A9A">
        <w:rPr>
          <w:rFonts w:ascii="Calibri" w:hAnsi="Calibri" w:cs="Calibri"/>
          <w:sz w:val="20"/>
          <w:szCs w:val="20"/>
        </w:rPr>
        <w:t xml:space="preserve"> numbers describe DIPG patients’ number from </w:t>
      </w:r>
      <w:proofErr w:type="spellStart"/>
      <w:r w:rsidR="00FE18BD" w:rsidRPr="00934A9A">
        <w:rPr>
          <w:rFonts w:ascii="Calibri" w:hAnsi="Calibri" w:cs="Calibri"/>
          <w:sz w:val="20"/>
          <w:szCs w:val="20"/>
        </w:rPr>
        <w:t>OpenPBTA</w:t>
      </w:r>
      <w:proofErr w:type="spellEnd"/>
      <w:r w:rsidR="00FE18BD" w:rsidRPr="00934A9A">
        <w:rPr>
          <w:rFonts w:ascii="Calibri" w:hAnsi="Calibri" w:cs="Calibri"/>
          <w:sz w:val="20"/>
          <w:szCs w:val="20"/>
        </w:rPr>
        <w:t>.</w:t>
      </w:r>
    </w:p>
    <w:p w14:paraId="40574AD0" w14:textId="5A46D74B" w:rsidR="00D679E3" w:rsidRPr="00636151" w:rsidRDefault="00FE18BD" w:rsidP="00934A9A">
      <w:pPr>
        <w:spacing w:line="240" w:lineRule="auto"/>
        <w:rPr>
          <w:rFonts w:ascii="Calibri" w:hAnsi="Calibri" w:cs="Calibri"/>
          <w:b/>
          <w:bCs/>
          <w:sz w:val="20"/>
          <w:szCs w:val="20"/>
        </w:rPr>
      </w:pPr>
      <w:r w:rsidRPr="00636151">
        <w:rPr>
          <w:rFonts w:ascii="Calibri" w:hAnsi="Calibri" w:cs="Calibri"/>
          <w:b/>
          <w:bCs/>
          <w:sz w:val="20"/>
          <w:szCs w:val="20"/>
        </w:rPr>
        <w:t>S. Figure 2 Combined Pathways of DIPG regulators.jpg</w:t>
      </w:r>
    </w:p>
    <w:p w14:paraId="746DAA9C" w14:textId="08990361" w:rsidR="00FE18BD" w:rsidRPr="004950F3" w:rsidRDefault="00FE18BD" w:rsidP="00E813E3">
      <w:pPr>
        <w:spacing w:before="60" w:after="30" w:line="360" w:lineRule="auto"/>
        <w:ind w:firstLine="720"/>
        <w:rPr>
          <w:rFonts w:ascii="Segoe UI" w:eastAsia="Times New Roman" w:hAnsi="Segoe UI" w:cs="Segoe UI"/>
          <w:color w:val="333333"/>
          <w:sz w:val="18"/>
          <w:szCs w:val="18"/>
        </w:rPr>
      </w:pPr>
      <w:r w:rsidRPr="00934A9A">
        <w:rPr>
          <w:rFonts w:ascii="Calibri" w:hAnsi="Calibri" w:cs="Calibri"/>
          <w:sz w:val="20"/>
          <w:szCs w:val="20"/>
        </w:rPr>
        <w:t xml:space="preserve">Image of the model of </w:t>
      </w:r>
      <w:r w:rsidR="00C07990" w:rsidRPr="00934A9A">
        <w:rPr>
          <w:rFonts w:ascii="Calibri" w:hAnsi="Calibri" w:cs="Calibri"/>
          <w:sz w:val="20"/>
          <w:szCs w:val="20"/>
        </w:rPr>
        <w:t xml:space="preserve">gene expression regulators </w:t>
      </w:r>
      <w:r w:rsidRPr="00934A9A">
        <w:rPr>
          <w:rFonts w:ascii="Calibri" w:hAnsi="Calibri" w:cs="Calibri"/>
          <w:sz w:val="20"/>
          <w:szCs w:val="20"/>
        </w:rPr>
        <w:t>in DIPG based on SNEA analysis with Elsevier Knowledge Graph</w:t>
      </w:r>
      <w:r w:rsidR="004950F3">
        <w:rPr>
          <w:rFonts w:ascii="Calibri" w:hAnsi="Calibri" w:cs="Calibri"/>
          <w:sz w:val="20"/>
          <w:szCs w:val="20"/>
        </w:rPr>
        <w:t xml:space="preserve"> </w:t>
      </w:r>
      <w:r w:rsidR="004950F3">
        <w:rPr>
          <w:rFonts w:ascii="Segoe UI" w:eastAsia="Times New Roman" w:hAnsi="Segoe UI" w:cs="Segoe UI"/>
          <w:color w:val="333333"/>
          <w:sz w:val="18"/>
          <w:szCs w:val="18"/>
        </w:rPr>
        <w:t>(</w:t>
      </w:r>
      <w:hyperlink r:id="rId5" w:history="1">
        <w:r w:rsidR="006D29D7" w:rsidRPr="006D29D7">
          <w:rPr>
            <w:rStyle w:val="Hyperlink"/>
            <w:rFonts w:ascii="Segoe UI" w:eastAsia="Times New Roman" w:hAnsi="Segoe UI" w:cs="Segoe UI"/>
            <w:sz w:val="18"/>
            <w:szCs w:val="18"/>
          </w:rPr>
          <w:t>LINK</w:t>
        </w:r>
      </w:hyperlink>
      <w:r w:rsidR="004950F3">
        <w:rPr>
          <w:rFonts w:ascii="Segoe UI" w:eastAsia="Times New Roman" w:hAnsi="Segoe UI" w:cs="Segoe UI"/>
          <w:color w:val="333333"/>
          <w:sz w:val="18"/>
          <w:szCs w:val="18"/>
        </w:rPr>
        <w:t>)</w:t>
      </w:r>
    </w:p>
    <w:p w14:paraId="1636C519" w14:textId="77777777" w:rsidR="004950F3" w:rsidRPr="00636151" w:rsidRDefault="00FE18BD" w:rsidP="00934A9A">
      <w:pPr>
        <w:spacing w:line="240" w:lineRule="auto"/>
        <w:rPr>
          <w:rFonts w:ascii="Calibri" w:hAnsi="Calibri" w:cs="Calibri"/>
          <w:b/>
          <w:bCs/>
          <w:sz w:val="20"/>
          <w:szCs w:val="20"/>
        </w:rPr>
      </w:pPr>
      <w:r w:rsidRPr="00636151">
        <w:rPr>
          <w:rFonts w:ascii="Calibri" w:hAnsi="Calibri" w:cs="Calibri"/>
          <w:b/>
          <w:bCs/>
          <w:sz w:val="20"/>
          <w:szCs w:val="20"/>
        </w:rPr>
        <w:t>S. Figure 2.1</w:t>
      </w:r>
      <w:r w:rsidR="00934A9A" w:rsidRPr="00636151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636151">
        <w:rPr>
          <w:rFonts w:ascii="Calibri" w:hAnsi="Calibri" w:cs="Calibri"/>
          <w:b/>
          <w:bCs/>
          <w:sz w:val="20"/>
          <w:szCs w:val="20"/>
        </w:rPr>
        <w:t xml:space="preserve">Pathways of DIPG </w:t>
      </w:r>
      <w:r w:rsidR="00C07990" w:rsidRPr="00636151">
        <w:rPr>
          <w:rFonts w:ascii="Calibri" w:hAnsi="Calibri" w:cs="Calibri"/>
          <w:b/>
          <w:bCs/>
          <w:sz w:val="20"/>
          <w:szCs w:val="20"/>
        </w:rPr>
        <w:t>regulators</w:t>
      </w:r>
      <w:r w:rsidRPr="00636151">
        <w:rPr>
          <w:rFonts w:ascii="Calibri" w:hAnsi="Calibri" w:cs="Calibri"/>
          <w:b/>
          <w:bCs/>
          <w:sz w:val="20"/>
          <w:szCs w:val="20"/>
        </w:rPr>
        <w:t xml:space="preserve"> (simplified).jpg</w:t>
      </w:r>
    </w:p>
    <w:p w14:paraId="13693E5C" w14:textId="44589AC8" w:rsidR="00C07990" w:rsidRPr="00934A9A" w:rsidRDefault="00C07990" w:rsidP="00E813E3">
      <w:pPr>
        <w:spacing w:line="240" w:lineRule="auto"/>
        <w:ind w:firstLine="720"/>
        <w:rPr>
          <w:rFonts w:ascii="Calibri" w:hAnsi="Calibri" w:cs="Calibri"/>
          <w:sz w:val="20"/>
          <w:szCs w:val="20"/>
        </w:rPr>
      </w:pPr>
      <w:r w:rsidRPr="00934A9A">
        <w:rPr>
          <w:rFonts w:ascii="Calibri" w:hAnsi="Calibri" w:cs="Calibri"/>
          <w:sz w:val="20"/>
          <w:szCs w:val="20"/>
        </w:rPr>
        <w:t>Simplified for better clarity image of the model of gene expression regulators in DIPG based on SNEA analysis with Elsevier Knowledge Graph</w:t>
      </w:r>
      <w:r w:rsidR="004950F3">
        <w:rPr>
          <w:rFonts w:ascii="Calibri" w:hAnsi="Calibri" w:cs="Calibri"/>
          <w:sz w:val="20"/>
          <w:szCs w:val="20"/>
        </w:rPr>
        <w:t>.</w:t>
      </w:r>
    </w:p>
    <w:p w14:paraId="3B7505B8" w14:textId="36E139D5" w:rsidR="00C07990" w:rsidRPr="00636151" w:rsidRDefault="00C07990" w:rsidP="00934A9A">
      <w:pPr>
        <w:spacing w:line="240" w:lineRule="auto"/>
        <w:rPr>
          <w:rFonts w:ascii="Calibri" w:hAnsi="Calibri" w:cs="Calibri"/>
          <w:b/>
          <w:bCs/>
          <w:sz w:val="20"/>
          <w:szCs w:val="20"/>
        </w:rPr>
      </w:pPr>
      <w:r w:rsidRPr="00636151">
        <w:rPr>
          <w:rFonts w:ascii="Calibri" w:hAnsi="Calibri" w:cs="Calibri"/>
          <w:b/>
          <w:bCs/>
          <w:sz w:val="20"/>
          <w:szCs w:val="20"/>
        </w:rPr>
        <w:t>S. Figure 3 Cells biomarkers.jpg</w:t>
      </w:r>
    </w:p>
    <w:p w14:paraId="3DDAE6B7" w14:textId="4E121E24" w:rsidR="004950F3" w:rsidRPr="00934A9A" w:rsidRDefault="00C07990" w:rsidP="00E813E3">
      <w:pPr>
        <w:spacing w:line="240" w:lineRule="auto"/>
        <w:ind w:firstLine="720"/>
        <w:rPr>
          <w:rFonts w:ascii="Calibri" w:hAnsi="Calibri" w:cs="Calibri"/>
          <w:sz w:val="20"/>
          <w:szCs w:val="20"/>
        </w:rPr>
      </w:pPr>
      <w:r w:rsidRPr="00934A9A">
        <w:rPr>
          <w:rFonts w:ascii="Calibri" w:hAnsi="Calibri" w:cs="Calibri"/>
          <w:sz w:val="20"/>
          <w:szCs w:val="20"/>
        </w:rPr>
        <w:t>Gene expression regulators</w:t>
      </w:r>
      <w:r w:rsidR="00D456D2" w:rsidRPr="00934A9A">
        <w:rPr>
          <w:rFonts w:ascii="Calibri" w:hAnsi="Calibri" w:cs="Calibri"/>
          <w:sz w:val="20"/>
          <w:szCs w:val="20"/>
        </w:rPr>
        <w:t xml:space="preserve"> in DIPG</w:t>
      </w:r>
      <w:r w:rsidRPr="00934A9A">
        <w:rPr>
          <w:rFonts w:ascii="Calibri" w:hAnsi="Calibri" w:cs="Calibri"/>
          <w:sz w:val="20"/>
          <w:szCs w:val="20"/>
        </w:rPr>
        <w:t xml:space="preserve"> </w:t>
      </w:r>
      <w:r w:rsidR="00D456D2" w:rsidRPr="00934A9A">
        <w:rPr>
          <w:rFonts w:ascii="Calibri" w:hAnsi="Calibri" w:cs="Calibri"/>
          <w:sz w:val="20"/>
          <w:szCs w:val="20"/>
        </w:rPr>
        <w:t>linked with</w:t>
      </w:r>
      <w:r w:rsidRPr="00934A9A">
        <w:rPr>
          <w:rFonts w:ascii="Calibri" w:hAnsi="Calibri" w:cs="Calibri"/>
          <w:sz w:val="20"/>
          <w:szCs w:val="20"/>
        </w:rPr>
        <w:t xml:space="preserve"> cell</w:t>
      </w:r>
      <w:r w:rsidR="00D456D2" w:rsidRPr="00934A9A">
        <w:rPr>
          <w:rFonts w:ascii="Calibri" w:hAnsi="Calibri" w:cs="Calibri"/>
          <w:sz w:val="20"/>
          <w:szCs w:val="20"/>
        </w:rPr>
        <w:t>s</w:t>
      </w:r>
      <w:r w:rsidRPr="00934A9A">
        <w:rPr>
          <w:rFonts w:ascii="Calibri" w:hAnsi="Calibri" w:cs="Calibri"/>
          <w:sz w:val="20"/>
          <w:szCs w:val="20"/>
        </w:rPr>
        <w:t xml:space="preserve"> as </w:t>
      </w:r>
      <w:r w:rsidR="00D456D2" w:rsidRPr="00934A9A">
        <w:rPr>
          <w:rFonts w:ascii="Calibri" w:hAnsi="Calibri" w:cs="Calibri"/>
          <w:sz w:val="20"/>
          <w:szCs w:val="20"/>
        </w:rPr>
        <w:t xml:space="preserve">their </w:t>
      </w:r>
      <w:r w:rsidRPr="00934A9A">
        <w:rPr>
          <w:rFonts w:ascii="Calibri" w:hAnsi="Calibri" w:cs="Calibri"/>
          <w:sz w:val="20"/>
          <w:szCs w:val="20"/>
        </w:rPr>
        <w:t>biomarkers (</w:t>
      </w:r>
      <w:r w:rsidR="00D456D2" w:rsidRPr="00934A9A">
        <w:rPr>
          <w:rFonts w:ascii="Calibri" w:hAnsi="Calibri" w:cs="Calibri"/>
          <w:sz w:val="20"/>
          <w:szCs w:val="20"/>
        </w:rPr>
        <w:t xml:space="preserve">based on </w:t>
      </w:r>
      <w:r w:rsidRPr="00934A9A">
        <w:rPr>
          <w:rFonts w:ascii="Calibri" w:hAnsi="Calibri" w:cs="Calibri"/>
          <w:sz w:val="20"/>
          <w:szCs w:val="20"/>
        </w:rPr>
        <w:t>“</w:t>
      </w:r>
      <w:proofErr w:type="spellStart"/>
      <w:r w:rsidRPr="00934A9A">
        <w:rPr>
          <w:rFonts w:ascii="Calibri" w:hAnsi="Calibri" w:cs="Calibri"/>
          <w:sz w:val="20"/>
          <w:szCs w:val="20"/>
        </w:rPr>
        <w:t>CellExpression</w:t>
      </w:r>
      <w:proofErr w:type="spellEnd"/>
      <w:r w:rsidRPr="00934A9A">
        <w:rPr>
          <w:rFonts w:ascii="Calibri" w:hAnsi="Calibri" w:cs="Calibri"/>
          <w:sz w:val="20"/>
          <w:szCs w:val="20"/>
        </w:rPr>
        <w:t>”</w:t>
      </w:r>
      <w:r w:rsidR="00D456D2" w:rsidRPr="00934A9A">
        <w:rPr>
          <w:rFonts w:ascii="Calibri" w:hAnsi="Calibri" w:cs="Calibri"/>
          <w:sz w:val="20"/>
          <w:szCs w:val="20"/>
        </w:rPr>
        <w:t xml:space="preserve"> and “Biomarker”</w:t>
      </w:r>
      <w:r w:rsidRPr="00934A9A">
        <w:rPr>
          <w:rFonts w:ascii="Calibri" w:hAnsi="Calibri" w:cs="Calibri"/>
          <w:sz w:val="20"/>
          <w:szCs w:val="20"/>
        </w:rPr>
        <w:t xml:space="preserve"> type</w:t>
      </w:r>
      <w:r w:rsidR="00D456D2" w:rsidRPr="00934A9A">
        <w:rPr>
          <w:rFonts w:ascii="Calibri" w:hAnsi="Calibri" w:cs="Calibri"/>
          <w:sz w:val="20"/>
          <w:szCs w:val="20"/>
        </w:rPr>
        <w:t>s</w:t>
      </w:r>
      <w:r w:rsidRPr="00934A9A">
        <w:rPr>
          <w:rFonts w:ascii="Calibri" w:hAnsi="Calibri" w:cs="Calibri"/>
          <w:sz w:val="20"/>
          <w:szCs w:val="20"/>
        </w:rPr>
        <w:t xml:space="preserve"> of</w:t>
      </w:r>
      <w:r w:rsidR="00D456D2" w:rsidRPr="00934A9A">
        <w:rPr>
          <w:rFonts w:ascii="Calibri" w:hAnsi="Calibri" w:cs="Calibri"/>
          <w:sz w:val="20"/>
          <w:szCs w:val="20"/>
        </w:rPr>
        <w:t xml:space="preserve"> relationship in </w:t>
      </w:r>
      <w:r w:rsidRPr="00934A9A">
        <w:rPr>
          <w:rFonts w:ascii="Calibri" w:hAnsi="Calibri" w:cs="Calibri"/>
          <w:sz w:val="20"/>
          <w:szCs w:val="20"/>
        </w:rPr>
        <w:t>Elsevier Knowledge Graph</w:t>
      </w:r>
      <w:r w:rsidR="00D456D2" w:rsidRPr="00934A9A">
        <w:rPr>
          <w:rFonts w:ascii="Calibri" w:hAnsi="Calibri" w:cs="Calibri"/>
          <w:sz w:val="20"/>
          <w:szCs w:val="20"/>
        </w:rPr>
        <w:t>)</w:t>
      </w:r>
      <w:r w:rsidR="004950F3">
        <w:rPr>
          <w:rFonts w:ascii="Calibri" w:hAnsi="Calibri" w:cs="Calibri"/>
          <w:sz w:val="20"/>
          <w:szCs w:val="20"/>
        </w:rPr>
        <w:t xml:space="preserve"> </w:t>
      </w:r>
      <w:r w:rsidR="004950F3">
        <w:rPr>
          <w:rFonts w:ascii="Segoe UI" w:hAnsi="Segoe UI" w:cs="Segoe UI"/>
          <w:color w:val="333333"/>
          <w:sz w:val="18"/>
          <w:szCs w:val="18"/>
          <w:shd w:val="clear" w:color="auto" w:fill="FFFFFF"/>
        </w:rPr>
        <w:t>(</w:t>
      </w:r>
      <w:hyperlink r:id="rId6" w:history="1">
        <w:r w:rsidR="008B1B9D" w:rsidRPr="008B1B9D">
          <w:rPr>
            <w:rStyle w:val="Hyperlink"/>
            <w:rFonts w:ascii="Segoe UI" w:hAnsi="Segoe UI" w:cs="Segoe UI"/>
            <w:sz w:val="18"/>
            <w:szCs w:val="18"/>
            <w:shd w:val="clear" w:color="auto" w:fill="FFFFFF"/>
          </w:rPr>
          <w:t>LINK</w:t>
        </w:r>
      </w:hyperlink>
      <w:r w:rsidR="004950F3">
        <w:rPr>
          <w:rFonts w:ascii="Segoe UI" w:hAnsi="Segoe UI" w:cs="Segoe UI"/>
          <w:color w:val="333333"/>
          <w:sz w:val="18"/>
          <w:szCs w:val="18"/>
          <w:shd w:val="clear" w:color="auto" w:fill="FFFFFF"/>
        </w:rPr>
        <w:t>)</w:t>
      </w:r>
    </w:p>
    <w:p w14:paraId="35762D31" w14:textId="3DA97CE8" w:rsidR="00D456D2" w:rsidRPr="00636151" w:rsidRDefault="00D456D2" w:rsidP="00934A9A">
      <w:pPr>
        <w:spacing w:line="240" w:lineRule="auto"/>
        <w:rPr>
          <w:rFonts w:ascii="Calibri" w:hAnsi="Calibri" w:cs="Calibri"/>
          <w:b/>
          <w:bCs/>
          <w:sz w:val="20"/>
          <w:szCs w:val="20"/>
        </w:rPr>
      </w:pPr>
      <w:r w:rsidRPr="00636151">
        <w:rPr>
          <w:rFonts w:ascii="Calibri" w:hAnsi="Calibri" w:cs="Calibri"/>
          <w:b/>
          <w:bCs/>
          <w:sz w:val="20"/>
          <w:szCs w:val="20"/>
        </w:rPr>
        <w:t>S. Figure 4 TAMs biomarkers.jpg</w:t>
      </w:r>
    </w:p>
    <w:p w14:paraId="341D1F2A" w14:textId="27861CE2" w:rsidR="00D456D2" w:rsidRPr="00934A9A" w:rsidRDefault="00D456D2" w:rsidP="00E813E3">
      <w:pPr>
        <w:spacing w:line="240" w:lineRule="auto"/>
        <w:ind w:firstLine="720"/>
        <w:rPr>
          <w:rFonts w:ascii="Calibri" w:hAnsi="Calibri" w:cs="Calibri"/>
          <w:sz w:val="20"/>
          <w:szCs w:val="20"/>
        </w:rPr>
      </w:pPr>
      <w:r w:rsidRPr="00934A9A">
        <w:rPr>
          <w:rFonts w:ascii="Calibri" w:hAnsi="Calibri" w:cs="Calibri"/>
          <w:sz w:val="20"/>
          <w:szCs w:val="20"/>
        </w:rPr>
        <w:t>Gene expression regulators and genes with DE in DIPG linked with tumor-associated macrophages (TAMs) (based on “</w:t>
      </w:r>
      <w:proofErr w:type="spellStart"/>
      <w:r w:rsidRPr="00934A9A">
        <w:rPr>
          <w:rFonts w:ascii="Calibri" w:hAnsi="Calibri" w:cs="Calibri"/>
          <w:sz w:val="20"/>
          <w:szCs w:val="20"/>
        </w:rPr>
        <w:t>CellExpression</w:t>
      </w:r>
      <w:proofErr w:type="spellEnd"/>
      <w:r w:rsidRPr="00934A9A">
        <w:rPr>
          <w:rFonts w:ascii="Calibri" w:hAnsi="Calibri" w:cs="Calibri"/>
          <w:sz w:val="20"/>
          <w:szCs w:val="20"/>
        </w:rPr>
        <w:t>” and “Biomarker” types of relationship in Elsevier Knowledge Graph)</w:t>
      </w:r>
      <w:r w:rsidR="004950F3">
        <w:rPr>
          <w:rFonts w:ascii="Calibri" w:hAnsi="Calibri" w:cs="Calibri"/>
          <w:sz w:val="20"/>
          <w:szCs w:val="20"/>
        </w:rPr>
        <w:t xml:space="preserve"> (</w:t>
      </w:r>
      <w:hyperlink r:id="rId7" w:history="1">
        <w:r w:rsidR="008B1B9D" w:rsidRPr="008B1B9D">
          <w:rPr>
            <w:rStyle w:val="Hyperlink"/>
            <w:rFonts w:ascii="Calibri" w:hAnsi="Calibri" w:cs="Calibri"/>
            <w:sz w:val="20"/>
            <w:szCs w:val="20"/>
          </w:rPr>
          <w:t>LINK</w:t>
        </w:r>
      </w:hyperlink>
      <w:r w:rsidR="004950F3">
        <w:rPr>
          <w:rFonts w:ascii="Segoe UI" w:hAnsi="Segoe UI" w:cs="Segoe UI"/>
          <w:color w:val="333333"/>
          <w:sz w:val="18"/>
          <w:szCs w:val="18"/>
          <w:shd w:val="clear" w:color="auto" w:fill="FFFFFF"/>
        </w:rPr>
        <w:t>)</w:t>
      </w:r>
    </w:p>
    <w:p w14:paraId="2A2992E5" w14:textId="26CC25EC" w:rsidR="00D456D2" w:rsidRPr="00636151" w:rsidRDefault="00D456D2" w:rsidP="00934A9A">
      <w:pPr>
        <w:spacing w:line="240" w:lineRule="auto"/>
        <w:rPr>
          <w:rFonts w:ascii="Calibri" w:hAnsi="Calibri" w:cs="Calibri"/>
          <w:b/>
          <w:bCs/>
          <w:sz w:val="20"/>
          <w:szCs w:val="20"/>
        </w:rPr>
      </w:pPr>
      <w:r w:rsidRPr="00636151">
        <w:rPr>
          <w:rFonts w:ascii="Calibri" w:hAnsi="Calibri" w:cs="Calibri"/>
          <w:b/>
          <w:bCs/>
          <w:sz w:val="20"/>
          <w:szCs w:val="20"/>
        </w:rPr>
        <w:t>S. Figure 5 EGFR Signaling.jpg</w:t>
      </w:r>
    </w:p>
    <w:p w14:paraId="00D7A43B" w14:textId="7EA64730" w:rsidR="00D456D2" w:rsidRPr="00934A9A" w:rsidRDefault="002F4EB9" w:rsidP="00E813E3">
      <w:pPr>
        <w:spacing w:line="240" w:lineRule="auto"/>
        <w:ind w:firstLine="720"/>
        <w:rPr>
          <w:rFonts w:ascii="Calibri" w:hAnsi="Calibri" w:cs="Calibri"/>
          <w:sz w:val="20"/>
          <w:szCs w:val="20"/>
        </w:rPr>
      </w:pPr>
      <w:r w:rsidRPr="00934A9A">
        <w:rPr>
          <w:rFonts w:ascii="Calibri" w:hAnsi="Calibri" w:cs="Calibri"/>
          <w:sz w:val="20"/>
          <w:szCs w:val="20"/>
        </w:rPr>
        <w:t>Classical EGFR signaling. Genes with different expression (D</w:t>
      </w:r>
      <w:r w:rsidR="00D05EB8" w:rsidRPr="00934A9A">
        <w:rPr>
          <w:rFonts w:ascii="Calibri" w:hAnsi="Calibri" w:cs="Calibri"/>
          <w:sz w:val="20"/>
          <w:szCs w:val="20"/>
        </w:rPr>
        <w:t>E</w:t>
      </w:r>
      <w:r w:rsidRPr="00934A9A">
        <w:rPr>
          <w:rFonts w:ascii="Calibri" w:hAnsi="Calibri" w:cs="Calibri"/>
          <w:sz w:val="20"/>
          <w:szCs w:val="20"/>
        </w:rPr>
        <w:t>s) in DIPG are highlighted in red (over-expressed) and blue (</w:t>
      </w:r>
      <w:proofErr w:type="gramStart"/>
      <w:r w:rsidR="00934A9A" w:rsidRPr="00934A9A">
        <w:rPr>
          <w:rFonts w:ascii="Calibri" w:hAnsi="Calibri" w:cs="Calibri"/>
          <w:sz w:val="20"/>
          <w:szCs w:val="20"/>
        </w:rPr>
        <w:t>down</w:t>
      </w:r>
      <w:r w:rsidR="00CB7574">
        <w:rPr>
          <w:rFonts w:ascii="Calibri" w:hAnsi="Calibri" w:cs="Calibri"/>
          <w:sz w:val="20"/>
          <w:szCs w:val="20"/>
        </w:rPr>
        <w:t>-</w:t>
      </w:r>
      <w:r w:rsidR="00934A9A" w:rsidRPr="00934A9A">
        <w:rPr>
          <w:rFonts w:ascii="Calibri" w:hAnsi="Calibri" w:cs="Calibri"/>
          <w:sz w:val="20"/>
          <w:szCs w:val="20"/>
        </w:rPr>
        <w:t>expressed</w:t>
      </w:r>
      <w:proofErr w:type="gramEnd"/>
      <w:r w:rsidRPr="00934A9A">
        <w:rPr>
          <w:rFonts w:ascii="Calibri" w:hAnsi="Calibri" w:cs="Calibri"/>
          <w:sz w:val="20"/>
          <w:szCs w:val="20"/>
        </w:rPr>
        <w:t>). Color saturation indicates the level of DEs</w:t>
      </w:r>
      <w:r w:rsidR="00E813E3">
        <w:rPr>
          <w:rFonts w:ascii="Calibri" w:hAnsi="Calibri" w:cs="Calibri"/>
          <w:sz w:val="20"/>
          <w:szCs w:val="20"/>
        </w:rPr>
        <w:t xml:space="preserve"> (</w:t>
      </w:r>
      <w:hyperlink r:id="rId8" w:history="1">
        <w:r w:rsidR="00FD2465" w:rsidRPr="00FD2465">
          <w:rPr>
            <w:rStyle w:val="Hyperlink"/>
            <w:rFonts w:ascii="Calibri" w:hAnsi="Calibri" w:cs="Calibri"/>
            <w:sz w:val="20"/>
            <w:szCs w:val="20"/>
          </w:rPr>
          <w:t>LINK</w:t>
        </w:r>
      </w:hyperlink>
      <w:r w:rsidR="00E813E3">
        <w:rPr>
          <w:rFonts w:ascii="Segoe UI" w:hAnsi="Segoe UI" w:cs="Segoe UI"/>
          <w:color w:val="333333"/>
          <w:sz w:val="18"/>
          <w:szCs w:val="18"/>
          <w:shd w:val="clear" w:color="auto" w:fill="FFFFFF"/>
        </w:rPr>
        <w:t>).</w:t>
      </w:r>
    </w:p>
    <w:p w14:paraId="391D2547" w14:textId="677702A0" w:rsidR="002F4EB9" w:rsidRPr="00636151" w:rsidRDefault="002F4EB9" w:rsidP="00934A9A">
      <w:pPr>
        <w:spacing w:line="240" w:lineRule="auto"/>
        <w:rPr>
          <w:rFonts w:ascii="Calibri" w:hAnsi="Calibri" w:cs="Calibri"/>
          <w:b/>
          <w:bCs/>
          <w:sz w:val="20"/>
          <w:szCs w:val="20"/>
        </w:rPr>
      </w:pPr>
      <w:r w:rsidRPr="00636151">
        <w:rPr>
          <w:rFonts w:ascii="Calibri" w:hAnsi="Calibri" w:cs="Calibri"/>
          <w:b/>
          <w:bCs/>
          <w:sz w:val="20"/>
          <w:szCs w:val="20"/>
        </w:rPr>
        <w:t xml:space="preserve">S. Figure 6 </w:t>
      </w:r>
      <w:r w:rsidRPr="00636151">
        <w:rPr>
          <w:rFonts w:ascii="Calibri" w:hAnsi="Calibri" w:cs="Calibri"/>
          <w:b/>
          <w:bCs/>
          <w:i/>
          <w:iCs/>
          <w:sz w:val="20"/>
          <w:szCs w:val="20"/>
        </w:rPr>
        <w:t>TP53</w:t>
      </w:r>
      <w:r w:rsidRPr="00636151">
        <w:rPr>
          <w:rFonts w:ascii="Calibri" w:hAnsi="Calibri" w:cs="Calibri"/>
          <w:b/>
          <w:bCs/>
          <w:sz w:val="20"/>
          <w:szCs w:val="20"/>
        </w:rPr>
        <w:t xml:space="preserve"> and </w:t>
      </w:r>
      <w:r w:rsidRPr="00636151">
        <w:rPr>
          <w:rFonts w:ascii="Calibri" w:hAnsi="Calibri" w:cs="Calibri"/>
          <w:b/>
          <w:bCs/>
          <w:i/>
          <w:iCs/>
          <w:sz w:val="20"/>
          <w:szCs w:val="20"/>
        </w:rPr>
        <w:t>EZH2</w:t>
      </w:r>
      <w:r w:rsidRPr="00636151">
        <w:rPr>
          <w:rFonts w:ascii="Calibri" w:hAnsi="Calibri" w:cs="Calibri"/>
          <w:b/>
          <w:bCs/>
          <w:sz w:val="20"/>
          <w:szCs w:val="20"/>
        </w:rPr>
        <w:t xml:space="preserve"> mRNA expression.jpg</w:t>
      </w:r>
    </w:p>
    <w:p w14:paraId="5BAC9202" w14:textId="19B1F8D0" w:rsidR="002F4EB9" w:rsidRPr="00934A9A" w:rsidRDefault="00D05EB8" w:rsidP="00E813E3">
      <w:pPr>
        <w:spacing w:line="240" w:lineRule="auto"/>
        <w:ind w:firstLine="720"/>
        <w:rPr>
          <w:rFonts w:ascii="Calibri" w:hAnsi="Calibri" w:cs="Calibri"/>
          <w:sz w:val="20"/>
          <w:szCs w:val="20"/>
        </w:rPr>
      </w:pPr>
      <w:r w:rsidRPr="00934A9A">
        <w:rPr>
          <w:rFonts w:ascii="Calibri" w:hAnsi="Calibri" w:cs="Calibri"/>
          <w:sz w:val="20"/>
          <w:szCs w:val="20"/>
        </w:rPr>
        <w:t xml:space="preserve">Levels of different expressions of </w:t>
      </w:r>
      <w:r w:rsidRPr="00934A9A">
        <w:rPr>
          <w:rFonts w:ascii="Calibri" w:hAnsi="Calibri" w:cs="Calibri"/>
          <w:i/>
          <w:iCs/>
          <w:sz w:val="20"/>
          <w:szCs w:val="20"/>
        </w:rPr>
        <w:t>TP53</w:t>
      </w:r>
      <w:r w:rsidRPr="00934A9A">
        <w:rPr>
          <w:rFonts w:ascii="Calibri" w:hAnsi="Calibri" w:cs="Calibri"/>
          <w:sz w:val="20"/>
          <w:szCs w:val="20"/>
        </w:rPr>
        <w:t xml:space="preserve"> and </w:t>
      </w:r>
      <w:r w:rsidRPr="00934A9A">
        <w:rPr>
          <w:rFonts w:ascii="Calibri" w:hAnsi="Calibri" w:cs="Calibri"/>
          <w:i/>
          <w:iCs/>
          <w:sz w:val="20"/>
          <w:szCs w:val="20"/>
        </w:rPr>
        <w:t>EZH2</w:t>
      </w:r>
      <w:r w:rsidRPr="00934A9A">
        <w:rPr>
          <w:rFonts w:ascii="Calibri" w:hAnsi="Calibri" w:cs="Calibri"/>
          <w:sz w:val="20"/>
          <w:szCs w:val="20"/>
        </w:rPr>
        <w:t xml:space="preserve"> genes and their scores as gene expression regulators distributed in DIPG tumors. Numbers 1- 38 describe DIPG patients’ number from </w:t>
      </w:r>
      <w:proofErr w:type="spellStart"/>
      <w:r w:rsidRPr="00934A9A">
        <w:rPr>
          <w:rFonts w:ascii="Calibri" w:hAnsi="Calibri" w:cs="Calibri"/>
          <w:sz w:val="20"/>
          <w:szCs w:val="20"/>
        </w:rPr>
        <w:t>OpenPBTA</w:t>
      </w:r>
      <w:proofErr w:type="spellEnd"/>
      <w:r w:rsidRPr="00934A9A">
        <w:rPr>
          <w:rFonts w:ascii="Calibri" w:hAnsi="Calibri" w:cs="Calibri"/>
          <w:sz w:val="20"/>
          <w:szCs w:val="20"/>
        </w:rPr>
        <w:t>.</w:t>
      </w:r>
    </w:p>
    <w:p w14:paraId="7F01BD75" w14:textId="4C5F23D0" w:rsidR="00FE18BD" w:rsidRPr="00636151" w:rsidRDefault="00D05EB8" w:rsidP="00934A9A">
      <w:pPr>
        <w:spacing w:line="240" w:lineRule="auto"/>
        <w:rPr>
          <w:rFonts w:ascii="Calibri" w:hAnsi="Calibri" w:cs="Calibri"/>
          <w:b/>
          <w:bCs/>
          <w:sz w:val="20"/>
          <w:szCs w:val="20"/>
        </w:rPr>
      </w:pPr>
      <w:r w:rsidRPr="00636151">
        <w:rPr>
          <w:rFonts w:ascii="Calibri" w:hAnsi="Calibri" w:cs="Calibri"/>
          <w:b/>
          <w:bCs/>
          <w:sz w:val="20"/>
          <w:szCs w:val="20"/>
        </w:rPr>
        <w:t xml:space="preserve">S. Figure 7 </w:t>
      </w:r>
      <w:r w:rsidRPr="00636151">
        <w:rPr>
          <w:rFonts w:ascii="Calibri" w:hAnsi="Calibri" w:cs="Calibri"/>
          <w:b/>
          <w:bCs/>
          <w:i/>
          <w:iCs/>
          <w:sz w:val="20"/>
          <w:szCs w:val="20"/>
        </w:rPr>
        <w:t>TP53</w:t>
      </w:r>
      <w:r w:rsidRPr="00636151">
        <w:rPr>
          <w:rFonts w:ascii="Calibri" w:hAnsi="Calibri" w:cs="Calibri"/>
          <w:b/>
          <w:bCs/>
          <w:sz w:val="20"/>
          <w:szCs w:val="20"/>
        </w:rPr>
        <w:t xml:space="preserve"> and </w:t>
      </w:r>
      <w:r w:rsidRPr="00636151">
        <w:rPr>
          <w:rFonts w:ascii="Calibri" w:hAnsi="Calibri" w:cs="Calibri"/>
          <w:b/>
          <w:bCs/>
          <w:i/>
          <w:iCs/>
          <w:sz w:val="20"/>
          <w:szCs w:val="20"/>
        </w:rPr>
        <w:t>EZH2</w:t>
      </w:r>
      <w:r w:rsidRPr="00636151">
        <w:rPr>
          <w:rFonts w:ascii="Calibri" w:hAnsi="Calibri" w:cs="Calibri"/>
          <w:b/>
          <w:bCs/>
          <w:sz w:val="20"/>
          <w:szCs w:val="20"/>
        </w:rPr>
        <w:t xml:space="preserve"> targets.jpg</w:t>
      </w:r>
    </w:p>
    <w:p w14:paraId="78EDC2C4" w14:textId="78F6C544" w:rsidR="00D05EB8" w:rsidRPr="00934A9A" w:rsidRDefault="00D05EB8" w:rsidP="00E813E3">
      <w:pPr>
        <w:spacing w:line="240" w:lineRule="auto"/>
        <w:ind w:firstLine="720"/>
        <w:rPr>
          <w:rFonts w:ascii="Calibri" w:hAnsi="Calibri" w:cs="Calibri"/>
          <w:sz w:val="20"/>
          <w:szCs w:val="20"/>
        </w:rPr>
      </w:pPr>
      <w:r w:rsidRPr="00934A9A">
        <w:rPr>
          <w:rFonts w:ascii="Calibri" w:hAnsi="Calibri" w:cs="Calibri"/>
          <w:sz w:val="20"/>
          <w:szCs w:val="20"/>
        </w:rPr>
        <w:t xml:space="preserve">Common expression targets for </w:t>
      </w:r>
      <w:r w:rsidRPr="00934A9A">
        <w:rPr>
          <w:rFonts w:ascii="Calibri" w:hAnsi="Calibri" w:cs="Calibri"/>
          <w:i/>
          <w:iCs/>
          <w:sz w:val="20"/>
          <w:szCs w:val="20"/>
        </w:rPr>
        <w:t>TP53</w:t>
      </w:r>
      <w:r w:rsidRPr="00934A9A">
        <w:rPr>
          <w:rFonts w:ascii="Calibri" w:hAnsi="Calibri" w:cs="Calibri"/>
          <w:sz w:val="20"/>
          <w:szCs w:val="20"/>
        </w:rPr>
        <w:t xml:space="preserve"> and EZH2 genes predicted with Elsevier Knowledge Graph.</w:t>
      </w:r>
      <w:r w:rsidR="00CE6862" w:rsidRPr="00934A9A">
        <w:rPr>
          <w:rFonts w:ascii="Calibri" w:hAnsi="Calibri" w:cs="Calibri"/>
          <w:sz w:val="20"/>
          <w:szCs w:val="20"/>
        </w:rPr>
        <w:t xml:space="preserve"> Activation scores of gene expression regulators in DIPG are highlighted in red (active) and blue (non-active)</w:t>
      </w:r>
      <w:r w:rsidR="00E813E3">
        <w:rPr>
          <w:rFonts w:ascii="Calibri" w:hAnsi="Calibri" w:cs="Calibri"/>
          <w:sz w:val="20"/>
          <w:szCs w:val="20"/>
        </w:rPr>
        <w:t xml:space="preserve"> (</w:t>
      </w:r>
      <w:hyperlink r:id="rId9" w:history="1">
        <w:r w:rsidR="00FD2465" w:rsidRPr="00FD2465">
          <w:rPr>
            <w:rStyle w:val="Hyperlink"/>
            <w:rFonts w:ascii="Calibri" w:hAnsi="Calibri" w:cs="Calibri"/>
            <w:sz w:val="20"/>
            <w:szCs w:val="20"/>
          </w:rPr>
          <w:t>LINK</w:t>
        </w:r>
      </w:hyperlink>
      <w:r w:rsidR="00E813E3">
        <w:rPr>
          <w:rFonts w:ascii="Segoe UI" w:hAnsi="Segoe UI" w:cs="Segoe UI"/>
          <w:color w:val="333333"/>
          <w:sz w:val="18"/>
          <w:szCs w:val="18"/>
          <w:shd w:val="clear" w:color="auto" w:fill="FFFFFF"/>
        </w:rPr>
        <w:t>)</w:t>
      </w:r>
    </w:p>
    <w:p w14:paraId="0E1CE209" w14:textId="09C482BB" w:rsidR="00CE6862" w:rsidRPr="00636151" w:rsidRDefault="00CE6862" w:rsidP="00934A9A">
      <w:pPr>
        <w:spacing w:line="240" w:lineRule="auto"/>
        <w:rPr>
          <w:rFonts w:ascii="Calibri" w:hAnsi="Calibri" w:cs="Calibri"/>
          <w:b/>
          <w:bCs/>
          <w:sz w:val="20"/>
          <w:szCs w:val="20"/>
        </w:rPr>
      </w:pPr>
      <w:r w:rsidRPr="00636151">
        <w:rPr>
          <w:rFonts w:ascii="Calibri" w:hAnsi="Calibri" w:cs="Calibri"/>
          <w:b/>
          <w:bCs/>
          <w:sz w:val="20"/>
          <w:szCs w:val="20"/>
        </w:rPr>
        <w:t>S. Figure 8 mut</w:t>
      </w:r>
      <w:r w:rsidRPr="00636151">
        <w:rPr>
          <w:rFonts w:ascii="Calibri" w:hAnsi="Calibri" w:cs="Calibri"/>
          <w:b/>
          <w:bCs/>
          <w:i/>
          <w:iCs/>
          <w:sz w:val="20"/>
          <w:szCs w:val="20"/>
        </w:rPr>
        <w:t xml:space="preserve">TP53 </w:t>
      </w:r>
      <w:r w:rsidRPr="00636151">
        <w:rPr>
          <w:rFonts w:ascii="Calibri" w:hAnsi="Calibri" w:cs="Calibri"/>
          <w:b/>
          <w:bCs/>
          <w:sz w:val="20"/>
          <w:szCs w:val="20"/>
        </w:rPr>
        <w:t>effects on expression targets in DIPG.jpg</w:t>
      </w:r>
    </w:p>
    <w:p w14:paraId="0D52596C" w14:textId="418FBFEA" w:rsidR="00CE6862" w:rsidRPr="00934A9A" w:rsidRDefault="00CE6862" w:rsidP="00E813E3">
      <w:pPr>
        <w:spacing w:line="240" w:lineRule="auto"/>
        <w:ind w:firstLine="720"/>
        <w:rPr>
          <w:rFonts w:ascii="Calibri" w:hAnsi="Calibri" w:cs="Calibri"/>
          <w:sz w:val="20"/>
          <w:szCs w:val="20"/>
        </w:rPr>
      </w:pPr>
      <w:r w:rsidRPr="00934A9A">
        <w:rPr>
          <w:rFonts w:ascii="Calibri" w:hAnsi="Calibri" w:cs="Calibri"/>
          <w:sz w:val="20"/>
          <w:szCs w:val="20"/>
        </w:rPr>
        <w:t xml:space="preserve">Common expression targets for </w:t>
      </w:r>
      <w:r w:rsidRPr="00934A9A">
        <w:rPr>
          <w:rFonts w:ascii="Calibri" w:hAnsi="Calibri" w:cs="Calibri"/>
          <w:i/>
          <w:iCs/>
          <w:sz w:val="20"/>
          <w:szCs w:val="20"/>
        </w:rPr>
        <w:t>TP53</w:t>
      </w:r>
      <w:r w:rsidRPr="00934A9A">
        <w:rPr>
          <w:rFonts w:ascii="Calibri" w:hAnsi="Calibri" w:cs="Calibri"/>
          <w:sz w:val="20"/>
          <w:szCs w:val="20"/>
        </w:rPr>
        <w:t xml:space="preserve"> and </w:t>
      </w:r>
      <w:r w:rsidRPr="00934A9A">
        <w:rPr>
          <w:rFonts w:ascii="Calibri" w:hAnsi="Calibri" w:cs="Calibri"/>
          <w:i/>
          <w:iCs/>
          <w:sz w:val="20"/>
          <w:szCs w:val="20"/>
        </w:rPr>
        <w:t>EZH2</w:t>
      </w:r>
      <w:r w:rsidRPr="00934A9A">
        <w:rPr>
          <w:rFonts w:ascii="Calibri" w:hAnsi="Calibri" w:cs="Calibri"/>
          <w:sz w:val="20"/>
          <w:szCs w:val="20"/>
        </w:rPr>
        <w:t xml:space="preserve"> genes predicted with Elsevier Knowledge Graph. Genes with different expression (DEs) in DIPG are highlighted in red (over-expressed) and blue (</w:t>
      </w:r>
      <w:proofErr w:type="gramStart"/>
      <w:r w:rsidR="00E42799" w:rsidRPr="00934A9A">
        <w:rPr>
          <w:rFonts w:ascii="Calibri" w:hAnsi="Calibri" w:cs="Calibri"/>
          <w:sz w:val="20"/>
          <w:szCs w:val="20"/>
        </w:rPr>
        <w:t>down</w:t>
      </w:r>
      <w:r w:rsidR="00CB7574">
        <w:rPr>
          <w:rFonts w:ascii="Calibri" w:hAnsi="Calibri" w:cs="Calibri"/>
          <w:sz w:val="20"/>
          <w:szCs w:val="20"/>
        </w:rPr>
        <w:t>-</w:t>
      </w:r>
      <w:r w:rsidR="00E42799" w:rsidRPr="00934A9A">
        <w:rPr>
          <w:rFonts w:ascii="Calibri" w:hAnsi="Calibri" w:cs="Calibri"/>
          <w:sz w:val="20"/>
          <w:szCs w:val="20"/>
        </w:rPr>
        <w:t>expressed</w:t>
      </w:r>
      <w:proofErr w:type="gramEnd"/>
      <w:r w:rsidRPr="00934A9A">
        <w:rPr>
          <w:rFonts w:ascii="Calibri" w:hAnsi="Calibri" w:cs="Calibri"/>
          <w:sz w:val="20"/>
          <w:szCs w:val="20"/>
        </w:rPr>
        <w:t>). Color saturation indicates the level of D</w:t>
      </w:r>
      <w:r w:rsidR="00FD2465" w:rsidRPr="00934A9A">
        <w:rPr>
          <w:rFonts w:ascii="Calibri" w:hAnsi="Calibri" w:cs="Calibri"/>
          <w:sz w:val="20"/>
          <w:szCs w:val="20"/>
        </w:rPr>
        <w:t>e</w:t>
      </w:r>
      <w:r w:rsidRPr="00934A9A">
        <w:rPr>
          <w:rFonts w:ascii="Calibri" w:hAnsi="Calibri" w:cs="Calibri"/>
          <w:sz w:val="20"/>
          <w:szCs w:val="20"/>
        </w:rPr>
        <w:t>s</w:t>
      </w:r>
      <w:r w:rsidR="00FD2465">
        <w:rPr>
          <w:rFonts w:ascii="Calibri" w:hAnsi="Calibri" w:cs="Calibri"/>
          <w:sz w:val="20"/>
          <w:szCs w:val="20"/>
        </w:rPr>
        <w:t xml:space="preserve"> </w:t>
      </w:r>
      <w:r w:rsidR="00E813E3">
        <w:rPr>
          <w:rFonts w:ascii="Calibri" w:hAnsi="Calibri" w:cs="Calibri"/>
          <w:sz w:val="20"/>
          <w:szCs w:val="20"/>
        </w:rPr>
        <w:t>(</w:t>
      </w:r>
      <w:hyperlink r:id="rId10" w:history="1">
        <w:r w:rsidR="00FD2465" w:rsidRPr="00FD2465">
          <w:rPr>
            <w:rStyle w:val="Hyperlink"/>
            <w:rFonts w:ascii="Calibri" w:hAnsi="Calibri" w:cs="Calibri"/>
            <w:sz w:val="20"/>
            <w:szCs w:val="20"/>
          </w:rPr>
          <w:t>LINK</w:t>
        </w:r>
      </w:hyperlink>
      <w:r w:rsidR="00E813E3">
        <w:rPr>
          <w:rFonts w:ascii="Segoe UI" w:hAnsi="Segoe UI" w:cs="Segoe UI"/>
          <w:color w:val="333333"/>
          <w:sz w:val="18"/>
          <w:szCs w:val="18"/>
          <w:shd w:val="clear" w:color="auto" w:fill="FFFFFF"/>
        </w:rPr>
        <w:t>)</w:t>
      </w:r>
    </w:p>
    <w:p w14:paraId="2E856921" w14:textId="7FD03F2E" w:rsidR="00CE6862" w:rsidRPr="00636151" w:rsidRDefault="00E42799" w:rsidP="00934A9A">
      <w:pPr>
        <w:spacing w:line="240" w:lineRule="auto"/>
        <w:rPr>
          <w:rFonts w:ascii="Calibri" w:hAnsi="Calibri" w:cs="Calibri"/>
          <w:b/>
          <w:bCs/>
          <w:sz w:val="20"/>
          <w:szCs w:val="20"/>
        </w:rPr>
      </w:pPr>
      <w:r w:rsidRPr="00636151">
        <w:rPr>
          <w:rFonts w:ascii="Calibri" w:hAnsi="Calibri" w:cs="Calibri"/>
          <w:b/>
          <w:bCs/>
          <w:sz w:val="20"/>
          <w:szCs w:val="20"/>
        </w:rPr>
        <w:t>S. Figure 9 Hyaluronic Acid, CD44 and HMMR in Cancer Cell Invasion and Survival.</w:t>
      </w:r>
      <w:r w:rsidR="00636151">
        <w:rPr>
          <w:rFonts w:ascii="Calibri" w:hAnsi="Calibri" w:cs="Calibri"/>
          <w:b/>
          <w:bCs/>
          <w:sz w:val="20"/>
          <w:szCs w:val="20"/>
        </w:rPr>
        <w:t>jpg</w:t>
      </w:r>
    </w:p>
    <w:p w14:paraId="24A00653" w14:textId="00BCEA07" w:rsidR="00CE6862" w:rsidRPr="00934A9A" w:rsidRDefault="00E42799" w:rsidP="00E813E3">
      <w:pPr>
        <w:spacing w:line="240" w:lineRule="auto"/>
        <w:ind w:firstLine="720"/>
        <w:rPr>
          <w:rFonts w:ascii="Calibri" w:hAnsi="Calibri" w:cs="Calibri"/>
          <w:sz w:val="20"/>
          <w:szCs w:val="20"/>
        </w:rPr>
      </w:pPr>
      <w:r w:rsidRPr="00934A9A">
        <w:rPr>
          <w:rFonts w:ascii="Calibri" w:hAnsi="Calibri" w:cs="Calibri"/>
          <w:sz w:val="20"/>
          <w:szCs w:val="20"/>
        </w:rPr>
        <w:t xml:space="preserve">Role of CD44 signaling in cancer. Color saturation indicates the </w:t>
      </w:r>
      <w:r w:rsidR="00CB7574">
        <w:rPr>
          <w:rFonts w:ascii="Calibri" w:hAnsi="Calibri" w:cs="Calibri"/>
          <w:sz w:val="20"/>
          <w:szCs w:val="20"/>
        </w:rPr>
        <w:t>activation scores of regulators of gene expression (red - active; blue – inactive regulators)</w:t>
      </w:r>
      <w:r w:rsidR="00E813E3">
        <w:rPr>
          <w:rFonts w:ascii="Calibri" w:hAnsi="Calibri" w:cs="Calibri"/>
          <w:sz w:val="20"/>
          <w:szCs w:val="20"/>
        </w:rPr>
        <w:t xml:space="preserve"> (</w:t>
      </w:r>
      <w:hyperlink r:id="rId11" w:history="1">
        <w:r w:rsidR="00FD2465" w:rsidRPr="00FD2465">
          <w:rPr>
            <w:rStyle w:val="Hyperlink"/>
            <w:rFonts w:ascii="Calibri" w:hAnsi="Calibri" w:cs="Calibri"/>
            <w:sz w:val="20"/>
            <w:szCs w:val="20"/>
          </w:rPr>
          <w:t>LINK</w:t>
        </w:r>
      </w:hyperlink>
      <w:r w:rsidR="00E813E3">
        <w:rPr>
          <w:rFonts w:ascii="Segoe UI" w:hAnsi="Segoe UI" w:cs="Segoe UI"/>
          <w:color w:val="333333"/>
          <w:sz w:val="18"/>
          <w:szCs w:val="18"/>
          <w:shd w:val="clear" w:color="auto" w:fill="FFFFFF"/>
        </w:rPr>
        <w:t>).</w:t>
      </w:r>
    </w:p>
    <w:p w14:paraId="58802A4C" w14:textId="4F84F8E6" w:rsidR="00E42799" w:rsidRPr="00636151" w:rsidRDefault="00E42799" w:rsidP="00934A9A">
      <w:pPr>
        <w:spacing w:line="240" w:lineRule="auto"/>
        <w:rPr>
          <w:rFonts w:ascii="Calibri" w:hAnsi="Calibri" w:cs="Calibri"/>
          <w:b/>
          <w:bCs/>
          <w:sz w:val="20"/>
          <w:szCs w:val="20"/>
        </w:rPr>
      </w:pPr>
      <w:r w:rsidRPr="00636151">
        <w:rPr>
          <w:rFonts w:ascii="Calibri" w:hAnsi="Calibri" w:cs="Calibri"/>
          <w:b/>
          <w:bCs/>
          <w:sz w:val="20"/>
          <w:szCs w:val="20"/>
        </w:rPr>
        <w:t>S. Figure 10 Clinical trials.</w:t>
      </w:r>
    </w:p>
    <w:p w14:paraId="3B4D7CCD" w14:textId="616BDA34" w:rsidR="006A01F4" w:rsidRPr="00934A9A" w:rsidRDefault="006A01F4" w:rsidP="00E813E3">
      <w:pPr>
        <w:spacing w:line="240" w:lineRule="auto"/>
        <w:ind w:firstLine="720"/>
        <w:rPr>
          <w:rFonts w:ascii="Calibri" w:hAnsi="Calibri" w:cs="Calibri"/>
          <w:sz w:val="20"/>
          <w:szCs w:val="20"/>
        </w:rPr>
      </w:pPr>
      <w:r w:rsidRPr="00934A9A">
        <w:rPr>
          <w:rFonts w:ascii="Calibri" w:hAnsi="Calibri" w:cs="Calibri"/>
          <w:color w:val="000000"/>
          <w:sz w:val="20"/>
          <w:szCs w:val="20"/>
        </w:rPr>
        <w:lastRenderedPageBreak/>
        <w:t xml:space="preserve">61 clinical trials with drugs for DIPG registered at clinicaltrials.org with 20 drugs that have completed clinical trials phases 1 to 3 </w:t>
      </w:r>
      <w:r w:rsidRPr="00934A9A">
        <w:rPr>
          <w:rFonts w:ascii="Calibri" w:eastAsia="Yu Mincho" w:hAnsi="Calibri" w:cs="Calibri"/>
          <w:color w:val="000000"/>
          <w:sz w:val="20"/>
          <w:szCs w:val="20"/>
          <w:lang w:eastAsia="ja-JP"/>
        </w:rPr>
        <w:t>by</w:t>
      </w:r>
      <w:r w:rsidRPr="00934A9A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B4163B" w:rsidRPr="00934A9A">
        <w:rPr>
          <w:rFonts w:ascii="Calibri" w:hAnsi="Calibri" w:cs="Calibri"/>
          <w:color w:val="000000"/>
          <w:sz w:val="20"/>
          <w:szCs w:val="20"/>
        </w:rPr>
        <w:t>March</w:t>
      </w:r>
      <w:r w:rsidRPr="00934A9A">
        <w:rPr>
          <w:rFonts w:ascii="Calibri" w:hAnsi="Calibri" w:cs="Calibri"/>
          <w:color w:val="000000"/>
          <w:sz w:val="20"/>
          <w:szCs w:val="20"/>
        </w:rPr>
        <w:t xml:space="preserve"> 2022.</w:t>
      </w:r>
    </w:p>
    <w:p w14:paraId="04675CAE" w14:textId="3BC8E1BA" w:rsidR="00D05EB8" w:rsidRPr="00636151" w:rsidRDefault="00D05EB8" w:rsidP="00934A9A">
      <w:pPr>
        <w:spacing w:line="240" w:lineRule="auto"/>
        <w:rPr>
          <w:rFonts w:ascii="Calibri" w:hAnsi="Calibri" w:cs="Calibri"/>
          <w:b/>
          <w:bCs/>
          <w:sz w:val="20"/>
          <w:szCs w:val="20"/>
        </w:rPr>
      </w:pPr>
      <w:r w:rsidRPr="00636151">
        <w:rPr>
          <w:rFonts w:ascii="Calibri" w:hAnsi="Calibri" w:cs="Calibri"/>
          <w:b/>
          <w:bCs/>
          <w:sz w:val="20"/>
          <w:szCs w:val="20"/>
        </w:rPr>
        <w:t>S. Figure 1</w:t>
      </w:r>
      <w:r w:rsidR="006A01F4" w:rsidRPr="00636151">
        <w:rPr>
          <w:rFonts w:ascii="Calibri" w:hAnsi="Calibri" w:cs="Calibri"/>
          <w:b/>
          <w:bCs/>
          <w:sz w:val="20"/>
          <w:szCs w:val="20"/>
        </w:rPr>
        <w:t>1</w:t>
      </w:r>
      <w:r w:rsidRPr="00636151">
        <w:rPr>
          <w:rFonts w:ascii="Calibri" w:hAnsi="Calibri" w:cs="Calibri"/>
          <w:b/>
          <w:bCs/>
          <w:sz w:val="20"/>
          <w:szCs w:val="20"/>
        </w:rPr>
        <w:t xml:space="preserve"> Anti-cancer drugs for DIPG patient P34.</w:t>
      </w:r>
    </w:p>
    <w:p w14:paraId="7DA280A2" w14:textId="6A6ABFEB" w:rsidR="00636151" w:rsidRDefault="006A01F4" w:rsidP="00FD2465">
      <w:pPr>
        <w:spacing w:line="240" w:lineRule="auto"/>
        <w:ind w:firstLine="720"/>
        <w:rPr>
          <w:rFonts w:ascii="Calibri" w:hAnsi="Calibri" w:cs="Calibri"/>
          <w:sz w:val="20"/>
          <w:szCs w:val="20"/>
        </w:rPr>
      </w:pPr>
      <w:r w:rsidRPr="00934A9A">
        <w:rPr>
          <w:rFonts w:ascii="Calibri" w:hAnsi="Calibri" w:cs="Calibri"/>
          <w:sz w:val="20"/>
          <w:szCs w:val="20"/>
        </w:rPr>
        <w:t xml:space="preserve">Predicted by SNEA drugs </w:t>
      </w:r>
      <w:r w:rsidR="00B4163B" w:rsidRPr="00934A9A">
        <w:rPr>
          <w:rFonts w:ascii="Calibri" w:hAnsi="Calibri" w:cs="Calibri"/>
          <w:sz w:val="20"/>
          <w:szCs w:val="20"/>
        </w:rPr>
        <w:t xml:space="preserve">with anti-cancer activity </w:t>
      </w:r>
      <w:r w:rsidRPr="00934A9A">
        <w:rPr>
          <w:rFonts w:ascii="Calibri" w:hAnsi="Calibri" w:cs="Calibri"/>
          <w:sz w:val="20"/>
          <w:szCs w:val="20"/>
        </w:rPr>
        <w:t xml:space="preserve">for </w:t>
      </w:r>
      <w:r w:rsidR="00B4163B" w:rsidRPr="00934A9A">
        <w:rPr>
          <w:rFonts w:ascii="Calibri" w:hAnsi="Calibri" w:cs="Calibri"/>
          <w:sz w:val="20"/>
          <w:szCs w:val="20"/>
        </w:rPr>
        <w:t xml:space="preserve">gene expression regulators of </w:t>
      </w:r>
      <w:r w:rsidRPr="00934A9A">
        <w:rPr>
          <w:rFonts w:ascii="Calibri" w:hAnsi="Calibri" w:cs="Calibri"/>
          <w:sz w:val="20"/>
          <w:szCs w:val="20"/>
        </w:rPr>
        <w:t xml:space="preserve">DIPG patient P034 which has deletion in </w:t>
      </w:r>
      <w:r w:rsidRPr="00934A9A">
        <w:rPr>
          <w:rFonts w:ascii="Calibri" w:hAnsi="Calibri" w:cs="Calibri"/>
          <w:i/>
          <w:iCs/>
          <w:sz w:val="20"/>
          <w:szCs w:val="20"/>
        </w:rPr>
        <w:t>TP53</w:t>
      </w:r>
      <w:r w:rsidRPr="00934A9A">
        <w:rPr>
          <w:rFonts w:ascii="Calibri" w:hAnsi="Calibri" w:cs="Calibri"/>
          <w:sz w:val="20"/>
          <w:szCs w:val="20"/>
        </w:rPr>
        <w:t xml:space="preserve"> gene</w:t>
      </w:r>
      <w:r w:rsidR="00B4163B" w:rsidRPr="00934A9A">
        <w:rPr>
          <w:rFonts w:ascii="Calibri" w:hAnsi="Calibri" w:cs="Calibri"/>
          <w:sz w:val="20"/>
          <w:szCs w:val="20"/>
        </w:rPr>
        <w:t>.</w:t>
      </w:r>
    </w:p>
    <w:p w14:paraId="5B0203E0" w14:textId="487846D0" w:rsidR="00FD2465" w:rsidRDefault="00636151" w:rsidP="00FD2465">
      <w:pPr>
        <w:spacing w:afterLines="40" w:after="96" w:line="360" w:lineRule="auto"/>
        <w:rPr>
          <w:rFonts w:ascii="Segoe UI" w:hAnsi="Segoe UI" w:cs="Segoe UI"/>
          <w:color w:val="333333"/>
          <w:sz w:val="18"/>
          <w:szCs w:val="18"/>
          <w:shd w:val="clear" w:color="auto" w:fill="FFFFFF"/>
        </w:rPr>
      </w:pPr>
      <w:r w:rsidRPr="00636151">
        <w:rPr>
          <w:rFonts w:ascii="Calibri" w:hAnsi="Calibri" w:cs="Calibri"/>
          <w:sz w:val="20"/>
          <w:szCs w:val="20"/>
        </w:rPr>
        <w:t>Figure B Active regulators for Sustaining Proliferative Signals Cancer Hallmark</w:t>
      </w:r>
      <w:r>
        <w:rPr>
          <w:rFonts w:ascii="Calibri" w:hAnsi="Calibri" w:cs="Calibri"/>
          <w:sz w:val="20"/>
          <w:szCs w:val="20"/>
        </w:rPr>
        <w:t xml:space="preserve"> (</w:t>
      </w:r>
      <w:hyperlink r:id="rId12" w:history="1">
        <w:r w:rsidR="00FD2465" w:rsidRPr="00FD2465">
          <w:rPr>
            <w:rStyle w:val="Hyperlink"/>
            <w:rFonts w:ascii="Calibri" w:hAnsi="Calibri" w:cs="Calibri"/>
            <w:sz w:val="20"/>
            <w:szCs w:val="20"/>
          </w:rPr>
          <w:t>LINK</w:t>
        </w:r>
      </w:hyperlink>
      <w:r>
        <w:rPr>
          <w:rFonts w:ascii="Segoe UI" w:hAnsi="Segoe UI" w:cs="Segoe UI"/>
          <w:color w:val="333333"/>
          <w:sz w:val="18"/>
          <w:szCs w:val="18"/>
          <w:shd w:val="clear" w:color="auto" w:fill="FFFFFF"/>
        </w:rPr>
        <w:t>)</w:t>
      </w:r>
    </w:p>
    <w:p w14:paraId="4364BC9B" w14:textId="77777777" w:rsidR="00FD2465" w:rsidRDefault="00FD2465" w:rsidP="00FD2465">
      <w:pPr>
        <w:spacing w:afterLines="40" w:after="96" w:line="360" w:lineRule="auto"/>
        <w:rPr>
          <w:rFonts w:ascii="Segoe UI" w:eastAsia="Times New Roman" w:hAnsi="Segoe UI" w:cs="Segoe UI"/>
          <w:color w:val="333333"/>
          <w:sz w:val="18"/>
          <w:szCs w:val="18"/>
        </w:rPr>
      </w:pPr>
      <w:r w:rsidRPr="00636151">
        <w:rPr>
          <w:rFonts w:ascii="Segoe UI" w:eastAsia="Times New Roman" w:hAnsi="Segoe UI" w:cs="Segoe UI"/>
          <w:color w:val="333333"/>
          <w:sz w:val="18"/>
          <w:szCs w:val="18"/>
        </w:rPr>
        <w:t>Figure B Top Active Regulators</w:t>
      </w:r>
      <w:r>
        <w:rPr>
          <w:rFonts w:ascii="Segoe UI" w:eastAsia="Times New Roman" w:hAnsi="Segoe UI" w:cs="Segoe UI"/>
          <w:color w:val="333333"/>
          <w:sz w:val="18"/>
          <w:szCs w:val="18"/>
        </w:rPr>
        <w:t xml:space="preserve"> (</w:t>
      </w:r>
      <w:hyperlink r:id="rId13" w:history="1">
        <w:r w:rsidRPr="00FD2465">
          <w:rPr>
            <w:rStyle w:val="Hyperlink"/>
            <w:rFonts w:ascii="Segoe UI" w:eastAsia="Times New Roman" w:hAnsi="Segoe UI" w:cs="Segoe UI"/>
            <w:sz w:val="18"/>
            <w:szCs w:val="18"/>
          </w:rPr>
          <w:t>LINK</w:t>
        </w:r>
      </w:hyperlink>
      <w:r>
        <w:rPr>
          <w:rFonts w:ascii="Segoe UI" w:eastAsia="Times New Roman" w:hAnsi="Segoe UI" w:cs="Segoe UI"/>
          <w:color w:val="333333"/>
          <w:sz w:val="18"/>
          <w:szCs w:val="18"/>
        </w:rPr>
        <w:t>)</w:t>
      </w:r>
    </w:p>
    <w:p w14:paraId="204F4B69" w14:textId="64AFB2A1" w:rsidR="00FD2465" w:rsidRPr="00FD2465" w:rsidRDefault="00636151" w:rsidP="00FD2465">
      <w:pPr>
        <w:spacing w:afterLines="40" w:after="96" w:line="360" w:lineRule="auto"/>
        <w:rPr>
          <w:rFonts w:ascii="Segoe UI" w:eastAsia="Times New Roman" w:hAnsi="Segoe UI" w:cs="Segoe UI"/>
          <w:color w:val="333333"/>
          <w:sz w:val="18"/>
          <w:szCs w:val="18"/>
        </w:rPr>
      </w:pPr>
      <w:r w:rsidRPr="00636151">
        <w:rPr>
          <w:rFonts w:ascii="Calibri" w:hAnsi="Calibri" w:cs="Calibri"/>
          <w:sz w:val="20"/>
          <w:szCs w:val="20"/>
        </w:rPr>
        <w:t>Figure E Inactive regulators in NOTCH signaling</w:t>
      </w:r>
      <w:r>
        <w:rPr>
          <w:rFonts w:ascii="Calibri" w:hAnsi="Calibri" w:cs="Calibri"/>
          <w:sz w:val="20"/>
          <w:szCs w:val="20"/>
        </w:rPr>
        <w:t xml:space="preserve"> (</w:t>
      </w:r>
      <w:hyperlink r:id="rId14" w:history="1">
        <w:r w:rsidR="00FD2465" w:rsidRPr="00FD2465">
          <w:rPr>
            <w:rStyle w:val="Hyperlink"/>
            <w:rFonts w:ascii="Calibri" w:hAnsi="Calibri" w:cs="Calibri"/>
            <w:sz w:val="20"/>
            <w:szCs w:val="20"/>
          </w:rPr>
          <w:t>LINK</w:t>
        </w:r>
      </w:hyperlink>
      <w:r>
        <w:rPr>
          <w:rFonts w:ascii="Segoe UI" w:eastAsia="Times New Roman" w:hAnsi="Segoe UI" w:cs="Segoe UI"/>
          <w:color w:val="333333"/>
          <w:sz w:val="18"/>
          <w:szCs w:val="18"/>
        </w:rPr>
        <w:t>)</w:t>
      </w:r>
    </w:p>
    <w:p w14:paraId="082DA567" w14:textId="77777777" w:rsidR="00FD2465" w:rsidRDefault="00636151" w:rsidP="00FD2465">
      <w:pPr>
        <w:spacing w:afterLines="40" w:after="96" w:line="360" w:lineRule="auto"/>
        <w:rPr>
          <w:rFonts w:ascii="Segoe UI" w:hAnsi="Segoe UI" w:cs="Segoe UI"/>
          <w:color w:val="333333"/>
          <w:sz w:val="18"/>
          <w:szCs w:val="18"/>
          <w:shd w:val="clear" w:color="auto" w:fill="FFFFFF"/>
        </w:rPr>
      </w:pPr>
      <w:r w:rsidRPr="00636151">
        <w:rPr>
          <w:rFonts w:ascii="Segoe UI" w:hAnsi="Segoe UI" w:cs="Segoe UI"/>
          <w:color w:val="333333"/>
          <w:sz w:val="18"/>
          <w:szCs w:val="18"/>
          <w:shd w:val="clear" w:color="auto" w:fill="FFFFFF"/>
        </w:rPr>
        <w:t>Figure D Combined pathway of top regulators and mutated genes</w:t>
      </w:r>
      <w:r>
        <w:rPr>
          <w:rFonts w:ascii="Segoe UI" w:hAnsi="Segoe UI" w:cs="Segoe UI"/>
          <w:color w:val="333333"/>
          <w:sz w:val="18"/>
          <w:szCs w:val="18"/>
          <w:shd w:val="clear" w:color="auto" w:fill="FFFFFF"/>
        </w:rPr>
        <w:t xml:space="preserve"> (</w:t>
      </w:r>
      <w:hyperlink r:id="rId15" w:history="1">
        <w:r w:rsidR="00FD2465" w:rsidRPr="00FD2465">
          <w:rPr>
            <w:rStyle w:val="Hyperlink"/>
            <w:rFonts w:ascii="Segoe UI" w:hAnsi="Segoe UI" w:cs="Segoe UI"/>
            <w:sz w:val="18"/>
            <w:szCs w:val="18"/>
            <w:shd w:val="clear" w:color="auto" w:fill="FFFFFF"/>
          </w:rPr>
          <w:t>LINK</w:t>
        </w:r>
      </w:hyperlink>
      <w:r>
        <w:rPr>
          <w:rFonts w:ascii="Segoe UI" w:hAnsi="Segoe UI" w:cs="Segoe UI"/>
          <w:color w:val="333333"/>
          <w:sz w:val="18"/>
          <w:szCs w:val="18"/>
          <w:shd w:val="clear" w:color="auto" w:fill="FFFFFF"/>
        </w:rPr>
        <w:t>)</w:t>
      </w:r>
    </w:p>
    <w:p w14:paraId="7A6ECCFB" w14:textId="77777777" w:rsidR="00FD2465" w:rsidRDefault="00636151" w:rsidP="00FD2465">
      <w:pPr>
        <w:spacing w:afterLines="40" w:after="96" w:line="360" w:lineRule="auto"/>
        <w:rPr>
          <w:rFonts w:ascii="Segoe UI" w:hAnsi="Segoe UI" w:cs="Segoe UI"/>
          <w:color w:val="333333"/>
          <w:sz w:val="18"/>
          <w:szCs w:val="18"/>
          <w:shd w:val="clear" w:color="auto" w:fill="FFFFFF"/>
        </w:rPr>
      </w:pPr>
      <w:r w:rsidRPr="00636151">
        <w:rPr>
          <w:rFonts w:ascii="Segoe UI" w:eastAsia="Times New Roman" w:hAnsi="Segoe UI" w:cs="Segoe UI"/>
          <w:color w:val="333333"/>
          <w:sz w:val="18"/>
          <w:szCs w:val="18"/>
        </w:rPr>
        <w:t>Figure D Combined pathway for top regulators and TP53</w:t>
      </w:r>
      <w:r>
        <w:rPr>
          <w:rFonts w:ascii="Segoe UI" w:eastAsia="Times New Roman" w:hAnsi="Segoe UI" w:cs="Segoe UI"/>
          <w:color w:val="333333"/>
          <w:sz w:val="18"/>
          <w:szCs w:val="18"/>
        </w:rPr>
        <w:t xml:space="preserve"> (</w:t>
      </w:r>
      <w:hyperlink r:id="rId16" w:history="1">
        <w:r w:rsidR="00FD2465" w:rsidRPr="00FD2465">
          <w:rPr>
            <w:rStyle w:val="Hyperlink"/>
            <w:rFonts w:ascii="Segoe UI" w:eastAsia="Times New Roman" w:hAnsi="Segoe UI" w:cs="Segoe UI"/>
            <w:sz w:val="18"/>
            <w:szCs w:val="18"/>
          </w:rPr>
          <w:t>LINK</w:t>
        </w:r>
      </w:hyperlink>
      <w:r>
        <w:rPr>
          <w:rFonts w:ascii="Segoe UI" w:hAnsi="Segoe UI" w:cs="Segoe UI"/>
          <w:color w:val="333333"/>
          <w:sz w:val="18"/>
          <w:szCs w:val="18"/>
          <w:shd w:val="clear" w:color="auto" w:fill="FFFFFF"/>
        </w:rPr>
        <w:t>)</w:t>
      </w:r>
    </w:p>
    <w:p w14:paraId="19D7AF1F" w14:textId="77777777" w:rsidR="00FD2465" w:rsidRDefault="00636151" w:rsidP="00FD2465">
      <w:pPr>
        <w:spacing w:afterLines="40" w:after="96" w:line="360" w:lineRule="auto"/>
        <w:rPr>
          <w:rFonts w:ascii="Segoe UI" w:hAnsi="Segoe UI" w:cs="Segoe UI"/>
          <w:color w:val="333333"/>
          <w:sz w:val="18"/>
          <w:szCs w:val="18"/>
          <w:shd w:val="clear" w:color="auto" w:fill="FFFFFF"/>
        </w:rPr>
      </w:pPr>
      <w:r w:rsidRPr="00636151">
        <w:rPr>
          <w:rFonts w:ascii="Segoe UI" w:eastAsia="Times New Roman" w:hAnsi="Segoe UI" w:cs="Segoe UI"/>
          <w:color w:val="333333"/>
          <w:sz w:val="18"/>
          <w:szCs w:val="18"/>
        </w:rPr>
        <w:t>Figure F TP53 dependent targets in DIPG</w:t>
      </w:r>
      <w:r>
        <w:rPr>
          <w:rFonts w:ascii="Segoe UI" w:eastAsia="Times New Roman" w:hAnsi="Segoe UI" w:cs="Segoe UI"/>
          <w:color w:val="333333"/>
          <w:sz w:val="18"/>
          <w:szCs w:val="18"/>
        </w:rPr>
        <w:t xml:space="preserve"> (</w:t>
      </w:r>
      <w:hyperlink r:id="rId17" w:history="1">
        <w:r w:rsidR="00FD2465" w:rsidRPr="00FD2465">
          <w:rPr>
            <w:rStyle w:val="Hyperlink"/>
            <w:rFonts w:ascii="Segoe UI" w:eastAsia="Times New Roman" w:hAnsi="Segoe UI" w:cs="Segoe UI"/>
            <w:sz w:val="18"/>
            <w:szCs w:val="18"/>
          </w:rPr>
          <w:t>LINK</w:t>
        </w:r>
      </w:hyperlink>
      <w:r>
        <w:rPr>
          <w:rFonts w:ascii="Segoe UI" w:eastAsia="Times New Roman" w:hAnsi="Segoe UI" w:cs="Segoe UI"/>
          <w:color w:val="333333"/>
          <w:sz w:val="18"/>
          <w:szCs w:val="18"/>
        </w:rPr>
        <w:t>)</w:t>
      </w:r>
    </w:p>
    <w:p w14:paraId="742EF5B8" w14:textId="2124BF9D" w:rsidR="00636151" w:rsidRDefault="00636151" w:rsidP="00FD2465">
      <w:pPr>
        <w:spacing w:afterLines="40" w:after="96" w:line="360" w:lineRule="auto"/>
        <w:rPr>
          <w:rFonts w:ascii="Segoe UI" w:hAnsi="Segoe UI" w:cs="Segoe UI"/>
          <w:color w:val="333333"/>
          <w:sz w:val="18"/>
          <w:szCs w:val="18"/>
          <w:shd w:val="clear" w:color="auto" w:fill="FFFFFF"/>
        </w:rPr>
      </w:pPr>
      <w:r w:rsidRPr="00636151">
        <w:rPr>
          <w:rFonts w:ascii="Segoe UI" w:eastAsia="Times New Roman" w:hAnsi="Segoe UI" w:cs="Segoe UI"/>
          <w:color w:val="333333"/>
          <w:sz w:val="18"/>
          <w:szCs w:val="18"/>
        </w:rPr>
        <w:t>Figure I Drugs for mutTP53</w:t>
      </w:r>
      <w:r>
        <w:rPr>
          <w:rFonts w:ascii="Segoe UI" w:eastAsia="Times New Roman" w:hAnsi="Segoe UI" w:cs="Segoe UI"/>
          <w:color w:val="333333"/>
          <w:sz w:val="18"/>
          <w:szCs w:val="18"/>
        </w:rPr>
        <w:t xml:space="preserve"> (</w:t>
      </w:r>
      <w:hyperlink r:id="rId18" w:history="1">
        <w:r w:rsidR="00FD2465" w:rsidRPr="00FD2465">
          <w:rPr>
            <w:rStyle w:val="Hyperlink"/>
            <w:rFonts w:ascii="Segoe UI" w:eastAsia="Times New Roman" w:hAnsi="Segoe UI" w:cs="Segoe UI"/>
            <w:sz w:val="18"/>
            <w:szCs w:val="18"/>
          </w:rPr>
          <w:t>LINK</w:t>
        </w:r>
      </w:hyperlink>
      <w:r>
        <w:rPr>
          <w:rFonts w:ascii="Segoe UI" w:hAnsi="Segoe UI" w:cs="Segoe UI"/>
          <w:color w:val="333333"/>
          <w:sz w:val="18"/>
          <w:szCs w:val="18"/>
          <w:shd w:val="clear" w:color="auto" w:fill="FFFFFF"/>
        </w:rPr>
        <w:t>)</w:t>
      </w:r>
    </w:p>
    <w:sectPr w:rsidR="006361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AB50A2E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523328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1D4"/>
    <w:rsid w:val="000D2CE4"/>
    <w:rsid w:val="001F11D4"/>
    <w:rsid w:val="002F4EB9"/>
    <w:rsid w:val="004950F3"/>
    <w:rsid w:val="00636151"/>
    <w:rsid w:val="00655EEB"/>
    <w:rsid w:val="006A01F4"/>
    <w:rsid w:val="006D29D7"/>
    <w:rsid w:val="00780D3E"/>
    <w:rsid w:val="008B1B9D"/>
    <w:rsid w:val="00934A9A"/>
    <w:rsid w:val="00B4163B"/>
    <w:rsid w:val="00C07990"/>
    <w:rsid w:val="00CB7574"/>
    <w:rsid w:val="00CE6862"/>
    <w:rsid w:val="00D05EB8"/>
    <w:rsid w:val="00D456D2"/>
    <w:rsid w:val="00D679E3"/>
    <w:rsid w:val="00E42799"/>
    <w:rsid w:val="00E813E3"/>
    <w:rsid w:val="00FD2465"/>
    <w:rsid w:val="00FE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1DDC5"/>
  <w15:chartTrackingRefBased/>
  <w15:docId w15:val="{AE56A936-6AFA-430B-8C62-A38CA2365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18BD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18BD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18BD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eastAsia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E18BD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  <w:lang w:eastAsia="en-GB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E18BD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  <w:lang w:eastAsia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18BD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lang w:eastAsia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18BD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GB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18BD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GB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18BD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79E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E18BD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FE18BD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FE18BD"/>
    <w:rPr>
      <w:rFonts w:asciiTheme="majorHAnsi" w:eastAsiaTheme="majorEastAsia" w:hAnsiTheme="majorHAnsi" w:cstheme="majorBidi"/>
      <w:b/>
      <w:bCs/>
      <w:color w:val="000000" w:themeColor="text1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FE18BD"/>
    <w:rPr>
      <w:rFonts w:asciiTheme="majorHAnsi" w:eastAsiaTheme="majorEastAsia" w:hAnsiTheme="majorHAnsi" w:cstheme="majorBidi"/>
      <w:b/>
      <w:bCs/>
      <w:i/>
      <w:iCs/>
      <w:color w:val="000000" w:themeColor="text1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FE18BD"/>
    <w:rPr>
      <w:rFonts w:asciiTheme="majorHAnsi" w:eastAsiaTheme="majorEastAsia" w:hAnsiTheme="majorHAnsi" w:cstheme="majorBidi"/>
      <w:color w:val="323E4F" w:themeColor="text2" w:themeShade="BF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18BD"/>
    <w:rPr>
      <w:rFonts w:asciiTheme="majorHAnsi" w:eastAsiaTheme="majorEastAsia" w:hAnsiTheme="majorHAnsi" w:cstheme="majorBidi"/>
      <w:i/>
      <w:iCs/>
      <w:color w:val="323E4F" w:themeColor="text2" w:themeShade="BF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18BD"/>
    <w:rPr>
      <w:rFonts w:asciiTheme="majorHAnsi" w:eastAsiaTheme="majorEastAsia" w:hAnsiTheme="majorHAnsi" w:cstheme="majorBidi"/>
      <w:i/>
      <w:iCs/>
      <w:color w:val="404040" w:themeColor="text1" w:themeTint="BF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18B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18B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6D29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7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urn:agi-pathway:uuid-3c2068d9-56c3-4aa5-8dbe-9d1b22a338b7=urn:agi-pathway:uuid-bf674c6c-8e41-48ef-be52-dcbc3a817eb1" TargetMode="External"/><Relationship Id="rId13" Type="http://schemas.openxmlformats.org/officeDocument/2006/relationships/hyperlink" Target="urn:agi-pathway:uuid-708ae750-b97f-456f-92e5-8310d99f549c=urn:agi-pathway:uuid-bf674c6c-8e41-48ef-be52-dcbc3a817eb1" TargetMode="External"/><Relationship Id="rId18" Type="http://schemas.openxmlformats.org/officeDocument/2006/relationships/hyperlink" Target="urn:agi-pathway:uuid-708ae750-b97f-456f-92e5-8310d99f549c=urn:agi-pathway:uuid-bf674c6c-8e41-48ef-be52-dcbc3a817eb1" TargetMode="External"/><Relationship Id="rId3" Type="http://schemas.openxmlformats.org/officeDocument/2006/relationships/settings" Target="settings.xml"/><Relationship Id="rId7" Type="http://schemas.openxmlformats.org/officeDocument/2006/relationships/hyperlink" Target="urn:agi-pathway:uuid-9e8cf494-1124-4d5e-bf04-b94efaf3f7b7=urn:agi-pathway:uuid-bf674c6c-8e41-48ef-be52-dcbc3a817eb1" TargetMode="External"/><Relationship Id="rId12" Type="http://schemas.openxmlformats.org/officeDocument/2006/relationships/hyperlink" Target="urn:agi-pathway:uuid-a0c8dc55-2c46-4ac2-bad4-2e0afafac1a6=urn:agi-pathway:uuid-bf674c6c-8e41-48ef-be52-dcbc3a817eb1" TargetMode="External"/><Relationship Id="rId17" Type="http://schemas.openxmlformats.org/officeDocument/2006/relationships/hyperlink" Target="urn:agi-pathway:uuid-7e96084b-04c4-40ce-8b1e-e8873ec0efa5=urn:agi-pathway:uuid-bf674c6c-8e41-48ef-be52-dcbc3a817eb1" TargetMode="External"/><Relationship Id="rId2" Type="http://schemas.openxmlformats.org/officeDocument/2006/relationships/styles" Target="styles.xml"/><Relationship Id="rId16" Type="http://schemas.openxmlformats.org/officeDocument/2006/relationships/hyperlink" Target="urn:agi-pathway:uuid-667e8f3d-b507-40ab-b32a-22fbde90a917=urn:agi-pathway:uuid-bf674c6c-8e41-48ef-be52-dcbc3a817eb1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urn:agi-pathway:uuid-2219d440-7237-4d5c-966c-9b08f3c58ff4=urn:agi-pathway:uuid-bf674c6c-8e41-48ef-be52-dcbc3a817eb1" TargetMode="External"/><Relationship Id="rId11" Type="http://schemas.openxmlformats.org/officeDocument/2006/relationships/hyperlink" Target="urn:agi-pathway:uuid-8008c83f-8e62-472e-aca9-c8b55df84c22=urn:agi-pathway:uuid-bf674c6c-8e41-48ef-be52-dcbc3a817eb1" TargetMode="External"/><Relationship Id="rId5" Type="http://schemas.openxmlformats.org/officeDocument/2006/relationships/hyperlink" Target="urn:agi-pathway:uuid-8980090e-f57e-4691-801d-692690e8ece4=urn:agi-pathway:uuid-bf674c6c-8e41-48ef-be52-dcbc3a817eb1" TargetMode="External"/><Relationship Id="rId15" Type="http://schemas.openxmlformats.org/officeDocument/2006/relationships/hyperlink" Target="urn:agi-pathway:uuid-9992fec7-2261-400f-9341-4ae24d1904d9=urn:agi-pathway:uuid-bf674c6c-8e41-48ef-be52-dcbc3a817eb1" TargetMode="External"/><Relationship Id="rId10" Type="http://schemas.openxmlformats.org/officeDocument/2006/relationships/hyperlink" Target="urn:agi-pathway:uuid-2a91e8ad-945b-4269-86d8-2c00dc40494a=urn:agi-pathway:uuid-bf674c6c-8e41-48ef-be52-dcbc3a817eb1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urn:agi-pathway:uuid-2a54012d-a342-487c-8950-869872043a0b=urn:agi-pathway:uuid-bf674c6c-8e41-48ef-be52-dcbc3a817eb1" TargetMode="External"/><Relationship Id="rId14" Type="http://schemas.openxmlformats.org/officeDocument/2006/relationships/hyperlink" Target="urn:agi-pathway:uuid-b07f82d4-09a6-4705-8c69-db5d0a2e9b49=urn:agi-pathway:uuid-bf674c6c-8e41-48ef-be52-dcbc3a817eb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Nesterova</dc:creator>
  <cp:keywords/>
  <dc:description/>
  <cp:lastModifiedBy>Anastasia Nesterova</cp:lastModifiedBy>
  <cp:revision>6</cp:revision>
  <dcterms:created xsi:type="dcterms:W3CDTF">2022-04-13T20:11:00Z</dcterms:created>
  <dcterms:modified xsi:type="dcterms:W3CDTF">2022-04-27T00:15:00Z</dcterms:modified>
</cp:coreProperties>
</file>