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965D" w14:textId="77777777" w:rsidR="00CB6DDD" w:rsidRPr="00CD5172" w:rsidRDefault="00CB6DDD" w:rsidP="00CD5172">
      <w:pPr>
        <w:jc w:val="both"/>
        <w:rPr>
          <w:rFonts w:asciiTheme="minorHAnsi" w:hAnsiTheme="minorHAnsi" w:cstheme="minorHAnsi"/>
          <w:b/>
        </w:rPr>
      </w:pPr>
      <w:bookmarkStart w:id="0" w:name="_GoBack"/>
      <w:bookmarkEnd w:id="0"/>
    </w:p>
    <w:p w14:paraId="5F368738" w14:textId="77777777" w:rsidR="00CB6DDD" w:rsidRPr="00CD5172" w:rsidRDefault="00CB6DDD" w:rsidP="00CD5172">
      <w:pPr>
        <w:jc w:val="both"/>
        <w:rPr>
          <w:rFonts w:asciiTheme="minorHAnsi" w:hAnsiTheme="minorHAnsi" w:cstheme="minorHAnsi"/>
          <w:b/>
        </w:rPr>
      </w:pPr>
    </w:p>
    <w:p w14:paraId="5AE9C53B" w14:textId="7510C462" w:rsidR="002126EE" w:rsidRPr="00CD5172" w:rsidRDefault="002126EE" w:rsidP="00CD5172">
      <w:pPr>
        <w:jc w:val="both"/>
        <w:rPr>
          <w:rFonts w:asciiTheme="minorHAnsi" w:hAnsiTheme="minorHAnsi" w:cstheme="minorHAnsi"/>
          <w:b/>
        </w:rPr>
      </w:pPr>
      <w:r w:rsidRPr="00CD5172">
        <w:rPr>
          <w:rFonts w:asciiTheme="minorHAnsi" w:hAnsiTheme="minorHAnsi" w:cstheme="minorHAnsi"/>
          <w:b/>
        </w:rPr>
        <w:t>The burden of RSV-associated illness in</w:t>
      </w:r>
      <w:r w:rsidR="00237B14" w:rsidRPr="00CD5172">
        <w:rPr>
          <w:rFonts w:asciiTheme="minorHAnsi" w:hAnsiTheme="minorHAnsi" w:cstheme="minorHAnsi"/>
          <w:b/>
        </w:rPr>
        <w:t xml:space="preserve"> children</w:t>
      </w:r>
      <w:r w:rsidR="00713609">
        <w:rPr>
          <w:rFonts w:asciiTheme="minorHAnsi" w:hAnsiTheme="minorHAnsi" w:cstheme="minorHAnsi"/>
          <w:b/>
        </w:rPr>
        <w:t xml:space="preserve"> aged </w:t>
      </w:r>
      <w:r w:rsidR="00237B14" w:rsidRPr="00CD5172">
        <w:rPr>
          <w:rFonts w:asciiTheme="minorHAnsi" w:hAnsiTheme="minorHAnsi" w:cstheme="minorHAnsi"/>
          <w:b/>
        </w:rPr>
        <w:t>&lt;5 years</w:t>
      </w:r>
      <w:r w:rsidR="00713609">
        <w:rPr>
          <w:rFonts w:asciiTheme="minorHAnsi" w:hAnsiTheme="minorHAnsi" w:cstheme="minorHAnsi"/>
          <w:b/>
        </w:rPr>
        <w:t>,</w:t>
      </w:r>
      <w:r w:rsidRPr="00CD5172">
        <w:rPr>
          <w:rFonts w:asciiTheme="minorHAnsi" w:hAnsiTheme="minorHAnsi" w:cstheme="minorHAnsi"/>
          <w:b/>
        </w:rPr>
        <w:t xml:space="preserve"> South Africa, 2011 to 2016</w:t>
      </w:r>
    </w:p>
    <w:p w14:paraId="4806C12D" w14:textId="1CE21D9B" w:rsidR="006B3C27" w:rsidRPr="00CD5172" w:rsidRDefault="006B3C27" w:rsidP="00CD5172">
      <w:pPr>
        <w:jc w:val="both"/>
        <w:rPr>
          <w:rFonts w:asciiTheme="minorHAnsi" w:hAnsiTheme="minorHAnsi" w:cstheme="minorHAnsi"/>
          <w:b/>
        </w:rPr>
      </w:pPr>
      <w:r w:rsidRPr="00CD5172">
        <w:rPr>
          <w:rFonts w:asciiTheme="minorHAnsi" w:hAnsiTheme="minorHAnsi" w:cstheme="minorHAnsi"/>
          <w:b/>
        </w:rPr>
        <w:t>Supplementary material</w:t>
      </w:r>
    </w:p>
    <w:p w14:paraId="591AD7F9" w14:textId="77777777" w:rsidR="00CB6DDD" w:rsidRPr="00CD5172" w:rsidRDefault="00CB6DDD" w:rsidP="00CD5172">
      <w:pPr>
        <w:jc w:val="both"/>
        <w:rPr>
          <w:rFonts w:asciiTheme="minorHAnsi" w:hAnsiTheme="minorHAnsi" w:cstheme="minorHAnsi"/>
          <w:b/>
        </w:rPr>
      </w:pPr>
    </w:p>
    <w:p w14:paraId="078A6E02" w14:textId="3988160F" w:rsidR="00A7751A" w:rsidRPr="00CD5172" w:rsidRDefault="00A7751A" w:rsidP="00CD5172">
      <w:pPr>
        <w:jc w:val="both"/>
        <w:rPr>
          <w:rFonts w:asciiTheme="minorHAnsi" w:hAnsiTheme="minorHAnsi" w:cstheme="minorHAnsi"/>
          <w:b/>
        </w:rPr>
      </w:pPr>
      <w:r w:rsidRPr="00CD5172">
        <w:rPr>
          <w:rFonts w:asciiTheme="minorHAnsi" w:hAnsiTheme="minorHAnsi" w:cstheme="minorHAnsi"/>
          <w:b/>
        </w:rPr>
        <w:t xml:space="preserve">Methods </w:t>
      </w:r>
    </w:p>
    <w:p w14:paraId="09684F23" w14:textId="001A6573" w:rsidR="00A7751A" w:rsidRPr="00CD5172" w:rsidRDefault="00A7751A" w:rsidP="00CD5172">
      <w:pPr>
        <w:jc w:val="both"/>
        <w:rPr>
          <w:rFonts w:asciiTheme="minorHAnsi" w:hAnsiTheme="minorHAnsi" w:cstheme="minorHAnsi"/>
          <w:b/>
        </w:rPr>
      </w:pPr>
    </w:p>
    <w:p w14:paraId="789F4821" w14:textId="238E70D1" w:rsidR="00770C99" w:rsidRPr="00CD5172" w:rsidRDefault="00770C99" w:rsidP="00CD5172">
      <w:pPr>
        <w:jc w:val="both"/>
        <w:rPr>
          <w:rFonts w:asciiTheme="minorHAnsi" w:hAnsiTheme="minorHAnsi" w:cstheme="minorHAnsi"/>
        </w:rPr>
      </w:pPr>
      <w:r w:rsidRPr="00CD5172">
        <w:rPr>
          <w:rFonts w:asciiTheme="minorHAnsi" w:hAnsiTheme="minorHAnsi" w:cstheme="minorHAnsi"/>
        </w:rPr>
        <w:t xml:space="preserve">The procedures of </w:t>
      </w:r>
      <w:r w:rsidR="00B753F3" w:rsidRPr="00CD5172">
        <w:rPr>
          <w:rFonts w:asciiTheme="minorHAnsi" w:hAnsiTheme="minorHAnsi" w:cstheme="minorHAnsi"/>
        </w:rPr>
        <w:t>this</w:t>
      </w:r>
      <w:r w:rsidRPr="00CD5172">
        <w:rPr>
          <w:rFonts w:asciiTheme="minorHAnsi" w:hAnsiTheme="minorHAnsi" w:cstheme="minorHAnsi"/>
        </w:rPr>
        <w:t xml:space="preserve"> surveillance system have been described i</w:t>
      </w:r>
      <w:r w:rsidR="008B3343" w:rsidRPr="00CD5172">
        <w:rPr>
          <w:rFonts w:asciiTheme="minorHAnsi" w:hAnsiTheme="minorHAnsi" w:cstheme="minorHAnsi"/>
        </w:rPr>
        <w:t>n detail in previous publication</w:t>
      </w:r>
      <w:r w:rsidRPr="00CD5172">
        <w:rPr>
          <w:rFonts w:asciiTheme="minorHAnsi" w:hAnsiTheme="minorHAnsi" w:cstheme="minorHAnsi"/>
        </w:rPr>
        <w:t>s</w:t>
      </w:r>
      <w:r w:rsidR="006B3C27" w:rsidRPr="00CD5172">
        <w:rPr>
          <w:rFonts w:asciiTheme="minorHAnsi" w:hAnsiTheme="minorHAnsi" w:cstheme="minorHAnsi"/>
        </w:rPr>
        <w:fldChar w:fldCharType="begin" w:fldLock="1"/>
      </w:r>
      <w:r w:rsidR="006B3C27" w:rsidRPr="00CD5172">
        <w:rPr>
          <w:rFonts w:asciiTheme="minorHAnsi" w:hAnsiTheme="minorHAnsi" w:cstheme="minorHAnsi"/>
        </w:rPr>
        <w:instrText>ADDIN CSL_CITATION {"citationItems":[{"id":"ITEM-1","itemData":{"DOI":"10.3201/eid1911.130546","ISSN":"1080-6059","PMID":"24209781","abstract":"Data on influenza epidemiology in HIV-infected persons are limited, particularly for sub-Saharan Africa, where HIV infection is widespread. We tested respiratory and blood samples from patients with acute lower respiratory tract infections hospitalized in South Africa during 2009-2011 for viral and pneumococcal infections. Influenza was identified in 9% (1,056/11,925) of patients enrolled; among influenza case-patients, 358 (44%) of the 819 who were tested were infected with HIV. Influenza-associated acute lower respiratory tract infection incidence was 4-8 times greater for HIV-infected (186-228/100,000) than for HIV-uninfected persons (26-54/100,000). Furthermore, multivariable analysis showed HIV-infected patients were more likely to have pneumococcal co-infection; to be infected with influenza type B compared with type A; to be hospitalized for 2-7 days or &gt;7 days; and to die from their illness. These findings indicate that HIV-infected persons are at greater risk for severe illnesses related to influenza and thus should be prioritized for influenza vaccination.","author":[{"dropping-particle":"","family":"Cohen","given":"Cheryl","non-dropping-particle":"","parse-names":false,"suffix":""},{"dropping-particle":"","family":"Moyes","given":"Jocelyn","non-dropping-particle":"","parse-names":false,"suffix":""},{"dropping-particle":"","family":"Tempia","given":"Stefano","non-dropping-particle":"","parse-names":false,"suffix":""},{"dropping-particle":"","family":"Groom","given":"Michelle","non-dropping-particle":"","parse-names":false,"suffix":""},{"dropping-particle":"","family":"Walaza","given":"Sibongile","non-dropping-particle":"","parse-names":false,"suffix":""},{"dropping-particle":"","family":"Pretorius","given":"Marthi","non-dropping-particle":"","parse-names":false,"suffix":""},{"dropping-particle":"","family":"Dawood","given":"Halima","non-dropping-particle":"","parse-names":false,"suffix":""},{"dropping-particle":"","family":"Chhagan","given":"Meera","non-dropping-particle":"","parse-names":false,"suffix":""},{"dropping-particle":"","family":"Haffejee","given":"Summaya","non-dropping-particle":"","parse-names":false,"suffix":""},{"dropping-particle":"","family":"Variava","given":"Ebrahim","non-dropping-particle":"","parse-names":false,"suffix":""},{"dropping-particle":"","family":"Kahn","given":"Kathleen","non-dropping-particle":"","parse-names":false,"suffix":""},{"dropping-particle":"","family":"Tshangela","given":"Akhona","non-dropping-particle":"","parse-names":false,"suffix":""},{"dropping-particle":"","family":"Gottberg","given":"Anne","non-dropping-particle":"von","parse-names":false,"suffix":""},{"dropping-particle":"","family":"Wolter","given":"Nicole","non-dropping-particle":"","parse-names":false,"suffix":""},{"dropping-particle":"","family":"Cohen","given":"Adam L","non-dropping-particle":"","parse-names":false,"suffix":""},{"dropping-particle":"","family":"Kgokong","given":"Babatyi","non-dropping-particle":"","parse-names":false,"suffix":""},{"dropping-particle":"","family":"Venter","given":"Marietjie","non-dropping-particle":"","parse-names":false,"suffix":""},{"dropping-particle":"","family":"Madhi","given":"Shabir A","non-dropping-particle":"","parse-names":false,"suffix":""}],"container-title":"Emerging infectious diseases","id":"ITEM-1","issue":"11","issued":{"date-parts":[["2013","11"]]},"page":"1766-74","title":"Severe influenza-associated respiratory infection in high HIV prevalence setting, South Africa, 2009-2011.","type":"article-journal","volume":"19"},"uris":["http://www.mendeley.com/documents/?uuid=bf54dc72-6852-3dae-8b3f-1116e133debe"]}],"mendeley":{"formattedCitation":"&lt;sup&gt;1&lt;/sup&gt;","plainTextFormattedCitation":"1","previouslyFormattedCitation":"&lt;sup&gt;1&lt;/sup&gt;"},"properties":{"noteIndex":0},"schema":"https://github.com/citation-style-language/schema/raw/master/csl-citation.json"}</w:instrText>
      </w:r>
      <w:r w:rsidR="006B3C27" w:rsidRPr="00CD5172">
        <w:rPr>
          <w:rFonts w:asciiTheme="minorHAnsi" w:hAnsiTheme="minorHAnsi" w:cstheme="minorHAnsi"/>
        </w:rPr>
        <w:fldChar w:fldCharType="separate"/>
      </w:r>
      <w:r w:rsidR="006B3C27" w:rsidRPr="00CD5172">
        <w:rPr>
          <w:rFonts w:asciiTheme="minorHAnsi" w:hAnsiTheme="minorHAnsi" w:cstheme="minorHAnsi"/>
          <w:noProof/>
          <w:vertAlign w:val="superscript"/>
        </w:rPr>
        <w:t>1</w:t>
      </w:r>
      <w:r w:rsidR="006B3C27" w:rsidRPr="00CD5172">
        <w:rPr>
          <w:rFonts w:asciiTheme="minorHAnsi" w:hAnsiTheme="minorHAnsi" w:cstheme="minorHAnsi"/>
        </w:rPr>
        <w:fldChar w:fldCharType="end"/>
      </w:r>
      <w:r w:rsidR="006B3C27" w:rsidRPr="00CD5172">
        <w:rPr>
          <w:rFonts w:asciiTheme="minorHAnsi" w:hAnsiTheme="minorHAnsi" w:cstheme="minorHAnsi"/>
          <w:vertAlign w:val="superscript"/>
        </w:rPr>
        <w:t>,</w:t>
      </w:r>
      <w:r w:rsidR="006B3C27" w:rsidRPr="00CD5172">
        <w:rPr>
          <w:rFonts w:asciiTheme="minorHAnsi" w:hAnsiTheme="minorHAnsi" w:cstheme="minorHAnsi"/>
          <w:vertAlign w:val="superscript"/>
        </w:rPr>
        <w:fldChar w:fldCharType="begin" w:fldLock="1"/>
      </w:r>
      <w:r w:rsidR="006B3C27" w:rsidRPr="00CD5172">
        <w:rPr>
          <w:rFonts w:asciiTheme="minorHAnsi" w:hAnsiTheme="minorHAnsi" w:cstheme="minorHAnsi"/>
          <w:vertAlign w:val="superscript"/>
        </w:rPr>
        <w:instrText>ADDIN CSL_CITATION {"citationItems":[{"id":"ITEM-1","itemData":{"DOI":"10.1093/infdis/jit479","ISSN":"1537-6613","PMID":"24265481","abstract":"BACKGROUND There are limited data on respiratory syncytial virus (RSV) infection among children in settings with a high prevalence of human immunodeficiency virus (HIV). We studied the epidemiology of RSV-associated acute lower respiratory tract infection (ALRTI) hospitalizations among HIV-infected and HIV-uninfected children in South Africa. METHODS Children aged &lt;5 years admitted to sentinel surveillance hospitals with physician-diagnosed neonatal sepsis or ALRTI were enrolled. Nasopharyngeal aspirates were tested by multiplex real-time polymerase chain reaction assays for RSV and other viruses. Associations between possible risk factors and severe outcomes for RSV infection among HIV-infected and uninfected children were examined. The relative risk of hospitalization in HIV-infected and HIV-uninfected children was calculated in 1 site with population denominators. RESULTS Of 4489 participants, 4293 (96%) were tested for RSV, of whom 1157 (27%) tested positive. With adjustment for age, HIV-infected children had a 3-5-fold increased risk of hospitalization with RSV-associated ALRTI (2010 relative risk, 5.6; [95% confidence interval (CI), 4.5-6.4]; 2011 relative risk, 3.1 [95% CI, 2.6-3.6]). On multivariable analysis, HIV-infected children with RSV-associated ALRTI had higher odds of death (adjusted odds ratio. 31.1; 95% CI, 5.4-179.8) and hospitalization for &gt;5 days (adjusted odds ratio, 4.0; 95% CI, 1.5-10.6) than HIV-uninfected children. CONCLUSION HIV-infected children have a higher risk of hospitalization with RSV-associated ALRTI and a poorer outcome than HIV-uninfected children. These children should be targeted for interventions aimed at preventing severe RSV disease.","author":[{"dropping-particle":"","family":"Moyes","given":"Jocelyn","non-dropping-particle":"","parse-names":false,"suffix":""},{"dropping-particle":"","family":"Cohen","given":"Cheryl","non-dropping-particle":"","parse-names":false,"suffix":""},{"dropping-particle":"","family":"Pretorius","given":"Marthi","non-dropping-particle":"","parse-names":false,"suffix":""},{"dropping-particle":"","family":"Groome","given":"Michelle","non-dropping-particle":"","parse-names":false,"suffix":""},{"dropping-particle":"","family":"Gottberg","given":"Anne","non-dropping-particle":"von","parse-names":false,"suffix":""},{"dropping-particle":"","family":"Wolter","given":"Nicole","non-dropping-particle":"","parse-names":false,"suffix":""},{"dropping-particle":"","family":"Walaza","given":"Sibongile","non-dropping-particle":"","parse-names":false,"suffix":""},{"dropping-particle":"","family":"Haffejee","given":"Sumayya","non-dropping-particle":"","parse-names":false,"suffix":""},{"dropping-particle":"","family":"Chhagan","given":"Meera","non-dropping-particle":"","parse-names":false,"suffix":""},{"dropping-particle":"","family":"Naby","given":"Fathima","non-dropping-particle":"","parse-names":false,"suffix":""},{"dropping-particle":"","family":"Cohen","given":"Adam L","non-dropping-particle":"","parse-names":false,"suffix":""},{"dropping-particle":"","family":"Tempia","given":"Stefano","non-dropping-particle":"","parse-names":false,"suffix":""},{"dropping-particle":"","family":"Kahn","given":"Kathleen","non-dropping-particle":"","parse-names":false,"suffix":""},{"dropping-particle":"","family":"Dawood","given":"Halima","non-dropping-particle":"","parse-names":false,"suffix":""},{"dropping-particle":"","family":"Venter","given":"Marietjie","non-dropping-particle":"","parse-names":false,"suffix":""},{"dropping-particle":"","family":"Madhi","given":"Shabir A","non-dropping-particle":"","parse-names":false,"suffix":""},{"dropping-particle":"","family":"South African Severe Acute Respiratory Illness Surveillance Group","given":"","non-dropping-particle":"","parse-names":false,"suffix":""}],"container-title":"The Journal of infectious diseases","id":"ITEM-1","issue":"suppl 3","issued":{"date-parts":[["2013","12","15"]]},"page":"S217-26","title":"Epidemiology of respiratory syncytial virus-associated acute lower respiratory tract infection hospitalizations among HIV-infected and HIV-uninfected South African children, 2010-2011.","type":"article-journal","volume":"208 Suppl 3"},"uris":["http://www.mendeley.com/documents/?uuid=2e0284c7-9702-3c5f-a5bc-2f5552a3a5b1"]}],"mendeley":{"formattedCitation":"&lt;sup&gt;2&lt;/sup&gt;","plainTextFormattedCitation":"2","previouslyFormattedCitation":"&lt;sup&gt;2&lt;/sup&gt;"},"properties":{"noteIndex":0},"schema":"https://github.com/citation-style-language/schema/raw/master/csl-citation.json"}</w:instrText>
      </w:r>
      <w:r w:rsidR="006B3C27" w:rsidRPr="00CD5172">
        <w:rPr>
          <w:rFonts w:asciiTheme="minorHAnsi" w:hAnsiTheme="minorHAnsi" w:cstheme="minorHAnsi"/>
          <w:vertAlign w:val="superscript"/>
        </w:rPr>
        <w:fldChar w:fldCharType="separate"/>
      </w:r>
      <w:r w:rsidR="006B3C27" w:rsidRPr="00CD5172">
        <w:rPr>
          <w:rFonts w:asciiTheme="minorHAnsi" w:hAnsiTheme="minorHAnsi" w:cstheme="minorHAnsi"/>
          <w:noProof/>
          <w:vertAlign w:val="superscript"/>
        </w:rPr>
        <w:t>2</w:t>
      </w:r>
      <w:r w:rsidR="006B3C27" w:rsidRPr="00CD5172">
        <w:rPr>
          <w:rFonts w:asciiTheme="minorHAnsi" w:hAnsiTheme="minorHAnsi" w:cstheme="minorHAnsi"/>
          <w:vertAlign w:val="superscript"/>
        </w:rPr>
        <w:fldChar w:fldCharType="end"/>
      </w:r>
      <w:r w:rsidR="006B3C27" w:rsidRPr="00CD5172">
        <w:rPr>
          <w:rFonts w:asciiTheme="minorHAnsi" w:hAnsiTheme="minorHAnsi" w:cstheme="minorHAnsi"/>
          <w:vertAlign w:val="superscript"/>
        </w:rPr>
        <w:t>,</w:t>
      </w:r>
      <w:r w:rsidR="006B3C27" w:rsidRPr="00CD5172">
        <w:rPr>
          <w:rFonts w:asciiTheme="minorHAnsi" w:hAnsiTheme="minorHAnsi" w:cstheme="minorHAnsi"/>
          <w:vertAlign w:val="superscript"/>
        </w:rPr>
        <w:fldChar w:fldCharType="begin" w:fldLock="1"/>
      </w:r>
      <w:r w:rsidR="006B3C27" w:rsidRPr="00CD5172">
        <w:rPr>
          <w:rFonts w:asciiTheme="minorHAnsi" w:hAnsiTheme="minorHAnsi" w:cstheme="minorHAnsi"/>
          <w:vertAlign w:val="superscript"/>
        </w:rPr>
        <w:instrText>ADDIN CSL_CITATION {"citationItems":[{"id":"ITEM-1","itemData":{"DOI":"10.1093/infdis/jiu326","ISSN":"1537-6613","PMID":"24907383","abstract":"BACKGROUND We identified factors associated with pneumococcal colonization, high colonization density, and invasive pneumococcal pneumonia among patients hospitalized with acute lower respiratory tract infections (ALRTIs). METHODS In 2010, 4025 cases were enrolled in surveillance in South Africa. A total of 969 of 4025 systematically selected nasopharyngeal-oropharyngeal specimens (24%) were tested for respiratory viruses and Streptococcus pneumoniae by real-time polymerase chain reaction. Of these, 749 (77%) had blood tested for S. pneumoniae. RESULTS Pneumococcal colonization was detected in 55% of cases (534 of 969). On multivariable analysis that controlled for age and tuberculosis treatment, infection with influenza virus (adjusted odds ratio [OR], 2.2; 95% confidence interval [CI], 1.1-4.5), adenovirus (adjusted OR, 1.7; 95% CI, 1.1-2.7), rhinovirus (adjusted OR, 1.6; 95% CI, 1.1-2.3), and human immunodeficiency virus (HIV; adjusted OR, 1.6; 95% CI, 1.1-2.4) were associated with pneumococcal colonization. High colonization density was associated with respiratory virus coinfection (adjusted OR, 1.7; 95% CI, 1.1-2.6) and invasive pneumococcal pneumonia (adjusted OR, 2.3; 95% CI, 1.3-4.0), after adjustment for age and sex. Seven percent (52 of 749) had pneumococci detected in blood. On multivariable analysis among colonized cases, invasive pneumococcal pneumonia was associated with HIV (adjusted OR, 3.2; 95% CI, 1.4-7.5), influenza virus (adjusted OR, 8.2; 95% CI, 2.7-25.0), high colonization density (adjusted OR, 18.7; 95% CI, 2.3-155.1), and ≥5 days of hospitalization (adjusted OR, 3.7; 95% CI, 1.7-8.2). CONCLUSIONS Respiratory virus infection was associated with elevated colonization density and, in turn, invasive pneumococcal pneumonia.","author":[{"dropping-particle":"","family":"Wolter","given":"Nicole","non-dropping-particle":"","parse-names":false,"suffix":""},{"dropping-particle":"","family":"Tempia","given":"Stefano","non-dropping-particle":"","parse-names":false,"suffix":""},{"dropping-particle":"","family":"Cohen","given":"Cheryl","non-dropping-particle":"","parse-names":false,"suffix":""},{"dropping-particle":"","family":"Madhi","given":"Shabir A","non-dropping-particle":"","parse-names":false,"suffix":""},{"dropping-particle":"","family":"Venter","given":"Marietjie","non-dropping-particle":"","parse-names":false,"suffix":""},{"dropping-particle":"","family":"Moyes","given":"Jocelyn","non-dropping-particle":"","parse-names":false,"suffix":""},{"dropping-particle":"","family":"Walaza","given":"Sibongile","non-dropping-particle":"","parse-names":false,"suffix":""},{"dropping-particle":"","family":"Malope-Kgokong","given":"Babatyi","non-dropping-particle":"","parse-names":false,"suffix":""},{"dropping-particle":"","family":"Groome","given":"Michelle","non-dropping-particle":"","parse-names":false,"suffix":""},{"dropping-particle":"","family":"Plessis","given":"Mignon","non-dropping-particle":"du","parse-names":false,"suffix":""},{"dropping-particle":"","family":"Magomani","given":"Victoria","non-dropping-particle":"","parse-names":false,"suffix":""},{"dropping-particle":"","family":"Pretorius","given":"Marthi","non-dropping-particle":"","parse-names":false,"suffix":""},{"dropping-particle":"","family":"Hellferscee","given":"Orienka","non-dropping-particle":"","parse-names":false,"suffix":""},{"dropping-particle":"","family":"Dawood","given":"Halima","non-dropping-particle":"","parse-names":false,"suffix":""},{"dropping-particle":"","family":"Kahn","given":"Kathleen","non-dropping-particle":"","parse-names":false,"suffix":""},{"dropping-particle":"","family":"Variava","given":"Ebrahim","non-dropping-particle":"","parse-names":false,"suffix":""},{"dropping-particle":"","family":"Klugman","given":"Keith P","non-dropping-particle":"","parse-names":false,"suffix":""},{"dropping-particle":"","family":"Gottberg","given":"Anne","non-dropping-particle":"von","parse-names":false,"suffix":""}],"container-title":"The Journal of infectious diseases","id":"ITEM-1","issue":"10","issued":{"date-parts":[["2014","11","15"]]},"page":"1649-57","title":"High nasopharyngeal pneumococcal density, increased by viral coinfection, is associated with invasive pneumococcal pneumonia.","type":"article-journal","volume":"210"},"uris":["http://www.mendeley.com/documents/?uuid=061e32c7-3b37-3bc2-8da4-085ea4ba3b43"]}],"mendeley":{"formattedCitation":"&lt;sup&gt;3&lt;/sup&gt;","plainTextFormattedCitation":"3","previouslyFormattedCitation":"&lt;sup&gt;3&lt;/sup&gt;"},"properties":{"noteIndex":0},"schema":"https://github.com/citation-style-language/schema/raw/master/csl-citation.json"}</w:instrText>
      </w:r>
      <w:r w:rsidR="006B3C27" w:rsidRPr="00CD5172">
        <w:rPr>
          <w:rFonts w:asciiTheme="minorHAnsi" w:hAnsiTheme="minorHAnsi" w:cstheme="minorHAnsi"/>
          <w:vertAlign w:val="superscript"/>
        </w:rPr>
        <w:fldChar w:fldCharType="separate"/>
      </w:r>
      <w:r w:rsidR="006B3C27" w:rsidRPr="00CD5172">
        <w:rPr>
          <w:rFonts w:asciiTheme="minorHAnsi" w:hAnsiTheme="minorHAnsi" w:cstheme="minorHAnsi"/>
          <w:noProof/>
          <w:vertAlign w:val="superscript"/>
        </w:rPr>
        <w:t>3</w:t>
      </w:r>
      <w:r w:rsidR="006B3C27" w:rsidRPr="00CD5172">
        <w:rPr>
          <w:rFonts w:asciiTheme="minorHAnsi" w:hAnsiTheme="minorHAnsi" w:cstheme="minorHAnsi"/>
          <w:vertAlign w:val="superscript"/>
        </w:rPr>
        <w:fldChar w:fldCharType="end"/>
      </w:r>
      <w:r w:rsidR="006B3C27" w:rsidRPr="00CD5172">
        <w:rPr>
          <w:rFonts w:asciiTheme="minorHAnsi" w:hAnsiTheme="minorHAnsi" w:cstheme="minorHAnsi"/>
        </w:rPr>
        <w:t>.</w:t>
      </w:r>
      <w:r w:rsidR="00B753F3" w:rsidRPr="00CD5172">
        <w:rPr>
          <w:rFonts w:asciiTheme="minorHAnsi" w:hAnsiTheme="minorHAnsi" w:cstheme="minorHAnsi"/>
        </w:rPr>
        <w:t xml:space="preserve"> Briefly</w:t>
      </w:r>
      <w:r w:rsidR="00713609">
        <w:rPr>
          <w:rFonts w:asciiTheme="minorHAnsi" w:hAnsiTheme="minorHAnsi" w:cstheme="minorHAnsi"/>
        </w:rPr>
        <w:t>,</w:t>
      </w:r>
      <w:r w:rsidR="00B753F3" w:rsidRPr="00CD5172">
        <w:rPr>
          <w:rFonts w:asciiTheme="minorHAnsi" w:hAnsiTheme="minorHAnsi" w:cstheme="minorHAnsi"/>
        </w:rPr>
        <w:t xml:space="preserve"> dedicated </w:t>
      </w:r>
      <w:r w:rsidR="00323FE4" w:rsidRPr="00CD5172">
        <w:rPr>
          <w:rFonts w:asciiTheme="minorHAnsi" w:hAnsiTheme="minorHAnsi" w:cstheme="minorHAnsi"/>
        </w:rPr>
        <w:t>surveillance</w:t>
      </w:r>
      <w:r w:rsidR="00B753F3" w:rsidRPr="00CD5172">
        <w:rPr>
          <w:rFonts w:asciiTheme="minorHAnsi" w:hAnsiTheme="minorHAnsi" w:cstheme="minorHAnsi"/>
        </w:rPr>
        <w:t xml:space="preserve"> nurses enroll</w:t>
      </w:r>
      <w:r w:rsidR="00237B14" w:rsidRPr="00CD5172">
        <w:rPr>
          <w:rFonts w:asciiTheme="minorHAnsi" w:hAnsiTheme="minorHAnsi" w:cstheme="minorHAnsi"/>
        </w:rPr>
        <w:t>ed</w:t>
      </w:r>
      <w:r w:rsidR="00B753F3" w:rsidRPr="00CD5172">
        <w:rPr>
          <w:rFonts w:asciiTheme="minorHAnsi" w:hAnsiTheme="minorHAnsi" w:cstheme="minorHAnsi"/>
        </w:rPr>
        <w:t xml:space="preserve"> </w:t>
      </w:r>
      <w:r w:rsidR="00237B14" w:rsidRPr="00CD5172">
        <w:rPr>
          <w:rFonts w:asciiTheme="minorHAnsi" w:hAnsiTheme="minorHAnsi" w:cstheme="minorHAnsi"/>
        </w:rPr>
        <w:t>influenza-like illness (</w:t>
      </w:r>
      <w:r w:rsidR="00B753F3" w:rsidRPr="00CD5172">
        <w:rPr>
          <w:rFonts w:asciiTheme="minorHAnsi" w:hAnsiTheme="minorHAnsi" w:cstheme="minorHAnsi"/>
        </w:rPr>
        <w:t>ILI</w:t>
      </w:r>
      <w:r w:rsidR="00237B14" w:rsidRPr="00CD5172">
        <w:rPr>
          <w:rFonts w:asciiTheme="minorHAnsi" w:hAnsiTheme="minorHAnsi" w:cstheme="minorHAnsi"/>
        </w:rPr>
        <w:t>)</w:t>
      </w:r>
      <w:r w:rsidR="00B753F3" w:rsidRPr="00CD5172">
        <w:rPr>
          <w:rFonts w:asciiTheme="minorHAnsi" w:hAnsiTheme="minorHAnsi" w:cstheme="minorHAnsi"/>
        </w:rPr>
        <w:t xml:space="preserve"> and </w:t>
      </w:r>
      <w:r w:rsidR="00237B14" w:rsidRPr="00CD5172">
        <w:rPr>
          <w:rFonts w:asciiTheme="minorHAnsi" w:hAnsiTheme="minorHAnsi" w:cstheme="minorHAnsi"/>
        </w:rPr>
        <w:t xml:space="preserve">severe acute </w:t>
      </w:r>
      <w:r w:rsidR="006B3C27" w:rsidRPr="00CD5172">
        <w:rPr>
          <w:rFonts w:asciiTheme="minorHAnsi" w:hAnsiTheme="minorHAnsi" w:cstheme="minorHAnsi"/>
        </w:rPr>
        <w:t>respiratory</w:t>
      </w:r>
      <w:r w:rsidR="00237B14" w:rsidRPr="00CD5172">
        <w:rPr>
          <w:rFonts w:asciiTheme="minorHAnsi" w:hAnsiTheme="minorHAnsi" w:cstheme="minorHAnsi"/>
        </w:rPr>
        <w:t xml:space="preserve"> illness (SARI) c</w:t>
      </w:r>
      <w:r w:rsidR="00B753F3" w:rsidRPr="00CD5172">
        <w:rPr>
          <w:rFonts w:asciiTheme="minorHAnsi" w:hAnsiTheme="minorHAnsi" w:cstheme="minorHAnsi"/>
        </w:rPr>
        <w:t xml:space="preserve">ases Monday through Friday and completed logs of screened patients and total admissions. Records of referral </w:t>
      </w:r>
      <w:r w:rsidR="00237B14" w:rsidRPr="00CD5172">
        <w:rPr>
          <w:rFonts w:asciiTheme="minorHAnsi" w:hAnsiTheme="minorHAnsi" w:cstheme="minorHAnsi"/>
        </w:rPr>
        <w:t xml:space="preserve">to hospital </w:t>
      </w:r>
      <w:r w:rsidR="00B753F3" w:rsidRPr="00CD5172">
        <w:rPr>
          <w:rFonts w:asciiTheme="minorHAnsi" w:hAnsiTheme="minorHAnsi" w:cstheme="minorHAnsi"/>
        </w:rPr>
        <w:t>for ILI cases</w:t>
      </w:r>
      <w:r w:rsidR="00AA02E3">
        <w:rPr>
          <w:rFonts w:asciiTheme="minorHAnsi" w:hAnsiTheme="minorHAnsi" w:cstheme="minorHAnsi"/>
        </w:rPr>
        <w:t xml:space="preserve"> (ILI cases referred on day of clinic visit are excluded from the analysis)</w:t>
      </w:r>
      <w:r w:rsidR="008A0B90">
        <w:rPr>
          <w:rFonts w:asciiTheme="minorHAnsi" w:hAnsiTheme="minorHAnsi" w:cstheme="minorHAnsi"/>
        </w:rPr>
        <w:t xml:space="preserve"> </w:t>
      </w:r>
      <w:r w:rsidR="00B753F3" w:rsidRPr="00CD5172">
        <w:rPr>
          <w:rFonts w:asciiTheme="minorHAnsi" w:hAnsiTheme="minorHAnsi" w:cstheme="minorHAnsi"/>
        </w:rPr>
        <w:t xml:space="preserve">and outpatient care prior to hospitalization were also recorded for ILI and </w:t>
      </w:r>
      <w:r w:rsidR="00237B14" w:rsidRPr="00CD5172">
        <w:rPr>
          <w:rFonts w:asciiTheme="minorHAnsi" w:hAnsiTheme="minorHAnsi" w:cstheme="minorHAnsi"/>
        </w:rPr>
        <w:t>SARI</w:t>
      </w:r>
      <w:r w:rsidR="00B753F3" w:rsidRPr="00CD5172">
        <w:rPr>
          <w:rFonts w:asciiTheme="minorHAnsi" w:hAnsiTheme="minorHAnsi" w:cstheme="minorHAnsi"/>
        </w:rPr>
        <w:t xml:space="preserve"> cases</w:t>
      </w:r>
      <w:r w:rsidR="00713609">
        <w:rPr>
          <w:rFonts w:asciiTheme="minorHAnsi" w:hAnsiTheme="minorHAnsi" w:cstheme="minorHAnsi"/>
        </w:rPr>
        <w:t>,</w:t>
      </w:r>
      <w:r w:rsidR="00B753F3" w:rsidRPr="00CD5172">
        <w:rPr>
          <w:rFonts w:asciiTheme="minorHAnsi" w:hAnsiTheme="minorHAnsi" w:cstheme="minorHAnsi"/>
        </w:rPr>
        <w:t xml:space="preserve"> respectively. </w:t>
      </w:r>
    </w:p>
    <w:p w14:paraId="2648FEDD" w14:textId="77777777" w:rsidR="00323FE4" w:rsidRPr="00CD5172" w:rsidRDefault="00323FE4" w:rsidP="00CD5172">
      <w:pPr>
        <w:jc w:val="both"/>
        <w:rPr>
          <w:rFonts w:asciiTheme="minorHAnsi" w:hAnsiTheme="minorHAnsi" w:cstheme="minorHAnsi"/>
        </w:rPr>
      </w:pPr>
    </w:p>
    <w:p w14:paraId="2FBBFC62" w14:textId="18797354" w:rsidR="00B753F3" w:rsidRPr="00CD5172" w:rsidRDefault="00B753F3" w:rsidP="00CD5172">
      <w:pPr>
        <w:jc w:val="both"/>
        <w:rPr>
          <w:rFonts w:asciiTheme="minorHAnsi" w:hAnsiTheme="minorHAnsi" w:cstheme="minorHAnsi"/>
        </w:rPr>
      </w:pPr>
      <w:r w:rsidRPr="00CD5172">
        <w:rPr>
          <w:rFonts w:asciiTheme="minorHAnsi" w:hAnsiTheme="minorHAnsi" w:cstheme="minorHAnsi"/>
        </w:rPr>
        <w:t>Respiratory specimen</w:t>
      </w:r>
      <w:r w:rsidR="006B3C27" w:rsidRPr="00CD5172">
        <w:rPr>
          <w:rFonts w:asciiTheme="minorHAnsi" w:hAnsiTheme="minorHAnsi" w:cstheme="minorHAnsi"/>
        </w:rPr>
        <w:t>s</w:t>
      </w:r>
      <w:r w:rsidRPr="00CD5172">
        <w:rPr>
          <w:rFonts w:asciiTheme="minorHAnsi" w:hAnsiTheme="minorHAnsi" w:cstheme="minorHAnsi"/>
        </w:rPr>
        <w:t>, nasopharyngeal aspirate</w:t>
      </w:r>
      <w:r w:rsidR="00713609">
        <w:rPr>
          <w:rFonts w:asciiTheme="minorHAnsi" w:hAnsiTheme="minorHAnsi" w:cstheme="minorHAnsi"/>
        </w:rPr>
        <w:t>s</w:t>
      </w:r>
      <w:r w:rsidR="006B3C27" w:rsidRPr="00CD5172">
        <w:rPr>
          <w:rFonts w:asciiTheme="minorHAnsi" w:hAnsiTheme="minorHAnsi" w:cstheme="minorHAnsi"/>
        </w:rPr>
        <w:t xml:space="preserve"> or nasopharyngeal swabs</w:t>
      </w:r>
      <w:r w:rsidR="00713609">
        <w:rPr>
          <w:rFonts w:asciiTheme="minorHAnsi" w:hAnsiTheme="minorHAnsi" w:cstheme="minorHAnsi"/>
        </w:rPr>
        <w:t>,</w:t>
      </w:r>
      <w:r w:rsidRPr="00CD5172">
        <w:rPr>
          <w:rFonts w:asciiTheme="minorHAnsi" w:hAnsiTheme="minorHAnsi" w:cstheme="minorHAnsi"/>
        </w:rPr>
        <w:t xml:space="preserve"> were collected from enrolled patients, placed in universal transport medium (</w:t>
      </w:r>
      <w:r w:rsidR="00323FE4" w:rsidRPr="00CD5172">
        <w:rPr>
          <w:rFonts w:asciiTheme="minorHAnsi" w:hAnsiTheme="minorHAnsi" w:cstheme="minorHAnsi"/>
        </w:rPr>
        <w:t>stored</w:t>
      </w:r>
      <w:r w:rsidRPr="00CD5172">
        <w:rPr>
          <w:rFonts w:asciiTheme="minorHAnsi" w:hAnsiTheme="minorHAnsi" w:cstheme="minorHAnsi"/>
        </w:rPr>
        <w:t xml:space="preserve"> at 4-8 °C) and transported to NICD within 72 hours of collection</w:t>
      </w:r>
      <w:r w:rsidR="00237B14" w:rsidRPr="00CD5172">
        <w:rPr>
          <w:rFonts w:asciiTheme="minorHAnsi" w:hAnsiTheme="minorHAnsi" w:cstheme="minorHAnsi"/>
        </w:rPr>
        <w:t>.</w:t>
      </w:r>
      <w:r w:rsidRPr="00CD5172">
        <w:rPr>
          <w:rFonts w:asciiTheme="minorHAnsi" w:hAnsiTheme="minorHAnsi" w:cstheme="minorHAnsi"/>
        </w:rPr>
        <w:t xml:space="preserve"> Specimens were tested for the presen</w:t>
      </w:r>
      <w:r w:rsidR="00323FE4" w:rsidRPr="00CD5172">
        <w:rPr>
          <w:rFonts w:asciiTheme="minorHAnsi" w:hAnsiTheme="minorHAnsi" w:cstheme="minorHAnsi"/>
        </w:rPr>
        <w:t>ce</w:t>
      </w:r>
      <w:r w:rsidRPr="00CD5172">
        <w:rPr>
          <w:rFonts w:asciiTheme="minorHAnsi" w:hAnsiTheme="minorHAnsi" w:cstheme="minorHAnsi"/>
        </w:rPr>
        <w:t xml:space="preserve"> of 10 respiratory viruses (influenza A and B viruses; parainfluenza virus types 1, 2 and 3; respiratory syncytial virus; adenovirus; rhinovirus; human </w:t>
      </w:r>
      <w:proofErr w:type="spellStart"/>
      <w:r w:rsidRPr="00CD5172">
        <w:rPr>
          <w:rFonts w:asciiTheme="minorHAnsi" w:hAnsiTheme="minorHAnsi" w:cstheme="minorHAnsi"/>
        </w:rPr>
        <w:t>metapneumovirus</w:t>
      </w:r>
      <w:proofErr w:type="spellEnd"/>
      <w:r w:rsidRPr="00CD5172">
        <w:rPr>
          <w:rFonts w:asciiTheme="minorHAnsi" w:hAnsiTheme="minorHAnsi" w:cstheme="minorHAnsi"/>
        </w:rPr>
        <w:t>; and enterovirus) using a multiplex real-time reverse transcription PCR assay</w:t>
      </w:r>
      <w:r w:rsidR="006B3C27" w:rsidRPr="00CD5172">
        <w:rPr>
          <w:rFonts w:asciiTheme="minorHAnsi" w:hAnsiTheme="minorHAnsi" w:cstheme="minorHAnsi"/>
        </w:rPr>
        <w:fldChar w:fldCharType="begin" w:fldLock="1"/>
      </w:r>
      <w:r w:rsidR="006B3C27" w:rsidRPr="00CD5172">
        <w:rPr>
          <w:rFonts w:asciiTheme="minorHAnsi" w:hAnsiTheme="minorHAnsi" w:cstheme="minorHAnsi"/>
        </w:rPr>
        <w:instrText>ADDIN CSL_CITATION {"citationItems":[{"id":"ITEM-1","itemData":{"DOI":"10.1016/j.jcv.2015.12.004","ISSN":"13866532","PMID":"26741826","abstract":"BACKGROUND Viruses detected in patients with acute respiratory infections may be the cause of illness or asymptomatic shedding. OBJECTIVE To estimate the attributable fraction (AF) and the detection rate attributable to illness for each of the different respiratory viruses STUDY DESIGN We compared the prevalence of 10 common respiratory viruses (influenza A and B viruses, parainfluenza virus 1-3; respiratory syncytial virus (RSV); adenovirus, rhinovirus, human metapneumovirus (hMPV) and enterovirus) in both HIV positive and negative patients hospitalized with severe acute respiratory illness (SARI), outpatients with influenza-like illness (ILI), and control subjects who did not report any febrile, respiratory or gastrointestinal illness during 2012-2015 in South Africa. RESULTS We enrolled 1959 SARI, 3784 ILI and 1793 controls with a HIV sero-prevalence of 26%, 30% and 43%, respectively. Influenza virus (AF: 86.3%; 95%CI: 77.7-91.6%), hMPV (AF: 85.6%; 95%CI: 72.0-92.6%), and RSV (AF: 83.7%; 95%CI: 77.5-88.2%) infections were associated with severe disease., while rhinovirus (AF: 46.9%; 95%CI: 37.6-56.5%) and adenovirus (AF: 36.4%; 95%CI: 20.6-49.0%) were only moderately associated. CONCLUSIONS Influenza, RSV and hMPV can be considered pathogens if detected in ILI and SARI while rhinovirus and adenovirus were commonly identified in controls suggesting that they may cause only a proportion of clinical disease observed in positive patients. Nonetheless, they may be important contributors to disease.","author":[{"dropping-particle":"","family":"Pretorius","given":"Marthi A.","non-dropping-particle":"","parse-names":false,"suffix":""},{"dropping-particle":"","family":"Tempia","given":"Stefano","non-dropping-particle":"","parse-names":false,"suffix":""},{"dropping-particle":"","family":"Walaza","given":"Sibongile","non-dropping-particle":"","parse-names":false,"suffix":""},{"dropping-particle":"","family":"Cohen","given":"Adam L.","non-dropping-particle":"","parse-names":false,"suffix":""},{"dropping-particle":"","family":"Moyes","given":"Jocelyn","non-dropping-particle":"","parse-names":false,"suffix":""},{"dropping-particle":"","family":"Variava","given":"Ebrahim","non-dropping-particle":"","parse-names":false,"suffix":""},{"dropping-particle":"","family":"Dawood","given":"Halima","non-dropping-particle":"","parse-names":false,"suffix":""},{"dropping-particle":"","family":"Seleka","given":"Mpho","non-dropping-particle":"","parse-names":false,"suffix":""},{"dropping-particle":"","family":"Hellferscee","given":"Orienka","non-dropping-particle":"","parse-names":false,"suffix":""},{"dropping-particle":"","family":"Treurnicht","given":"Florette","non-dropping-particle":"","parse-names":false,"suffix":""},{"dropping-particle":"","family":"Cohen","given":"Cheryl","non-dropping-particle":"","parse-names":false,"suffix":""},{"dropping-particle":"","family":"Venter","given":"Marietjie","non-dropping-particle":"","parse-names":false,"suffix":""}],"container-title":"Journal of Clinical Virology","id":"ITEM-1","issued":{"date-parts":[["2016","2"]]},"page":"21-26","title":"The role of influenza, RSV and other common respiratory viruses in severe acute respiratory infections and influenza-like illness in a population with a high HIV sero-prevalence, South Africa 2012–2015","type":"article-journal","volume":"75"},"uris":["http://www.mendeley.com/documents/?uuid=9935a539-64e9-3b6c-a775-36f8fbe031fa"]}],"mendeley":{"formattedCitation":"&lt;sup&gt;4&lt;/sup&gt;","plainTextFormattedCitation":"4","previouslyFormattedCitation":"&lt;sup&gt;4&lt;/sup&gt;"},"properties":{"noteIndex":0},"schema":"https://github.com/citation-style-language/schema/raw/master/csl-citation.json"}</w:instrText>
      </w:r>
      <w:r w:rsidR="006B3C27" w:rsidRPr="00CD5172">
        <w:rPr>
          <w:rFonts w:asciiTheme="minorHAnsi" w:hAnsiTheme="minorHAnsi" w:cstheme="minorHAnsi"/>
        </w:rPr>
        <w:fldChar w:fldCharType="separate"/>
      </w:r>
      <w:r w:rsidR="006B3C27" w:rsidRPr="00CD5172">
        <w:rPr>
          <w:rFonts w:asciiTheme="minorHAnsi" w:hAnsiTheme="minorHAnsi" w:cstheme="minorHAnsi"/>
          <w:noProof/>
          <w:vertAlign w:val="superscript"/>
        </w:rPr>
        <w:t>4</w:t>
      </w:r>
      <w:r w:rsidR="006B3C27" w:rsidRPr="00CD5172">
        <w:rPr>
          <w:rFonts w:asciiTheme="minorHAnsi" w:hAnsiTheme="minorHAnsi" w:cstheme="minorHAnsi"/>
        </w:rPr>
        <w:fldChar w:fldCharType="end"/>
      </w:r>
      <w:r w:rsidR="006B3C27" w:rsidRPr="00CD5172">
        <w:rPr>
          <w:rFonts w:asciiTheme="minorHAnsi" w:hAnsiTheme="minorHAnsi" w:cstheme="minorHAnsi"/>
        </w:rPr>
        <w:t>.</w:t>
      </w:r>
    </w:p>
    <w:p w14:paraId="2136D134" w14:textId="77777777" w:rsidR="00323FE4" w:rsidRPr="00CD5172" w:rsidRDefault="00323FE4" w:rsidP="00CD5172">
      <w:pPr>
        <w:jc w:val="both"/>
        <w:rPr>
          <w:rFonts w:asciiTheme="minorHAnsi" w:hAnsiTheme="minorHAnsi" w:cstheme="minorHAnsi"/>
        </w:rPr>
      </w:pPr>
    </w:p>
    <w:p w14:paraId="11568DAC" w14:textId="7BFBF1A0" w:rsidR="00D45AAC" w:rsidRPr="00CD5172" w:rsidRDefault="00237B14" w:rsidP="00CD5172">
      <w:pPr>
        <w:jc w:val="both"/>
        <w:rPr>
          <w:rFonts w:asciiTheme="minorHAnsi" w:hAnsiTheme="minorHAnsi" w:cstheme="minorHAnsi"/>
        </w:rPr>
      </w:pPr>
      <w:r w:rsidRPr="00CD5172">
        <w:rPr>
          <w:rFonts w:asciiTheme="minorHAnsi" w:hAnsiTheme="minorHAnsi" w:cstheme="minorHAnsi"/>
        </w:rPr>
        <w:t>Methods used to estimate</w:t>
      </w:r>
      <w:r w:rsidR="006F3313" w:rsidRPr="00CD5172">
        <w:rPr>
          <w:rFonts w:asciiTheme="minorHAnsi" w:hAnsiTheme="minorHAnsi" w:cstheme="minorHAnsi"/>
        </w:rPr>
        <w:t xml:space="preserve"> the number and rate</w:t>
      </w:r>
      <w:r w:rsidR="007A6E87" w:rsidRPr="00CD5172">
        <w:rPr>
          <w:rFonts w:asciiTheme="minorHAnsi" w:hAnsiTheme="minorHAnsi" w:cstheme="minorHAnsi"/>
        </w:rPr>
        <w:t xml:space="preserve"> (per 100,00 population)</w:t>
      </w:r>
      <w:r w:rsidR="006F3313" w:rsidRPr="00CD5172">
        <w:rPr>
          <w:rFonts w:asciiTheme="minorHAnsi" w:hAnsiTheme="minorHAnsi" w:cstheme="minorHAnsi"/>
        </w:rPr>
        <w:t xml:space="preserve"> of RSV-associated </w:t>
      </w:r>
      <w:r w:rsidR="002126EE" w:rsidRPr="00CD5172">
        <w:rPr>
          <w:rFonts w:asciiTheme="minorHAnsi" w:hAnsiTheme="minorHAnsi" w:cstheme="minorHAnsi"/>
        </w:rPr>
        <w:t>ARI</w:t>
      </w:r>
      <w:r w:rsidR="006F3313" w:rsidRPr="00CD5172">
        <w:rPr>
          <w:rFonts w:asciiTheme="minorHAnsi" w:hAnsiTheme="minorHAnsi" w:cstheme="minorHAnsi"/>
        </w:rPr>
        <w:t xml:space="preserve"> and S</w:t>
      </w:r>
      <w:r w:rsidR="002126EE" w:rsidRPr="00CD5172">
        <w:rPr>
          <w:rFonts w:asciiTheme="minorHAnsi" w:hAnsiTheme="minorHAnsi" w:cstheme="minorHAnsi"/>
        </w:rPr>
        <w:t>A</w:t>
      </w:r>
      <w:r w:rsidR="006F3313" w:rsidRPr="00CD5172">
        <w:rPr>
          <w:rFonts w:asciiTheme="minorHAnsi" w:hAnsiTheme="minorHAnsi" w:cstheme="minorHAnsi"/>
        </w:rPr>
        <w:t xml:space="preserve">RI </w:t>
      </w:r>
      <w:r w:rsidR="00713609">
        <w:rPr>
          <w:rFonts w:asciiTheme="minorHAnsi" w:hAnsiTheme="minorHAnsi" w:cstheme="minorHAnsi"/>
        </w:rPr>
        <w:t>a</w:t>
      </w:r>
      <w:r w:rsidR="00713609" w:rsidRPr="00CD5172">
        <w:rPr>
          <w:rFonts w:asciiTheme="minorHAnsi" w:hAnsiTheme="minorHAnsi" w:cstheme="minorHAnsi"/>
        </w:rPr>
        <w:t xml:space="preserve">re </w:t>
      </w:r>
      <w:r w:rsidR="006F3313" w:rsidRPr="00CD5172">
        <w:rPr>
          <w:rFonts w:asciiTheme="minorHAnsi" w:hAnsiTheme="minorHAnsi" w:cstheme="minorHAnsi"/>
        </w:rPr>
        <w:t>described in the following steps</w:t>
      </w:r>
      <w:r w:rsidR="00713609">
        <w:rPr>
          <w:rFonts w:asciiTheme="minorHAnsi" w:hAnsiTheme="minorHAnsi" w:cstheme="minorHAnsi"/>
        </w:rPr>
        <w:t>:</w:t>
      </w:r>
      <w:r w:rsidR="006F3313" w:rsidRPr="00CD5172">
        <w:rPr>
          <w:rFonts w:asciiTheme="minorHAnsi" w:hAnsiTheme="minorHAnsi" w:cstheme="minorHAnsi"/>
        </w:rPr>
        <w:t xml:space="preserve"> </w:t>
      </w:r>
    </w:p>
    <w:p w14:paraId="77272F99" w14:textId="3559E942" w:rsidR="00055F63" w:rsidRPr="00CD5172" w:rsidRDefault="00055F63" w:rsidP="00CD5172">
      <w:pPr>
        <w:jc w:val="both"/>
        <w:rPr>
          <w:rFonts w:asciiTheme="minorHAnsi" w:hAnsiTheme="minorHAnsi" w:cstheme="minorHAnsi"/>
        </w:rPr>
      </w:pPr>
    </w:p>
    <w:p w14:paraId="55565960" w14:textId="6CAF8DE4" w:rsidR="00055F63" w:rsidRPr="00CD5172" w:rsidRDefault="00055F63" w:rsidP="00CD5172">
      <w:pPr>
        <w:jc w:val="both"/>
        <w:rPr>
          <w:rFonts w:asciiTheme="minorHAnsi" w:hAnsiTheme="minorHAnsi" w:cstheme="minorHAnsi"/>
        </w:rPr>
      </w:pPr>
    </w:p>
    <w:p w14:paraId="25E351C0" w14:textId="04CD5CD5" w:rsidR="00055F63" w:rsidRPr="00CD5172" w:rsidRDefault="0071294B" w:rsidP="00CD5172">
      <w:pPr>
        <w:pStyle w:val="ListParagraph"/>
        <w:numPr>
          <w:ilvl w:val="0"/>
          <w:numId w:val="10"/>
        </w:numPr>
        <w:spacing w:line="240" w:lineRule="auto"/>
        <w:jc w:val="both"/>
        <w:rPr>
          <w:rFonts w:asciiTheme="minorHAnsi" w:hAnsiTheme="minorHAnsi" w:cstheme="minorHAnsi"/>
          <w:b/>
          <w:sz w:val="24"/>
          <w:szCs w:val="24"/>
        </w:rPr>
      </w:pPr>
      <w:r w:rsidRPr="00CD5172">
        <w:rPr>
          <w:rFonts w:asciiTheme="minorHAnsi" w:hAnsiTheme="minorHAnsi" w:cstheme="minorHAnsi"/>
          <w:b/>
          <w:sz w:val="24"/>
          <w:szCs w:val="24"/>
        </w:rPr>
        <w:t>Estimate</w:t>
      </w:r>
      <w:r w:rsidR="00055F63" w:rsidRPr="00CD5172">
        <w:rPr>
          <w:rFonts w:asciiTheme="minorHAnsi" w:hAnsiTheme="minorHAnsi" w:cstheme="minorHAnsi"/>
          <w:b/>
          <w:sz w:val="24"/>
          <w:szCs w:val="24"/>
        </w:rPr>
        <w:t xml:space="preserve"> the S</w:t>
      </w:r>
      <w:r w:rsidR="007A6E87" w:rsidRPr="00CD5172">
        <w:rPr>
          <w:rFonts w:asciiTheme="minorHAnsi" w:hAnsiTheme="minorHAnsi" w:cstheme="minorHAnsi"/>
          <w:b/>
          <w:sz w:val="24"/>
          <w:szCs w:val="24"/>
        </w:rPr>
        <w:t>A</w:t>
      </w:r>
      <w:r w:rsidR="00055F63" w:rsidRPr="00CD5172">
        <w:rPr>
          <w:rFonts w:asciiTheme="minorHAnsi" w:hAnsiTheme="minorHAnsi" w:cstheme="minorHAnsi"/>
          <w:b/>
          <w:sz w:val="24"/>
          <w:szCs w:val="24"/>
        </w:rPr>
        <w:t xml:space="preserve">RI rates in the base </w:t>
      </w:r>
      <w:r w:rsidRPr="00CD5172">
        <w:rPr>
          <w:rFonts w:asciiTheme="minorHAnsi" w:hAnsiTheme="minorHAnsi" w:cstheme="minorHAnsi"/>
          <w:b/>
          <w:sz w:val="24"/>
          <w:szCs w:val="24"/>
        </w:rPr>
        <w:t>provinces</w:t>
      </w:r>
      <w:r w:rsidR="00055F63" w:rsidRPr="00CD5172">
        <w:rPr>
          <w:rFonts w:asciiTheme="minorHAnsi" w:hAnsiTheme="minorHAnsi" w:cstheme="minorHAnsi"/>
          <w:b/>
          <w:sz w:val="24"/>
          <w:szCs w:val="24"/>
        </w:rPr>
        <w:t xml:space="preserve"> (</w:t>
      </w:r>
      <w:r w:rsidR="006F3313" w:rsidRPr="00CD5172">
        <w:rPr>
          <w:rFonts w:asciiTheme="minorHAnsi" w:hAnsiTheme="minorHAnsi" w:cstheme="minorHAnsi"/>
          <w:b/>
          <w:sz w:val="24"/>
          <w:szCs w:val="24"/>
        </w:rPr>
        <w:t>N</w:t>
      </w:r>
      <w:r w:rsidR="005926B6" w:rsidRPr="00CD5172">
        <w:rPr>
          <w:rFonts w:asciiTheme="minorHAnsi" w:hAnsiTheme="minorHAnsi" w:cstheme="minorHAnsi"/>
          <w:b/>
          <w:sz w:val="24"/>
          <w:szCs w:val="24"/>
        </w:rPr>
        <w:t>orth-</w:t>
      </w:r>
      <w:r w:rsidR="006F3313" w:rsidRPr="00CD5172">
        <w:rPr>
          <w:rFonts w:asciiTheme="minorHAnsi" w:hAnsiTheme="minorHAnsi" w:cstheme="minorHAnsi"/>
          <w:b/>
          <w:sz w:val="24"/>
          <w:szCs w:val="24"/>
        </w:rPr>
        <w:t>W</w:t>
      </w:r>
      <w:r w:rsidR="005926B6" w:rsidRPr="00CD5172">
        <w:rPr>
          <w:rFonts w:asciiTheme="minorHAnsi" w:hAnsiTheme="minorHAnsi" w:cstheme="minorHAnsi"/>
          <w:b/>
          <w:sz w:val="24"/>
          <w:szCs w:val="24"/>
        </w:rPr>
        <w:t xml:space="preserve">est </w:t>
      </w:r>
      <w:r w:rsidR="006F3313" w:rsidRPr="00CD5172">
        <w:rPr>
          <w:rFonts w:asciiTheme="minorHAnsi" w:hAnsiTheme="minorHAnsi" w:cstheme="minorHAnsi"/>
          <w:b/>
          <w:sz w:val="24"/>
          <w:szCs w:val="24"/>
        </w:rPr>
        <w:t>P</w:t>
      </w:r>
      <w:r w:rsidR="005926B6" w:rsidRPr="00CD5172">
        <w:rPr>
          <w:rFonts w:asciiTheme="minorHAnsi" w:hAnsiTheme="minorHAnsi" w:cstheme="minorHAnsi"/>
          <w:b/>
          <w:sz w:val="24"/>
          <w:szCs w:val="24"/>
        </w:rPr>
        <w:t>rovinces</w:t>
      </w:r>
      <w:r w:rsidR="006F3313" w:rsidRPr="00CD5172">
        <w:rPr>
          <w:rFonts w:asciiTheme="minorHAnsi" w:hAnsiTheme="minorHAnsi" w:cstheme="minorHAnsi"/>
          <w:b/>
          <w:sz w:val="24"/>
          <w:szCs w:val="24"/>
        </w:rPr>
        <w:t xml:space="preserve"> and K</w:t>
      </w:r>
      <w:r w:rsidR="005926B6" w:rsidRPr="00CD5172">
        <w:rPr>
          <w:rFonts w:asciiTheme="minorHAnsi" w:hAnsiTheme="minorHAnsi" w:cstheme="minorHAnsi"/>
          <w:b/>
          <w:sz w:val="24"/>
          <w:szCs w:val="24"/>
        </w:rPr>
        <w:t>wa</w:t>
      </w:r>
      <w:r w:rsidR="006F3313" w:rsidRPr="00CD5172">
        <w:rPr>
          <w:rFonts w:asciiTheme="minorHAnsi" w:hAnsiTheme="minorHAnsi" w:cstheme="minorHAnsi"/>
          <w:b/>
          <w:sz w:val="24"/>
          <w:szCs w:val="24"/>
        </w:rPr>
        <w:t>Z</w:t>
      </w:r>
      <w:r w:rsidR="005926B6" w:rsidRPr="00CD5172">
        <w:rPr>
          <w:rFonts w:asciiTheme="minorHAnsi" w:hAnsiTheme="minorHAnsi" w:cstheme="minorHAnsi"/>
          <w:b/>
          <w:sz w:val="24"/>
          <w:szCs w:val="24"/>
        </w:rPr>
        <w:t>ulu-</w:t>
      </w:r>
      <w:r w:rsidR="006F3313" w:rsidRPr="00CD5172">
        <w:rPr>
          <w:rFonts w:asciiTheme="minorHAnsi" w:hAnsiTheme="minorHAnsi" w:cstheme="minorHAnsi"/>
          <w:b/>
          <w:sz w:val="24"/>
          <w:szCs w:val="24"/>
        </w:rPr>
        <w:t>N</w:t>
      </w:r>
      <w:r w:rsidR="005926B6" w:rsidRPr="00CD5172">
        <w:rPr>
          <w:rFonts w:asciiTheme="minorHAnsi" w:hAnsiTheme="minorHAnsi" w:cstheme="minorHAnsi"/>
          <w:b/>
          <w:sz w:val="24"/>
          <w:szCs w:val="24"/>
        </w:rPr>
        <w:t>atal</w:t>
      </w:r>
      <w:r w:rsidR="00055F63" w:rsidRPr="00CD5172">
        <w:rPr>
          <w:rFonts w:asciiTheme="minorHAnsi" w:hAnsiTheme="minorHAnsi" w:cstheme="minorHAnsi"/>
          <w:b/>
          <w:sz w:val="24"/>
          <w:szCs w:val="24"/>
        </w:rPr>
        <w:t>)</w:t>
      </w:r>
    </w:p>
    <w:p w14:paraId="61818153" w14:textId="632F33AC" w:rsidR="00055F63" w:rsidRPr="00CD5172" w:rsidRDefault="00E24B96" w:rsidP="00CD5172">
      <w:pPr>
        <w:jc w:val="both"/>
        <w:rPr>
          <w:rFonts w:asciiTheme="minorHAnsi" w:hAnsiTheme="minorHAnsi" w:cstheme="minorHAnsi"/>
        </w:rPr>
      </w:pPr>
      <w:r w:rsidRPr="00CD5172">
        <w:rPr>
          <w:rFonts w:asciiTheme="minorHAnsi" w:hAnsiTheme="minorHAnsi" w:cstheme="minorHAnsi"/>
        </w:rPr>
        <w:t>The method</w:t>
      </w:r>
      <w:r w:rsidR="00B60060" w:rsidRPr="00CD5172">
        <w:rPr>
          <w:rFonts w:asciiTheme="minorHAnsi" w:hAnsiTheme="minorHAnsi" w:cstheme="minorHAnsi"/>
        </w:rPr>
        <w:t xml:space="preserve"> for estimation of the rate</w:t>
      </w:r>
      <w:r w:rsidR="007A6E87" w:rsidRPr="00CD5172">
        <w:rPr>
          <w:rFonts w:asciiTheme="minorHAnsi" w:hAnsiTheme="minorHAnsi" w:cstheme="minorHAnsi"/>
        </w:rPr>
        <w:t xml:space="preserve"> </w:t>
      </w:r>
      <w:r w:rsidR="00B60060" w:rsidRPr="00CD5172">
        <w:rPr>
          <w:rFonts w:asciiTheme="minorHAnsi" w:hAnsiTheme="minorHAnsi" w:cstheme="minorHAnsi"/>
        </w:rPr>
        <w:t>of SARI</w:t>
      </w:r>
      <w:r w:rsidRPr="00CD5172">
        <w:rPr>
          <w:rFonts w:asciiTheme="minorHAnsi" w:hAnsiTheme="minorHAnsi" w:cstheme="minorHAnsi"/>
        </w:rPr>
        <w:t xml:space="preserve"> is outlined in the formula below:</w:t>
      </w:r>
    </w:p>
    <w:p w14:paraId="1E2F3C34" w14:textId="15254FB0" w:rsidR="00CB1458" w:rsidRPr="00CD5172" w:rsidRDefault="00CB1458" w:rsidP="00CD5172">
      <w:pPr>
        <w:jc w:val="both"/>
        <w:rPr>
          <w:rFonts w:asciiTheme="minorHAnsi" w:hAnsiTheme="minorHAnsi" w:cstheme="minorHAnsi"/>
        </w:rPr>
      </w:pPr>
    </w:p>
    <w:p w14:paraId="536EE0A3" w14:textId="5FACB4EA" w:rsidR="00CB1458" w:rsidRPr="00CD5172" w:rsidRDefault="00CB1458" w:rsidP="00CD5172">
      <w:pPr>
        <w:jc w:val="both"/>
        <w:rPr>
          <w:rFonts w:asciiTheme="minorHAnsi" w:hAnsiTheme="minorHAnsi" w:cstheme="minorHAnsi"/>
        </w:rPr>
      </w:pPr>
    </w:p>
    <w:p w14:paraId="7FA55DD4" w14:textId="0234950F" w:rsidR="00CB1458" w:rsidRPr="00CD5172" w:rsidRDefault="00CB1458" w:rsidP="00CD5172">
      <w:pPr>
        <w:jc w:val="both"/>
        <w:rPr>
          <w:rFonts w:asciiTheme="minorHAnsi" w:hAnsiTheme="minorHAnsi" w:cstheme="minorHAnsi"/>
        </w:rPr>
      </w:pPr>
      <m:oMathPara>
        <m:oMath>
          <m:r>
            <m:rPr>
              <m:sty m:val="p"/>
            </m:rPr>
            <w:rPr>
              <w:rFonts w:ascii="Cambria Math" w:hAnsi="Cambria Math" w:cstheme="minorHAnsi"/>
            </w:rPr>
            <m:t>SARI</m:t>
          </m:r>
          <m:r>
            <w:rPr>
              <w:rFonts w:ascii="Cambria Math" w:hAnsi="Cambria Math" w:cstheme="minorHAnsi"/>
            </w:rPr>
            <m:t xml:space="preserve"> ratei=</m:t>
          </m:r>
          <m:f>
            <m:fPr>
              <m:ctrlPr>
                <w:rPr>
                  <w:rFonts w:ascii="Cambria Math" w:hAnsi="Cambria Math" w:cstheme="minorHAnsi"/>
                </w:rPr>
              </m:ctrlPr>
            </m:fPr>
            <m:num>
              <m:r>
                <w:rPr>
                  <w:rFonts w:ascii="Cambria Math" w:hAnsi="Cambria Math" w:cstheme="minorHAnsi"/>
                </w:rPr>
                <m:t>SARI enrolled i*</m:t>
              </m:r>
              <m:f>
                <m:fPr>
                  <m:ctrlPr>
                    <w:rPr>
                      <w:rFonts w:ascii="Cambria Math" w:hAnsi="Cambria Math" w:cstheme="minorHAnsi"/>
                      <w:i/>
                    </w:rPr>
                  </m:ctrlPr>
                </m:fPr>
                <m:num>
                  <m:r>
                    <w:rPr>
                      <w:rFonts w:ascii="Cambria Math" w:hAnsi="Cambria Math" w:cstheme="minorHAnsi"/>
                    </w:rPr>
                    <m:t>7</m:t>
                  </m:r>
                </m:num>
                <m:den>
                  <m:r>
                    <w:rPr>
                      <w:rFonts w:ascii="Cambria Math" w:hAnsi="Cambria Math" w:cstheme="minorHAnsi"/>
                    </w:rPr>
                    <m:t>5</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xSARIi</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m:rPr>
                      <m:sty m:val="p"/>
                    </m:rPr>
                    <w:rPr>
                      <w:rFonts w:ascii="Cambria Math" w:hAnsi="Cambria Math" w:cstheme="minorHAnsi"/>
                    </w:rPr>
                    <m:t>HUS</m:t>
                  </m:r>
                  <m:r>
                    <w:rPr>
                      <w:rFonts w:ascii="Cambria Math" w:hAnsi="Cambria Math" w:cstheme="minorHAnsi"/>
                    </w:rPr>
                    <m:t>SARI</m:t>
                  </m:r>
                </m:den>
              </m:f>
              <m:r>
                <w:rPr>
                  <w:rFonts w:ascii="Cambria Math" w:hAnsi="Cambria Math" w:cstheme="minorHAnsi"/>
                </w:rPr>
                <m:t>)</m:t>
              </m:r>
            </m:num>
            <m:den>
              <m:r>
                <w:rPr>
                  <w:rFonts w:ascii="Cambria Math" w:hAnsi="Cambria Math" w:cstheme="minorHAnsi"/>
                </w:rPr>
                <m:t>Popi</m:t>
              </m:r>
            </m:den>
          </m:f>
        </m:oMath>
      </m:oMathPara>
    </w:p>
    <w:p w14:paraId="4EEDC304" w14:textId="77777777" w:rsidR="00E24B96" w:rsidRPr="00CD5172" w:rsidRDefault="00E24B96" w:rsidP="00CD5172">
      <w:pPr>
        <w:jc w:val="both"/>
        <w:rPr>
          <w:rFonts w:asciiTheme="minorHAnsi" w:hAnsiTheme="minorHAnsi" w:cstheme="minorHAnsi"/>
        </w:rPr>
      </w:pPr>
    </w:p>
    <w:p w14:paraId="23959B73" w14:textId="508A2AEC" w:rsidR="00055F63" w:rsidRPr="00CD5172" w:rsidRDefault="00055F63" w:rsidP="00CD5172">
      <w:pPr>
        <w:ind w:left="1440" w:firstLine="720"/>
        <w:jc w:val="both"/>
        <w:rPr>
          <w:rFonts w:asciiTheme="minorHAnsi" w:hAnsiTheme="minorHAnsi" w:cstheme="minorHAnsi"/>
          <w:lang w:val="en-ZA"/>
        </w:rPr>
      </w:pPr>
    </w:p>
    <w:p w14:paraId="36010A71" w14:textId="3400824A" w:rsidR="00340DA0" w:rsidRPr="00CD5172" w:rsidRDefault="00340DA0" w:rsidP="00CD5172">
      <w:pPr>
        <w:jc w:val="both"/>
        <w:rPr>
          <w:rFonts w:asciiTheme="minorHAnsi" w:hAnsiTheme="minorHAnsi" w:cstheme="minorHAnsi"/>
          <w:lang w:val="en-ZA"/>
        </w:rPr>
      </w:pPr>
      <w:r w:rsidRPr="00CD5172">
        <w:rPr>
          <w:rFonts w:asciiTheme="minorHAnsi" w:hAnsiTheme="minorHAnsi" w:cstheme="minorHAnsi"/>
          <w:lang w:val="en-ZA"/>
        </w:rPr>
        <w:t xml:space="preserve">Where </w:t>
      </w:r>
      <w:r w:rsidR="00CB1458" w:rsidRPr="00CD5172">
        <w:rPr>
          <w:rFonts w:asciiTheme="minorHAnsi" w:hAnsiTheme="minorHAnsi" w:cstheme="minorHAnsi"/>
          <w:lang w:val="en-ZA"/>
        </w:rPr>
        <w:t>S</w:t>
      </w:r>
      <w:r w:rsidR="002126EE" w:rsidRPr="00CD5172">
        <w:rPr>
          <w:rFonts w:asciiTheme="minorHAnsi" w:hAnsiTheme="minorHAnsi" w:cstheme="minorHAnsi"/>
          <w:lang w:val="en-ZA"/>
        </w:rPr>
        <w:t>A</w:t>
      </w:r>
      <w:r w:rsidR="00CB1458" w:rsidRPr="00CD5172">
        <w:rPr>
          <w:rFonts w:asciiTheme="minorHAnsi" w:hAnsiTheme="minorHAnsi" w:cstheme="minorHAnsi"/>
          <w:lang w:val="en-ZA"/>
        </w:rPr>
        <w:t xml:space="preserve">RI </w:t>
      </w:r>
      <w:proofErr w:type="spellStart"/>
      <w:r w:rsidR="00CB1458" w:rsidRPr="00CD5172">
        <w:rPr>
          <w:rFonts w:asciiTheme="minorHAnsi" w:hAnsiTheme="minorHAnsi" w:cstheme="minorHAnsi"/>
          <w:i/>
          <w:lang w:val="en-ZA"/>
        </w:rPr>
        <w:t>ratei</w:t>
      </w:r>
      <w:proofErr w:type="spellEnd"/>
      <w:r w:rsidR="00CB1458" w:rsidRPr="00CD5172">
        <w:rPr>
          <w:rFonts w:asciiTheme="minorHAnsi" w:hAnsiTheme="minorHAnsi" w:cstheme="minorHAnsi"/>
          <w:lang w:val="en-ZA"/>
        </w:rPr>
        <w:t xml:space="preserve"> </w:t>
      </w:r>
      <w:r w:rsidR="00622A95" w:rsidRPr="00CD5172">
        <w:rPr>
          <w:rFonts w:asciiTheme="minorHAnsi" w:hAnsiTheme="minorHAnsi" w:cstheme="minorHAnsi"/>
          <w:lang w:val="en-ZA"/>
        </w:rPr>
        <w:t xml:space="preserve">is the age-group hospitalisation rate </w:t>
      </w:r>
      <w:r w:rsidR="00881206" w:rsidRPr="00CD5172">
        <w:rPr>
          <w:rFonts w:asciiTheme="minorHAnsi" w:hAnsiTheme="minorHAnsi" w:cstheme="minorHAnsi"/>
          <w:lang w:val="en-ZA"/>
        </w:rPr>
        <w:t>i</w:t>
      </w:r>
      <w:r w:rsidR="00622A95" w:rsidRPr="00CD5172">
        <w:rPr>
          <w:rFonts w:asciiTheme="minorHAnsi" w:hAnsiTheme="minorHAnsi" w:cstheme="minorHAnsi"/>
          <w:lang w:val="en-ZA"/>
        </w:rPr>
        <w:t xml:space="preserve">n age group </w:t>
      </w:r>
      <w:r w:rsidR="00622A95" w:rsidRPr="00CD5172">
        <w:rPr>
          <w:rFonts w:asciiTheme="minorHAnsi" w:hAnsiTheme="minorHAnsi" w:cstheme="minorHAnsi"/>
          <w:i/>
          <w:lang w:val="en-ZA"/>
        </w:rPr>
        <w:t xml:space="preserve">i: and </w:t>
      </w:r>
      <w:r w:rsidR="00CB1458" w:rsidRPr="00CD5172">
        <w:rPr>
          <w:rFonts w:asciiTheme="minorHAnsi" w:hAnsiTheme="minorHAnsi" w:cstheme="minorHAnsi"/>
          <w:i/>
          <w:lang w:val="en-ZA"/>
        </w:rPr>
        <w:t>S</w:t>
      </w:r>
      <w:r w:rsidR="00713609">
        <w:rPr>
          <w:rFonts w:asciiTheme="minorHAnsi" w:hAnsiTheme="minorHAnsi" w:cstheme="minorHAnsi"/>
          <w:i/>
          <w:lang w:val="en-ZA"/>
        </w:rPr>
        <w:t>A</w:t>
      </w:r>
      <w:r w:rsidR="00CB1458" w:rsidRPr="00CD5172">
        <w:rPr>
          <w:rFonts w:asciiTheme="minorHAnsi" w:hAnsiTheme="minorHAnsi" w:cstheme="minorHAnsi"/>
          <w:i/>
          <w:lang w:val="en-ZA"/>
        </w:rPr>
        <w:t xml:space="preserve">RI enrolled </w:t>
      </w:r>
      <w:proofErr w:type="spellStart"/>
      <w:r w:rsidR="00CB1458" w:rsidRPr="00CD5172">
        <w:rPr>
          <w:rFonts w:asciiTheme="minorHAnsi" w:hAnsiTheme="minorHAnsi" w:cstheme="minorHAnsi"/>
          <w:i/>
          <w:lang w:val="en-ZA"/>
        </w:rPr>
        <w:t>i</w:t>
      </w:r>
      <w:proofErr w:type="spellEnd"/>
      <w:r w:rsidR="00622A95" w:rsidRPr="00CD5172">
        <w:rPr>
          <w:rFonts w:asciiTheme="minorHAnsi" w:hAnsiTheme="minorHAnsi" w:cstheme="minorHAnsi"/>
          <w:lang w:val="en-ZA"/>
        </w:rPr>
        <w:t xml:space="preserve"> the number of S</w:t>
      </w:r>
      <w:r w:rsidR="002126EE" w:rsidRPr="00CD5172">
        <w:rPr>
          <w:rFonts w:asciiTheme="minorHAnsi" w:hAnsiTheme="minorHAnsi" w:cstheme="minorHAnsi"/>
          <w:lang w:val="en-ZA"/>
        </w:rPr>
        <w:t>A</w:t>
      </w:r>
      <w:r w:rsidR="00622A95" w:rsidRPr="00CD5172">
        <w:rPr>
          <w:rFonts w:asciiTheme="minorHAnsi" w:hAnsiTheme="minorHAnsi" w:cstheme="minorHAnsi"/>
          <w:lang w:val="en-ZA"/>
        </w:rPr>
        <w:t xml:space="preserve">RI cases enrolled in age group </w:t>
      </w:r>
      <w:r w:rsidR="00622A95" w:rsidRPr="00CD5172">
        <w:rPr>
          <w:rFonts w:asciiTheme="minorHAnsi" w:hAnsiTheme="minorHAnsi" w:cstheme="minorHAnsi"/>
          <w:i/>
          <w:lang w:val="en-ZA"/>
        </w:rPr>
        <w:t>i</w:t>
      </w:r>
      <w:r w:rsidR="00622A95" w:rsidRPr="00CD5172">
        <w:rPr>
          <w:rFonts w:asciiTheme="minorHAnsi" w:hAnsiTheme="minorHAnsi" w:cstheme="minorHAnsi"/>
          <w:lang w:val="en-ZA"/>
        </w:rPr>
        <w:t>:</w:t>
      </w:r>
      <w:r w:rsidR="00881206" w:rsidRPr="00CD5172">
        <w:rPr>
          <w:rFonts w:asciiTheme="minorHAnsi" w:hAnsiTheme="minorHAnsi" w:cstheme="minorHAnsi"/>
          <w:lang w:val="en-ZA"/>
        </w:rPr>
        <w:t xml:space="preserve"> 7</w:t>
      </w:r>
      <w:r w:rsidR="000829AD" w:rsidRPr="00CD5172">
        <w:rPr>
          <w:rFonts w:asciiTheme="minorHAnsi" w:hAnsiTheme="minorHAnsi" w:cstheme="minorHAnsi"/>
          <w:lang w:val="en-ZA"/>
        </w:rPr>
        <w:t>/5 is the adjustment for non</w:t>
      </w:r>
      <w:r w:rsidR="00881206" w:rsidRPr="00CD5172">
        <w:rPr>
          <w:rFonts w:asciiTheme="minorHAnsi" w:hAnsiTheme="minorHAnsi" w:cstheme="minorHAnsi"/>
          <w:lang w:val="en-ZA"/>
        </w:rPr>
        <w:t>-</w:t>
      </w:r>
      <w:r w:rsidR="000829AD" w:rsidRPr="00CD5172">
        <w:rPr>
          <w:rFonts w:asciiTheme="minorHAnsi" w:hAnsiTheme="minorHAnsi" w:cstheme="minorHAnsi"/>
          <w:lang w:val="en-ZA"/>
        </w:rPr>
        <w:t>enrolment over weekend</w:t>
      </w:r>
      <w:r w:rsidR="00881206" w:rsidRPr="00CD5172">
        <w:rPr>
          <w:rFonts w:asciiTheme="minorHAnsi" w:hAnsiTheme="minorHAnsi" w:cstheme="minorHAnsi"/>
          <w:lang w:val="en-ZA"/>
        </w:rPr>
        <w:t>s</w:t>
      </w:r>
      <w:r w:rsidR="000829AD" w:rsidRPr="00CD5172">
        <w:rPr>
          <w:rFonts w:asciiTheme="minorHAnsi" w:hAnsiTheme="minorHAnsi" w:cstheme="minorHAnsi"/>
          <w:lang w:val="en-ZA"/>
        </w:rPr>
        <w:t xml:space="preserve">: </w:t>
      </w:r>
      <w:proofErr w:type="spellStart"/>
      <w:r w:rsidR="00CB1458" w:rsidRPr="00CD5172">
        <w:rPr>
          <w:rFonts w:asciiTheme="minorHAnsi" w:hAnsiTheme="minorHAnsi" w:cstheme="minorHAnsi"/>
          <w:i/>
          <w:lang w:val="en-ZA"/>
        </w:rPr>
        <w:t>xS</w:t>
      </w:r>
      <w:r w:rsidR="002126EE" w:rsidRPr="00CD5172">
        <w:rPr>
          <w:rFonts w:asciiTheme="minorHAnsi" w:hAnsiTheme="minorHAnsi" w:cstheme="minorHAnsi"/>
          <w:i/>
          <w:lang w:val="en-ZA"/>
        </w:rPr>
        <w:t>A</w:t>
      </w:r>
      <w:r w:rsidR="00CB1458" w:rsidRPr="00CD5172">
        <w:rPr>
          <w:rFonts w:asciiTheme="minorHAnsi" w:hAnsiTheme="minorHAnsi" w:cstheme="minorHAnsi"/>
          <w:i/>
          <w:lang w:val="en-ZA"/>
        </w:rPr>
        <w:t>RIi</w:t>
      </w:r>
      <w:proofErr w:type="spellEnd"/>
      <w:r w:rsidR="00CB1458" w:rsidRPr="00CD5172">
        <w:rPr>
          <w:rFonts w:asciiTheme="minorHAnsi" w:hAnsiTheme="minorHAnsi" w:cstheme="minorHAnsi"/>
          <w:i/>
          <w:lang w:val="en-ZA"/>
        </w:rPr>
        <w:t xml:space="preserve"> </w:t>
      </w:r>
      <w:r w:rsidR="000829AD" w:rsidRPr="00CD5172">
        <w:rPr>
          <w:rFonts w:asciiTheme="minorHAnsi" w:hAnsiTheme="minorHAnsi" w:cstheme="minorHAnsi"/>
          <w:lang w:val="en-ZA"/>
        </w:rPr>
        <w:t xml:space="preserve">is the proportion of all eligible SRI cases enrolled in each age </w:t>
      </w:r>
      <w:r w:rsidR="00F15DEC" w:rsidRPr="00CD5172">
        <w:rPr>
          <w:rFonts w:asciiTheme="minorHAnsi" w:hAnsiTheme="minorHAnsi" w:cstheme="minorHAnsi"/>
          <w:lang w:val="en-ZA"/>
        </w:rPr>
        <w:t xml:space="preserve">group </w:t>
      </w:r>
      <w:r w:rsidR="00F15DEC" w:rsidRPr="00CD5172">
        <w:rPr>
          <w:rFonts w:asciiTheme="minorHAnsi" w:hAnsiTheme="minorHAnsi" w:cstheme="minorHAnsi"/>
          <w:i/>
          <w:lang w:val="en-ZA"/>
        </w:rPr>
        <w:t>i</w:t>
      </w:r>
      <w:r w:rsidR="000829AD" w:rsidRPr="00CD5172">
        <w:rPr>
          <w:rFonts w:asciiTheme="minorHAnsi" w:hAnsiTheme="minorHAnsi" w:cstheme="minorHAnsi"/>
          <w:i/>
          <w:lang w:val="en-ZA"/>
        </w:rPr>
        <w:t>: HUS</w:t>
      </w:r>
      <w:r w:rsidR="00CB1458" w:rsidRPr="00CD5172">
        <w:rPr>
          <w:rFonts w:asciiTheme="minorHAnsi" w:hAnsiTheme="minorHAnsi" w:cstheme="minorHAnsi"/>
          <w:i/>
          <w:lang w:val="en-ZA"/>
        </w:rPr>
        <w:t>S</w:t>
      </w:r>
      <w:r w:rsidR="00713609">
        <w:rPr>
          <w:rFonts w:asciiTheme="minorHAnsi" w:hAnsiTheme="minorHAnsi" w:cstheme="minorHAnsi"/>
          <w:i/>
          <w:lang w:val="en-ZA"/>
        </w:rPr>
        <w:t>A</w:t>
      </w:r>
      <w:r w:rsidR="00CB1458" w:rsidRPr="00CD5172">
        <w:rPr>
          <w:rFonts w:asciiTheme="minorHAnsi" w:hAnsiTheme="minorHAnsi" w:cstheme="minorHAnsi"/>
          <w:i/>
          <w:lang w:val="en-ZA"/>
        </w:rPr>
        <w:t>RI</w:t>
      </w:r>
      <w:r w:rsidR="000829AD" w:rsidRPr="00CD5172">
        <w:rPr>
          <w:rFonts w:asciiTheme="minorHAnsi" w:hAnsiTheme="minorHAnsi" w:cstheme="minorHAnsi"/>
          <w:i/>
          <w:lang w:val="en-ZA"/>
        </w:rPr>
        <w:t xml:space="preserve"> </w:t>
      </w:r>
      <w:r w:rsidR="00881206" w:rsidRPr="00CD5172">
        <w:rPr>
          <w:rFonts w:asciiTheme="minorHAnsi" w:hAnsiTheme="minorHAnsi" w:cstheme="minorHAnsi"/>
          <w:i/>
          <w:lang w:val="en-ZA"/>
        </w:rPr>
        <w:t xml:space="preserve"> </w:t>
      </w:r>
      <w:r w:rsidR="00881206" w:rsidRPr="00CD5172">
        <w:rPr>
          <w:rFonts w:asciiTheme="minorHAnsi" w:hAnsiTheme="minorHAnsi" w:cstheme="minorHAnsi"/>
          <w:lang w:val="en-ZA"/>
        </w:rPr>
        <w:t>i</w:t>
      </w:r>
      <w:r w:rsidR="000829AD" w:rsidRPr="00CD5172">
        <w:rPr>
          <w:rFonts w:asciiTheme="minorHAnsi" w:hAnsiTheme="minorHAnsi" w:cstheme="minorHAnsi"/>
          <w:lang w:val="en-ZA"/>
        </w:rPr>
        <w:t>s the H</w:t>
      </w:r>
      <w:r w:rsidR="003143D8">
        <w:rPr>
          <w:rFonts w:asciiTheme="minorHAnsi" w:hAnsiTheme="minorHAnsi" w:cstheme="minorHAnsi"/>
          <w:lang w:val="en-ZA"/>
        </w:rPr>
        <w:t xml:space="preserve">ealth Care utilisation survey (HUS) </w:t>
      </w:r>
      <w:r w:rsidR="000829AD" w:rsidRPr="00CD5172">
        <w:rPr>
          <w:rFonts w:asciiTheme="minorHAnsi" w:hAnsiTheme="minorHAnsi" w:cstheme="minorHAnsi"/>
          <w:lang w:val="en-ZA"/>
        </w:rPr>
        <w:t>derived proportion of S</w:t>
      </w:r>
      <w:r w:rsidR="003143D8">
        <w:rPr>
          <w:rFonts w:asciiTheme="minorHAnsi" w:hAnsiTheme="minorHAnsi" w:cstheme="minorHAnsi"/>
          <w:lang w:val="en-ZA"/>
        </w:rPr>
        <w:t>A</w:t>
      </w:r>
      <w:r w:rsidR="000829AD" w:rsidRPr="00CD5172">
        <w:rPr>
          <w:rFonts w:asciiTheme="minorHAnsi" w:hAnsiTheme="minorHAnsi" w:cstheme="minorHAnsi"/>
          <w:lang w:val="en-ZA"/>
        </w:rPr>
        <w:t>RI cases that s</w:t>
      </w:r>
      <w:r w:rsidR="003143D8">
        <w:rPr>
          <w:rFonts w:asciiTheme="minorHAnsi" w:hAnsiTheme="minorHAnsi" w:cstheme="minorHAnsi"/>
          <w:lang w:val="en-ZA"/>
        </w:rPr>
        <w:t>ought</w:t>
      </w:r>
      <w:r w:rsidR="000829AD" w:rsidRPr="00CD5172">
        <w:rPr>
          <w:rFonts w:asciiTheme="minorHAnsi" w:hAnsiTheme="minorHAnsi" w:cstheme="minorHAnsi"/>
          <w:lang w:val="en-ZA"/>
        </w:rPr>
        <w:t xml:space="preserve"> care at the sentinel hospital</w:t>
      </w:r>
      <w:r w:rsidR="003143D8">
        <w:rPr>
          <w:rFonts w:asciiTheme="minorHAnsi" w:hAnsiTheme="minorHAnsi" w:cstheme="minorHAnsi"/>
          <w:lang w:val="en-ZA"/>
        </w:rPr>
        <w:fldChar w:fldCharType="begin" w:fldLock="1"/>
      </w:r>
      <w:r w:rsidR="003143D8">
        <w:rPr>
          <w:rFonts w:asciiTheme="minorHAnsi" w:hAnsiTheme="minorHAnsi" w:cstheme="minorHAnsi"/>
          <w:lang w:val="en-ZA"/>
        </w:rPr>
        <w:instrText>ADDIN CSL_CITATION {"citationItems":[{"id":"ITEM-1","itemData":{"DOI":"10.11604/pamj.2018.30.271.14477","ISSN":"19378688","PMID":"30637056","abstract":"Introduction: Understanding healthcare utilization helps characterize access to healthcare, identify barriers and improve surveillance data interpretation. We describe healthcare-seeking behaviors for common infectious syndromes and identify reasons for seeking care. Methods: We conducted a cross-sectional survey among residents in Soweto and Klerksdorp, South Africa. Households were interviewed about demographic characteristics; recent self-reported episodes of pneumonia, influenza-like illness (ILI), chronic febrile respiratory illness and meningitis in individuals of all ages; recent diarrhea in children aged &lt; 5 years; and consultation with healthcare facilities and providers. Results: From July-October 2012, we interviewed 1,442 households in Klerksdorp and 973 households in Soweto. Public clinics were consulted most frequently for pneumonia, ILI and diarrhea in a child &lt;5 years old at both sites; public hospitals were most frequently consulted for chronic respiratory and meningitis syndromes. Of all illness episodes reported, there were 110 (35%) in Klerksdorp and 127 (32%) in Soweto for which the person did not seek care with a licensed medical provider. Pharmacies were often consulted by individuals with pneumonia (Klerksdorp: 17, 16%; Soweto: 38, 22%) or ILI (Klerksdorp: 35, 24%; 44, 28%). Patients who did not seek care with a licensed provider reported insufficient time (Klerksdorp: 7%; Soweto, 20%) and lack of medications at the facility (Klerksdorp: 4%; Soweto: 8%) as barriers. Conclusion: Public government healthcare facilities are commonly consulted for infectious syndromes and pharmacies are frequently consulted particularly for respiratory diseases. Improving medication availability at healthcare facilities and streamlining healthcare delivery may improve access of licensed providers for serious illnesses.","author":[{"dropping-particle":"","family":"Wong","given":"Karen Kai Lun","non-dropping-particle":"","parse-names":false,"suffix":""},{"dropping-particle":"","family":"Mollendorf","given":"Claire","non-dropping-particle":"von","parse-names":false,"suffix":""},{"dropping-particle":"","family":"Martinson","given":"Neil","non-dropping-particle":"","parse-names":false,"suffix":""},{"dropping-particle":"","family":"Norris","given":"Shane","non-dropping-particle":"","parse-names":false,"suffix":""},{"dropping-particle":"","family":"Tempia","given":"Stefano","non-dropping-particle":"","parse-names":false,"suffix":""},{"dropping-particle":"","family":"Walaza","given":"Sibongile","non-dropping-particle":"","parse-names":false,"suffix":""},{"dropping-particle":"","family":"Variava","given":"Ebrahim","non-dropping-particle":"","parse-names":false,"suffix":""},{"dropping-particle":"","family":"McMorrow","given":"Meredith Lynn","non-dropping-particle":"","parse-names":false,"suffix":""},{"dropping-particle":"","family":"Madhi","given":"Shabir","non-dropping-particle":"","parse-names":false,"suffix":""},{"dropping-particle":"","family":"Cohen","given":"Cheryl","non-dropping-particle":"","parse-names":false,"suffix":""},{"dropping-particle":"","family":"Cohen","given":"Adam Lauren","non-dropping-particle":"","parse-names":false,"suffix":""}],"container-title":"Pan African Medical Journal","id":"ITEM-1","issued":{"date-parts":[["2018"]]},"page":"1-12","title":"Healthcare utilization for common infectious disease syndromes in Soweto and Klerksdorp, South Africa","type":"article-journal","volume":"30"},"uris":["http://www.mendeley.com/documents/?uuid=73630e4c-d846-4d89-be8e-ec27f76dccd3"]},{"id":"ITEM-2","itemData":{"DOI":"10.7196/SAMJ.2019.v109i5.13024","ISSN":"20785135","PMID":"31131801","abstract":"Background. Public health facilities are used by the majority of South Africans, and healthcare utilisation surveys have been a useful tool to estimate the burden of disease in a given area. Objectives. To describe care-seeking behaviour in a periurban site with a high prevalence of HIV infection, as well as barriers to seeking appropriate healthcare. Methods. We conducted a cross-sectional household survey in 22 wards of the Msunduzi municipality in KwaZulu-Natal Province, South Africa, from October to December 2013 using a simple random sample of households selected from a 2011 census enumeration. A primary caregiver/adult decision-maker was interviewed regarding demographic data as well as health status and recent self-reported episodes of selected illnesses and healthcare utilisation. Results. Of the 2 238 eligible premises visited, 1 936 households (87%) with a total of 9 733 members were enrolled in the study. Of these, 635 (7%) reported one or more episodes of infectious illness during the study period. Public health clinics were most frequently consulted for all illnesses (361/635, 57%). Private healthcare (general practitioner, private clinic, private hospital) was sought by 90/635 of individuals (14%), only 13/635 (2%) reported seeking care from traditional healers, religious leaders or volunteers, and 71/635 (11%) did not seek any medical care for acute illnesses. Individuals in the lowest income group were more likely to seek care at public health facilities than those in the highest income group (70% v. 32%). Conclusions. Public health facility-based surveillance may be representative of disease patterns in this community, although surveillance at household level shows that high-income individuals may be excluded because they were more likely to use private healthcare, and the proportion of individuals who died at home would have been missed by facility-based surveillance. Data obtained in such surveys may be useful for public health planning.","author":[{"dropping-particle":"","family":"McAnerney","given":"J. M.","non-dropping-particle":"","parse-names":false,"suffix":""},{"dropping-particle":"","family":"Cohen","given":"C.","non-dropping-particle":"","parse-names":false,"suffix":""},{"dropping-particle":"","family":"Cohen","given":"A. L.","non-dropping-particle":"","parse-names":false,"suffix":""},{"dropping-particle":"","family":"Tempia","given":"S.","non-dropping-particle":"","parse-names":false,"suffix":""},{"dropping-particle":"","family":"Walaza","given":"S.","non-dropping-particle":"","parse-names":false,"suffix":""},{"dropping-particle":"","family":"Wong","given":"K. K.","non-dropping-particle":"","parse-names":false,"suffix":""},{"dropping-particle":"","family":"Im","given":"J.","non-dropping-particle":"","parse-names":false,"suffix":""},{"dropping-particle":"","family":"Marks","given":"F.","non-dropping-particle":"","parse-names":false,"suffix":""},{"dropping-particle":"","family":"Dawood","given":"H.","non-dropping-particle":"","parse-names":false,"suffix":""},{"dropping-particle":"","family":"Panzner","given":"U.","non-dropping-particle":"","parse-names":false,"suffix":""},{"dropping-particle":"","family":"Keddy","given":"K. H.","non-dropping-particle":"","parse-names":false,"suffix":""},{"dropping-particle":"","family":"Mollendorf","given":"C.","non-dropping-particle":"Von","parse-names":false,"suffix":""}],"container-title":"South African Medical Journal","id":"ITEM-2","issue":"5","issued":{"date-parts":[["2019","5","1"]]},"page":"333-339","publisher":"South African Medical Association","title":"Healthcare utilisation patterns for respiratory and gastrointestinal syndromes and meningitis in Msunduzi municipality, Pietermaritzburg, KwaZulu-Natal Province, South Africa, 2013","type":"article-journal","volume":"109"},"uris":["http://www.mendeley.com/documents/?uuid=e8d1afe3-44a2-35b9-ae3d-719c9572ffe9"]}],"mendeley":{"formattedCitation":"&lt;sup&gt;5,6&lt;/sup&gt;","plainTextFormattedCitation":"5,6","previouslyFormattedCitation":"&lt;sup&gt;5,6&lt;/sup&gt;"},"properties":{"noteIndex":0},"schema":"https://github.com/citation-style-language/schema/raw/master/csl-citation.json"}</w:instrText>
      </w:r>
      <w:r w:rsidR="003143D8">
        <w:rPr>
          <w:rFonts w:asciiTheme="minorHAnsi" w:hAnsiTheme="minorHAnsi" w:cstheme="minorHAnsi"/>
          <w:lang w:val="en-ZA"/>
        </w:rPr>
        <w:fldChar w:fldCharType="separate"/>
      </w:r>
      <w:r w:rsidR="003143D8" w:rsidRPr="003143D8">
        <w:rPr>
          <w:rFonts w:asciiTheme="minorHAnsi" w:hAnsiTheme="minorHAnsi" w:cstheme="minorHAnsi"/>
          <w:noProof/>
          <w:vertAlign w:val="superscript"/>
          <w:lang w:val="en-ZA"/>
        </w:rPr>
        <w:t>5,6</w:t>
      </w:r>
      <w:r w:rsidR="003143D8">
        <w:rPr>
          <w:rFonts w:asciiTheme="minorHAnsi" w:hAnsiTheme="minorHAnsi" w:cstheme="minorHAnsi"/>
          <w:lang w:val="en-ZA"/>
        </w:rPr>
        <w:fldChar w:fldCharType="end"/>
      </w:r>
      <w:r w:rsidR="003143D8">
        <w:rPr>
          <w:rFonts w:asciiTheme="minorHAnsi" w:hAnsiTheme="minorHAnsi" w:cstheme="minorHAnsi"/>
          <w:vertAlign w:val="superscript"/>
          <w:lang w:val="en-ZA"/>
        </w:rPr>
        <w:t>,</w:t>
      </w:r>
      <w:r w:rsidR="003143D8">
        <w:rPr>
          <w:rFonts w:asciiTheme="minorHAnsi" w:hAnsiTheme="minorHAnsi" w:cstheme="minorHAnsi"/>
          <w:lang w:val="en-ZA"/>
        </w:rPr>
        <w:fldChar w:fldCharType="begin" w:fldLock="1"/>
      </w:r>
      <w:r w:rsidR="003143D8">
        <w:rPr>
          <w:rFonts w:asciiTheme="minorHAnsi" w:hAnsiTheme="minorHAnsi" w:cstheme="minorHAnsi"/>
          <w:lang w:val="en-ZA"/>
        </w:rPr>
        <w:instrText>ADDIN CSL_CITATION {"citationItems":[{"id":"ITEM-1","itemData":{"DOI":"Statistical release P0302","ISBN":"015944","ISSN":"00225223","PMID":"16265","abstract":"General information Stats SA publishes approximately 300 different statistical releases each year. It is not economically viable to produce them in more than one of South Africa's eleven official languages. Since the releases are used extensively, not only locally but also by international economic and social-scientific communities, Stats SA releases are published in English only. Stats SA has copyright on this publication. Users may apply the information as they wish, provided that they acknowledge Stats SA as the source of the basic data wherever they process, apply, utilise, publish or distribute the data; and also that they specify that the relevant application and analysis (where applicable) result from their own processing of the data.","author":[{"dropping-particle":"","family":"Statistics South Africa","given":"","non-dropping-particle":"","parse-names":false,"suffix":""}],"container-title":"www.statssa.gov.za/publications/.../P03022014.pdf","id":"ITEM-1","issue":"July","issued":{"date-parts":[["2014"]]},"page":"1-18","title":"Mid-year Population estimates","type":"article-journal"},"uris":["http://www.mendeley.com/documents/?uuid=9b3ecf06-d500-4d92-8bcf-d13394914d11"]},{"id":"ITEM-2","itemData":{"ISBN":"P0302","abstract":"This release uses the cohort-component methodology to estimate the 2015 mid-year population of South Africa. ? The estimates cover all the residents of South Africa at the 2015 mid-year, and are based on the latest available information. Estimates may change as new data become available. ? For 2015, Statistics South Africa (Stats SA) estimates the mid-year population as 54,96 million. ? Approximately fifty-one per cent (approximately 28,07 million) of the population is female. ? Gauteng comprises the largest share of the South African population. Approximately 13,20 million people (24%) live in this province. KwaZulu-Natal is the province with the second largest population, with 10,92 million people (19,9%) living in this province. With a population of approximately 1,19 million people (2,2%), Northern Cape remains the province with the smallest share of the South African population. ? About 30,2% of the population is aged younger than 15 years and approximately 8,0% (4,42 million) is 60 years or older. Of those younger than 15 years, approximately 22,9% (3,80 million) live in KwaZulu-Natal and 19,7% (3,28 million) live in Gauteng. Of those elderly aged 60 years and older, the highest percentage 26,3% (1,16 million) reside in Gauteng. The proportion of elderly persons aged 60 and older is increasing over time. ? Migration is an important demographic process in shaping the age structure and distribution of the provincial population. For the period 2011–2016 it is estimated that approximately 243 118 people will migrate from the Eastern Cape; Limpopo is estimated to experience an out-migration of nearly 303 151 people. During the same period, Gauteng and Western Cape are estimated to experience an inflow of migrants of approximately 1 169 837 and 350 569 respectively (see migration stream tables for net migration). ? Life expectancy at birth for 2015 is estimated at 60,6 years for males and 64,3 years for females. ? The infant mortality rate for 2015 is estimated at 34,4 per 1 000 live births. ? The estimated overall HIV prevalence rate is approximately 11,2% of the total South African population. The total number of people living with HIV is estimated at approximately 6,19 million in 2015. For adults aged 15–49 years, an estimated 16,6% of the population is HIV positive.","author":[{"dropping-particle":"","family":"Statistics South Africa","given":"","non-dropping-particle":"","parse-names":false,"suffix":""}],"id":"ITEM-2","issue":"July","issued":{"date-parts":[["2015"]]},"page":"20","title":"South Africa. Mid-year population estimates 2015.","type":"article-journal","volume":"P0302"},"uris":["http://www.mendeley.com/documents/?uuid=3459d04f-0b74-496a-a57c-968d699f30a1"]},{"id":"ITEM-3","itemData":{"abstract":"General information Stats SA publishes approximately 300 different statistical releases each year. It is not economically viable to produce them in more than one of South Africa's eleven official languages. Since the releases are used extensively, not only locally but also by international economic and social-scientific communities, Stats SA releases are published in English only. Stats SA has copyright on this publication. Users may apply the information as they wish, provided that they acknowledge Stats SA as the source of the basic data wherever they process, apply, utilise, publish or distribute the data; and also that they specify that the relevant application and analysis (where applicable) result from their own processing of the data.","author":[{"dropping-particle":"","family":"Statistics South Africa","given":"","non-dropping-particle":"","parse-names":false,"suffix":""}],"container-title":"Statistics South Africa","id":"ITEM-3","issue":"P0302","issued":{"date-parts":[["2013"]]},"page":"1-17","title":"Statistical release P0302: Mid-year population estimates, South Africa 2013","type":"article-journal"},"uris":["http://www.mendeley.com/documents/?uuid=93d72960-5035-4d11-b1a8-0b0eb76c3353"]}],"mendeley":{"formattedCitation":"&lt;sup&gt;7–9&lt;/sup&gt;","plainTextFormattedCitation":"7–9"},"properties":{"noteIndex":0},"schema":"https://github.com/citation-style-language/schema/raw/master/csl-citation.json"}</w:instrText>
      </w:r>
      <w:r w:rsidR="003143D8">
        <w:rPr>
          <w:rFonts w:asciiTheme="minorHAnsi" w:hAnsiTheme="minorHAnsi" w:cstheme="minorHAnsi"/>
          <w:lang w:val="en-ZA"/>
        </w:rPr>
        <w:fldChar w:fldCharType="separate"/>
      </w:r>
      <w:r w:rsidR="003143D8" w:rsidRPr="003143D8">
        <w:rPr>
          <w:rFonts w:asciiTheme="minorHAnsi" w:hAnsiTheme="minorHAnsi" w:cstheme="minorHAnsi"/>
          <w:noProof/>
          <w:vertAlign w:val="superscript"/>
          <w:lang w:val="en-ZA"/>
        </w:rPr>
        <w:t>7–9</w:t>
      </w:r>
      <w:r w:rsidR="003143D8">
        <w:rPr>
          <w:rFonts w:asciiTheme="minorHAnsi" w:hAnsiTheme="minorHAnsi" w:cstheme="minorHAnsi"/>
          <w:lang w:val="en-ZA"/>
        </w:rPr>
        <w:fldChar w:fldCharType="end"/>
      </w:r>
      <w:r w:rsidR="000829AD" w:rsidRPr="00CD5172">
        <w:rPr>
          <w:rFonts w:asciiTheme="minorHAnsi" w:hAnsiTheme="minorHAnsi" w:cstheme="minorHAnsi"/>
          <w:lang w:val="en-ZA"/>
        </w:rPr>
        <w:t xml:space="preserve">: </w:t>
      </w:r>
      <w:proofErr w:type="spellStart"/>
      <w:r w:rsidR="000829AD" w:rsidRPr="00CD5172">
        <w:rPr>
          <w:rFonts w:asciiTheme="minorHAnsi" w:hAnsiTheme="minorHAnsi" w:cstheme="minorHAnsi"/>
          <w:i/>
          <w:lang w:val="en-ZA"/>
        </w:rPr>
        <w:t>Pop</w:t>
      </w:r>
      <w:r w:rsidR="000829AD" w:rsidRPr="00CD5172">
        <w:rPr>
          <w:rFonts w:asciiTheme="minorHAnsi" w:hAnsiTheme="minorHAnsi" w:cstheme="minorHAnsi"/>
          <w:i/>
          <w:vertAlign w:val="subscript"/>
          <w:lang w:val="en-ZA"/>
        </w:rPr>
        <w:t>i</w:t>
      </w:r>
      <w:proofErr w:type="spellEnd"/>
      <w:r w:rsidR="000829AD" w:rsidRPr="00CD5172">
        <w:rPr>
          <w:rFonts w:asciiTheme="minorHAnsi" w:hAnsiTheme="minorHAnsi" w:cstheme="minorHAnsi"/>
          <w:i/>
          <w:vertAlign w:val="subscript"/>
          <w:lang w:val="en-ZA"/>
        </w:rPr>
        <w:t xml:space="preserve"> </w:t>
      </w:r>
      <w:r w:rsidR="000829AD" w:rsidRPr="00CD5172">
        <w:rPr>
          <w:rFonts w:asciiTheme="minorHAnsi" w:hAnsiTheme="minorHAnsi" w:cstheme="minorHAnsi"/>
          <w:lang w:val="en-ZA"/>
        </w:rPr>
        <w:t xml:space="preserve"> is the mid-year population in each age group. </w:t>
      </w:r>
    </w:p>
    <w:p w14:paraId="422F9ECB" w14:textId="37EBB494" w:rsidR="003A4882" w:rsidRPr="00CD5172" w:rsidRDefault="003A4882" w:rsidP="00CD5172">
      <w:pPr>
        <w:jc w:val="both"/>
        <w:rPr>
          <w:rFonts w:asciiTheme="minorHAnsi" w:hAnsiTheme="minorHAnsi" w:cstheme="minorHAnsi"/>
          <w:lang w:val="en-ZA"/>
        </w:rPr>
      </w:pPr>
    </w:p>
    <w:p w14:paraId="687B5BA5" w14:textId="77777777" w:rsidR="003A4882" w:rsidRPr="00CD5172" w:rsidRDefault="003A4882" w:rsidP="00CD5172">
      <w:pPr>
        <w:jc w:val="both"/>
        <w:rPr>
          <w:rFonts w:asciiTheme="minorHAnsi" w:hAnsiTheme="minorHAnsi" w:cstheme="minorHAnsi"/>
        </w:rPr>
      </w:pPr>
    </w:p>
    <w:p w14:paraId="54907193" w14:textId="446200F9" w:rsidR="00F6494A" w:rsidRPr="00CD5172" w:rsidRDefault="00F6494A" w:rsidP="00CD5172">
      <w:pPr>
        <w:jc w:val="both"/>
        <w:rPr>
          <w:rFonts w:asciiTheme="minorHAnsi" w:hAnsiTheme="minorHAnsi" w:cstheme="minorHAnsi"/>
        </w:rPr>
      </w:pPr>
    </w:p>
    <w:p w14:paraId="7233144E" w14:textId="4356DB42" w:rsidR="00055F63" w:rsidRPr="00CD5172" w:rsidRDefault="00055F63" w:rsidP="00CD5172">
      <w:pPr>
        <w:pStyle w:val="ListParagraph"/>
        <w:numPr>
          <w:ilvl w:val="0"/>
          <w:numId w:val="10"/>
        </w:numPr>
        <w:spacing w:line="240" w:lineRule="auto"/>
        <w:jc w:val="both"/>
        <w:rPr>
          <w:rFonts w:asciiTheme="minorHAnsi" w:hAnsiTheme="minorHAnsi" w:cstheme="minorHAnsi"/>
          <w:b/>
          <w:sz w:val="24"/>
          <w:szCs w:val="24"/>
        </w:rPr>
      </w:pPr>
      <w:r w:rsidRPr="00CD5172">
        <w:rPr>
          <w:rFonts w:asciiTheme="minorHAnsi" w:hAnsiTheme="minorHAnsi" w:cstheme="minorHAnsi"/>
          <w:b/>
          <w:sz w:val="24"/>
          <w:szCs w:val="24"/>
        </w:rPr>
        <w:t xml:space="preserve">Estimate the SARI rate in other </w:t>
      </w:r>
      <w:r w:rsidR="004F267C" w:rsidRPr="00CD5172">
        <w:rPr>
          <w:rFonts w:asciiTheme="minorHAnsi" w:hAnsiTheme="minorHAnsi" w:cstheme="minorHAnsi"/>
          <w:b/>
          <w:sz w:val="24"/>
          <w:szCs w:val="24"/>
        </w:rPr>
        <w:t>provinces</w:t>
      </w:r>
      <w:r w:rsidRPr="00CD5172">
        <w:rPr>
          <w:rFonts w:asciiTheme="minorHAnsi" w:hAnsiTheme="minorHAnsi" w:cstheme="minorHAnsi"/>
          <w:b/>
          <w:sz w:val="24"/>
          <w:szCs w:val="24"/>
        </w:rPr>
        <w:t xml:space="preserve"> </w:t>
      </w:r>
    </w:p>
    <w:p w14:paraId="1DCE52DA" w14:textId="5F8771D9" w:rsidR="00055F63" w:rsidRPr="00CD5172" w:rsidRDefault="00237B14" w:rsidP="00CD5172">
      <w:pPr>
        <w:jc w:val="both"/>
        <w:rPr>
          <w:rFonts w:asciiTheme="minorHAnsi" w:hAnsiTheme="minorHAnsi" w:cstheme="minorHAnsi"/>
        </w:rPr>
      </w:pPr>
      <w:r w:rsidRPr="00CD5172">
        <w:rPr>
          <w:rFonts w:asciiTheme="minorHAnsi" w:hAnsiTheme="minorHAnsi" w:cstheme="minorHAnsi"/>
        </w:rPr>
        <w:t>The two base province</w:t>
      </w:r>
      <w:r w:rsidR="00055F63" w:rsidRPr="00CD5172">
        <w:rPr>
          <w:rFonts w:asciiTheme="minorHAnsi" w:hAnsiTheme="minorHAnsi" w:cstheme="minorHAnsi"/>
        </w:rPr>
        <w:t xml:space="preserve"> S</w:t>
      </w:r>
      <w:r w:rsidR="007A6E87" w:rsidRPr="00CD5172">
        <w:rPr>
          <w:rFonts w:asciiTheme="minorHAnsi" w:hAnsiTheme="minorHAnsi" w:cstheme="minorHAnsi"/>
        </w:rPr>
        <w:t>A</w:t>
      </w:r>
      <w:r w:rsidR="00055F63" w:rsidRPr="00CD5172">
        <w:rPr>
          <w:rFonts w:asciiTheme="minorHAnsi" w:hAnsiTheme="minorHAnsi" w:cstheme="minorHAnsi"/>
        </w:rPr>
        <w:t>RI rates</w:t>
      </w:r>
      <w:r w:rsidR="007A6E87" w:rsidRPr="00CD5172">
        <w:rPr>
          <w:rFonts w:asciiTheme="minorHAnsi" w:hAnsiTheme="minorHAnsi" w:cstheme="minorHAnsi"/>
        </w:rPr>
        <w:t xml:space="preserve"> (per 100,000)</w:t>
      </w:r>
      <w:r w:rsidR="00055F63" w:rsidRPr="00CD5172">
        <w:rPr>
          <w:rFonts w:asciiTheme="minorHAnsi" w:hAnsiTheme="minorHAnsi" w:cstheme="minorHAnsi"/>
        </w:rPr>
        <w:t xml:space="preserve"> </w:t>
      </w:r>
      <w:r w:rsidR="002311BD" w:rsidRPr="00CD5172">
        <w:rPr>
          <w:rFonts w:asciiTheme="minorHAnsi" w:hAnsiTheme="minorHAnsi" w:cstheme="minorHAnsi"/>
        </w:rPr>
        <w:t>were</w:t>
      </w:r>
      <w:r w:rsidR="00055F63" w:rsidRPr="00CD5172">
        <w:rPr>
          <w:rFonts w:asciiTheme="minorHAnsi" w:hAnsiTheme="minorHAnsi" w:cstheme="minorHAnsi"/>
        </w:rPr>
        <w:t xml:space="preserve"> adjusted for the provincial</w:t>
      </w:r>
      <w:r w:rsidR="00742357" w:rsidRPr="00CD5172">
        <w:rPr>
          <w:rFonts w:asciiTheme="minorHAnsi" w:hAnsiTheme="minorHAnsi" w:cstheme="minorHAnsi"/>
        </w:rPr>
        <w:t>-</w:t>
      </w:r>
      <w:r w:rsidR="00055F63" w:rsidRPr="00CD5172">
        <w:rPr>
          <w:rFonts w:asciiTheme="minorHAnsi" w:hAnsiTheme="minorHAnsi" w:cstheme="minorHAnsi"/>
        </w:rPr>
        <w:t xml:space="preserve">level prevalence </w:t>
      </w:r>
      <w:r w:rsidR="00405335" w:rsidRPr="00CD5172">
        <w:rPr>
          <w:rFonts w:asciiTheme="minorHAnsi" w:hAnsiTheme="minorHAnsi" w:cstheme="minorHAnsi"/>
        </w:rPr>
        <w:t>of</w:t>
      </w:r>
      <w:r w:rsidR="00055F63" w:rsidRPr="00CD5172">
        <w:rPr>
          <w:rFonts w:asciiTheme="minorHAnsi" w:hAnsiTheme="minorHAnsi" w:cstheme="minorHAnsi"/>
        </w:rPr>
        <w:t xml:space="preserve"> risk factors for pneumonia </w:t>
      </w:r>
      <w:r w:rsidR="006F4B57" w:rsidRPr="00CD5172">
        <w:rPr>
          <w:rFonts w:asciiTheme="minorHAnsi" w:hAnsiTheme="minorHAnsi" w:cstheme="minorHAnsi"/>
        </w:rPr>
        <w:t xml:space="preserve">in the other seven provinces </w:t>
      </w:r>
      <w:r w:rsidR="00055F63" w:rsidRPr="00CD5172">
        <w:rPr>
          <w:rFonts w:asciiTheme="minorHAnsi" w:hAnsiTheme="minorHAnsi" w:cstheme="minorHAnsi"/>
        </w:rPr>
        <w:t xml:space="preserve">obtained from the </w:t>
      </w:r>
      <w:r w:rsidRPr="00CD5172">
        <w:rPr>
          <w:rFonts w:asciiTheme="minorHAnsi" w:hAnsiTheme="minorHAnsi" w:cstheme="minorHAnsi"/>
        </w:rPr>
        <w:lastRenderedPageBreak/>
        <w:t xml:space="preserve">Demographic </w:t>
      </w:r>
      <w:r w:rsidR="00055F63" w:rsidRPr="00CD5172">
        <w:rPr>
          <w:rFonts w:asciiTheme="minorHAnsi" w:hAnsiTheme="minorHAnsi" w:cstheme="minorHAnsi"/>
        </w:rPr>
        <w:t>H</w:t>
      </w:r>
      <w:r w:rsidRPr="00CD5172">
        <w:rPr>
          <w:rFonts w:asciiTheme="minorHAnsi" w:hAnsiTheme="minorHAnsi" w:cstheme="minorHAnsi"/>
        </w:rPr>
        <w:t xml:space="preserve">ealth </w:t>
      </w:r>
      <w:r w:rsidR="00055F63" w:rsidRPr="00CD5172">
        <w:rPr>
          <w:rFonts w:asciiTheme="minorHAnsi" w:hAnsiTheme="minorHAnsi" w:cstheme="minorHAnsi"/>
        </w:rPr>
        <w:t>S</w:t>
      </w:r>
      <w:r w:rsidRPr="00CD5172">
        <w:rPr>
          <w:rFonts w:asciiTheme="minorHAnsi" w:hAnsiTheme="minorHAnsi" w:cstheme="minorHAnsi"/>
        </w:rPr>
        <w:t>urvey</w:t>
      </w:r>
      <w:r w:rsidR="00791CBA">
        <w:rPr>
          <w:rFonts w:asciiTheme="minorHAnsi" w:hAnsiTheme="minorHAnsi" w:cstheme="minorHAnsi"/>
        </w:rPr>
        <w:t xml:space="preserve"> (</w:t>
      </w:r>
      <w:r w:rsidRPr="00CD5172">
        <w:rPr>
          <w:rFonts w:asciiTheme="minorHAnsi" w:hAnsiTheme="minorHAnsi" w:cstheme="minorHAnsi"/>
        </w:rPr>
        <w:t>DHS</w:t>
      </w:r>
      <w:r w:rsidR="00791CBA">
        <w:rPr>
          <w:rFonts w:asciiTheme="minorHAnsi" w:hAnsiTheme="minorHAnsi" w:cstheme="minorHAnsi"/>
        </w:rPr>
        <w:t>)</w:t>
      </w:r>
      <w:r w:rsidR="00791CBA">
        <w:rPr>
          <w:rFonts w:asciiTheme="minorHAnsi" w:hAnsiTheme="minorHAnsi" w:cstheme="minorHAnsi"/>
        </w:rPr>
        <w:fldChar w:fldCharType="begin" w:fldLock="1"/>
      </w:r>
      <w:r w:rsidR="003143D8">
        <w:rPr>
          <w:rFonts w:asciiTheme="minorHAnsi" w:hAnsiTheme="minorHAnsi" w:cstheme="minorHAnsi"/>
        </w:rPr>
        <w:instrText>ADDIN CSL_CITATION {"citationItems":[{"id":"ITEM-1","itemData":{"DOI":"10.1093/cid/ciy1017","ISSN":"15376591","PMID":"30508065","abstract":"Background: Burden estimates of medically and nonmedically attended influenza-associated illness across syndromes and levels of severity are lacking. Methods: We estimated the national burden of medically and nonmedically attended influenza-associated illness among individuals with different clinical presentations (all-respiratory, all-circulatory, and nonrespiratory/noncirculatory) and levels of severity (mild, fatal, and severe, nonfatal) using a combination of case-based (from laboratory-confirmed influenza surveillance) and ecological studies, as well as data from healthcare utilization surveys in South Africa during 2013-2015. In addition, we compared estimates of medically attended influenza-associated respiratory illness, obtained from case-based and ecological studies. Rates were reported per 100 000 individuals in the population. Results: The estimated mean annual number of influenza-associated illness episodes was 10 737 847 (19.8% of 54 096 705 inhabitants). Of these episodes, 10 598 138 (98.7%) were mild, 128 173 (1.2%) were severe, nonfatal, and 11 536 (0.1%) were fatal. There were 2 718 140 (25.6%) mild, 56 226 (43.9%) severe, nonfatal, and 4945 (42.8%) medically attended should be after fatal episodes. Influenza-associated respiratory illness accounted for 99.2% (10 576 146) of any mild, 65.5% (83 941) of any severe, nonfatal, and 33.7% (3893) of any fatal illnesses. Ecological and case-based estimates of medically attended, influenza-associated, respiratory mild (rates: ecological, 1778.8, vs case-based, 1703.3; difference, 4.4%), severe, nonfatal (rates: ecological, 88.6, vs case-based, 75.3; difference, 15.0%), and fatal (rates: ecological, 3.8, vs case-based, 3.5; difference, 8.4%) illnesses were similar. Conclusions: There was a substantial burden of influenza-associated symptomatic illness, including severe, nonfatal and fatal illnesses, and a large proportion was nonmedically attended. Estimates, including only influenza-associated respiratory illness, substantially underestimated influenza-associated, severe, nonfatal and fatal illnesses. Ecological and case-based estimates were found to be similar for the compared categories.","author":[{"dropping-particle":"","family":"Tempia","given":"Stefano","non-dropping-particle":"","parse-names":false,"suffix":""},{"dropping-particle":"","family":"Walaza","given":"Sibongile","non-dropping-particle":"","parse-names":false,"suffix":""},{"dropping-particle":"","family":"Moyes","given":"Jocelyn","non-dropping-particle":"","parse-names":false,"suffix":""},{"dropping-particle":"","family":"Cohen","given":"Adam L.","non-dropping-particle":"","parse-names":false,"suffix":""},{"dropping-particle":"","family":"McMorrow","given":"Meredith L.","non-dropping-particle":"","parse-names":false,"suffix":""},{"dropping-particle":"","family":"Treurnicht","given":"Florette K.","non-dropping-particle":"","parse-names":false,"suffix":""},{"dropping-particle":"","family":"Hellferscee","given":"Orienka","non-dropping-particle":"","parse-names":false,"suffix":""},{"dropping-particle":"","family":"Wolter","given":"Nicole","non-dropping-particle":"","parse-names":false,"suffix":""},{"dropping-particle":"","family":"Gottberg","given":"Anne","non-dropping-particle":"Von","parse-names":false,"suffix":""},{"dropping-particle":"","family":"Nguweneza","given":"Arthemon","non-dropping-particle":"","parse-names":false,"suffix":""},{"dropping-particle":"","family":"McAnerney","given":"Johanna M.","non-dropping-particle":"","parse-names":false,"suffix":""},{"dropping-particle":"","family":"Dawood","given":"Halima","non-dropping-particle":"","parse-names":false,"suffix":""},{"dropping-particle":"","family":"Variava","given":"Ebrahim","non-dropping-particle":"","parse-names":false,"suffix":""},{"dropping-particle":"","family":"Madhi","given":"Shabir A.","non-dropping-particle":"","parse-names":false,"suffix":""},{"dropping-particle":"","family":"Cohen","given":"Cheryl","non-dropping-particle":"","parse-names":false,"suffix":""}],"container-title":"Clinical Infectious Diseases","id":"ITEM-1","issue":"6","issued":{"date-parts":[["2019","8","30"]]},"page":"1036-1048","publisher":"Oxford University Press","title":"Quantifying how different clinical presentations, levels of severity, and healthcare attendance shape the burden of influenza-associated illness: A modeling study from South Africa","type":"article-journal","volume":"69"},"uris":["http://www.mendeley.com/documents/?uuid=71bdbf41-8937-3a23-a4e2-8eec519648f8"]}],"mendeley":{"formattedCitation":"&lt;sup&gt;10&lt;/sup&gt;","plainTextFormattedCitation":"10","previouslyFormattedCitation":"&lt;sup&gt;7&lt;/sup&gt;"},"properties":{"noteIndex":0},"schema":"https://github.com/citation-style-language/schema/raw/master/csl-citation.json"}</w:instrText>
      </w:r>
      <w:r w:rsidR="00791CBA">
        <w:rPr>
          <w:rFonts w:asciiTheme="minorHAnsi" w:hAnsiTheme="minorHAnsi" w:cstheme="minorHAnsi"/>
        </w:rPr>
        <w:fldChar w:fldCharType="separate"/>
      </w:r>
      <w:r w:rsidR="003143D8" w:rsidRPr="003143D8">
        <w:rPr>
          <w:rFonts w:asciiTheme="minorHAnsi" w:hAnsiTheme="minorHAnsi" w:cstheme="minorHAnsi"/>
          <w:noProof/>
          <w:vertAlign w:val="superscript"/>
        </w:rPr>
        <w:t>10</w:t>
      </w:r>
      <w:r w:rsidR="00791CBA">
        <w:rPr>
          <w:rFonts w:asciiTheme="minorHAnsi" w:hAnsiTheme="minorHAnsi" w:cstheme="minorHAnsi"/>
        </w:rPr>
        <w:fldChar w:fldCharType="end"/>
      </w:r>
      <w:r w:rsidR="00791CBA">
        <w:rPr>
          <w:rFonts w:asciiTheme="minorHAnsi" w:hAnsiTheme="minorHAnsi" w:cstheme="minorHAnsi"/>
          <w:vertAlign w:val="superscript"/>
        </w:rPr>
        <w:t>,</w:t>
      </w:r>
      <w:r w:rsidR="00791CBA">
        <w:rPr>
          <w:rFonts w:asciiTheme="minorHAnsi" w:hAnsiTheme="minorHAnsi" w:cstheme="minorHAnsi"/>
        </w:rPr>
        <w:fldChar w:fldCharType="begin" w:fldLock="1"/>
      </w:r>
      <w:r w:rsidR="003143D8">
        <w:rPr>
          <w:rFonts w:asciiTheme="minorHAnsi" w:hAnsiTheme="minorHAnsi" w:cstheme="minorHAnsi"/>
        </w:rPr>
        <w:instrText>ADDIN CSL_CITATION {"citationItems":[{"id":"ITEM-1","itemData":{"ISBN":"9781919839783","author":[{"dropping-particle":"","family":"Massyn","given":"Naomi","non-dropping-particle":"","parse-names":false,"suffix":""},{"dropping-particle":"","family":"Day","given":"Candy","non-dropping-particle":"","parse-names":false,"suffix":""},{"dropping-particle":"","family":"Peer","given":"Nazia","non-dropping-particle":"","parse-names":false,"suffix":""},{"dropping-particle":"","family":"Padarath","given":"Ashnie","non-dropping-particle":"","parse-names":false,"suffix":""},{"dropping-particle":"","family":"Barron","given":"Peter","non-dropping-particle":"","parse-names":false,"suffix":""},{"dropping-particle":"","family":"Africa","given":"South","non-dropping-particle":"","parse-names":false,"suffix":""}],"id":"ITEM-1","issued":{"date-parts":[["0"]]},"title":"Dhb 2013 / 14","type":"book"},"uris":["http://www.mendeley.com/documents/?uuid=88edbc6b-31ea-4547-ab97-2f922a065087"]}],"mendeley":{"formattedCitation":"&lt;sup&gt;11&lt;/sup&gt;","plainTextFormattedCitation":"11","previouslyFormattedCitation":"&lt;sup&gt;8&lt;/sup&gt;"},"properties":{"noteIndex":0},"schema":"https://github.com/citation-style-language/schema/raw/master/csl-citation.json"}</w:instrText>
      </w:r>
      <w:r w:rsidR="00791CBA">
        <w:rPr>
          <w:rFonts w:asciiTheme="minorHAnsi" w:hAnsiTheme="minorHAnsi" w:cstheme="minorHAnsi"/>
        </w:rPr>
        <w:fldChar w:fldCharType="separate"/>
      </w:r>
      <w:r w:rsidR="003143D8" w:rsidRPr="003143D8">
        <w:rPr>
          <w:rFonts w:asciiTheme="minorHAnsi" w:hAnsiTheme="minorHAnsi" w:cstheme="minorHAnsi"/>
          <w:noProof/>
          <w:vertAlign w:val="superscript"/>
        </w:rPr>
        <w:t>11</w:t>
      </w:r>
      <w:r w:rsidR="00791CBA">
        <w:rPr>
          <w:rFonts w:asciiTheme="minorHAnsi" w:hAnsiTheme="minorHAnsi" w:cstheme="minorHAnsi"/>
        </w:rPr>
        <w:fldChar w:fldCharType="end"/>
      </w:r>
      <w:r w:rsidR="00791CBA">
        <w:rPr>
          <w:rFonts w:asciiTheme="minorHAnsi" w:hAnsiTheme="minorHAnsi" w:cstheme="minorHAnsi"/>
        </w:rPr>
        <w:t>.</w:t>
      </w:r>
      <w:r w:rsidR="00055F63" w:rsidRPr="00CD5172">
        <w:rPr>
          <w:rFonts w:asciiTheme="minorHAnsi" w:hAnsiTheme="minorHAnsi" w:cstheme="minorHAnsi"/>
        </w:rPr>
        <w:t xml:space="preserve"> These include HIV infection, exposure to indoor air</w:t>
      </w:r>
      <w:r w:rsidR="00405335" w:rsidRPr="00CD5172">
        <w:rPr>
          <w:rFonts w:asciiTheme="minorHAnsi" w:hAnsiTheme="minorHAnsi" w:cstheme="minorHAnsi"/>
        </w:rPr>
        <w:t xml:space="preserve"> pollution</w:t>
      </w:r>
      <w:r w:rsidR="00055F63" w:rsidRPr="00CD5172">
        <w:rPr>
          <w:rFonts w:asciiTheme="minorHAnsi" w:hAnsiTheme="minorHAnsi" w:cstheme="minorHAnsi"/>
        </w:rPr>
        <w:t xml:space="preserve">, crowding, malnutrition, low </w:t>
      </w:r>
      <w:r w:rsidR="00881206" w:rsidRPr="00CD5172">
        <w:rPr>
          <w:rFonts w:asciiTheme="minorHAnsi" w:hAnsiTheme="minorHAnsi" w:cstheme="minorHAnsi"/>
        </w:rPr>
        <w:t>birth</w:t>
      </w:r>
      <w:r w:rsidR="00055F63" w:rsidRPr="00CD5172">
        <w:rPr>
          <w:rFonts w:asciiTheme="minorHAnsi" w:hAnsiTheme="minorHAnsi" w:cstheme="minorHAnsi"/>
        </w:rPr>
        <w:t xml:space="preserve"> weight and non-exclusi</w:t>
      </w:r>
      <w:r w:rsidR="00405335" w:rsidRPr="00CD5172">
        <w:rPr>
          <w:rFonts w:asciiTheme="minorHAnsi" w:hAnsiTheme="minorHAnsi" w:cstheme="minorHAnsi"/>
        </w:rPr>
        <w:t>v</w:t>
      </w:r>
      <w:r w:rsidR="00055F63" w:rsidRPr="00CD5172">
        <w:rPr>
          <w:rFonts w:asciiTheme="minorHAnsi" w:hAnsiTheme="minorHAnsi" w:cstheme="minorHAnsi"/>
        </w:rPr>
        <w:t xml:space="preserve">e breastfeeding. The </w:t>
      </w:r>
      <w:r w:rsidR="00405335" w:rsidRPr="00CD5172">
        <w:rPr>
          <w:rFonts w:asciiTheme="minorHAnsi" w:hAnsiTheme="minorHAnsi" w:cstheme="minorHAnsi"/>
        </w:rPr>
        <w:t xml:space="preserve">relative </w:t>
      </w:r>
      <w:r w:rsidR="00333BC8" w:rsidRPr="00CD5172">
        <w:rPr>
          <w:rFonts w:asciiTheme="minorHAnsi" w:hAnsiTheme="minorHAnsi" w:cstheme="minorHAnsi"/>
        </w:rPr>
        <w:t>risks for</w:t>
      </w:r>
      <w:r w:rsidR="004F267C" w:rsidRPr="00CD5172">
        <w:rPr>
          <w:rFonts w:asciiTheme="minorHAnsi" w:hAnsiTheme="minorHAnsi" w:cstheme="minorHAnsi"/>
        </w:rPr>
        <w:t xml:space="preserve"> these risk factors </w:t>
      </w:r>
      <w:r w:rsidR="00405335" w:rsidRPr="00CD5172">
        <w:rPr>
          <w:rFonts w:asciiTheme="minorHAnsi" w:hAnsiTheme="minorHAnsi" w:cstheme="minorHAnsi"/>
        </w:rPr>
        <w:t>ar</w:t>
      </w:r>
      <w:r w:rsidR="00055F63" w:rsidRPr="00CD5172">
        <w:rPr>
          <w:rFonts w:asciiTheme="minorHAnsi" w:hAnsiTheme="minorHAnsi" w:cstheme="minorHAnsi"/>
        </w:rPr>
        <w:t>e</w:t>
      </w:r>
      <w:r w:rsidR="00405335" w:rsidRPr="00CD5172">
        <w:rPr>
          <w:rFonts w:asciiTheme="minorHAnsi" w:hAnsiTheme="minorHAnsi" w:cstheme="minorHAnsi"/>
        </w:rPr>
        <w:t xml:space="preserve"> </w:t>
      </w:r>
      <w:r w:rsidR="00055F63" w:rsidRPr="00CD5172">
        <w:rPr>
          <w:rFonts w:asciiTheme="minorHAnsi" w:hAnsiTheme="minorHAnsi" w:cstheme="minorHAnsi"/>
        </w:rPr>
        <w:t>obtained from published data</w:t>
      </w:r>
      <w:r w:rsidR="00791CBA">
        <w:rPr>
          <w:rFonts w:asciiTheme="minorHAnsi" w:hAnsiTheme="minorHAnsi" w:cstheme="minorHAnsi"/>
        </w:rPr>
        <w:fldChar w:fldCharType="begin" w:fldLock="1"/>
      </w:r>
      <w:r w:rsidR="003143D8">
        <w:rPr>
          <w:rFonts w:asciiTheme="minorHAnsi" w:hAnsiTheme="minorHAnsi" w:cstheme="minorHAnsi"/>
        </w:rPr>
        <w:instrText>ADDIN CSL_CITATION {"citationItems":[{"id":"ITEM-1","itemData":{"DOI":"10.1093/cid/ciy1017","ISSN":"15376591","PMID":"30508065","abstract":"Background: Burden estimates of medically and nonmedically attended influenza-associated illness across syndromes and levels of severity are lacking. Methods: We estimated the national burden of medically and nonmedically attended influenza-associated illness among individuals with different clinical presentations (all-respiratory, all-circulatory, and nonrespiratory/noncirculatory) and levels of severity (mild, fatal, and severe, nonfatal) using a combination of case-based (from laboratory-confirmed influenza surveillance) and ecological studies, as well as data from healthcare utilization surveys in South Africa during 2013-2015. In addition, we compared estimates of medically attended influenza-associated respiratory illness, obtained from case-based and ecological studies. Rates were reported per 100 000 individuals in the population. Results: The estimated mean annual number of influenza-associated illness episodes was 10 737 847 (19.8% of 54 096 705 inhabitants). Of these episodes, 10 598 138 (98.7%) were mild, 128 173 (1.2%) were severe, nonfatal, and 11 536 (0.1%) were fatal. There were 2 718 140 (25.6%) mild, 56 226 (43.9%) severe, nonfatal, and 4945 (42.8%) medically attended should be after fatal episodes. Influenza-associated respiratory illness accounted for 99.2% (10 576 146) of any mild, 65.5% (83 941) of any severe, nonfatal, and 33.7% (3893) of any fatal illnesses. Ecological and case-based estimates of medically attended, influenza-associated, respiratory mild (rates: ecological, 1778.8, vs case-based, 1703.3; difference, 4.4%), severe, nonfatal (rates: ecological, 88.6, vs case-based, 75.3; difference, 15.0%), and fatal (rates: ecological, 3.8, vs case-based, 3.5; difference, 8.4%) illnesses were similar. Conclusions: There was a substantial burden of influenza-associated symptomatic illness, including severe, nonfatal and fatal illnesses, and a large proportion was nonmedically attended. Estimates, including only influenza-associated respiratory illness, substantially underestimated influenza-associated, severe, nonfatal and fatal illnesses. Ecological and case-based estimates were found to be similar for the compared categories.","author":[{"dropping-particle":"","family":"Tempia","given":"Stefano","non-dropping-particle":"","parse-names":false,"suffix":""},{"dropping-particle":"","family":"Walaza","given":"Sibongile","non-dropping-particle":"","parse-names":false,"suffix":""},{"dropping-particle":"","family":"Moyes","given":"Jocelyn","non-dropping-particle":"","parse-names":false,"suffix":""},{"dropping-particle":"","family":"Cohen","given":"Adam L.","non-dropping-particle":"","parse-names":false,"suffix":""},{"dropping-particle":"","family":"McMorrow","given":"Meredith L.","non-dropping-particle":"","parse-names":false,"suffix":""},{"dropping-particle":"","family":"Treurnicht","given":"Florette K.","non-dropping-particle":"","parse-names":false,"suffix":""},{"dropping-particle":"","family":"Hellferscee","given":"Orienka","non-dropping-particle":"","parse-names":false,"suffix":""},{"dropping-particle":"","family":"Wolter","given":"Nicole","non-dropping-particle":"","parse-names":false,"suffix":""},{"dropping-particle":"","family":"Gottberg","given":"Anne","non-dropping-particle":"Von","parse-names":false,"suffix":""},{"dropping-particle":"","family":"Nguweneza","given":"Arthemon","non-dropping-particle":"","parse-names":false,"suffix":""},{"dropping-particle":"","family":"McAnerney","given":"Johanna M.","non-dropping-particle":"","parse-names":false,"suffix":""},{"dropping-particle":"","family":"Dawood","given":"Halima","non-dropping-particle":"","parse-names":false,"suffix":""},{"dropping-particle":"","family":"Variava","given":"Ebrahim","non-dropping-particle":"","parse-names":false,"suffix":""},{"dropping-particle":"","family":"Madhi","given":"Shabir A.","non-dropping-particle":"","parse-names":false,"suffix":""},{"dropping-particle":"","family":"Cohen","given":"Cheryl","non-dropping-particle":"","parse-names":false,"suffix":""}],"container-title":"Clinical Infectious Diseases","id":"ITEM-1","issue":"6","issued":{"date-parts":[["2019","8","30"]]},"page":"1036-1048","publisher":"Oxford University Press","title":"Quantifying how different clinical presentations, levels of severity, and healthcare attendance shape the burden of influenza-associated illness: A modeling study from South Africa","type":"article-journal","volume":"69"},"uris":["http://www.mendeley.com/documents/?uuid=71bdbf41-8937-3a23-a4e2-8eec519648f8"]}],"mendeley":{"formattedCitation":"&lt;sup&gt;10&lt;/sup&gt;","plainTextFormattedCitation":"10","previouslyFormattedCitation":"&lt;sup&gt;7&lt;/sup&gt;"},"properties":{"noteIndex":0},"schema":"https://github.com/citation-style-language/schema/raw/master/csl-citation.json"}</w:instrText>
      </w:r>
      <w:r w:rsidR="00791CBA">
        <w:rPr>
          <w:rFonts w:asciiTheme="minorHAnsi" w:hAnsiTheme="minorHAnsi" w:cstheme="minorHAnsi"/>
        </w:rPr>
        <w:fldChar w:fldCharType="separate"/>
      </w:r>
      <w:r w:rsidR="003143D8" w:rsidRPr="003143D8">
        <w:rPr>
          <w:rFonts w:asciiTheme="minorHAnsi" w:hAnsiTheme="minorHAnsi" w:cstheme="minorHAnsi"/>
          <w:noProof/>
          <w:vertAlign w:val="superscript"/>
        </w:rPr>
        <w:t>10</w:t>
      </w:r>
      <w:r w:rsidR="00791CBA">
        <w:rPr>
          <w:rFonts w:asciiTheme="minorHAnsi" w:hAnsiTheme="minorHAnsi" w:cstheme="minorHAnsi"/>
        </w:rPr>
        <w:fldChar w:fldCharType="end"/>
      </w:r>
      <w:r w:rsidR="00791CBA">
        <w:rPr>
          <w:rFonts w:asciiTheme="minorHAnsi" w:hAnsiTheme="minorHAnsi" w:cstheme="minorHAnsi"/>
        </w:rPr>
        <w:t>.</w:t>
      </w:r>
      <w:r w:rsidR="00405335" w:rsidRPr="00CD5172">
        <w:rPr>
          <w:rFonts w:asciiTheme="minorHAnsi" w:hAnsiTheme="minorHAnsi" w:cstheme="minorHAnsi"/>
        </w:rPr>
        <w:t xml:space="preserve"> </w:t>
      </w:r>
      <w:r w:rsidR="00881206" w:rsidRPr="00CD5172">
        <w:rPr>
          <w:rFonts w:asciiTheme="minorHAnsi" w:hAnsiTheme="minorHAnsi" w:cstheme="minorHAnsi"/>
        </w:rPr>
        <w:t xml:space="preserve">The methods </w:t>
      </w:r>
      <w:proofErr w:type="gramStart"/>
      <w:r w:rsidR="00881206" w:rsidRPr="00CD5172">
        <w:rPr>
          <w:rFonts w:asciiTheme="minorHAnsi" w:hAnsiTheme="minorHAnsi" w:cstheme="minorHAnsi"/>
        </w:rPr>
        <w:t>is</w:t>
      </w:r>
      <w:proofErr w:type="gramEnd"/>
      <w:r w:rsidR="00881206" w:rsidRPr="00CD5172">
        <w:rPr>
          <w:rFonts w:asciiTheme="minorHAnsi" w:hAnsiTheme="minorHAnsi" w:cstheme="minorHAnsi"/>
        </w:rPr>
        <w:t xml:space="preserve"> outlined in the formulae below:</w:t>
      </w:r>
    </w:p>
    <w:p w14:paraId="6E258D9A" w14:textId="32B7DBE3" w:rsidR="00F6494A" w:rsidRPr="00CD5172" w:rsidRDefault="0088453B" w:rsidP="00CD5172">
      <w:pPr>
        <w:jc w:val="both"/>
        <w:rPr>
          <w:rFonts w:asciiTheme="minorHAnsi" w:hAnsiTheme="minorHAnsi" w:cstheme="minorHAnsi"/>
        </w:rPr>
      </w:pPr>
      <m:oMathPara>
        <m:oMath>
          <m:sSub>
            <m:sSubPr>
              <m:ctrlPr>
                <w:rPr>
                  <w:rFonts w:ascii="Cambria Math" w:hAnsi="Cambria Math" w:cstheme="minorHAnsi"/>
                </w:rPr>
              </m:ctrlPr>
            </m:sSubPr>
            <m:e>
              <m:r>
                <w:rPr>
                  <w:rFonts w:ascii="Cambria Math" w:hAnsi="Cambria Math" w:cstheme="minorHAnsi"/>
                </w:rPr>
                <m:t>Adj</m:t>
              </m:r>
            </m:e>
            <m:sub>
              <m:r>
                <w:rPr>
                  <w:rFonts w:ascii="Cambria Math" w:hAnsi="Cambria Math" w:cstheme="minorHAnsi"/>
                </w:rPr>
                <m:t>Y</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m:t>
              </m:r>
              <m:nary>
                <m:naryPr>
                  <m:chr m:val="∑"/>
                  <m:limLoc m:val="undOvr"/>
                  <m:supHide m:val="1"/>
                  <m:ctrlPr>
                    <w:rPr>
                      <w:rFonts w:ascii="Cambria Math" w:hAnsi="Cambria Math" w:cstheme="minorHAnsi"/>
                    </w:rPr>
                  </m:ctrlPr>
                </m:naryPr>
                <m:sub>
                  <m:r>
                    <w:rPr>
                      <w:rFonts w:ascii="Cambria Math" w:hAnsi="Cambria Math" w:cstheme="minorHAnsi"/>
                    </w:rPr>
                    <m:t>i</m:t>
                  </m:r>
                </m:sub>
                <m:sup/>
                <m:e>
                  <m:d>
                    <m:dPr>
                      <m:ctrlPr>
                        <w:rPr>
                          <w:rFonts w:ascii="Cambria Math" w:hAnsi="Cambria Math" w:cstheme="minorHAnsi"/>
                        </w:rPr>
                      </m:ctrlPr>
                    </m:dPr>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i</m:t>
                          </m:r>
                          <m:r>
                            <m:rPr>
                              <m:sty m:val="p"/>
                            </m:rPr>
                            <w:rPr>
                              <w:rFonts w:ascii="Cambria Math" w:hAnsi="Cambria Math" w:cstheme="minorHAnsi"/>
                            </w:rPr>
                            <m:t>,</m:t>
                          </m:r>
                          <m:r>
                            <w:rPr>
                              <w:rFonts w:ascii="Cambria Math" w:hAnsi="Cambria Math" w:cstheme="minorHAnsi"/>
                            </w:rPr>
                            <m:t>Y</m:t>
                          </m:r>
                        </m:sub>
                      </m:sSub>
                      <m:r>
                        <m:rPr>
                          <m:sty m:val="p"/>
                        </m:rP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i</m:t>
                          </m:r>
                          <m:r>
                            <m:rPr>
                              <m:sty m:val="p"/>
                            </m:rPr>
                            <w:rPr>
                              <w:rFonts w:ascii="Cambria Math" w:hAnsi="Cambria Math" w:cstheme="minorHAnsi"/>
                            </w:rPr>
                            <m:t>,</m:t>
                          </m:r>
                          <m:r>
                            <w:rPr>
                              <w:rFonts w:ascii="Cambria Math" w:hAnsi="Cambria Math" w:cstheme="minorHAnsi"/>
                            </w:rPr>
                            <m:t>B</m:t>
                          </m:r>
                        </m:sub>
                      </m:sSub>
                    </m:e>
                  </m:d>
                  <m:r>
                    <m:rPr>
                      <m:sty m:val="p"/>
                    </m:rPr>
                    <w:rPr>
                      <w:rFonts w:ascii="Cambria Math" w:hAnsi="Cambria Math" w:cstheme="minorHAnsi"/>
                    </w:rPr>
                    <m:t>×</m:t>
                  </m:r>
                  <m:d>
                    <m:dPr>
                      <m:ctrlPr>
                        <w:rPr>
                          <w:rFonts w:ascii="Cambria Math" w:hAnsi="Cambria Math" w:cstheme="minorHAnsi"/>
                        </w:rPr>
                      </m:ctrlPr>
                    </m:dPr>
                    <m:e>
                      <m:sSub>
                        <m:sSubPr>
                          <m:ctrlPr>
                            <w:rPr>
                              <w:rFonts w:ascii="Cambria Math" w:hAnsi="Cambria Math" w:cstheme="minorHAnsi"/>
                            </w:rPr>
                          </m:ctrlPr>
                        </m:sSubPr>
                        <m:e>
                          <m:r>
                            <w:rPr>
                              <w:rFonts w:ascii="Cambria Math" w:hAnsi="Cambria Math" w:cstheme="minorHAnsi"/>
                            </w:rPr>
                            <m:t>RR</m:t>
                          </m:r>
                        </m:e>
                        <m:sub>
                          <m:r>
                            <w:rPr>
                              <w:rFonts w:ascii="Cambria Math" w:hAnsi="Cambria Math" w:cstheme="minorHAnsi"/>
                            </w:rPr>
                            <m:t>i</m:t>
                          </m:r>
                        </m:sub>
                      </m:sSub>
                      <m:r>
                        <m:rPr>
                          <m:sty m:val="p"/>
                        </m:rPr>
                        <w:rPr>
                          <w:rFonts w:ascii="Cambria Math" w:hAnsi="Cambria Math" w:cstheme="minorHAnsi"/>
                        </w:rPr>
                        <m:t>-1</m:t>
                      </m:r>
                    </m:e>
                  </m:d>
                </m:e>
              </m:nary>
            </m:e>
          </m:d>
        </m:oMath>
      </m:oMathPara>
    </w:p>
    <w:p w14:paraId="7FC26682" w14:textId="0B717666" w:rsidR="00333BC8" w:rsidRPr="00CD5172" w:rsidRDefault="00333BC8" w:rsidP="00CD5172">
      <w:pPr>
        <w:jc w:val="both"/>
        <w:rPr>
          <w:rFonts w:asciiTheme="minorHAnsi" w:hAnsiTheme="minorHAnsi" w:cstheme="minorHAnsi"/>
        </w:rPr>
      </w:pPr>
      <w:r w:rsidRPr="00CD5172">
        <w:rPr>
          <w:rFonts w:asciiTheme="minorHAnsi" w:hAnsiTheme="minorHAnsi" w:cstheme="minorHAnsi"/>
        </w:rPr>
        <w:t xml:space="preserve">Where </w:t>
      </w:r>
      <m:oMath>
        <m:sSub>
          <m:sSubPr>
            <m:ctrlPr>
              <w:rPr>
                <w:rFonts w:ascii="Cambria Math" w:hAnsi="Cambria Math" w:cstheme="minorHAnsi"/>
              </w:rPr>
            </m:ctrlPr>
          </m:sSubPr>
          <m:e>
            <m:r>
              <w:rPr>
                <w:rFonts w:ascii="Cambria Math" w:hAnsi="Cambria Math" w:cstheme="minorHAnsi"/>
              </w:rPr>
              <m:t>Adj</m:t>
            </m:r>
          </m:e>
          <m:sub>
            <m:r>
              <w:rPr>
                <w:rFonts w:ascii="Cambria Math" w:hAnsi="Cambria Math" w:cstheme="minorHAnsi"/>
              </w:rPr>
              <m:t>Y</m:t>
            </m:r>
          </m:sub>
        </m:sSub>
      </m:oMath>
      <w:r w:rsidRPr="00CD5172">
        <w:rPr>
          <w:rFonts w:asciiTheme="minorHAnsi" w:hAnsiTheme="minorHAnsi" w:cstheme="minorHAnsi"/>
        </w:rPr>
        <w:t xml:space="preserve"> is the adjustment factor for </w:t>
      </w:r>
      <w:r w:rsidR="00F2020E" w:rsidRPr="00CD5172">
        <w:rPr>
          <w:rFonts w:asciiTheme="minorHAnsi" w:hAnsiTheme="minorHAnsi" w:cstheme="minorHAnsi"/>
        </w:rPr>
        <w:t>the identified risk</w:t>
      </w:r>
      <w:r w:rsidRPr="00CD5172">
        <w:rPr>
          <w:rFonts w:asciiTheme="minorHAnsi" w:hAnsiTheme="minorHAnsi" w:cstheme="minorHAnsi"/>
        </w:rPr>
        <w:t xml:space="preserve"> factors </w:t>
      </w:r>
      <w:r w:rsidR="00F2020E" w:rsidRPr="00CD5172">
        <w:rPr>
          <w:rFonts w:asciiTheme="minorHAnsi" w:hAnsiTheme="minorHAnsi" w:cstheme="minorHAnsi"/>
        </w:rPr>
        <w:t>for</w:t>
      </w:r>
      <w:r w:rsidRPr="00CD5172">
        <w:rPr>
          <w:rFonts w:asciiTheme="minorHAnsi" w:hAnsiTheme="minorHAnsi" w:cstheme="minorHAnsi"/>
        </w:rPr>
        <w:t xml:space="preserve"> S</w:t>
      </w:r>
      <w:r w:rsidR="00791CBA">
        <w:rPr>
          <w:rFonts w:asciiTheme="minorHAnsi" w:hAnsiTheme="minorHAnsi" w:cstheme="minorHAnsi"/>
        </w:rPr>
        <w:t>A</w:t>
      </w:r>
      <w:r w:rsidRPr="00CD5172">
        <w:rPr>
          <w:rFonts w:asciiTheme="minorHAnsi" w:hAnsiTheme="minorHAnsi" w:cstheme="minorHAnsi"/>
        </w:rPr>
        <w:t xml:space="preserve">RI </w:t>
      </w:r>
      <w:r w:rsidR="00F2020E" w:rsidRPr="00CD5172">
        <w:rPr>
          <w:rFonts w:asciiTheme="minorHAnsi" w:hAnsiTheme="minorHAnsi" w:cstheme="minorHAnsi"/>
        </w:rPr>
        <w:t xml:space="preserve">in </w:t>
      </w:r>
      <w:r w:rsidRPr="00CD5172">
        <w:rPr>
          <w:rFonts w:asciiTheme="minorHAnsi" w:hAnsiTheme="minorHAnsi" w:cstheme="minorHAnsi"/>
        </w:rPr>
        <w:t xml:space="preserve">province Y;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i</m:t>
            </m:r>
            <m:r>
              <m:rPr>
                <m:sty m:val="p"/>
              </m:rPr>
              <w:rPr>
                <w:rFonts w:ascii="Cambria Math" w:hAnsi="Cambria Math" w:cstheme="minorHAnsi"/>
              </w:rPr>
              <m:t>,</m:t>
            </m:r>
            <m:r>
              <w:rPr>
                <w:rFonts w:ascii="Cambria Math" w:hAnsi="Cambria Math" w:cstheme="minorHAnsi"/>
              </w:rPr>
              <m:t>Y</m:t>
            </m:r>
          </m:sub>
        </m:sSub>
      </m:oMath>
      <w:r w:rsidRPr="00CD5172">
        <w:rPr>
          <w:rFonts w:asciiTheme="minorHAnsi" w:hAnsiTheme="minorHAnsi" w:cstheme="minorHAnsi"/>
        </w:rPr>
        <w:t xml:space="preserve"> is the prevalence of risk factor </w:t>
      </w:r>
      <w:proofErr w:type="spellStart"/>
      <w:r w:rsidRPr="00CD5172">
        <w:rPr>
          <w:rFonts w:asciiTheme="minorHAnsi" w:hAnsiTheme="minorHAnsi" w:cstheme="minorHAnsi"/>
          <w:i/>
        </w:rPr>
        <w:t>i</w:t>
      </w:r>
      <w:proofErr w:type="spellEnd"/>
      <w:r w:rsidRPr="00CD5172">
        <w:rPr>
          <w:rFonts w:asciiTheme="minorHAnsi" w:hAnsiTheme="minorHAnsi" w:cstheme="minorHAnsi"/>
          <w:i/>
        </w:rPr>
        <w:t xml:space="preserve"> </w:t>
      </w:r>
      <w:r w:rsidRPr="00CD5172">
        <w:rPr>
          <w:rFonts w:asciiTheme="minorHAnsi" w:hAnsiTheme="minorHAnsi" w:cstheme="minorHAnsi"/>
        </w:rPr>
        <w:t xml:space="preserve">in province Y from the DHS;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i</m:t>
            </m:r>
            <m:r>
              <m:rPr>
                <m:sty m:val="p"/>
              </m:rPr>
              <w:rPr>
                <w:rFonts w:ascii="Cambria Math" w:hAnsi="Cambria Math" w:cstheme="minorHAnsi"/>
              </w:rPr>
              <m:t>,</m:t>
            </m:r>
            <m:r>
              <w:rPr>
                <w:rFonts w:ascii="Cambria Math" w:hAnsi="Cambria Math" w:cstheme="minorHAnsi"/>
              </w:rPr>
              <m:t>B</m:t>
            </m:r>
          </m:sub>
        </m:sSub>
        <m:r>
          <m:rPr>
            <m:sty m:val="p"/>
          </m:rPr>
          <w:rPr>
            <w:rFonts w:ascii="Cambria Math" w:hAnsi="Cambria Math" w:cstheme="minorHAnsi"/>
          </w:rPr>
          <m:t xml:space="preserve"> </m:t>
        </m:r>
      </m:oMath>
      <w:r w:rsidRPr="00CD5172">
        <w:rPr>
          <w:rFonts w:asciiTheme="minorHAnsi" w:hAnsiTheme="minorHAnsi" w:cstheme="minorHAnsi"/>
        </w:rPr>
        <w:t xml:space="preserve">is the prevalence of risk factor </w:t>
      </w:r>
      <w:proofErr w:type="spellStart"/>
      <w:r w:rsidRPr="00CD5172">
        <w:rPr>
          <w:rFonts w:asciiTheme="minorHAnsi" w:hAnsiTheme="minorHAnsi" w:cstheme="minorHAnsi"/>
          <w:i/>
        </w:rPr>
        <w:t>i</w:t>
      </w:r>
      <w:proofErr w:type="spellEnd"/>
      <w:r w:rsidRPr="00CD5172">
        <w:rPr>
          <w:rFonts w:asciiTheme="minorHAnsi" w:hAnsiTheme="minorHAnsi" w:cstheme="minorHAnsi"/>
        </w:rPr>
        <w:t xml:space="preserve"> in the base provinces from the DHS; and </w:t>
      </w:r>
      <m:oMath>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i</m:t>
            </m:r>
          </m:sub>
        </m:sSub>
      </m:oMath>
      <w:r w:rsidRPr="00CD5172">
        <w:rPr>
          <w:rFonts w:asciiTheme="minorHAnsi" w:hAnsiTheme="minorHAnsi" w:cstheme="minorHAnsi"/>
        </w:rPr>
        <w:t xml:space="preserve"> is the relative risk of S</w:t>
      </w:r>
      <w:r w:rsidR="00791CBA">
        <w:rPr>
          <w:rFonts w:asciiTheme="minorHAnsi" w:hAnsiTheme="minorHAnsi" w:cstheme="minorHAnsi"/>
        </w:rPr>
        <w:t>A</w:t>
      </w:r>
      <w:r w:rsidRPr="00CD5172">
        <w:rPr>
          <w:rFonts w:asciiTheme="minorHAnsi" w:hAnsiTheme="minorHAnsi" w:cstheme="minorHAnsi"/>
        </w:rPr>
        <w:t xml:space="preserve">RI due to risk factor </w:t>
      </w:r>
      <w:proofErr w:type="spellStart"/>
      <w:r w:rsidRPr="00CD5172">
        <w:rPr>
          <w:rFonts w:asciiTheme="minorHAnsi" w:hAnsiTheme="minorHAnsi" w:cstheme="minorHAnsi"/>
          <w:i/>
        </w:rPr>
        <w:t>i</w:t>
      </w:r>
      <w:proofErr w:type="spellEnd"/>
      <w:r w:rsidRPr="00CD5172">
        <w:rPr>
          <w:rFonts w:asciiTheme="minorHAnsi" w:hAnsiTheme="minorHAnsi" w:cstheme="minorHAnsi"/>
        </w:rPr>
        <w:t>.</w:t>
      </w:r>
    </w:p>
    <w:p w14:paraId="7D770882" w14:textId="77777777" w:rsidR="00333BC8" w:rsidRPr="00CD5172" w:rsidRDefault="00333BC8" w:rsidP="00CD5172">
      <w:pPr>
        <w:jc w:val="both"/>
        <w:rPr>
          <w:rFonts w:asciiTheme="minorHAnsi" w:hAnsiTheme="minorHAnsi" w:cstheme="minorHAnsi"/>
        </w:rPr>
      </w:pPr>
    </w:p>
    <w:p w14:paraId="5F11536F" w14:textId="778D27AB" w:rsidR="00405335" w:rsidRPr="00CD5172" w:rsidRDefault="00820976" w:rsidP="00CD5172">
      <w:pPr>
        <w:pStyle w:val="ListParagraph"/>
        <w:numPr>
          <w:ilvl w:val="0"/>
          <w:numId w:val="10"/>
        </w:numPr>
        <w:spacing w:line="240" w:lineRule="auto"/>
        <w:jc w:val="both"/>
        <w:rPr>
          <w:rFonts w:asciiTheme="minorHAnsi" w:hAnsiTheme="minorHAnsi" w:cstheme="minorHAnsi"/>
          <w:b/>
          <w:sz w:val="24"/>
          <w:szCs w:val="24"/>
        </w:rPr>
      </w:pPr>
      <w:r w:rsidRPr="00CD5172">
        <w:rPr>
          <w:rFonts w:asciiTheme="minorHAnsi" w:hAnsiTheme="minorHAnsi" w:cstheme="minorHAnsi"/>
          <w:b/>
          <w:sz w:val="24"/>
          <w:szCs w:val="24"/>
        </w:rPr>
        <w:t>Estimation of RSV-associated S</w:t>
      </w:r>
      <w:r w:rsidR="002126EE" w:rsidRPr="00CD5172">
        <w:rPr>
          <w:rFonts w:asciiTheme="minorHAnsi" w:hAnsiTheme="minorHAnsi" w:cstheme="minorHAnsi"/>
          <w:b/>
          <w:sz w:val="24"/>
          <w:szCs w:val="24"/>
        </w:rPr>
        <w:t>A</w:t>
      </w:r>
      <w:r w:rsidR="00405335" w:rsidRPr="00CD5172">
        <w:rPr>
          <w:rFonts w:asciiTheme="minorHAnsi" w:hAnsiTheme="minorHAnsi" w:cstheme="minorHAnsi"/>
          <w:b/>
          <w:sz w:val="24"/>
          <w:szCs w:val="24"/>
        </w:rPr>
        <w:t>RI in all provinces</w:t>
      </w:r>
    </w:p>
    <w:p w14:paraId="00E6828F" w14:textId="7E515CA6" w:rsidR="00702DBB" w:rsidRPr="00CD5172" w:rsidRDefault="005A5949" w:rsidP="00CD5172">
      <w:pPr>
        <w:jc w:val="both"/>
        <w:rPr>
          <w:rFonts w:asciiTheme="minorHAnsi" w:hAnsiTheme="minorHAnsi" w:cstheme="minorHAnsi"/>
        </w:rPr>
      </w:pPr>
      <w:r w:rsidRPr="00CD5172">
        <w:rPr>
          <w:rFonts w:asciiTheme="minorHAnsi" w:hAnsiTheme="minorHAnsi" w:cstheme="minorHAnsi"/>
        </w:rPr>
        <w:t xml:space="preserve">The </w:t>
      </w:r>
      <w:r w:rsidR="00405335" w:rsidRPr="00CD5172">
        <w:rPr>
          <w:rFonts w:asciiTheme="minorHAnsi" w:hAnsiTheme="minorHAnsi" w:cstheme="minorHAnsi"/>
        </w:rPr>
        <w:t xml:space="preserve">provincial rates of RSV-associated hospitalization </w:t>
      </w:r>
      <w:r w:rsidR="00BF572D" w:rsidRPr="00CD5172">
        <w:rPr>
          <w:rFonts w:asciiTheme="minorHAnsi" w:hAnsiTheme="minorHAnsi" w:cstheme="minorHAnsi"/>
        </w:rPr>
        <w:t xml:space="preserve">were </w:t>
      </w:r>
      <w:r w:rsidRPr="00CD5172">
        <w:rPr>
          <w:rFonts w:asciiTheme="minorHAnsi" w:hAnsiTheme="minorHAnsi" w:cstheme="minorHAnsi"/>
        </w:rPr>
        <w:t xml:space="preserve">calculated </w:t>
      </w:r>
      <w:r w:rsidR="00405335" w:rsidRPr="00CD5172">
        <w:rPr>
          <w:rFonts w:asciiTheme="minorHAnsi" w:hAnsiTheme="minorHAnsi" w:cstheme="minorHAnsi"/>
        </w:rPr>
        <w:t>by multiplying the provincial S</w:t>
      </w:r>
      <w:r w:rsidR="006F4B57" w:rsidRPr="00CD5172">
        <w:rPr>
          <w:rFonts w:asciiTheme="minorHAnsi" w:hAnsiTheme="minorHAnsi" w:cstheme="minorHAnsi"/>
        </w:rPr>
        <w:t>A</w:t>
      </w:r>
      <w:r w:rsidR="00405335" w:rsidRPr="00CD5172">
        <w:rPr>
          <w:rFonts w:asciiTheme="minorHAnsi" w:hAnsiTheme="minorHAnsi" w:cstheme="minorHAnsi"/>
        </w:rPr>
        <w:t>R</w:t>
      </w:r>
      <w:r w:rsidRPr="00CD5172">
        <w:rPr>
          <w:rFonts w:asciiTheme="minorHAnsi" w:hAnsiTheme="minorHAnsi" w:cstheme="minorHAnsi"/>
        </w:rPr>
        <w:t>I</w:t>
      </w:r>
      <w:r w:rsidR="00405335" w:rsidRPr="00CD5172">
        <w:rPr>
          <w:rFonts w:asciiTheme="minorHAnsi" w:hAnsiTheme="minorHAnsi" w:cstheme="minorHAnsi"/>
        </w:rPr>
        <w:t xml:space="preserve"> hospitalization rates </w:t>
      </w:r>
      <w:r w:rsidRPr="00CD5172">
        <w:rPr>
          <w:rFonts w:asciiTheme="minorHAnsi" w:hAnsiTheme="minorHAnsi" w:cstheme="minorHAnsi"/>
        </w:rPr>
        <w:t>by</w:t>
      </w:r>
      <w:r w:rsidR="00405335" w:rsidRPr="00CD5172">
        <w:rPr>
          <w:rFonts w:asciiTheme="minorHAnsi" w:hAnsiTheme="minorHAnsi" w:cstheme="minorHAnsi"/>
        </w:rPr>
        <w:t xml:space="preserve"> RS</w:t>
      </w:r>
      <w:r w:rsidRPr="00CD5172">
        <w:rPr>
          <w:rFonts w:asciiTheme="minorHAnsi" w:hAnsiTheme="minorHAnsi" w:cstheme="minorHAnsi"/>
        </w:rPr>
        <w:t>V</w:t>
      </w:r>
      <w:r w:rsidR="00405335" w:rsidRPr="00CD5172">
        <w:rPr>
          <w:rFonts w:asciiTheme="minorHAnsi" w:hAnsiTheme="minorHAnsi" w:cstheme="minorHAnsi"/>
        </w:rPr>
        <w:t xml:space="preserve"> detection rate</w:t>
      </w:r>
      <w:r w:rsidRPr="00CD5172">
        <w:rPr>
          <w:rFonts w:asciiTheme="minorHAnsi" w:hAnsiTheme="minorHAnsi" w:cstheme="minorHAnsi"/>
        </w:rPr>
        <w:t>s (Number of RSV positive/ number tested)</w:t>
      </w:r>
      <w:r w:rsidR="00405335" w:rsidRPr="00CD5172">
        <w:rPr>
          <w:rFonts w:asciiTheme="minorHAnsi" w:hAnsiTheme="minorHAnsi" w:cstheme="minorHAnsi"/>
        </w:rPr>
        <w:t xml:space="preserve"> obtained from the </w:t>
      </w:r>
      <w:r w:rsidRPr="00CD5172">
        <w:rPr>
          <w:rFonts w:asciiTheme="minorHAnsi" w:hAnsiTheme="minorHAnsi" w:cstheme="minorHAnsi"/>
        </w:rPr>
        <w:t>measure</w:t>
      </w:r>
      <w:r w:rsidR="00881206" w:rsidRPr="00CD5172">
        <w:rPr>
          <w:rFonts w:asciiTheme="minorHAnsi" w:hAnsiTheme="minorHAnsi" w:cstheme="minorHAnsi"/>
        </w:rPr>
        <w:t>d</w:t>
      </w:r>
      <w:r w:rsidRPr="00CD5172">
        <w:rPr>
          <w:rFonts w:asciiTheme="minorHAnsi" w:hAnsiTheme="minorHAnsi" w:cstheme="minorHAnsi"/>
        </w:rPr>
        <w:t xml:space="preserve"> </w:t>
      </w:r>
      <w:r w:rsidR="00405335" w:rsidRPr="00CD5172">
        <w:rPr>
          <w:rFonts w:asciiTheme="minorHAnsi" w:hAnsiTheme="minorHAnsi" w:cstheme="minorHAnsi"/>
        </w:rPr>
        <w:t xml:space="preserve">RSV-detection rates at </w:t>
      </w:r>
      <w:r w:rsidR="006F4B57" w:rsidRPr="00CD5172">
        <w:rPr>
          <w:rFonts w:asciiTheme="minorHAnsi" w:hAnsiTheme="minorHAnsi" w:cstheme="minorHAnsi"/>
        </w:rPr>
        <w:t xml:space="preserve">all </w:t>
      </w:r>
      <w:r w:rsidR="00405335" w:rsidRPr="00CD5172">
        <w:rPr>
          <w:rFonts w:asciiTheme="minorHAnsi" w:hAnsiTheme="minorHAnsi" w:cstheme="minorHAnsi"/>
        </w:rPr>
        <w:t>sentinel surveillance sites</w:t>
      </w:r>
      <w:r w:rsidR="00881206" w:rsidRPr="00CD5172">
        <w:rPr>
          <w:rFonts w:asciiTheme="minorHAnsi" w:hAnsiTheme="minorHAnsi" w:cstheme="minorHAnsi"/>
        </w:rPr>
        <w:t xml:space="preserve"> (</w:t>
      </w:r>
      <w:r w:rsidR="00405335" w:rsidRPr="00CD5172">
        <w:rPr>
          <w:rFonts w:asciiTheme="minorHAnsi" w:hAnsiTheme="minorHAnsi" w:cstheme="minorHAnsi"/>
        </w:rPr>
        <w:t xml:space="preserve">and adjusted by the </w:t>
      </w:r>
      <w:r w:rsidRPr="00CD5172">
        <w:rPr>
          <w:rFonts w:asciiTheme="minorHAnsi" w:hAnsiTheme="minorHAnsi" w:cstheme="minorHAnsi"/>
        </w:rPr>
        <w:t>a</w:t>
      </w:r>
      <w:r w:rsidR="00405335" w:rsidRPr="00CD5172">
        <w:rPr>
          <w:rFonts w:asciiTheme="minorHAnsi" w:hAnsiTheme="minorHAnsi" w:cstheme="minorHAnsi"/>
        </w:rPr>
        <w:t>ttributable fraction of RSV</w:t>
      </w:r>
      <w:r w:rsidR="007A6E87" w:rsidRPr="00CD5172">
        <w:rPr>
          <w:rFonts w:asciiTheme="minorHAnsi" w:hAnsiTheme="minorHAnsi" w:cstheme="minorHAnsi"/>
        </w:rPr>
        <w:t>)</w:t>
      </w:r>
    </w:p>
    <w:p w14:paraId="666DECA4" w14:textId="77777777" w:rsidR="00702DBB" w:rsidRPr="00CD5172" w:rsidRDefault="00702DBB" w:rsidP="00CD5172">
      <w:pPr>
        <w:jc w:val="both"/>
        <w:rPr>
          <w:rFonts w:asciiTheme="minorHAnsi" w:hAnsiTheme="minorHAnsi" w:cstheme="minorHAnsi"/>
        </w:rPr>
      </w:pPr>
    </w:p>
    <w:p w14:paraId="11B67FF1" w14:textId="2A032CD5" w:rsidR="00F6494A" w:rsidRPr="00CD5172" w:rsidRDefault="005A5949" w:rsidP="00CD5172">
      <w:pPr>
        <w:ind w:left="1440" w:firstLine="720"/>
        <w:jc w:val="both"/>
        <w:rPr>
          <w:rFonts w:asciiTheme="minorHAnsi" w:hAnsiTheme="minorHAnsi" w:cstheme="minorHAnsi"/>
        </w:rPr>
      </w:pPr>
      <w:r w:rsidRPr="00CD5172">
        <w:rPr>
          <w:rFonts w:asciiTheme="minorHAnsi" w:hAnsiTheme="minorHAnsi" w:cstheme="minorHAnsi"/>
        </w:rPr>
        <w:t xml:space="preserve"> </w:t>
      </w:r>
      <m:oMath>
        <m:r>
          <w:rPr>
            <w:rFonts w:ascii="Cambria Math" w:hAnsi="Cambria Math" w:cstheme="minorHAnsi"/>
          </w:rPr>
          <m:t>RSV</m:t>
        </m:r>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RateH,Y</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RateH,Y</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RSVprop</m:t>
            </m:r>
          </m:e>
          <m:sub>
            <m:r>
              <w:rPr>
                <w:rFonts w:ascii="Cambria Math" w:hAnsi="Cambria Math" w:cstheme="minorHAnsi"/>
              </w:rPr>
              <m:t xml:space="preserve"> </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RSV</m:t>
            </m:r>
          </m:e>
          <m:sub>
            <m:r>
              <w:rPr>
                <w:rFonts w:ascii="Cambria Math" w:hAnsi="Cambria Math" w:cstheme="minorHAnsi"/>
              </w:rPr>
              <m:t>AF</m:t>
            </m:r>
          </m:sub>
        </m:sSub>
      </m:oMath>
    </w:p>
    <w:p w14:paraId="52B6CBD6" w14:textId="77777777" w:rsidR="00463F47" w:rsidRPr="00CD5172" w:rsidRDefault="00463F47" w:rsidP="00CD5172">
      <w:pPr>
        <w:ind w:left="1440" w:firstLine="720"/>
        <w:jc w:val="both"/>
        <w:rPr>
          <w:rFonts w:asciiTheme="minorHAnsi" w:hAnsiTheme="minorHAnsi" w:cstheme="minorHAnsi"/>
        </w:rPr>
      </w:pPr>
    </w:p>
    <w:p w14:paraId="51D08CE9" w14:textId="7868189F" w:rsidR="00333BC8" w:rsidRPr="00CD5172" w:rsidRDefault="00333BC8" w:rsidP="00CD5172">
      <w:pPr>
        <w:contextualSpacing/>
        <w:jc w:val="both"/>
        <w:rPr>
          <w:rFonts w:asciiTheme="minorHAnsi" w:hAnsiTheme="minorHAnsi" w:cstheme="minorHAnsi"/>
        </w:rPr>
      </w:pPr>
      <w:r w:rsidRPr="00CD5172">
        <w:rPr>
          <w:rFonts w:asciiTheme="minorHAnsi" w:hAnsiTheme="minorHAnsi" w:cstheme="minorHAnsi"/>
        </w:rPr>
        <w:t xml:space="preserve">Where </w:t>
      </w:r>
      <m:oMath>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RateH,Y</m:t>
            </m:r>
          </m:sub>
        </m:sSub>
      </m:oMath>
      <w:r w:rsidRPr="00CD5172">
        <w:rPr>
          <w:rFonts w:asciiTheme="minorHAnsi" w:hAnsiTheme="minorHAnsi" w:cstheme="minorHAnsi"/>
        </w:rPr>
        <w:t xml:space="preserve"> is the </w:t>
      </w:r>
      <w:r w:rsidR="00237A0D" w:rsidRPr="00CD5172">
        <w:rPr>
          <w:rFonts w:asciiTheme="minorHAnsi" w:hAnsiTheme="minorHAnsi" w:cstheme="minorHAnsi"/>
        </w:rPr>
        <w:t>RSV</w:t>
      </w:r>
      <w:r w:rsidRPr="00CD5172">
        <w:rPr>
          <w:rFonts w:asciiTheme="minorHAnsi" w:hAnsiTheme="minorHAnsi" w:cstheme="minorHAnsi"/>
        </w:rPr>
        <w:t>-associated S</w:t>
      </w:r>
      <w:r w:rsidR="002126EE" w:rsidRPr="00CD5172">
        <w:rPr>
          <w:rFonts w:asciiTheme="minorHAnsi" w:hAnsiTheme="minorHAnsi" w:cstheme="minorHAnsi"/>
        </w:rPr>
        <w:t>A</w:t>
      </w:r>
      <w:r w:rsidRPr="00CD5172">
        <w:rPr>
          <w:rFonts w:asciiTheme="minorHAnsi" w:hAnsiTheme="minorHAnsi" w:cstheme="minorHAnsi"/>
        </w:rPr>
        <w:t xml:space="preserve">RI hospitalization rate in province </w:t>
      </w:r>
      <w:r w:rsidRPr="00CD5172">
        <w:rPr>
          <w:rFonts w:asciiTheme="minorHAnsi" w:hAnsiTheme="minorHAnsi" w:cstheme="minorHAnsi"/>
          <w:i/>
        </w:rPr>
        <w:t>Y</w:t>
      </w:r>
      <w:r w:rsidRPr="00CD5172">
        <w:rPr>
          <w:rFonts w:asciiTheme="minorHAnsi" w:hAnsiTheme="minorHAnsi" w:cstheme="minorHAnsi"/>
        </w:rPr>
        <w:t xml:space="preserve"> (including the base provinces); </w:t>
      </w:r>
      <m:oMath>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RateH,Y</m:t>
            </m:r>
          </m:sub>
        </m:sSub>
      </m:oMath>
      <w:r w:rsidRPr="00CD5172">
        <w:rPr>
          <w:rFonts w:asciiTheme="minorHAnsi" w:hAnsiTheme="minorHAnsi" w:cstheme="minorHAnsi"/>
        </w:rPr>
        <w:t xml:space="preserve"> is the S</w:t>
      </w:r>
      <w:r w:rsidR="001E0503">
        <w:rPr>
          <w:rFonts w:asciiTheme="minorHAnsi" w:hAnsiTheme="minorHAnsi" w:cstheme="minorHAnsi"/>
        </w:rPr>
        <w:t>A</w:t>
      </w:r>
      <w:r w:rsidRPr="00CD5172">
        <w:rPr>
          <w:rFonts w:asciiTheme="minorHAnsi" w:hAnsiTheme="minorHAnsi" w:cstheme="minorHAnsi"/>
        </w:rPr>
        <w:t xml:space="preserve">RI hospitalization rate in province </w:t>
      </w:r>
      <w:r w:rsidRPr="00CD5172">
        <w:rPr>
          <w:rFonts w:asciiTheme="minorHAnsi" w:hAnsiTheme="minorHAnsi" w:cstheme="minorHAnsi"/>
          <w:i/>
        </w:rPr>
        <w:t>Y</w:t>
      </w:r>
      <w:r w:rsidRPr="00CD5172">
        <w:rPr>
          <w:rFonts w:asciiTheme="minorHAnsi" w:hAnsiTheme="minorHAnsi" w:cstheme="minorHAnsi"/>
        </w:rPr>
        <w:t xml:space="preserve"> (including the base provinces</w:t>
      </w:r>
      <w:r w:rsidR="00702DBB" w:rsidRPr="00CD5172">
        <w:rPr>
          <w:rFonts w:asciiTheme="minorHAnsi" w:hAnsiTheme="minorHAnsi" w:cstheme="minorHAnsi"/>
        </w:rPr>
        <w:t>)</w:t>
      </w:r>
      <w:r w:rsidRPr="00CD5172">
        <w:rPr>
          <w:rFonts w:asciiTheme="minorHAnsi" w:hAnsiTheme="minorHAnsi" w:cstheme="minorHAnsi"/>
        </w:rPr>
        <w:t xml:space="preserve">; </w:t>
      </w:r>
      <m:oMath>
        <m:r>
          <w:rPr>
            <w:rFonts w:ascii="Cambria Math" w:hAnsi="Cambria Math" w:cstheme="minorHAnsi"/>
          </w:rPr>
          <m:t>RSVprop</m:t>
        </m:r>
      </m:oMath>
      <w:r w:rsidRPr="00CD5172">
        <w:rPr>
          <w:rFonts w:asciiTheme="minorHAnsi" w:hAnsiTheme="minorHAnsi" w:cstheme="minorHAnsi"/>
        </w:rPr>
        <w:t xml:space="preserve"> is the proportion of S</w:t>
      </w:r>
      <w:r w:rsidR="006B3C27" w:rsidRPr="00CD5172">
        <w:rPr>
          <w:rFonts w:asciiTheme="minorHAnsi" w:hAnsiTheme="minorHAnsi" w:cstheme="minorHAnsi"/>
        </w:rPr>
        <w:t>A</w:t>
      </w:r>
      <w:r w:rsidRPr="00CD5172">
        <w:rPr>
          <w:rFonts w:asciiTheme="minorHAnsi" w:hAnsiTheme="minorHAnsi" w:cstheme="minorHAnsi"/>
        </w:rPr>
        <w:t xml:space="preserve">RI cases testing positive for </w:t>
      </w:r>
      <w:r w:rsidR="00237A0D" w:rsidRPr="00CD5172">
        <w:rPr>
          <w:rFonts w:asciiTheme="minorHAnsi" w:hAnsiTheme="minorHAnsi" w:cstheme="minorHAnsi"/>
        </w:rPr>
        <w:t>RSV</w:t>
      </w:r>
      <w:r w:rsidRPr="00CD5172">
        <w:rPr>
          <w:rFonts w:asciiTheme="minorHAnsi" w:hAnsiTheme="minorHAnsi" w:cstheme="minorHAnsi"/>
        </w:rPr>
        <w:t xml:space="preserve"> (</w:t>
      </w:r>
      <w:r w:rsidR="00463F47" w:rsidRPr="00CD5172">
        <w:rPr>
          <w:rFonts w:asciiTheme="minorHAnsi" w:hAnsiTheme="minorHAnsi" w:cstheme="minorHAnsi"/>
        </w:rPr>
        <w:t>s</w:t>
      </w:r>
      <w:r w:rsidR="00237A0D" w:rsidRPr="00CD5172">
        <w:rPr>
          <w:rFonts w:asciiTheme="minorHAnsi" w:hAnsiTheme="minorHAnsi" w:cstheme="minorHAnsi"/>
        </w:rPr>
        <w:t>urveillance data</w:t>
      </w:r>
      <w:r w:rsidRPr="00CD5172">
        <w:rPr>
          <w:rFonts w:asciiTheme="minorHAnsi"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RSV</m:t>
            </m:r>
          </m:e>
          <m:sub>
            <m:r>
              <w:rPr>
                <w:rFonts w:ascii="Cambria Math" w:hAnsi="Cambria Math" w:cstheme="minorHAnsi"/>
              </w:rPr>
              <m:t>AF</m:t>
            </m:r>
          </m:sub>
        </m:sSub>
      </m:oMath>
      <w:r w:rsidRPr="00CD5172">
        <w:rPr>
          <w:rFonts w:asciiTheme="minorHAnsi" w:hAnsiTheme="minorHAnsi" w:cstheme="minorHAnsi"/>
        </w:rPr>
        <w:t xml:space="preserve"> i</w:t>
      </w:r>
      <w:r w:rsidR="00463F47" w:rsidRPr="00CD5172">
        <w:rPr>
          <w:rFonts w:asciiTheme="minorHAnsi" w:hAnsiTheme="minorHAnsi" w:cstheme="minorHAnsi"/>
        </w:rPr>
        <w:t>s</w:t>
      </w:r>
      <w:r w:rsidRPr="00CD5172">
        <w:rPr>
          <w:rFonts w:asciiTheme="minorHAnsi" w:hAnsiTheme="minorHAnsi" w:cstheme="minorHAnsi"/>
        </w:rPr>
        <w:t xml:space="preserve"> the attributable fraction of </w:t>
      </w:r>
      <w:r w:rsidR="00463F47" w:rsidRPr="00CD5172">
        <w:rPr>
          <w:rFonts w:asciiTheme="minorHAnsi" w:hAnsiTheme="minorHAnsi" w:cstheme="minorHAnsi"/>
        </w:rPr>
        <w:t>RSV (</w:t>
      </w:r>
      <w:r w:rsidR="00237A0D" w:rsidRPr="00CD5172">
        <w:rPr>
          <w:rFonts w:asciiTheme="minorHAnsi" w:hAnsiTheme="minorHAnsi" w:cstheme="minorHAnsi"/>
        </w:rPr>
        <w:t>surveillance data</w:t>
      </w:r>
      <w:r w:rsidR="00463F47" w:rsidRPr="00CD5172">
        <w:rPr>
          <w:rFonts w:asciiTheme="minorHAnsi" w:hAnsiTheme="minorHAnsi" w:cstheme="minorHAnsi"/>
        </w:rPr>
        <w:t>)</w:t>
      </w:r>
      <w:r w:rsidR="00237A0D" w:rsidRPr="00CD5172">
        <w:rPr>
          <w:rFonts w:asciiTheme="minorHAnsi" w:hAnsiTheme="minorHAnsi" w:cstheme="minorHAnsi"/>
        </w:rPr>
        <w:t>.</w:t>
      </w:r>
    </w:p>
    <w:p w14:paraId="4BB98A1E" w14:textId="27F486BA" w:rsidR="00405335" w:rsidRPr="00CD5172" w:rsidRDefault="00405335" w:rsidP="00CD5172">
      <w:pPr>
        <w:ind w:left="360"/>
        <w:jc w:val="both"/>
        <w:rPr>
          <w:rFonts w:asciiTheme="minorHAnsi" w:hAnsiTheme="minorHAnsi" w:cstheme="minorHAnsi"/>
        </w:rPr>
      </w:pPr>
    </w:p>
    <w:p w14:paraId="6AE161A3" w14:textId="23E2A017" w:rsidR="00405335" w:rsidRPr="00CD5172" w:rsidRDefault="00405335" w:rsidP="00CD5172">
      <w:pPr>
        <w:pStyle w:val="ListParagraph"/>
        <w:numPr>
          <w:ilvl w:val="0"/>
          <w:numId w:val="10"/>
        </w:numPr>
        <w:spacing w:line="240" w:lineRule="auto"/>
        <w:jc w:val="both"/>
        <w:rPr>
          <w:rFonts w:asciiTheme="minorHAnsi" w:hAnsiTheme="minorHAnsi" w:cstheme="minorHAnsi"/>
          <w:b/>
          <w:sz w:val="24"/>
          <w:szCs w:val="24"/>
        </w:rPr>
      </w:pPr>
      <w:r w:rsidRPr="00CD5172">
        <w:rPr>
          <w:rFonts w:asciiTheme="minorHAnsi" w:hAnsiTheme="minorHAnsi" w:cstheme="minorHAnsi"/>
          <w:b/>
          <w:sz w:val="24"/>
          <w:szCs w:val="24"/>
        </w:rPr>
        <w:t>Estimation of the number of RSV-associated S</w:t>
      </w:r>
      <w:r w:rsidR="00D45D95" w:rsidRPr="00CD5172">
        <w:rPr>
          <w:rFonts w:asciiTheme="minorHAnsi" w:hAnsiTheme="minorHAnsi" w:cstheme="minorHAnsi"/>
          <w:b/>
          <w:sz w:val="24"/>
          <w:szCs w:val="24"/>
        </w:rPr>
        <w:t>A</w:t>
      </w:r>
      <w:r w:rsidRPr="00CD5172">
        <w:rPr>
          <w:rFonts w:asciiTheme="minorHAnsi" w:hAnsiTheme="minorHAnsi" w:cstheme="minorHAnsi"/>
          <w:b/>
          <w:sz w:val="24"/>
          <w:szCs w:val="24"/>
        </w:rPr>
        <w:t>RI in all provinces</w:t>
      </w:r>
    </w:p>
    <w:p w14:paraId="36F7E28B" w14:textId="64DACEE0" w:rsidR="00405335" w:rsidRPr="00CD5172" w:rsidRDefault="00405335" w:rsidP="00CD5172">
      <w:pPr>
        <w:jc w:val="both"/>
        <w:rPr>
          <w:rFonts w:asciiTheme="minorHAnsi" w:hAnsiTheme="minorHAnsi" w:cstheme="minorHAnsi"/>
        </w:rPr>
      </w:pPr>
      <w:r w:rsidRPr="00CD5172">
        <w:rPr>
          <w:rFonts w:asciiTheme="minorHAnsi" w:hAnsiTheme="minorHAnsi" w:cstheme="minorHAnsi"/>
        </w:rPr>
        <w:t>We estimate</w:t>
      </w:r>
      <w:r w:rsidR="00BF572D" w:rsidRPr="00CD5172">
        <w:rPr>
          <w:rFonts w:asciiTheme="minorHAnsi" w:hAnsiTheme="minorHAnsi" w:cstheme="minorHAnsi"/>
        </w:rPr>
        <w:t>d</w:t>
      </w:r>
      <w:r w:rsidRPr="00CD5172">
        <w:rPr>
          <w:rFonts w:asciiTheme="minorHAnsi" w:hAnsiTheme="minorHAnsi" w:cstheme="minorHAnsi"/>
        </w:rPr>
        <w:t xml:space="preserve"> the provincial number of RSV-</w:t>
      </w:r>
      <w:r w:rsidR="005A5949" w:rsidRPr="00CD5172">
        <w:rPr>
          <w:rFonts w:asciiTheme="minorHAnsi" w:hAnsiTheme="minorHAnsi" w:cstheme="minorHAnsi"/>
        </w:rPr>
        <w:t>associated</w:t>
      </w:r>
      <w:r w:rsidRPr="00CD5172">
        <w:rPr>
          <w:rFonts w:asciiTheme="minorHAnsi" w:hAnsiTheme="minorHAnsi" w:cstheme="minorHAnsi"/>
        </w:rPr>
        <w:t xml:space="preserve"> S</w:t>
      </w:r>
      <w:r w:rsidR="006F4B57" w:rsidRPr="00CD5172">
        <w:rPr>
          <w:rFonts w:asciiTheme="minorHAnsi" w:hAnsiTheme="minorHAnsi" w:cstheme="minorHAnsi"/>
        </w:rPr>
        <w:t>A</w:t>
      </w:r>
      <w:r w:rsidRPr="00CD5172">
        <w:rPr>
          <w:rFonts w:asciiTheme="minorHAnsi" w:hAnsiTheme="minorHAnsi" w:cstheme="minorHAnsi"/>
        </w:rPr>
        <w:t xml:space="preserve">RI </w:t>
      </w:r>
      <w:r w:rsidR="005A5949" w:rsidRPr="00CD5172">
        <w:rPr>
          <w:rFonts w:asciiTheme="minorHAnsi" w:hAnsiTheme="minorHAnsi" w:cstheme="minorHAnsi"/>
        </w:rPr>
        <w:t>hospitalization</w:t>
      </w:r>
      <w:r w:rsidRPr="00CD5172">
        <w:rPr>
          <w:rFonts w:asciiTheme="minorHAnsi" w:hAnsiTheme="minorHAnsi" w:cstheme="minorHAnsi"/>
        </w:rPr>
        <w:t xml:space="preserve"> by multiplying th</w:t>
      </w:r>
      <w:r w:rsidR="005A5949" w:rsidRPr="00CD5172">
        <w:rPr>
          <w:rFonts w:asciiTheme="minorHAnsi" w:hAnsiTheme="minorHAnsi" w:cstheme="minorHAnsi"/>
        </w:rPr>
        <w:t>e</w:t>
      </w:r>
      <w:r w:rsidRPr="00CD5172">
        <w:rPr>
          <w:rFonts w:asciiTheme="minorHAnsi" w:hAnsiTheme="minorHAnsi" w:cstheme="minorHAnsi"/>
        </w:rPr>
        <w:t xml:space="preserve"> provincial RSV-</w:t>
      </w:r>
      <w:r w:rsidR="005A5949" w:rsidRPr="00CD5172">
        <w:rPr>
          <w:rFonts w:asciiTheme="minorHAnsi" w:hAnsiTheme="minorHAnsi" w:cstheme="minorHAnsi"/>
        </w:rPr>
        <w:t>associated</w:t>
      </w:r>
      <w:r w:rsidRPr="00CD5172">
        <w:rPr>
          <w:rFonts w:asciiTheme="minorHAnsi" w:hAnsiTheme="minorHAnsi" w:cstheme="minorHAnsi"/>
        </w:rPr>
        <w:t xml:space="preserve"> S</w:t>
      </w:r>
      <w:r w:rsidR="00D45D95" w:rsidRPr="00CD5172">
        <w:rPr>
          <w:rFonts w:asciiTheme="minorHAnsi" w:hAnsiTheme="minorHAnsi" w:cstheme="minorHAnsi"/>
        </w:rPr>
        <w:t>A</w:t>
      </w:r>
      <w:r w:rsidRPr="00CD5172">
        <w:rPr>
          <w:rFonts w:asciiTheme="minorHAnsi" w:hAnsiTheme="minorHAnsi" w:cstheme="minorHAnsi"/>
        </w:rPr>
        <w:t xml:space="preserve">RI </w:t>
      </w:r>
      <w:r w:rsidR="005A5949" w:rsidRPr="00CD5172">
        <w:rPr>
          <w:rFonts w:asciiTheme="minorHAnsi" w:hAnsiTheme="minorHAnsi" w:cstheme="minorHAnsi"/>
        </w:rPr>
        <w:t>rates</w:t>
      </w:r>
      <w:r w:rsidRPr="00CD5172">
        <w:rPr>
          <w:rFonts w:asciiTheme="minorHAnsi" w:hAnsiTheme="minorHAnsi" w:cstheme="minorHAnsi"/>
        </w:rPr>
        <w:t xml:space="preserve"> by the population at risk in each </w:t>
      </w:r>
      <w:r w:rsidR="005A5949" w:rsidRPr="00CD5172">
        <w:rPr>
          <w:rFonts w:asciiTheme="minorHAnsi" w:hAnsiTheme="minorHAnsi" w:cstheme="minorHAnsi"/>
        </w:rPr>
        <w:t>province</w:t>
      </w:r>
      <w:r w:rsidRPr="00CD5172">
        <w:rPr>
          <w:rFonts w:asciiTheme="minorHAnsi" w:hAnsiTheme="minorHAnsi" w:cstheme="minorHAnsi"/>
        </w:rPr>
        <w:t xml:space="preserve"> over the study period</w:t>
      </w:r>
      <w:r w:rsidR="00791CBA">
        <w:rPr>
          <w:rFonts w:asciiTheme="minorHAnsi" w:hAnsiTheme="minorHAnsi" w:cstheme="minorHAnsi"/>
        </w:rPr>
        <w:fldChar w:fldCharType="begin" w:fldLock="1"/>
      </w:r>
      <w:r w:rsidR="003143D8">
        <w:rPr>
          <w:rFonts w:asciiTheme="minorHAnsi" w:hAnsiTheme="minorHAnsi" w:cstheme="minorHAnsi"/>
        </w:rPr>
        <w:instrText>ADDIN CSL_CITATION {"citationItems":[{"id":"ITEM-1","itemData":{"ISBN":"P0302","abstract":"This release uses the cohort-component methodology to estimate the 2015 mid-year population of South Africa. ? The estimates cover all the residents of South Africa at the 2015 mid-year, and are based on the latest available information. Estimates may change as new data become available. ? For 2015, Statistics South Africa (Stats SA) estimates the mid-year population as 54,96 million. ? Approximately fifty-one per cent (approximately 28,07 million) of the population is female. ? Gauteng comprises the largest share of the South African population. Approximately 13,20 million people (24%) live in this province. KwaZulu-Natal is the province with the second largest population, with 10,92 million people (19,9%) living in this province. With a population of approximately 1,19 million people (2,2%), Northern Cape remains the province with the smallest share of the South African population. ? About 30,2% of the population is aged younger than 15 years and approximately 8,0% (4,42 million) is 60 years or older. Of those younger than 15 years, approximately 22,9% (3,80 million) live in KwaZulu-Natal and 19,7% (3,28 million) live in Gauteng. Of those elderly aged 60 years and older, the highest percentage 26,3% (1,16 million) reside in Gauteng. The proportion of elderly persons aged 60 and older is increasing over time. ? Migration is an important demographic process in shaping the age structure and distribution of the provincial population. For the period 2011–2016 it is estimated that approximately 243 118 people will migrate from the Eastern Cape; Limpopo is estimated to experience an out-migration of nearly 303 151 people. During the same period, Gauteng and Western Cape are estimated to experience an inflow of migrants of approximately 1 169 837 and 350 569 respectively (see migration stream tables for net migration). ? Life expectancy at birth for 2015 is estimated at 60,6 years for males and 64,3 years for females. ? The infant mortality rate for 2015 is estimated at 34,4 per 1 000 live births. ? The estimated overall HIV prevalence rate is approximately 11,2% of the total South African population. The total number of people living with HIV is estimated at approximately 6,19 million in 2015. For adults aged 15–49 years, an estimated 16,6% of the population is HIV positive.","author":[{"dropping-particle":"","family":"Statistics South Africa","given":"","non-dropping-particle":"","parse-names":false,"suffix":""}],"id":"ITEM-1","issue":"July","issued":{"date-parts":[["2015"]]},"page":"20","title":"South Africa. Mid-year population estimates 2015.","type":"article-journal","volume":"P0302"},"uris":["http://www.mendeley.com/documents/?uuid=3459d04f-0b74-496a-a57c-968d699f30a1"]},{"id":"ITEM-2","itemData":{"DOI":"Statistical release P0302","ISBN":"015944","ISSN":"00225223","PMID":"16265","abstract":"General information Stats SA publishes approximately 300 different statistical releases each year. It is not economically viable to produce them in more than one of South Africa's eleven official languages. Since the releases are used extensively, not only locally but also by international economic and social-scientific communities, Stats SA releases are published in English only. Stats SA has copyright on this publication. Users may apply the information as they wish, provided that they acknowledge Stats SA as the source of the basic data wherever they process, apply, utilise, publish or distribute the data; and also that they specify that the relevant application and analysis (where applicable) result from their own processing of the data.","author":[{"dropping-particle":"","family":"Statistics South Africa","given":"","non-dropping-particle":"","parse-names":false,"suffix":""}],"container-title":"www.statssa.gov.za/publications/.../P03022014.pdf","id":"ITEM-2","issue":"July","issued":{"date-parts":[["2014"]]},"page":"1-18","title":"Mid-year Population estimates","type":"article-journal"},"uris":["http://www.mendeley.com/documents/?uuid=9b3ecf06-d500-4d92-8bcf-d13394914d11"]},{"id":"ITEM-3","itemData":{"abstract":"General information Stats SA publishes approximately 300 different statistical releases each year. It is not economically viable to produce them in more than one of South Africa's eleven official languages. Since the releases are used extensively, not only locally but also by international economic and social-scientific communities, Stats SA releases are published in English only. Stats SA has copyright on this publication. Users may apply the information as they wish, provided that they acknowledge Stats SA as the source of the basic data wherever they process, apply, utilise, publish or distribute the data; and also that they specify that the relevant application and analysis (where applicable) result from their own processing of the data.","author":[{"dropping-particle":"","family":"Statistics South Africa","given":"","non-dropping-particle":"","parse-names":false,"suffix":""}],"container-title":"Statistics South Africa","id":"ITEM-3","issue":"P0302","issued":{"date-parts":[["2013"]]},"page":"1-17","title":"Statistical release P0302: Mid-year population estimates, South Africa 2013","type":"article-journal"},"uris":["http://www.mendeley.com/documents/?uuid=93d72960-5035-4d11-b1a8-0b0eb76c3353"]}],"mendeley":{"formattedCitation":"&lt;sup&gt;7–9&lt;/sup&gt;","plainTextFormattedCitation":"7–9","previouslyFormattedCitation":"&lt;sup&gt;9–11&lt;/sup&gt;"},"properties":{"noteIndex":0},"schema":"https://github.com/citation-style-language/schema/raw/master/csl-citation.json"}</w:instrText>
      </w:r>
      <w:r w:rsidR="00791CBA">
        <w:rPr>
          <w:rFonts w:asciiTheme="minorHAnsi" w:hAnsiTheme="minorHAnsi" w:cstheme="minorHAnsi"/>
        </w:rPr>
        <w:fldChar w:fldCharType="separate"/>
      </w:r>
      <w:r w:rsidR="003143D8" w:rsidRPr="003143D8">
        <w:rPr>
          <w:rFonts w:asciiTheme="minorHAnsi" w:hAnsiTheme="minorHAnsi" w:cstheme="minorHAnsi"/>
          <w:noProof/>
          <w:vertAlign w:val="superscript"/>
        </w:rPr>
        <w:t>7–9</w:t>
      </w:r>
      <w:r w:rsidR="00791CBA">
        <w:rPr>
          <w:rFonts w:asciiTheme="minorHAnsi" w:hAnsiTheme="minorHAnsi" w:cstheme="minorHAnsi"/>
        </w:rPr>
        <w:fldChar w:fldCharType="end"/>
      </w:r>
      <w:r w:rsidRPr="00CD5172">
        <w:rPr>
          <w:rFonts w:asciiTheme="minorHAnsi" w:hAnsiTheme="minorHAnsi" w:cstheme="minorHAnsi"/>
        </w:rPr>
        <w:t>.</w:t>
      </w:r>
    </w:p>
    <w:p w14:paraId="4CA050D5" w14:textId="77777777" w:rsidR="00463F47" w:rsidRPr="00CD5172" w:rsidRDefault="00463F47" w:rsidP="00CD5172">
      <w:pPr>
        <w:jc w:val="both"/>
        <w:rPr>
          <w:rFonts w:asciiTheme="minorHAnsi" w:hAnsiTheme="minorHAnsi" w:cstheme="minorHAnsi"/>
        </w:rPr>
      </w:pPr>
    </w:p>
    <w:p w14:paraId="5FD34F94" w14:textId="4DE9C541" w:rsidR="00405335" w:rsidRPr="00CD5172" w:rsidRDefault="0088453B" w:rsidP="00CD5172">
      <w:pPr>
        <w:jc w:val="both"/>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NumH,Y</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RateH,Y</m:t>
              </m:r>
            </m:sub>
          </m:sSub>
          <m:r>
            <w:rPr>
              <w:rFonts w:ascii="Cambria Math" w:hAnsi="Cambria Math" w:cstheme="minorHAnsi"/>
            </w:rPr>
            <m:t xml:space="preserve"> × P</m:t>
          </m:r>
          <m:sSub>
            <m:sSubPr>
              <m:ctrlPr>
                <w:rPr>
                  <w:rFonts w:ascii="Cambria Math" w:hAnsi="Cambria Math" w:cstheme="minorHAnsi"/>
                  <w:i/>
                </w:rPr>
              </m:ctrlPr>
            </m:sSubPr>
            <m:e>
              <m:r>
                <w:rPr>
                  <w:rFonts w:ascii="Cambria Math" w:hAnsi="Cambria Math" w:cstheme="minorHAnsi"/>
                </w:rPr>
                <m:t>op</m:t>
              </m:r>
            </m:e>
            <m:sub>
              <m:r>
                <w:rPr>
                  <w:rFonts w:ascii="Cambria Math" w:hAnsi="Cambria Math" w:cstheme="minorHAnsi"/>
                </w:rPr>
                <m:t>Y</m:t>
              </m:r>
            </m:sub>
          </m:sSub>
        </m:oMath>
      </m:oMathPara>
    </w:p>
    <w:p w14:paraId="015BB50D" w14:textId="77777777" w:rsidR="00463F47" w:rsidRPr="00CD5172" w:rsidRDefault="00463F47" w:rsidP="00CD5172">
      <w:pPr>
        <w:jc w:val="both"/>
        <w:rPr>
          <w:rFonts w:asciiTheme="minorHAnsi" w:hAnsiTheme="minorHAnsi" w:cstheme="minorHAnsi"/>
        </w:rPr>
      </w:pPr>
    </w:p>
    <w:p w14:paraId="2DAFFFE0" w14:textId="44D05EC1" w:rsidR="00333BC8" w:rsidRPr="00CD5172" w:rsidRDefault="00333BC8" w:rsidP="00CD5172">
      <w:pPr>
        <w:contextualSpacing/>
        <w:jc w:val="both"/>
        <w:rPr>
          <w:rFonts w:asciiTheme="minorHAnsi" w:hAnsiTheme="minorHAnsi" w:cstheme="minorHAnsi"/>
        </w:rPr>
      </w:pPr>
      <w:r w:rsidRPr="00CD5172">
        <w:rPr>
          <w:rFonts w:asciiTheme="minorHAnsi" w:hAnsiTheme="minorHAnsi" w:cstheme="minorHAnsi"/>
        </w:rPr>
        <w:t xml:space="preserve">Where </w:t>
      </w:r>
      <m:oMath>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NumH,Y</m:t>
            </m:r>
          </m:sub>
        </m:sSub>
      </m:oMath>
      <w:r w:rsidRPr="00CD5172">
        <w:rPr>
          <w:rFonts w:asciiTheme="minorHAnsi" w:hAnsiTheme="minorHAnsi" w:cstheme="minorHAnsi"/>
        </w:rPr>
        <w:t xml:space="preserve"> is the number of </w:t>
      </w:r>
      <w:r w:rsidR="00ED301F" w:rsidRPr="00CD5172">
        <w:rPr>
          <w:rFonts w:asciiTheme="minorHAnsi" w:hAnsiTheme="minorHAnsi" w:cstheme="minorHAnsi"/>
        </w:rPr>
        <w:t>RSV</w:t>
      </w:r>
      <w:r w:rsidRPr="00CD5172">
        <w:rPr>
          <w:rFonts w:asciiTheme="minorHAnsi" w:hAnsiTheme="minorHAnsi" w:cstheme="minorHAnsi"/>
        </w:rPr>
        <w:t>-associated S</w:t>
      </w:r>
      <w:r w:rsidR="006B3C27" w:rsidRPr="00CD5172">
        <w:rPr>
          <w:rFonts w:asciiTheme="minorHAnsi" w:hAnsiTheme="minorHAnsi" w:cstheme="minorHAnsi"/>
        </w:rPr>
        <w:t>A</w:t>
      </w:r>
      <w:r w:rsidRPr="00CD5172">
        <w:rPr>
          <w:rFonts w:asciiTheme="minorHAnsi" w:hAnsiTheme="minorHAnsi" w:cstheme="minorHAnsi"/>
        </w:rPr>
        <w:t xml:space="preserve">RI hospitalizations in province </w:t>
      </w:r>
      <w:r w:rsidRPr="00CD5172">
        <w:rPr>
          <w:rFonts w:asciiTheme="minorHAnsi" w:hAnsiTheme="minorHAnsi" w:cstheme="minorHAnsi"/>
          <w:i/>
        </w:rPr>
        <w:t xml:space="preserve">Y </w:t>
      </w:r>
      <w:r w:rsidRPr="00CD5172">
        <w:rPr>
          <w:rFonts w:asciiTheme="minorHAnsi" w:hAnsiTheme="minorHAnsi" w:cstheme="minorHAnsi"/>
        </w:rPr>
        <w:t xml:space="preserve">(including the base provinces); </w:t>
      </w:r>
      <m:oMath>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RateH,Y</m:t>
            </m:r>
          </m:sub>
        </m:sSub>
      </m:oMath>
      <w:r w:rsidRPr="00CD5172">
        <w:rPr>
          <w:rFonts w:asciiTheme="minorHAnsi" w:hAnsiTheme="minorHAnsi" w:cstheme="minorHAnsi"/>
        </w:rPr>
        <w:t xml:space="preserve"> is the</w:t>
      </w:r>
      <w:r w:rsidR="00463F47" w:rsidRPr="00CD5172">
        <w:rPr>
          <w:rFonts w:asciiTheme="minorHAnsi" w:hAnsiTheme="minorHAnsi" w:cstheme="minorHAnsi"/>
        </w:rPr>
        <w:t xml:space="preserve"> rate of </w:t>
      </w:r>
      <w:r w:rsidR="00ED301F" w:rsidRPr="00CD5172">
        <w:rPr>
          <w:rFonts w:asciiTheme="minorHAnsi" w:hAnsiTheme="minorHAnsi" w:cstheme="minorHAnsi"/>
        </w:rPr>
        <w:t>RSV-</w:t>
      </w:r>
      <w:r w:rsidRPr="00CD5172">
        <w:rPr>
          <w:rFonts w:asciiTheme="minorHAnsi" w:hAnsiTheme="minorHAnsi" w:cstheme="minorHAnsi"/>
        </w:rPr>
        <w:t>associated S</w:t>
      </w:r>
      <w:r w:rsidR="00D45D95" w:rsidRPr="00CD5172">
        <w:rPr>
          <w:rFonts w:asciiTheme="minorHAnsi" w:hAnsiTheme="minorHAnsi" w:cstheme="minorHAnsi"/>
        </w:rPr>
        <w:t>A</w:t>
      </w:r>
      <w:r w:rsidRPr="00CD5172">
        <w:rPr>
          <w:rFonts w:asciiTheme="minorHAnsi" w:hAnsiTheme="minorHAnsi" w:cstheme="minorHAnsi"/>
        </w:rPr>
        <w:t xml:space="preserve">RI hospitalization in province </w:t>
      </w:r>
      <w:r w:rsidRPr="00CD5172">
        <w:rPr>
          <w:rFonts w:asciiTheme="minorHAnsi" w:hAnsiTheme="minorHAnsi" w:cstheme="minorHAnsi"/>
          <w:i/>
        </w:rPr>
        <w:t>Y</w:t>
      </w:r>
      <w:r w:rsidRPr="00CD5172">
        <w:rPr>
          <w:rFonts w:asciiTheme="minorHAnsi" w:hAnsiTheme="minorHAnsi" w:cstheme="minorHAnsi"/>
        </w:rPr>
        <w:t xml:space="preserve"> (including the base provinces</w:t>
      </w:r>
      <w:r w:rsidR="00463F47" w:rsidRPr="00CD5172">
        <w:rPr>
          <w:rFonts w:asciiTheme="minorHAnsi" w:hAnsiTheme="minorHAnsi" w:cstheme="minorHAnsi"/>
        </w:rPr>
        <w:t>)</w:t>
      </w:r>
      <w:r w:rsidRPr="00CD5172">
        <w:rPr>
          <w:rFonts w:asciiTheme="minorHAnsi" w:hAnsiTheme="minorHAnsi" w:cstheme="minorHAnsi"/>
        </w:rPr>
        <w:t xml:space="preserve">; and </w:t>
      </w:r>
      <m:oMath>
        <m:r>
          <w:rPr>
            <w:rFonts w:ascii="Cambria Math" w:hAnsi="Cambria Math" w:cstheme="minorHAnsi"/>
          </w:rPr>
          <m:t>P</m:t>
        </m:r>
        <m:sSub>
          <m:sSubPr>
            <m:ctrlPr>
              <w:rPr>
                <w:rFonts w:ascii="Cambria Math" w:hAnsi="Cambria Math" w:cstheme="minorHAnsi"/>
                <w:i/>
              </w:rPr>
            </m:ctrlPr>
          </m:sSubPr>
          <m:e>
            <m:r>
              <w:rPr>
                <w:rFonts w:ascii="Cambria Math" w:hAnsi="Cambria Math" w:cstheme="minorHAnsi"/>
              </w:rPr>
              <m:t>op</m:t>
            </m:r>
          </m:e>
          <m:sub>
            <m:r>
              <w:rPr>
                <w:rFonts w:ascii="Cambria Math" w:hAnsi="Cambria Math" w:cstheme="minorHAnsi"/>
              </w:rPr>
              <m:t>Y</m:t>
            </m:r>
          </m:sub>
        </m:sSub>
      </m:oMath>
      <w:r w:rsidRPr="00CD5172">
        <w:rPr>
          <w:rFonts w:asciiTheme="minorHAnsi" w:hAnsiTheme="minorHAnsi" w:cstheme="minorHAnsi"/>
        </w:rPr>
        <w:t xml:space="preserve"> is the population in province </w:t>
      </w:r>
      <w:r w:rsidRPr="00CD5172">
        <w:rPr>
          <w:rFonts w:asciiTheme="minorHAnsi" w:hAnsiTheme="minorHAnsi" w:cstheme="minorHAnsi"/>
          <w:i/>
        </w:rPr>
        <w:t>Y</w:t>
      </w:r>
      <w:r w:rsidRPr="00CD5172">
        <w:rPr>
          <w:rFonts w:asciiTheme="minorHAnsi" w:hAnsiTheme="minorHAnsi" w:cstheme="minorHAnsi"/>
        </w:rPr>
        <w:t xml:space="preserve"> </w:t>
      </w:r>
      <w:r w:rsidR="003143D8">
        <w:rPr>
          <w:rFonts w:asciiTheme="minorHAnsi" w:hAnsiTheme="minorHAnsi" w:cstheme="minorHAnsi"/>
        </w:rPr>
        <w:fldChar w:fldCharType="begin" w:fldLock="1"/>
      </w:r>
      <w:r w:rsidR="003143D8">
        <w:rPr>
          <w:rFonts w:asciiTheme="minorHAnsi" w:hAnsiTheme="minorHAnsi" w:cstheme="minorHAnsi"/>
        </w:rPr>
        <w:instrText>ADDIN CSL_CITATION {"citationItems":[{"id":"ITEM-1","itemData":{"DOI":"Statistical release P0302","ISBN":"015944","ISSN":"00225223","PMID":"16265","abstract":"General information Stats SA publishes approximately 300 different statistical releases each year. It is not economically viable to produce them in more than one of South Africa's eleven official languages. Since the releases are used extensively, not only locally but also by international economic and social-scientific communities, Stats SA releases are published in English only. Stats SA has copyright on this publication. Users may apply the information as they wish, provided that they acknowledge Stats SA as the source of the basic data wherever they process, apply, utilise, publish or distribute the data; and also that they specify that the relevant application and analysis (where applicable) result from their own processing of the data.","author":[{"dropping-particle":"","family":"Statistics South Africa","given":"","non-dropping-particle":"","parse-names":false,"suffix":""}],"container-title":"www.statssa.gov.za/publications/.../P03022014.pdf","id":"ITEM-1","issue":"July","issued":{"date-parts":[["2014"]]},"page":"1-18","title":"Mid-year Population estimates","type":"article-journal"},"uris":["http://www.mendeley.com/documents/?uuid=9b3ecf06-d500-4d92-8bcf-d13394914d11"]},{"id":"ITEM-2","itemData":{"ISBN":"P0302","abstract":"This release uses the cohort-component methodology to estimate the 2015 mid-year population of South Africa. ? The estimates cover all the residents of South Africa at the 2015 mid-year, and are based on the latest available information. Estimates may change as new data become available. ? For 2015, Statistics South Africa (Stats SA) estimates the mid-year population as 54,96 million. ? Approximately fifty-one per cent (approximately 28,07 million) of the population is female. ? Gauteng comprises the largest share of the South African population. Approximately 13,20 million people (24%) live in this province. KwaZulu-Natal is the province with the second largest population, with 10,92 million people (19,9%) living in this province. With a population of approximately 1,19 million people (2,2%), Northern Cape remains the province with the smallest share of the South African population. ? About 30,2% of the population is aged younger than 15 years and approximately 8,0% (4,42 million) is 60 years or older. Of those younger than 15 years, approximately 22,9% (3,80 million) live in KwaZulu-Natal and 19,7% (3,28 million) live in Gauteng. Of those elderly aged 60 years and older, the highest percentage 26,3% (1,16 million) reside in Gauteng. The proportion of elderly persons aged 60 and older is increasing over time. ? Migration is an important demographic process in shaping the age structure and distribution of the provincial population. For the period 2011–2016 it is estimated that approximately 243 118 people will migrate from the Eastern Cape; Limpopo is estimated to experience an out-migration of nearly 303 151 people. During the same period, Gauteng and Western Cape are estimated to experience an inflow of migrants of approximately 1 169 837 and 350 569 respectively (see migration stream tables for net migration). ? Life expectancy at birth for 2015 is estimated at 60,6 years for males and 64,3 years for females. ? The infant mortality rate for 2015 is estimated at 34,4 per 1 000 live births. ? The estimated overall HIV prevalence rate is approximately 11,2% of the total South African population. The total number of people living with HIV is estimated at approximately 6,19 million in 2015. For adults aged 15–49 years, an estimated 16,6% of the population is HIV positive.","author":[{"dropping-particle":"","family":"Statistics South Africa","given":"","non-dropping-particle":"","parse-names":false,"suffix":""}],"id":"ITEM-2","issue":"July","issued":{"date-parts":[["2015"]]},"page":"20","title":"South Africa. Mid-year population estimates 2015.","type":"article-journal","volume":"P0302"},"uris":["http://www.mendeley.com/documents/?uuid=3459d04f-0b74-496a-a57c-968d699f30a1"]},{"id":"ITEM-3","itemData":{"abstract":"General information Stats SA publishes approximately 300 different statistical releases each year. It is not economically viable to produce them in more than one of South Africa's eleven official languages. Since the releases are used extensively, not only locally but also by international economic and social-scientific communities, Stats SA releases are published in English only. Stats SA has copyright on this publication. Users may apply the information as they wish, provided that they acknowledge Stats SA as the source of the basic data wherever they process, apply, utilise, publish or distribute the data; and also that they specify that the relevant application and analysis (where applicable) result from their own processing of the data.","author":[{"dropping-particle":"","family":"Statistics South Africa","given":"","non-dropping-particle":"","parse-names":false,"suffix":""}],"container-title":"Statistics South Africa","id":"ITEM-3","issue":"P0302","issued":{"date-parts":[["2013"]]},"page":"1-17","title":"Statistical release P0302: Mid-year population estimates, South Africa 2013","type":"article-journal"},"uris":["http://www.mendeley.com/documents/?uuid=93d72960-5035-4d11-b1a8-0b0eb76c3353"]}],"mendeley":{"formattedCitation":"&lt;sup&gt;7–9&lt;/sup&gt;","plainTextFormattedCitation":"7–9","previouslyFormattedCitation":"&lt;sup&gt;9–11&lt;/sup&gt;"},"properties":{"noteIndex":0},"schema":"https://github.com/citation-style-language/schema/raw/master/csl-citation.json"}</w:instrText>
      </w:r>
      <w:r w:rsidR="003143D8">
        <w:rPr>
          <w:rFonts w:asciiTheme="minorHAnsi" w:hAnsiTheme="minorHAnsi" w:cstheme="minorHAnsi"/>
        </w:rPr>
        <w:fldChar w:fldCharType="separate"/>
      </w:r>
      <w:r w:rsidR="003143D8" w:rsidRPr="003143D8">
        <w:rPr>
          <w:rFonts w:asciiTheme="minorHAnsi" w:hAnsiTheme="minorHAnsi" w:cstheme="minorHAnsi"/>
          <w:noProof/>
          <w:vertAlign w:val="superscript"/>
        </w:rPr>
        <w:t>7–9</w:t>
      </w:r>
      <w:r w:rsidR="003143D8">
        <w:rPr>
          <w:rFonts w:asciiTheme="minorHAnsi" w:hAnsiTheme="minorHAnsi" w:cstheme="minorHAnsi"/>
        </w:rPr>
        <w:fldChar w:fldCharType="end"/>
      </w:r>
      <w:r w:rsidR="003143D8">
        <w:rPr>
          <w:rFonts w:asciiTheme="minorHAnsi" w:hAnsiTheme="minorHAnsi" w:cstheme="minorHAnsi"/>
        </w:rPr>
        <w:t>.</w:t>
      </w:r>
    </w:p>
    <w:p w14:paraId="53F7F530" w14:textId="77777777" w:rsidR="00333BC8" w:rsidRPr="00CD5172" w:rsidRDefault="00333BC8" w:rsidP="00CD5172">
      <w:pPr>
        <w:contextualSpacing/>
        <w:jc w:val="both"/>
        <w:rPr>
          <w:rFonts w:asciiTheme="minorHAnsi" w:hAnsiTheme="minorHAnsi" w:cstheme="minorHAnsi"/>
        </w:rPr>
      </w:pPr>
    </w:p>
    <w:p w14:paraId="0051E075" w14:textId="77777777" w:rsidR="00DE0115" w:rsidRPr="00CD5172" w:rsidRDefault="00DE0115" w:rsidP="00CD5172">
      <w:pPr>
        <w:pStyle w:val="ListParagraph"/>
        <w:spacing w:line="240" w:lineRule="auto"/>
        <w:jc w:val="both"/>
        <w:rPr>
          <w:rFonts w:asciiTheme="minorHAnsi" w:hAnsiTheme="minorHAnsi" w:cstheme="minorHAnsi"/>
          <w:sz w:val="24"/>
          <w:szCs w:val="24"/>
        </w:rPr>
      </w:pPr>
    </w:p>
    <w:p w14:paraId="4276966E" w14:textId="77777777" w:rsidR="00DE0115" w:rsidRPr="00CD5172" w:rsidRDefault="00DE0115" w:rsidP="00CD5172">
      <w:pPr>
        <w:pStyle w:val="ListParagraph"/>
        <w:spacing w:line="240" w:lineRule="auto"/>
        <w:jc w:val="both"/>
        <w:rPr>
          <w:rFonts w:asciiTheme="minorHAnsi" w:hAnsiTheme="minorHAnsi" w:cstheme="minorHAnsi"/>
          <w:sz w:val="24"/>
          <w:szCs w:val="24"/>
        </w:rPr>
      </w:pPr>
    </w:p>
    <w:p w14:paraId="05577187" w14:textId="601C8DBE" w:rsidR="00C247CB" w:rsidRPr="00CD5172" w:rsidRDefault="00764D2D" w:rsidP="00CD5172">
      <w:pPr>
        <w:pStyle w:val="ListParagraph"/>
        <w:numPr>
          <w:ilvl w:val="0"/>
          <w:numId w:val="10"/>
        </w:numPr>
        <w:spacing w:line="240" w:lineRule="auto"/>
        <w:jc w:val="both"/>
        <w:rPr>
          <w:rFonts w:asciiTheme="minorHAnsi" w:hAnsiTheme="minorHAnsi" w:cstheme="minorHAnsi"/>
          <w:b/>
          <w:sz w:val="24"/>
          <w:szCs w:val="24"/>
        </w:rPr>
      </w:pPr>
      <w:r w:rsidRPr="00CD5172">
        <w:rPr>
          <w:rFonts w:asciiTheme="minorHAnsi" w:hAnsiTheme="minorHAnsi" w:cstheme="minorHAnsi"/>
          <w:b/>
          <w:sz w:val="24"/>
          <w:szCs w:val="24"/>
        </w:rPr>
        <w:t>Non</w:t>
      </w:r>
      <w:r w:rsidR="00857119" w:rsidRPr="00CD5172">
        <w:rPr>
          <w:rFonts w:asciiTheme="minorHAnsi" w:hAnsiTheme="minorHAnsi" w:cstheme="minorHAnsi"/>
          <w:b/>
          <w:sz w:val="24"/>
          <w:szCs w:val="24"/>
        </w:rPr>
        <w:t>-</w:t>
      </w:r>
      <w:r w:rsidRPr="00CD5172">
        <w:rPr>
          <w:rFonts w:asciiTheme="minorHAnsi" w:hAnsiTheme="minorHAnsi" w:cstheme="minorHAnsi"/>
          <w:b/>
          <w:sz w:val="24"/>
          <w:szCs w:val="24"/>
        </w:rPr>
        <w:t xml:space="preserve">medically attended </w:t>
      </w:r>
    </w:p>
    <w:p w14:paraId="2F237253" w14:textId="1AD7DC08" w:rsidR="00764D2D" w:rsidRPr="00CD5172" w:rsidRDefault="006F4B57" w:rsidP="00CD5172">
      <w:pPr>
        <w:jc w:val="both"/>
        <w:rPr>
          <w:rFonts w:asciiTheme="minorHAnsi" w:hAnsiTheme="minorHAnsi" w:cstheme="minorHAnsi"/>
        </w:rPr>
      </w:pPr>
      <w:r w:rsidRPr="00CD5172">
        <w:rPr>
          <w:rFonts w:asciiTheme="minorHAnsi" w:hAnsiTheme="minorHAnsi" w:cstheme="minorHAnsi"/>
        </w:rPr>
        <w:t xml:space="preserve">We used the </w:t>
      </w:r>
      <w:r w:rsidR="005A5949" w:rsidRPr="00CD5172">
        <w:rPr>
          <w:rFonts w:asciiTheme="minorHAnsi" w:hAnsiTheme="minorHAnsi" w:cstheme="minorHAnsi"/>
        </w:rPr>
        <w:t>following 4 steps to e</w:t>
      </w:r>
      <w:r w:rsidR="00764D2D" w:rsidRPr="00CD5172">
        <w:rPr>
          <w:rFonts w:asciiTheme="minorHAnsi" w:hAnsiTheme="minorHAnsi" w:cstheme="minorHAnsi"/>
        </w:rPr>
        <w:t>stimate the nationa</w:t>
      </w:r>
      <w:r w:rsidR="005A5949" w:rsidRPr="00CD5172">
        <w:rPr>
          <w:rFonts w:asciiTheme="minorHAnsi" w:hAnsiTheme="minorHAnsi" w:cstheme="minorHAnsi"/>
        </w:rPr>
        <w:t>l</w:t>
      </w:r>
      <w:r w:rsidR="00764D2D" w:rsidRPr="00CD5172">
        <w:rPr>
          <w:rFonts w:asciiTheme="minorHAnsi" w:hAnsiTheme="minorHAnsi" w:cstheme="minorHAnsi"/>
        </w:rPr>
        <w:t xml:space="preserve"> number</w:t>
      </w:r>
      <w:r w:rsidR="0022092F" w:rsidRPr="00CD5172">
        <w:rPr>
          <w:rFonts w:asciiTheme="minorHAnsi" w:hAnsiTheme="minorHAnsi" w:cstheme="minorHAnsi"/>
        </w:rPr>
        <w:t xml:space="preserve"> and rate (per 100,000 population) of non-medically attended RSV</w:t>
      </w:r>
      <w:r w:rsidR="006B3C27" w:rsidRPr="00CD5172">
        <w:rPr>
          <w:rFonts w:asciiTheme="minorHAnsi" w:hAnsiTheme="minorHAnsi" w:cstheme="minorHAnsi"/>
        </w:rPr>
        <w:t>-</w:t>
      </w:r>
      <w:r w:rsidR="0022092F" w:rsidRPr="00CD5172">
        <w:rPr>
          <w:rFonts w:asciiTheme="minorHAnsi" w:hAnsiTheme="minorHAnsi" w:cstheme="minorHAnsi"/>
        </w:rPr>
        <w:t>associated</w:t>
      </w:r>
      <w:r w:rsidR="006B3C27" w:rsidRPr="00CD5172">
        <w:rPr>
          <w:rFonts w:asciiTheme="minorHAnsi" w:hAnsiTheme="minorHAnsi" w:cstheme="minorHAnsi"/>
        </w:rPr>
        <w:t xml:space="preserve"> </w:t>
      </w:r>
      <w:r w:rsidR="0022092F" w:rsidRPr="00CD5172">
        <w:rPr>
          <w:rFonts w:asciiTheme="minorHAnsi" w:hAnsiTheme="minorHAnsi" w:cstheme="minorHAnsi"/>
        </w:rPr>
        <w:t>SARI cases.</w:t>
      </w:r>
      <w:r w:rsidR="00AE45EA" w:rsidRPr="00CD5172">
        <w:rPr>
          <w:rFonts w:asciiTheme="minorHAnsi" w:hAnsiTheme="minorHAnsi" w:cstheme="minorHAnsi"/>
        </w:rPr>
        <w:t xml:space="preserve"> The same methodology as for hospitalized making use of non</w:t>
      </w:r>
      <w:r w:rsidR="000545D6" w:rsidRPr="00CD5172">
        <w:rPr>
          <w:rFonts w:asciiTheme="minorHAnsi" w:hAnsiTheme="minorHAnsi" w:cstheme="minorHAnsi"/>
        </w:rPr>
        <w:t>-</w:t>
      </w:r>
      <w:r w:rsidR="00AE45EA" w:rsidRPr="00CD5172">
        <w:rPr>
          <w:rFonts w:asciiTheme="minorHAnsi" w:hAnsiTheme="minorHAnsi" w:cstheme="minorHAnsi"/>
        </w:rPr>
        <w:t>medically attended numbers and rates.</w:t>
      </w:r>
    </w:p>
    <w:p w14:paraId="5F0264E5" w14:textId="0D7F4D5E" w:rsidR="00764D2D" w:rsidRPr="00CD5172" w:rsidRDefault="00764D2D" w:rsidP="00CD5172">
      <w:pPr>
        <w:jc w:val="both"/>
        <w:rPr>
          <w:rFonts w:asciiTheme="minorHAnsi" w:hAnsiTheme="minorHAnsi" w:cstheme="minorHAnsi"/>
        </w:rPr>
      </w:pPr>
      <w:r w:rsidRPr="00CD5172">
        <w:rPr>
          <w:rFonts w:asciiTheme="minorHAnsi" w:hAnsiTheme="minorHAnsi" w:cstheme="minorHAnsi"/>
        </w:rPr>
        <w:tab/>
      </w:r>
    </w:p>
    <w:p w14:paraId="67C7D19C" w14:textId="72FCEA73" w:rsidR="0071294B" w:rsidRPr="00CD5172" w:rsidRDefault="005A5949" w:rsidP="00CD5172">
      <w:pPr>
        <w:pStyle w:val="ListParagraph"/>
        <w:numPr>
          <w:ilvl w:val="0"/>
          <w:numId w:val="12"/>
        </w:numPr>
        <w:spacing w:line="240" w:lineRule="auto"/>
        <w:jc w:val="both"/>
        <w:rPr>
          <w:rFonts w:asciiTheme="minorHAnsi" w:hAnsiTheme="minorHAnsi" w:cstheme="minorHAnsi"/>
          <w:sz w:val="24"/>
          <w:szCs w:val="24"/>
        </w:rPr>
      </w:pPr>
      <w:r w:rsidRPr="00CD5172">
        <w:rPr>
          <w:rFonts w:asciiTheme="minorHAnsi" w:hAnsiTheme="minorHAnsi" w:cstheme="minorHAnsi"/>
          <w:sz w:val="24"/>
          <w:szCs w:val="24"/>
        </w:rPr>
        <w:t>Estimate</w:t>
      </w:r>
      <w:r w:rsidR="0071294B" w:rsidRPr="00CD5172">
        <w:rPr>
          <w:rFonts w:asciiTheme="minorHAnsi" w:hAnsiTheme="minorHAnsi" w:cstheme="minorHAnsi"/>
          <w:sz w:val="24"/>
          <w:szCs w:val="24"/>
        </w:rPr>
        <w:t xml:space="preserve"> the non</w:t>
      </w:r>
      <w:r w:rsidRPr="00CD5172">
        <w:rPr>
          <w:rFonts w:asciiTheme="minorHAnsi" w:hAnsiTheme="minorHAnsi" w:cstheme="minorHAnsi"/>
          <w:sz w:val="24"/>
          <w:szCs w:val="24"/>
        </w:rPr>
        <w:t>-</w:t>
      </w:r>
      <w:r w:rsidR="000545D6" w:rsidRPr="00CD5172">
        <w:rPr>
          <w:rFonts w:asciiTheme="minorHAnsi" w:hAnsiTheme="minorHAnsi" w:cstheme="minorHAnsi"/>
          <w:sz w:val="24"/>
          <w:szCs w:val="24"/>
        </w:rPr>
        <w:t>medically attended</w:t>
      </w:r>
      <w:r w:rsidR="0071294B" w:rsidRPr="00CD5172">
        <w:rPr>
          <w:rFonts w:asciiTheme="minorHAnsi" w:hAnsiTheme="minorHAnsi" w:cstheme="minorHAnsi"/>
          <w:sz w:val="24"/>
          <w:szCs w:val="24"/>
        </w:rPr>
        <w:t xml:space="preserve"> S</w:t>
      </w:r>
      <w:r w:rsidR="006B3C27" w:rsidRPr="00CD5172">
        <w:rPr>
          <w:rFonts w:asciiTheme="minorHAnsi" w:hAnsiTheme="minorHAnsi" w:cstheme="minorHAnsi"/>
          <w:sz w:val="24"/>
          <w:szCs w:val="24"/>
        </w:rPr>
        <w:t>A</w:t>
      </w:r>
      <w:r w:rsidR="0071294B" w:rsidRPr="00CD5172">
        <w:rPr>
          <w:rFonts w:asciiTheme="minorHAnsi" w:hAnsiTheme="minorHAnsi" w:cstheme="minorHAnsi"/>
          <w:sz w:val="24"/>
          <w:szCs w:val="24"/>
        </w:rPr>
        <w:t>R</w:t>
      </w:r>
      <w:r w:rsidRPr="00CD5172">
        <w:rPr>
          <w:rFonts w:asciiTheme="minorHAnsi" w:hAnsiTheme="minorHAnsi" w:cstheme="minorHAnsi"/>
          <w:sz w:val="24"/>
          <w:szCs w:val="24"/>
        </w:rPr>
        <w:t>I</w:t>
      </w:r>
      <w:r w:rsidR="0071294B" w:rsidRPr="00CD5172">
        <w:rPr>
          <w:rFonts w:asciiTheme="minorHAnsi" w:hAnsiTheme="minorHAnsi" w:cstheme="minorHAnsi"/>
          <w:sz w:val="24"/>
          <w:szCs w:val="24"/>
        </w:rPr>
        <w:t xml:space="preserve"> in base province from HUS. </w:t>
      </w:r>
    </w:p>
    <w:p w14:paraId="2169002C" w14:textId="06D853EF" w:rsidR="00F6494A" w:rsidRPr="00CD5172" w:rsidRDefault="0088453B" w:rsidP="00CD5172">
      <w:pPr>
        <w:ind w:left="360"/>
        <w:jc w:val="both"/>
        <w:rPr>
          <w:rFonts w:asciiTheme="minorHAnsi" w:hAnsiTheme="minorHAnsi" w:cstheme="minorHAnsi"/>
        </w:rPr>
      </w:pPr>
      <m:oMathPara>
        <m:oMath>
          <m:sSub>
            <m:sSubPr>
              <m:ctrlPr>
                <w:rPr>
                  <w:rFonts w:ascii="Cambria Math" w:hAnsi="Cambria Math" w:cstheme="minorHAnsi"/>
                </w:rPr>
              </m:ctrlPr>
            </m:sSubPr>
            <m:e>
              <m:r>
                <w:rPr>
                  <w:rFonts w:ascii="Cambria Math" w:hAnsi="Cambria Math" w:cstheme="minorHAnsi"/>
                </w:rPr>
                <m:t>SARI</m:t>
              </m:r>
            </m:e>
            <m:sub>
              <m:r>
                <w:rPr>
                  <w:rFonts w:ascii="Cambria Math" w:hAnsi="Cambria Math" w:cstheme="minorHAnsi"/>
                </w:rPr>
                <m:t>RateNH</m:t>
              </m:r>
              <m:r>
                <m:rPr>
                  <m:sty m:val="p"/>
                </m:rPr>
                <w:rPr>
                  <w:rFonts w:ascii="Cambria Math" w:hAnsi="Cambria Math" w:cstheme="minorHAnsi"/>
                </w:rPr>
                <m:t>,</m:t>
              </m:r>
              <m:r>
                <w:rPr>
                  <w:rFonts w:ascii="Cambria Math" w:hAnsi="Cambria Math" w:cstheme="minorHAnsi"/>
                </w:rPr>
                <m:t>B</m:t>
              </m:r>
            </m:sub>
          </m:sSub>
          <m:r>
            <m:rPr>
              <m:sty m:val="p"/>
            </m:rPr>
            <w:rPr>
              <w:rFonts w:ascii="Cambria Math" w:hAnsi="Cambria Math" w:cstheme="minorHAnsi"/>
            </w:rPr>
            <m:t>=</m:t>
          </m:r>
          <m:d>
            <m:dPr>
              <m:ctrlPr>
                <w:rPr>
                  <w:rFonts w:ascii="Cambria Math" w:hAnsi="Cambria Math" w:cstheme="minorHAnsi"/>
                </w:rPr>
              </m:ctrlPr>
            </m:dPr>
            <m:e>
              <m:f>
                <m:fPr>
                  <m:ctrlPr>
                    <w:rPr>
                      <w:rFonts w:ascii="Cambria Math" w:hAnsi="Cambria Math" w:cstheme="minorHAnsi"/>
                    </w:rPr>
                  </m:ctrlPr>
                </m:fPr>
                <m:num>
                  <m:sSub>
                    <m:sSubPr>
                      <m:ctrlPr>
                        <w:rPr>
                          <w:rFonts w:ascii="Cambria Math" w:hAnsi="Cambria Math" w:cstheme="minorHAnsi"/>
                        </w:rPr>
                      </m:ctrlPr>
                    </m:sSubPr>
                    <m:e>
                      <m:r>
                        <w:rPr>
                          <w:rFonts w:ascii="Cambria Math" w:hAnsi="Cambria Math" w:cstheme="minorHAnsi"/>
                        </w:rPr>
                        <m:t>SARI</m:t>
                      </m:r>
                    </m:e>
                    <m:sub>
                      <m:r>
                        <w:rPr>
                          <w:rFonts w:ascii="Cambria Math" w:hAnsi="Cambria Math" w:cstheme="minorHAnsi"/>
                        </w:rPr>
                        <m:t>RateH</m:t>
                      </m:r>
                      <m:r>
                        <m:rPr>
                          <m:sty m:val="p"/>
                        </m:rPr>
                        <w:rPr>
                          <w:rFonts w:ascii="Cambria Math" w:hAnsi="Cambria Math" w:cstheme="minorHAnsi"/>
                        </w:rPr>
                        <m:t>,</m:t>
                      </m:r>
                      <m:r>
                        <w:rPr>
                          <w:rFonts w:ascii="Cambria Math" w:hAnsi="Cambria Math" w:cstheme="minorHAnsi"/>
                        </w:rPr>
                        <m:t>B</m:t>
                      </m:r>
                    </m:sub>
                  </m:sSub>
                </m:num>
                <m:den>
                  <m:sSub>
                    <m:sSubPr>
                      <m:ctrlPr>
                        <w:rPr>
                          <w:rFonts w:ascii="Cambria Math" w:hAnsi="Cambria Math" w:cstheme="minorHAnsi"/>
                        </w:rPr>
                      </m:ctrlPr>
                    </m:sSubPr>
                    <m:e>
                      <m:r>
                        <w:rPr>
                          <w:rFonts w:ascii="Cambria Math" w:hAnsi="Cambria Math" w:cstheme="minorHAnsi"/>
                        </w:rPr>
                        <m:t>HUS</m:t>
                      </m:r>
                    </m:e>
                    <m:sub>
                      <m:r>
                        <w:rPr>
                          <w:rFonts w:ascii="Cambria Math" w:hAnsi="Cambria Math" w:cstheme="minorHAnsi"/>
                        </w:rPr>
                        <m:t>B</m:t>
                      </m:r>
                    </m:sub>
                  </m:sSub>
                </m:den>
              </m:f>
            </m:e>
          </m:d>
          <m:r>
            <m:rPr>
              <m:sty m:val="p"/>
            </m:rP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SARI</m:t>
              </m:r>
            </m:e>
            <m:sub>
              <m:r>
                <w:rPr>
                  <w:rFonts w:ascii="Cambria Math" w:hAnsi="Cambria Math" w:cstheme="minorHAnsi"/>
                </w:rPr>
                <m:t>RateH</m:t>
              </m:r>
              <m:r>
                <m:rPr>
                  <m:sty m:val="p"/>
                </m:rPr>
                <w:rPr>
                  <w:rFonts w:ascii="Cambria Math" w:hAnsi="Cambria Math" w:cstheme="minorHAnsi"/>
                </w:rPr>
                <m:t>,</m:t>
              </m:r>
              <m:r>
                <w:rPr>
                  <w:rFonts w:ascii="Cambria Math" w:hAnsi="Cambria Math" w:cstheme="minorHAnsi"/>
                </w:rPr>
                <m:t>B</m:t>
              </m:r>
            </m:sub>
          </m:sSub>
        </m:oMath>
      </m:oMathPara>
    </w:p>
    <w:p w14:paraId="34916955" w14:textId="77777777" w:rsidR="000545D6" w:rsidRPr="00CD5172" w:rsidRDefault="000545D6" w:rsidP="00CD5172">
      <w:pPr>
        <w:jc w:val="both"/>
        <w:rPr>
          <w:rFonts w:asciiTheme="minorHAnsi" w:hAnsiTheme="minorHAnsi" w:cstheme="minorHAnsi"/>
        </w:rPr>
      </w:pPr>
    </w:p>
    <w:p w14:paraId="1AF30B6F" w14:textId="6620E27D" w:rsidR="00702DBB" w:rsidRPr="00CD5172" w:rsidRDefault="00702DBB" w:rsidP="00CD5172">
      <w:pPr>
        <w:jc w:val="both"/>
        <w:rPr>
          <w:rFonts w:asciiTheme="minorHAnsi" w:hAnsiTheme="minorHAnsi" w:cstheme="minorHAnsi"/>
        </w:rPr>
      </w:pPr>
      <w:r w:rsidRPr="00CD5172">
        <w:rPr>
          <w:rFonts w:asciiTheme="minorHAnsi" w:hAnsiTheme="minorHAnsi" w:cstheme="minorHAnsi"/>
        </w:rPr>
        <w:t xml:space="preserve">Where </w:t>
      </w:r>
      <m:oMath>
        <m:sSub>
          <m:sSubPr>
            <m:ctrlPr>
              <w:rPr>
                <w:rFonts w:ascii="Cambria Math" w:hAnsi="Cambria Math" w:cstheme="minorHAnsi"/>
              </w:rPr>
            </m:ctrlPr>
          </m:sSubPr>
          <m:e>
            <m:r>
              <w:rPr>
                <w:rFonts w:ascii="Cambria Math" w:hAnsi="Cambria Math" w:cstheme="minorHAnsi"/>
              </w:rPr>
              <m:t>SARI</m:t>
            </m:r>
          </m:e>
          <m:sub>
            <m:r>
              <w:rPr>
                <w:rFonts w:ascii="Cambria Math" w:hAnsi="Cambria Math" w:cstheme="minorHAnsi"/>
              </w:rPr>
              <m:t>RateNH</m:t>
            </m:r>
            <m:r>
              <m:rPr>
                <m:sty m:val="p"/>
              </m:rPr>
              <w:rPr>
                <w:rFonts w:ascii="Cambria Math" w:hAnsi="Cambria Math" w:cstheme="minorHAnsi"/>
              </w:rPr>
              <m:t>,</m:t>
            </m:r>
            <m:r>
              <w:rPr>
                <w:rFonts w:ascii="Cambria Math" w:hAnsi="Cambria Math" w:cstheme="minorHAnsi"/>
              </w:rPr>
              <m:t>B</m:t>
            </m:r>
          </m:sub>
        </m:sSub>
      </m:oMath>
      <w:r w:rsidRPr="00CD5172">
        <w:rPr>
          <w:rFonts w:asciiTheme="minorHAnsi" w:hAnsiTheme="minorHAnsi" w:cstheme="minorHAnsi"/>
        </w:rPr>
        <w:t xml:space="preserve"> </w:t>
      </w:r>
      <w:r w:rsidR="00A25AF8" w:rsidRPr="00CD5172">
        <w:rPr>
          <w:rFonts w:asciiTheme="minorHAnsi" w:hAnsiTheme="minorHAnsi" w:cstheme="minorHAnsi"/>
        </w:rPr>
        <w:t xml:space="preserve">is the </w:t>
      </w:r>
      <w:r w:rsidRPr="00CD5172">
        <w:rPr>
          <w:rFonts w:asciiTheme="minorHAnsi" w:hAnsiTheme="minorHAnsi" w:cstheme="minorHAnsi"/>
        </w:rPr>
        <w:t>rate of non-</w:t>
      </w:r>
      <w:r w:rsidR="000545D6" w:rsidRPr="00CD5172">
        <w:rPr>
          <w:rFonts w:asciiTheme="minorHAnsi" w:hAnsiTheme="minorHAnsi" w:cstheme="minorHAnsi"/>
        </w:rPr>
        <w:t>medically attended</w:t>
      </w:r>
      <w:r w:rsidRPr="00CD5172">
        <w:rPr>
          <w:rFonts w:asciiTheme="minorHAnsi" w:hAnsiTheme="minorHAnsi" w:cstheme="minorHAnsi"/>
        </w:rPr>
        <w:t xml:space="preserve"> S</w:t>
      </w:r>
      <w:r w:rsidR="006B3C27" w:rsidRPr="00CD5172">
        <w:rPr>
          <w:rFonts w:asciiTheme="minorHAnsi" w:hAnsiTheme="minorHAnsi" w:cstheme="minorHAnsi"/>
        </w:rPr>
        <w:t>A</w:t>
      </w:r>
      <w:r w:rsidRPr="00CD5172">
        <w:rPr>
          <w:rFonts w:asciiTheme="minorHAnsi" w:hAnsiTheme="minorHAnsi" w:cstheme="minorHAnsi"/>
        </w:rPr>
        <w:t>RI</w:t>
      </w:r>
      <w:r w:rsidR="00A25AF8" w:rsidRPr="00CD5172">
        <w:rPr>
          <w:rFonts w:asciiTheme="minorHAnsi" w:hAnsiTheme="minorHAnsi" w:cstheme="minorHAnsi"/>
        </w:rPr>
        <w:t xml:space="preserve"> in the sentinel hospital catchment population</w:t>
      </w:r>
      <w:r w:rsidRPr="00CD5172">
        <w:rPr>
          <w:rFonts w:asciiTheme="minorHAnsi" w:hAnsiTheme="minorHAnsi" w:cstheme="minorHAnsi"/>
        </w:rPr>
        <w:t xml:space="preserve">; </w:t>
      </w:r>
      <m:oMath>
        <m:sSub>
          <m:sSubPr>
            <m:ctrlPr>
              <w:rPr>
                <w:rFonts w:ascii="Cambria Math" w:hAnsi="Cambria Math" w:cstheme="minorHAnsi"/>
              </w:rPr>
            </m:ctrlPr>
          </m:sSubPr>
          <m:e>
            <m:r>
              <w:rPr>
                <w:rFonts w:ascii="Cambria Math" w:hAnsi="Cambria Math" w:cstheme="minorHAnsi"/>
              </w:rPr>
              <m:t>SARI</m:t>
            </m:r>
          </m:e>
          <m:sub>
            <m:r>
              <w:rPr>
                <w:rFonts w:ascii="Cambria Math" w:hAnsi="Cambria Math" w:cstheme="minorHAnsi"/>
              </w:rPr>
              <m:t>RateH</m:t>
            </m:r>
            <m:r>
              <m:rPr>
                <m:sty m:val="p"/>
              </m:rPr>
              <w:rPr>
                <w:rFonts w:ascii="Cambria Math" w:hAnsi="Cambria Math" w:cstheme="minorHAnsi"/>
              </w:rPr>
              <m:t>,</m:t>
            </m:r>
            <m:r>
              <w:rPr>
                <w:rFonts w:ascii="Cambria Math" w:hAnsi="Cambria Math" w:cstheme="minorHAnsi"/>
              </w:rPr>
              <m:t>B</m:t>
            </m:r>
          </m:sub>
        </m:sSub>
      </m:oMath>
      <w:r w:rsidRPr="00CD5172">
        <w:rPr>
          <w:rFonts w:asciiTheme="minorHAnsi" w:hAnsiTheme="minorHAnsi" w:cstheme="minorHAnsi"/>
        </w:rPr>
        <w:t xml:space="preserve"> is the base rate of hospitalized S</w:t>
      </w:r>
      <w:r w:rsidR="006B3C27" w:rsidRPr="00CD5172">
        <w:rPr>
          <w:rFonts w:asciiTheme="minorHAnsi" w:hAnsiTheme="minorHAnsi" w:cstheme="minorHAnsi"/>
        </w:rPr>
        <w:t>A</w:t>
      </w:r>
      <w:r w:rsidRPr="00CD5172">
        <w:rPr>
          <w:rFonts w:asciiTheme="minorHAnsi" w:hAnsiTheme="minorHAnsi" w:cstheme="minorHAnsi"/>
        </w:rPr>
        <w:t>RI</w:t>
      </w:r>
      <w:r w:rsidR="00A25AF8" w:rsidRPr="00CD5172">
        <w:rPr>
          <w:rFonts w:asciiTheme="minorHAnsi" w:hAnsiTheme="minorHAnsi" w:cstheme="minorHAnsi"/>
        </w:rPr>
        <w:t xml:space="preserve"> at the sentinel hospital and</w:t>
      </w:r>
      <w:r w:rsidRPr="00CD5172">
        <w:rPr>
          <w:rFonts w:asciiTheme="minorHAnsi" w:hAnsiTheme="minorHAnsi" w:cstheme="minorHAnsi"/>
        </w:rPr>
        <w:t xml:space="preserve"> </w:t>
      </w:r>
      <m:oMath>
        <m:sSub>
          <m:sSubPr>
            <m:ctrlPr>
              <w:rPr>
                <w:rFonts w:ascii="Cambria Math" w:hAnsi="Cambria Math" w:cstheme="minorHAnsi"/>
              </w:rPr>
            </m:ctrlPr>
          </m:sSubPr>
          <m:e>
            <m:r>
              <w:rPr>
                <w:rFonts w:ascii="Cambria Math" w:hAnsi="Cambria Math" w:cstheme="minorHAnsi"/>
              </w:rPr>
              <m:t>HUS</m:t>
            </m:r>
          </m:e>
          <m:sub>
            <m:r>
              <w:rPr>
                <w:rFonts w:ascii="Cambria Math" w:hAnsi="Cambria Math" w:cstheme="minorHAnsi"/>
              </w:rPr>
              <m:t>B</m:t>
            </m:r>
          </m:sub>
        </m:sSub>
      </m:oMath>
      <w:r w:rsidRPr="00CD5172">
        <w:rPr>
          <w:rFonts w:asciiTheme="minorHAnsi" w:hAnsiTheme="minorHAnsi" w:cstheme="minorHAnsi"/>
        </w:rPr>
        <w:t xml:space="preserve"> is the proportion of all S</w:t>
      </w:r>
      <w:r w:rsidR="006B3C27" w:rsidRPr="00CD5172">
        <w:rPr>
          <w:rFonts w:asciiTheme="minorHAnsi" w:hAnsiTheme="minorHAnsi" w:cstheme="minorHAnsi"/>
        </w:rPr>
        <w:t>A</w:t>
      </w:r>
      <w:r w:rsidRPr="00CD5172">
        <w:rPr>
          <w:rFonts w:asciiTheme="minorHAnsi" w:hAnsiTheme="minorHAnsi" w:cstheme="minorHAnsi"/>
        </w:rPr>
        <w:t>RI cases that are hospitalized in the base provinces from HUS.</w:t>
      </w:r>
    </w:p>
    <w:p w14:paraId="6E26A000" w14:textId="28434719" w:rsidR="0071294B" w:rsidRPr="00CD5172" w:rsidRDefault="0071294B" w:rsidP="00CD5172">
      <w:pPr>
        <w:pStyle w:val="ListParagraph"/>
        <w:numPr>
          <w:ilvl w:val="0"/>
          <w:numId w:val="12"/>
        </w:numPr>
        <w:spacing w:line="240" w:lineRule="auto"/>
        <w:jc w:val="both"/>
        <w:rPr>
          <w:rFonts w:asciiTheme="minorHAnsi" w:hAnsiTheme="minorHAnsi" w:cstheme="minorHAnsi"/>
          <w:sz w:val="24"/>
          <w:szCs w:val="24"/>
        </w:rPr>
      </w:pPr>
      <w:r w:rsidRPr="00CD5172">
        <w:rPr>
          <w:rFonts w:asciiTheme="minorHAnsi" w:hAnsiTheme="minorHAnsi" w:cstheme="minorHAnsi"/>
          <w:sz w:val="24"/>
          <w:szCs w:val="24"/>
        </w:rPr>
        <w:t>Estimate the S</w:t>
      </w:r>
      <w:r w:rsidR="006B3C27" w:rsidRPr="00CD5172">
        <w:rPr>
          <w:rFonts w:asciiTheme="minorHAnsi" w:hAnsiTheme="minorHAnsi" w:cstheme="minorHAnsi"/>
          <w:sz w:val="24"/>
          <w:szCs w:val="24"/>
        </w:rPr>
        <w:t>A</w:t>
      </w:r>
      <w:r w:rsidRPr="00CD5172">
        <w:rPr>
          <w:rFonts w:asciiTheme="minorHAnsi" w:hAnsiTheme="minorHAnsi" w:cstheme="minorHAnsi"/>
          <w:sz w:val="24"/>
          <w:szCs w:val="24"/>
        </w:rPr>
        <w:t>RI non</w:t>
      </w:r>
      <w:r w:rsidR="005A5949" w:rsidRPr="00CD5172">
        <w:rPr>
          <w:rFonts w:asciiTheme="minorHAnsi" w:hAnsiTheme="minorHAnsi" w:cstheme="minorHAnsi"/>
          <w:sz w:val="24"/>
          <w:szCs w:val="24"/>
        </w:rPr>
        <w:t>-</w:t>
      </w:r>
      <w:r w:rsidR="000545D6" w:rsidRPr="00CD5172">
        <w:rPr>
          <w:rFonts w:asciiTheme="minorHAnsi" w:hAnsiTheme="minorHAnsi" w:cstheme="minorHAnsi"/>
          <w:sz w:val="24"/>
          <w:szCs w:val="24"/>
        </w:rPr>
        <w:t>medically attended</w:t>
      </w:r>
      <w:r w:rsidRPr="00CD5172">
        <w:rPr>
          <w:rFonts w:asciiTheme="minorHAnsi" w:hAnsiTheme="minorHAnsi" w:cstheme="minorHAnsi"/>
          <w:sz w:val="24"/>
          <w:szCs w:val="24"/>
        </w:rPr>
        <w:t xml:space="preserve"> in other provinces from DHS surveys </w:t>
      </w:r>
    </w:p>
    <w:p w14:paraId="7B4AF35F" w14:textId="2063F3D1" w:rsidR="00F6494A" w:rsidRPr="00CD5172" w:rsidRDefault="0088453B" w:rsidP="00CD5172">
      <w:pPr>
        <w:ind w:left="360"/>
        <w:jc w:val="both"/>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RateNH,Y</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RateNH,B</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Adj</m:t>
              </m:r>
            </m:e>
            <m:sub>
              <m:r>
                <w:rPr>
                  <w:rFonts w:ascii="Cambria Math" w:hAnsi="Cambria Math" w:cstheme="minorHAnsi"/>
                </w:rPr>
                <m:t>Y</m:t>
              </m:r>
            </m:sub>
          </m:sSub>
          <m:r>
            <w:rPr>
              <w:rFonts w:ascii="Cambria Math" w:hAnsi="Cambria Math" w:cstheme="minorHAnsi"/>
            </w:rPr>
            <m:t xml:space="preserve"> ×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DHS</m:t>
                  </m:r>
                </m:e>
                <m:sub>
                  <m:r>
                    <w:rPr>
                      <w:rFonts w:ascii="Cambria Math" w:hAnsi="Cambria Math" w:cstheme="minorHAnsi"/>
                    </w:rPr>
                    <m:t>NH,Y</m:t>
                  </m:r>
                </m:sub>
              </m:sSub>
            </m:num>
            <m:den>
              <m:sSub>
                <m:sSubPr>
                  <m:ctrlPr>
                    <w:rPr>
                      <w:rFonts w:ascii="Cambria Math" w:hAnsi="Cambria Math" w:cstheme="minorHAnsi"/>
                      <w:i/>
                    </w:rPr>
                  </m:ctrlPr>
                </m:sSubPr>
                <m:e>
                  <m:r>
                    <w:rPr>
                      <w:rFonts w:ascii="Cambria Math" w:hAnsi="Cambria Math" w:cstheme="minorHAnsi"/>
                    </w:rPr>
                    <m:t>DHS</m:t>
                  </m:r>
                </m:e>
                <m:sub>
                  <m:r>
                    <w:rPr>
                      <w:rFonts w:ascii="Cambria Math" w:hAnsi="Cambria Math" w:cstheme="minorHAnsi"/>
                    </w:rPr>
                    <m:t>NH,B</m:t>
                  </m:r>
                </m:sub>
              </m:sSub>
            </m:den>
          </m:f>
        </m:oMath>
      </m:oMathPara>
    </w:p>
    <w:p w14:paraId="1E60EEF2" w14:textId="77777777" w:rsidR="000545D6" w:rsidRPr="00CD5172" w:rsidRDefault="000545D6" w:rsidP="00CD5172">
      <w:pPr>
        <w:ind w:left="360"/>
        <w:jc w:val="both"/>
        <w:rPr>
          <w:rFonts w:asciiTheme="minorHAnsi" w:hAnsiTheme="minorHAnsi" w:cstheme="minorHAnsi"/>
        </w:rPr>
      </w:pPr>
    </w:p>
    <w:p w14:paraId="3B62986D" w14:textId="376DE85E" w:rsidR="00702DBB" w:rsidRPr="00CD5172" w:rsidRDefault="00702DBB" w:rsidP="00CD5172">
      <w:pPr>
        <w:contextualSpacing/>
        <w:jc w:val="both"/>
        <w:rPr>
          <w:rFonts w:asciiTheme="minorHAnsi" w:hAnsiTheme="minorHAnsi" w:cstheme="minorHAnsi"/>
        </w:rPr>
      </w:pPr>
      <w:r w:rsidRPr="00CD5172">
        <w:rPr>
          <w:rFonts w:asciiTheme="minorHAnsi" w:hAnsiTheme="minorHAnsi" w:cstheme="minorHAnsi"/>
        </w:rPr>
        <w:t xml:space="preserve">Where </w:t>
      </w:r>
      <m:oMath>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RateNH,Y</m:t>
            </m:r>
          </m:sub>
        </m:sSub>
      </m:oMath>
      <w:r w:rsidRPr="00CD5172">
        <w:rPr>
          <w:rFonts w:asciiTheme="minorHAnsi" w:hAnsiTheme="minorHAnsi" w:cstheme="minorHAnsi"/>
        </w:rPr>
        <w:t xml:space="preserve"> is the rate of non-</w:t>
      </w:r>
      <w:r w:rsidR="000545D6" w:rsidRPr="00CD5172">
        <w:rPr>
          <w:rFonts w:asciiTheme="minorHAnsi" w:hAnsiTheme="minorHAnsi" w:cstheme="minorHAnsi"/>
        </w:rPr>
        <w:t>medically attended</w:t>
      </w:r>
      <w:r w:rsidRPr="00CD5172">
        <w:rPr>
          <w:rFonts w:asciiTheme="minorHAnsi" w:hAnsiTheme="minorHAnsi" w:cstheme="minorHAnsi"/>
        </w:rPr>
        <w:t xml:space="preserve"> S</w:t>
      </w:r>
      <w:r w:rsidR="006B3C27" w:rsidRPr="00CD5172">
        <w:rPr>
          <w:rFonts w:asciiTheme="minorHAnsi" w:hAnsiTheme="minorHAnsi" w:cstheme="minorHAnsi"/>
        </w:rPr>
        <w:t>A</w:t>
      </w:r>
      <w:r w:rsidRPr="00CD5172">
        <w:rPr>
          <w:rFonts w:asciiTheme="minorHAnsi" w:hAnsiTheme="minorHAnsi" w:cstheme="minorHAnsi"/>
        </w:rPr>
        <w:t xml:space="preserve">RI in province </w:t>
      </w:r>
      <w:r w:rsidRPr="00CD5172">
        <w:rPr>
          <w:rFonts w:asciiTheme="minorHAnsi" w:hAnsiTheme="minorHAnsi" w:cstheme="minorHAnsi"/>
          <w:i/>
        </w:rPr>
        <w:t>Y</w:t>
      </w:r>
      <w:r w:rsidRPr="00CD5172">
        <w:rPr>
          <w:rFonts w:asciiTheme="minorHAnsi" w:hAnsiTheme="minorHAnsi" w:cstheme="minorHAnsi"/>
        </w:rPr>
        <w:t xml:space="preserve">; </w:t>
      </w:r>
      <m:oMath>
        <m:sSub>
          <m:sSubPr>
            <m:ctrlPr>
              <w:rPr>
                <w:rFonts w:ascii="Cambria Math" w:hAnsi="Cambria Math" w:cstheme="minorHAnsi"/>
              </w:rPr>
            </m:ctrlPr>
          </m:sSubPr>
          <m:e>
            <m:r>
              <w:rPr>
                <w:rFonts w:ascii="Cambria Math" w:hAnsi="Cambria Math" w:cstheme="minorHAnsi"/>
              </w:rPr>
              <m:t>SARI</m:t>
            </m:r>
          </m:e>
          <m:sub>
            <m:r>
              <w:rPr>
                <w:rFonts w:ascii="Cambria Math" w:hAnsi="Cambria Math" w:cstheme="minorHAnsi"/>
              </w:rPr>
              <m:t>RateNH</m:t>
            </m:r>
            <m:r>
              <m:rPr>
                <m:sty m:val="p"/>
              </m:rPr>
              <w:rPr>
                <w:rFonts w:ascii="Cambria Math" w:hAnsi="Cambria Math" w:cstheme="minorHAnsi"/>
              </w:rPr>
              <m:t>,</m:t>
            </m:r>
            <m:r>
              <w:rPr>
                <w:rFonts w:ascii="Cambria Math" w:hAnsi="Cambria Math" w:cstheme="minorHAnsi"/>
              </w:rPr>
              <m:t>B</m:t>
            </m:r>
          </m:sub>
        </m:sSub>
      </m:oMath>
      <w:r w:rsidRPr="00CD5172">
        <w:rPr>
          <w:rFonts w:asciiTheme="minorHAnsi" w:hAnsiTheme="minorHAnsi" w:cstheme="minorHAnsi"/>
        </w:rPr>
        <w:t xml:space="preserve"> is the base rate of non-</w:t>
      </w:r>
      <w:r w:rsidR="000545D6" w:rsidRPr="00CD5172">
        <w:rPr>
          <w:rFonts w:asciiTheme="minorHAnsi" w:hAnsiTheme="minorHAnsi" w:cstheme="minorHAnsi"/>
        </w:rPr>
        <w:t>medically attended</w:t>
      </w:r>
      <w:r w:rsidRPr="00CD5172">
        <w:rPr>
          <w:rFonts w:asciiTheme="minorHAnsi" w:hAnsiTheme="minorHAnsi" w:cstheme="minorHAnsi"/>
        </w:rPr>
        <w:t xml:space="preserve"> S</w:t>
      </w:r>
      <w:r w:rsidR="006B3C27" w:rsidRPr="00CD5172">
        <w:rPr>
          <w:rFonts w:asciiTheme="minorHAnsi" w:hAnsiTheme="minorHAnsi" w:cstheme="minorHAnsi"/>
        </w:rPr>
        <w:t>A</w:t>
      </w:r>
      <w:r w:rsidRPr="00CD5172">
        <w:rPr>
          <w:rFonts w:asciiTheme="minorHAnsi" w:hAnsiTheme="minorHAnsi" w:cstheme="minorHAnsi"/>
        </w:rPr>
        <w:t xml:space="preserve">RI ; </w:t>
      </w:r>
      <m:oMath>
        <m:sSub>
          <m:sSubPr>
            <m:ctrlPr>
              <w:rPr>
                <w:rFonts w:ascii="Cambria Math" w:hAnsi="Cambria Math" w:cstheme="minorHAnsi"/>
                <w:i/>
              </w:rPr>
            </m:ctrlPr>
          </m:sSubPr>
          <m:e>
            <m:r>
              <w:rPr>
                <w:rFonts w:ascii="Cambria Math" w:hAnsi="Cambria Math" w:cstheme="minorHAnsi"/>
              </w:rPr>
              <m:t>DHS</m:t>
            </m:r>
          </m:e>
          <m:sub>
            <m:r>
              <w:rPr>
                <w:rFonts w:ascii="Cambria Math" w:hAnsi="Cambria Math" w:cstheme="minorHAnsi"/>
              </w:rPr>
              <m:t>NH,Y</m:t>
            </m:r>
          </m:sub>
        </m:sSub>
      </m:oMath>
      <w:r w:rsidRPr="00CD5172">
        <w:rPr>
          <w:rFonts w:asciiTheme="minorHAnsi" w:hAnsiTheme="minorHAnsi" w:cstheme="minorHAnsi"/>
        </w:rPr>
        <w:t xml:space="preserve"> is the proportion of </w:t>
      </w:r>
      <w:r w:rsidR="00A25AF8" w:rsidRPr="00CD5172">
        <w:rPr>
          <w:rFonts w:asciiTheme="minorHAnsi" w:hAnsiTheme="minorHAnsi" w:cstheme="minorHAnsi"/>
        </w:rPr>
        <w:t xml:space="preserve">respiratory </w:t>
      </w:r>
      <w:r w:rsidRPr="00CD5172">
        <w:rPr>
          <w:rFonts w:asciiTheme="minorHAnsi" w:hAnsiTheme="minorHAnsi" w:cstheme="minorHAnsi"/>
        </w:rPr>
        <w:t xml:space="preserve"> cases not seeking care in province </w:t>
      </w:r>
      <w:r w:rsidRPr="00CD5172">
        <w:rPr>
          <w:rFonts w:asciiTheme="minorHAnsi" w:hAnsiTheme="minorHAnsi" w:cstheme="minorHAnsi"/>
          <w:i/>
        </w:rPr>
        <w:t>Y</w:t>
      </w:r>
      <w:r w:rsidRPr="00CD5172">
        <w:rPr>
          <w:rFonts w:asciiTheme="minorHAnsi" w:hAnsiTheme="minorHAnsi" w:cstheme="minorHAnsi"/>
        </w:rPr>
        <w:t xml:space="preserve"> </w:t>
      </w:r>
      <w:r w:rsidR="00A25AF8" w:rsidRPr="00CD5172">
        <w:rPr>
          <w:rFonts w:asciiTheme="minorHAnsi" w:hAnsiTheme="minorHAnsi" w:cstheme="minorHAnsi"/>
        </w:rPr>
        <w:t>(</w:t>
      </w:r>
      <w:r w:rsidRPr="00CD5172">
        <w:rPr>
          <w:rFonts w:asciiTheme="minorHAnsi" w:hAnsiTheme="minorHAnsi" w:cstheme="minorHAnsi"/>
        </w:rPr>
        <w:t>DHS</w:t>
      </w:r>
      <w:r w:rsidR="00A25AF8" w:rsidRPr="00CD5172">
        <w:rPr>
          <w:rFonts w:asciiTheme="minorHAnsi" w:hAnsiTheme="minorHAnsi" w:cstheme="minorHAnsi"/>
        </w:rPr>
        <w:t xml:space="preserve">) </w:t>
      </w:r>
      <w:r w:rsidRPr="00CD5172">
        <w:rPr>
          <w:rFonts w:asciiTheme="minorHAnsi" w:hAnsiTheme="minorHAnsi" w:cstheme="minorHAnsi"/>
        </w:rPr>
        <w:t>;</w:t>
      </w:r>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Adj</m:t>
            </m:r>
          </m:e>
          <m:sub>
            <m:r>
              <w:rPr>
                <w:rFonts w:ascii="Cambria Math" w:hAnsi="Cambria Math" w:cstheme="minorHAnsi"/>
              </w:rPr>
              <m:t>Y</m:t>
            </m:r>
          </m:sub>
        </m:sSub>
      </m:oMath>
      <w:r w:rsidRPr="00CD5172">
        <w:rPr>
          <w:rFonts w:asciiTheme="minorHAnsi" w:hAnsiTheme="minorHAnsi" w:cstheme="minorHAnsi"/>
        </w:rPr>
        <w:t xml:space="preserve"> is the adjustment factor for risk factors of </w:t>
      </w:r>
      <w:r w:rsidR="006B3C27" w:rsidRPr="00CD5172">
        <w:rPr>
          <w:rFonts w:asciiTheme="minorHAnsi" w:hAnsiTheme="minorHAnsi" w:cstheme="minorHAnsi"/>
        </w:rPr>
        <w:t>A</w:t>
      </w:r>
      <w:r w:rsidRPr="00CD5172">
        <w:rPr>
          <w:rFonts w:asciiTheme="minorHAnsi" w:hAnsiTheme="minorHAnsi" w:cstheme="minorHAnsi"/>
        </w:rPr>
        <w:t xml:space="preserve">SRI for province </w:t>
      </w:r>
      <w:r w:rsidRPr="00CD5172">
        <w:rPr>
          <w:rFonts w:asciiTheme="minorHAnsi" w:hAnsiTheme="minorHAnsi" w:cstheme="minorHAnsi"/>
          <w:i/>
        </w:rPr>
        <w:t>Y</w:t>
      </w:r>
      <w:r w:rsidRPr="00CD5172">
        <w:rPr>
          <w:rFonts w:asciiTheme="minorHAnsi" w:hAnsiTheme="minorHAnsi" w:cstheme="minorHAnsi"/>
        </w:rPr>
        <w:t xml:space="preserve"> ; and </w:t>
      </w:r>
      <m:oMath>
        <m:sSub>
          <m:sSubPr>
            <m:ctrlPr>
              <w:rPr>
                <w:rFonts w:ascii="Cambria Math" w:hAnsi="Cambria Math" w:cstheme="minorHAnsi"/>
                <w:i/>
              </w:rPr>
            </m:ctrlPr>
          </m:sSubPr>
          <m:e>
            <m:r>
              <w:rPr>
                <w:rFonts w:ascii="Cambria Math" w:hAnsi="Cambria Math" w:cstheme="minorHAnsi"/>
              </w:rPr>
              <m:t>DHS</m:t>
            </m:r>
          </m:e>
          <m:sub>
            <m:r>
              <w:rPr>
                <w:rFonts w:ascii="Cambria Math" w:hAnsi="Cambria Math" w:cstheme="minorHAnsi"/>
              </w:rPr>
              <m:t>NH,B</m:t>
            </m:r>
          </m:sub>
        </m:sSub>
      </m:oMath>
      <w:r w:rsidRPr="00CD5172">
        <w:rPr>
          <w:rFonts w:asciiTheme="minorHAnsi" w:hAnsiTheme="minorHAnsi" w:cstheme="minorHAnsi"/>
        </w:rPr>
        <w:t xml:space="preserve"> is the proportion of </w:t>
      </w:r>
      <w:r w:rsidR="00A25AF8" w:rsidRPr="00CD5172">
        <w:rPr>
          <w:rFonts w:asciiTheme="minorHAnsi" w:hAnsiTheme="minorHAnsi" w:cstheme="minorHAnsi"/>
        </w:rPr>
        <w:t>respiratory</w:t>
      </w:r>
      <w:r w:rsidRPr="00CD5172">
        <w:rPr>
          <w:rFonts w:asciiTheme="minorHAnsi" w:hAnsiTheme="minorHAnsi" w:cstheme="minorHAnsi"/>
        </w:rPr>
        <w:t xml:space="preserve"> cases not seeking care in the base provinces from the DHS.</w:t>
      </w:r>
    </w:p>
    <w:p w14:paraId="31EF10C1" w14:textId="77777777" w:rsidR="00702DBB" w:rsidRPr="00CD5172" w:rsidRDefault="00702DBB" w:rsidP="00CD5172">
      <w:pPr>
        <w:ind w:left="360"/>
        <w:jc w:val="both"/>
        <w:rPr>
          <w:rFonts w:asciiTheme="minorHAnsi" w:hAnsiTheme="minorHAnsi" w:cstheme="minorHAnsi"/>
        </w:rPr>
      </w:pPr>
    </w:p>
    <w:p w14:paraId="28C1D03D" w14:textId="11215282" w:rsidR="00E56B17" w:rsidRPr="00CD5172" w:rsidRDefault="00AE45EA" w:rsidP="00CD5172">
      <w:pPr>
        <w:pStyle w:val="ListParagraph"/>
        <w:numPr>
          <w:ilvl w:val="0"/>
          <w:numId w:val="12"/>
        </w:numPr>
        <w:spacing w:line="240" w:lineRule="auto"/>
        <w:jc w:val="both"/>
        <w:rPr>
          <w:rFonts w:asciiTheme="minorHAnsi" w:hAnsiTheme="minorHAnsi" w:cstheme="minorHAnsi"/>
          <w:sz w:val="24"/>
          <w:szCs w:val="24"/>
        </w:rPr>
      </w:pPr>
      <w:r w:rsidRPr="00CD5172">
        <w:rPr>
          <w:rFonts w:asciiTheme="minorHAnsi" w:hAnsiTheme="minorHAnsi" w:cstheme="minorHAnsi"/>
          <w:sz w:val="24"/>
          <w:szCs w:val="24"/>
        </w:rPr>
        <w:t xml:space="preserve">Estimate the </w:t>
      </w:r>
      <w:r w:rsidR="000545D6" w:rsidRPr="00CD5172">
        <w:rPr>
          <w:rFonts w:asciiTheme="minorHAnsi" w:hAnsiTheme="minorHAnsi" w:cstheme="minorHAnsi"/>
          <w:sz w:val="24"/>
          <w:szCs w:val="24"/>
        </w:rPr>
        <w:t xml:space="preserve">non-medically attended </w:t>
      </w:r>
      <w:r w:rsidRPr="00CD5172">
        <w:rPr>
          <w:rFonts w:asciiTheme="minorHAnsi" w:hAnsiTheme="minorHAnsi" w:cstheme="minorHAnsi"/>
          <w:sz w:val="24"/>
          <w:szCs w:val="24"/>
        </w:rPr>
        <w:t>RSV-associated</w:t>
      </w:r>
      <w:r w:rsidR="00E56B17" w:rsidRPr="00CD5172">
        <w:rPr>
          <w:rFonts w:asciiTheme="minorHAnsi" w:hAnsiTheme="minorHAnsi" w:cstheme="minorHAnsi"/>
          <w:sz w:val="24"/>
          <w:szCs w:val="24"/>
        </w:rPr>
        <w:t xml:space="preserve"> </w:t>
      </w:r>
      <w:r w:rsidR="000545D6" w:rsidRPr="00CD5172">
        <w:rPr>
          <w:rFonts w:asciiTheme="minorHAnsi" w:hAnsiTheme="minorHAnsi" w:cstheme="minorHAnsi"/>
          <w:sz w:val="24"/>
          <w:szCs w:val="24"/>
        </w:rPr>
        <w:t>S</w:t>
      </w:r>
      <w:r w:rsidR="006B3C27" w:rsidRPr="00CD5172">
        <w:rPr>
          <w:rFonts w:asciiTheme="minorHAnsi" w:hAnsiTheme="minorHAnsi" w:cstheme="minorHAnsi"/>
          <w:sz w:val="24"/>
          <w:szCs w:val="24"/>
        </w:rPr>
        <w:t>A</w:t>
      </w:r>
      <w:r w:rsidR="000545D6" w:rsidRPr="00CD5172">
        <w:rPr>
          <w:rFonts w:asciiTheme="minorHAnsi" w:hAnsiTheme="minorHAnsi" w:cstheme="minorHAnsi"/>
          <w:sz w:val="24"/>
          <w:szCs w:val="24"/>
        </w:rPr>
        <w:t xml:space="preserve">RI </w:t>
      </w:r>
      <w:r w:rsidR="00E56B17" w:rsidRPr="00CD5172">
        <w:rPr>
          <w:rFonts w:asciiTheme="minorHAnsi" w:hAnsiTheme="minorHAnsi" w:cstheme="minorHAnsi"/>
          <w:sz w:val="24"/>
          <w:szCs w:val="24"/>
        </w:rPr>
        <w:t>by using the RSV detection rate from RSV-associated S</w:t>
      </w:r>
      <w:r w:rsidR="006B3C27" w:rsidRPr="00CD5172">
        <w:rPr>
          <w:rFonts w:asciiTheme="minorHAnsi" w:hAnsiTheme="minorHAnsi" w:cstheme="minorHAnsi"/>
          <w:sz w:val="24"/>
          <w:szCs w:val="24"/>
        </w:rPr>
        <w:t>A</w:t>
      </w:r>
      <w:r w:rsidR="00E56B17" w:rsidRPr="00CD5172">
        <w:rPr>
          <w:rFonts w:asciiTheme="minorHAnsi" w:hAnsiTheme="minorHAnsi" w:cstheme="minorHAnsi"/>
          <w:sz w:val="24"/>
          <w:szCs w:val="24"/>
        </w:rPr>
        <w:t>RI in the surveillance data/ population in the province</w:t>
      </w:r>
    </w:p>
    <w:p w14:paraId="58F0DEAA" w14:textId="77777777" w:rsidR="000545D6" w:rsidRPr="00CD5172" w:rsidRDefault="000545D6" w:rsidP="00CD5172">
      <w:pPr>
        <w:pStyle w:val="ListParagraph"/>
        <w:spacing w:line="240" w:lineRule="auto"/>
        <w:jc w:val="both"/>
        <w:rPr>
          <w:rFonts w:asciiTheme="minorHAnsi" w:hAnsiTheme="minorHAnsi" w:cstheme="minorHAnsi"/>
          <w:sz w:val="24"/>
          <w:szCs w:val="24"/>
        </w:rPr>
      </w:pPr>
    </w:p>
    <w:p w14:paraId="6D4CB18B" w14:textId="2BCA7618" w:rsidR="00F6494A" w:rsidRPr="00CD5172" w:rsidRDefault="0088453B" w:rsidP="00CD5172">
      <w:pPr>
        <w:pStyle w:val="ListParagraph"/>
        <w:spacing w:line="240" w:lineRule="auto"/>
        <w:jc w:val="both"/>
        <w:rPr>
          <w:rFonts w:asciiTheme="minorHAnsi" w:hAnsiTheme="minorHAnsi"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RSVSARI</m:t>
              </m:r>
            </m:e>
            <m:sub>
              <m:r>
                <w:rPr>
                  <w:rFonts w:ascii="Cambria Math" w:hAnsi="Cambria Math" w:cstheme="minorHAnsi"/>
                  <w:sz w:val="24"/>
                  <w:szCs w:val="24"/>
                </w:rPr>
                <m:t>RateNH,Y</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SARI</m:t>
              </m:r>
            </m:e>
            <m:sub>
              <m:r>
                <w:rPr>
                  <w:rFonts w:ascii="Cambria Math" w:hAnsi="Cambria Math" w:cstheme="minorHAnsi"/>
                  <w:sz w:val="24"/>
                  <w:szCs w:val="24"/>
                </w:rPr>
                <m:t>RateNH,Y</m:t>
              </m:r>
            </m:sub>
          </m:sSub>
          <m:r>
            <w:rPr>
              <w:rFonts w:ascii="Cambria Math" w:hAnsi="Cambria Math" w:cstheme="minorHAnsi"/>
              <w:sz w:val="24"/>
              <w:szCs w:val="24"/>
            </w:rPr>
            <m:t xml:space="preserve"> × </m:t>
          </m:r>
          <m:sSub>
            <m:sSubPr>
              <m:ctrlPr>
                <w:rPr>
                  <w:rFonts w:ascii="Cambria Math" w:hAnsi="Cambria Math" w:cstheme="minorHAnsi"/>
                  <w:i/>
                  <w:sz w:val="24"/>
                  <w:szCs w:val="24"/>
                </w:rPr>
              </m:ctrlPr>
            </m:sSubPr>
            <m:e>
              <m:r>
                <w:rPr>
                  <w:rFonts w:ascii="Cambria Math" w:hAnsi="Cambria Math" w:cstheme="minorHAnsi"/>
                  <w:sz w:val="24"/>
                  <w:szCs w:val="24"/>
                </w:rPr>
                <m:t>RSV</m:t>
              </m:r>
            </m:e>
            <m:sub>
              <m:r>
                <w:rPr>
                  <w:rFonts w:ascii="Cambria Math" w:hAnsi="Cambria Math" w:cstheme="minorHAnsi"/>
                  <w:sz w:val="24"/>
                  <w:szCs w:val="24"/>
                </w:rPr>
                <m:t xml:space="preserve"> </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RSV</m:t>
              </m:r>
            </m:e>
            <m:sub>
              <m:r>
                <w:rPr>
                  <w:rFonts w:ascii="Cambria Math" w:hAnsi="Cambria Math" w:cstheme="minorHAnsi"/>
                  <w:sz w:val="24"/>
                  <w:szCs w:val="24"/>
                </w:rPr>
                <m:t>AF</m:t>
              </m:r>
            </m:sub>
          </m:sSub>
        </m:oMath>
      </m:oMathPara>
    </w:p>
    <w:p w14:paraId="46E9DD26" w14:textId="2F257345" w:rsidR="00702DBB" w:rsidRPr="00CD5172" w:rsidRDefault="00702DBB" w:rsidP="00CD5172">
      <w:pPr>
        <w:contextualSpacing/>
        <w:jc w:val="both"/>
        <w:rPr>
          <w:rFonts w:asciiTheme="minorHAnsi" w:hAnsiTheme="minorHAnsi" w:cstheme="minorHAnsi"/>
        </w:rPr>
      </w:pPr>
      <w:r w:rsidRPr="00CD5172">
        <w:rPr>
          <w:rFonts w:asciiTheme="minorHAnsi" w:hAnsiTheme="minorHAnsi" w:cstheme="minorHAnsi"/>
        </w:rPr>
        <w:t xml:space="preserve">Where </w:t>
      </w:r>
      <m:oMath>
        <m:r>
          <w:rPr>
            <w:rFonts w:ascii="Cambria Math" w:hAnsi="Cambria Math" w:cstheme="minorHAnsi"/>
          </w:rPr>
          <m:t>RSV</m:t>
        </m:r>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RateNH,Y</m:t>
            </m:r>
          </m:sub>
        </m:sSub>
      </m:oMath>
      <w:r w:rsidRPr="00CD5172">
        <w:rPr>
          <w:rFonts w:asciiTheme="minorHAnsi" w:hAnsiTheme="minorHAnsi" w:cstheme="minorHAnsi"/>
        </w:rPr>
        <w:t xml:space="preserve"> is the non-</w:t>
      </w:r>
      <w:r w:rsidR="000545D6" w:rsidRPr="00CD5172">
        <w:rPr>
          <w:rFonts w:asciiTheme="minorHAnsi" w:hAnsiTheme="minorHAnsi" w:cstheme="minorHAnsi"/>
        </w:rPr>
        <w:t>medically attended</w:t>
      </w:r>
      <w:r w:rsidRPr="00CD5172">
        <w:rPr>
          <w:rFonts w:asciiTheme="minorHAnsi" w:hAnsiTheme="minorHAnsi" w:cstheme="minorHAnsi"/>
        </w:rPr>
        <w:t xml:space="preserve"> </w:t>
      </w:r>
      <w:r w:rsidR="000545D6" w:rsidRPr="00CD5172">
        <w:rPr>
          <w:rFonts w:asciiTheme="minorHAnsi" w:hAnsiTheme="minorHAnsi" w:cstheme="minorHAnsi"/>
        </w:rPr>
        <w:t>RSV</w:t>
      </w:r>
      <w:r w:rsidRPr="00CD5172">
        <w:rPr>
          <w:rFonts w:asciiTheme="minorHAnsi" w:hAnsiTheme="minorHAnsi" w:cstheme="minorHAnsi"/>
        </w:rPr>
        <w:t>-associated S</w:t>
      </w:r>
      <w:r w:rsidR="006B3C27" w:rsidRPr="00CD5172">
        <w:rPr>
          <w:rFonts w:asciiTheme="minorHAnsi" w:hAnsiTheme="minorHAnsi" w:cstheme="minorHAnsi"/>
        </w:rPr>
        <w:t>A</w:t>
      </w:r>
      <w:r w:rsidRPr="00CD5172">
        <w:rPr>
          <w:rFonts w:asciiTheme="minorHAnsi" w:hAnsiTheme="minorHAnsi" w:cstheme="minorHAnsi"/>
        </w:rPr>
        <w:t xml:space="preserve">RI rate in province </w:t>
      </w:r>
      <w:r w:rsidRPr="00CD5172">
        <w:rPr>
          <w:rFonts w:asciiTheme="minorHAnsi" w:hAnsiTheme="minorHAnsi" w:cstheme="minorHAnsi"/>
          <w:i/>
        </w:rPr>
        <w:t>Y</w:t>
      </w:r>
      <w:r w:rsidRPr="00CD5172">
        <w:rPr>
          <w:rFonts w:asciiTheme="minorHAnsi" w:hAnsiTheme="minorHAnsi" w:cstheme="minorHAnsi"/>
        </w:rPr>
        <w:t xml:space="preserve"> (including the base provinces); </w:t>
      </w:r>
      <m:oMath>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RateNH,Y</m:t>
            </m:r>
          </m:sub>
        </m:sSub>
      </m:oMath>
      <w:r w:rsidRPr="00CD5172">
        <w:rPr>
          <w:rFonts w:asciiTheme="minorHAnsi" w:hAnsiTheme="minorHAnsi" w:cstheme="minorHAnsi"/>
        </w:rPr>
        <w:t xml:space="preserve"> is the non-</w:t>
      </w:r>
      <w:r w:rsidR="000545D6" w:rsidRPr="00CD5172">
        <w:rPr>
          <w:rFonts w:asciiTheme="minorHAnsi" w:hAnsiTheme="minorHAnsi" w:cstheme="minorHAnsi"/>
        </w:rPr>
        <w:t>medically attended</w:t>
      </w:r>
      <w:r w:rsidRPr="00CD5172">
        <w:rPr>
          <w:rFonts w:asciiTheme="minorHAnsi" w:hAnsiTheme="minorHAnsi" w:cstheme="minorHAnsi"/>
        </w:rPr>
        <w:t xml:space="preserve"> S</w:t>
      </w:r>
      <w:r w:rsidR="006B3C27" w:rsidRPr="00CD5172">
        <w:rPr>
          <w:rFonts w:asciiTheme="minorHAnsi" w:hAnsiTheme="minorHAnsi" w:cstheme="minorHAnsi"/>
        </w:rPr>
        <w:t>A</w:t>
      </w:r>
      <w:r w:rsidRPr="00CD5172">
        <w:rPr>
          <w:rFonts w:asciiTheme="minorHAnsi" w:hAnsiTheme="minorHAnsi" w:cstheme="minorHAnsi"/>
        </w:rPr>
        <w:t xml:space="preserve">RI rate in province </w:t>
      </w:r>
      <w:r w:rsidRPr="00CD5172">
        <w:rPr>
          <w:rFonts w:asciiTheme="minorHAnsi" w:hAnsiTheme="minorHAnsi" w:cstheme="minorHAnsi"/>
          <w:i/>
        </w:rPr>
        <w:t>Y</w:t>
      </w:r>
      <w:r w:rsidRPr="00CD5172">
        <w:rPr>
          <w:rFonts w:asciiTheme="minorHAnsi" w:hAnsiTheme="minorHAnsi" w:cstheme="minorHAnsi"/>
        </w:rPr>
        <w:t xml:space="preserve"> (including the base provinces – obtained in Steps 1.b and 2.b); </w:t>
      </w:r>
      <m:oMath>
        <m:r>
          <w:rPr>
            <w:rFonts w:ascii="Cambria Math" w:hAnsi="Cambria Math" w:cstheme="minorHAnsi"/>
          </w:rPr>
          <m:t>RSV</m:t>
        </m:r>
      </m:oMath>
      <w:r w:rsidRPr="00CD5172">
        <w:rPr>
          <w:rFonts w:asciiTheme="minorHAnsi" w:hAnsiTheme="minorHAnsi" w:cstheme="minorHAnsi"/>
        </w:rPr>
        <w:t xml:space="preserve"> is the proportion of S</w:t>
      </w:r>
      <w:r w:rsidR="006B3C27" w:rsidRPr="00CD5172">
        <w:rPr>
          <w:rFonts w:asciiTheme="minorHAnsi" w:hAnsiTheme="minorHAnsi" w:cstheme="minorHAnsi"/>
        </w:rPr>
        <w:t>A</w:t>
      </w:r>
      <w:r w:rsidRPr="00CD5172">
        <w:rPr>
          <w:rFonts w:asciiTheme="minorHAnsi" w:hAnsiTheme="minorHAnsi" w:cstheme="minorHAnsi"/>
        </w:rPr>
        <w:t xml:space="preserve">RI cases testing positive for </w:t>
      </w:r>
      <w:r w:rsidR="000545D6" w:rsidRPr="00CD5172">
        <w:rPr>
          <w:rFonts w:asciiTheme="minorHAnsi" w:hAnsiTheme="minorHAnsi" w:cstheme="minorHAnsi"/>
        </w:rPr>
        <w:t>RSV</w:t>
      </w:r>
      <w:r w:rsidRPr="00CD5172">
        <w:rPr>
          <w:rFonts w:asciiTheme="minorHAnsi" w:hAnsiTheme="minorHAnsi" w:cstheme="minorHAnsi"/>
        </w:rPr>
        <w:t xml:space="preserve">; and </w:t>
      </w:r>
      <m:oMath>
        <m:sSub>
          <m:sSubPr>
            <m:ctrlPr>
              <w:rPr>
                <w:rFonts w:ascii="Cambria Math" w:hAnsi="Cambria Math" w:cstheme="minorHAnsi"/>
                <w:i/>
              </w:rPr>
            </m:ctrlPr>
          </m:sSubPr>
          <m:e>
            <m:r>
              <w:rPr>
                <w:rFonts w:ascii="Cambria Math" w:hAnsi="Cambria Math" w:cstheme="minorHAnsi"/>
              </w:rPr>
              <m:t>RSV</m:t>
            </m:r>
          </m:e>
          <m:sub>
            <m:r>
              <w:rPr>
                <w:rFonts w:ascii="Cambria Math" w:hAnsi="Cambria Math" w:cstheme="minorHAnsi"/>
              </w:rPr>
              <m:t>AF</m:t>
            </m:r>
          </m:sub>
        </m:sSub>
      </m:oMath>
      <w:r w:rsidRPr="00CD5172">
        <w:rPr>
          <w:rFonts w:asciiTheme="minorHAnsi" w:hAnsiTheme="minorHAnsi" w:cstheme="minorHAnsi"/>
        </w:rPr>
        <w:t xml:space="preserve"> if the attributable fraction of </w:t>
      </w:r>
      <w:r w:rsidR="000545D6" w:rsidRPr="00CD5172">
        <w:rPr>
          <w:rFonts w:asciiTheme="minorHAnsi" w:hAnsiTheme="minorHAnsi" w:cstheme="minorHAnsi"/>
        </w:rPr>
        <w:t>RSV</w:t>
      </w:r>
      <w:r w:rsidRPr="00CD5172">
        <w:rPr>
          <w:rFonts w:asciiTheme="minorHAnsi" w:hAnsiTheme="minorHAnsi" w:cstheme="minorHAnsi"/>
        </w:rPr>
        <w:t xml:space="preserve"> virus detection to illness obtained from at the same sentinel sites over the same study period [</w:t>
      </w:r>
      <w:r w:rsidR="00766334" w:rsidRPr="00CD5172">
        <w:rPr>
          <w:rFonts w:asciiTheme="minorHAnsi" w:hAnsiTheme="minorHAnsi" w:cstheme="minorHAnsi"/>
        </w:rPr>
        <w:t>Will add my AF paper once published</w:t>
      </w:r>
      <w:r w:rsidR="001E0503">
        <w:rPr>
          <w:rFonts w:asciiTheme="minorHAnsi" w:hAnsiTheme="minorHAnsi" w:cstheme="minorHAnsi"/>
        </w:rPr>
        <w:t>]</w:t>
      </w:r>
      <w:r w:rsidRPr="00CD5172">
        <w:rPr>
          <w:rFonts w:asciiTheme="minorHAnsi" w:hAnsiTheme="minorHAnsi" w:cstheme="minorHAnsi"/>
        </w:rPr>
        <w:t>.</w:t>
      </w:r>
    </w:p>
    <w:p w14:paraId="62392FC1" w14:textId="77777777" w:rsidR="00702DBB" w:rsidRPr="00CD5172" w:rsidRDefault="00702DBB" w:rsidP="00CD5172">
      <w:pPr>
        <w:pStyle w:val="ListParagraph"/>
        <w:spacing w:line="240" w:lineRule="auto"/>
        <w:jc w:val="both"/>
        <w:rPr>
          <w:rFonts w:asciiTheme="minorHAnsi" w:hAnsiTheme="minorHAnsi" w:cstheme="minorHAnsi"/>
          <w:sz w:val="24"/>
          <w:szCs w:val="24"/>
        </w:rPr>
      </w:pPr>
    </w:p>
    <w:p w14:paraId="12B54D3E" w14:textId="4AC3F3C9" w:rsidR="00AE45EA" w:rsidRPr="00CD5172" w:rsidRDefault="00E56B17" w:rsidP="00CD5172">
      <w:pPr>
        <w:pStyle w:val="ListParagraph"/>
        <w:numPr>
          <w:ilvl w:val="0"/>
          <w:numId w:val="12"/>
        </w:numPr>
        <w:spacing w:line="240" w:lineRule="auto"/>
        <w:jc w:val="both"/>
        <w:rPr>
          <w:rFonts w:asciiTheme="minorHAnsi" w:hAnsiTheme="minorHAnsi" w:cstheme="minorHAnsi"/>
          <w:sz w:val="24"/>
          <w:szCs w:val="24"/>
        </w:rPr>
      </w:pPr>
      <w:r w:rsidRPr="00CD5172">
        <w:rPr>
          <w:rFonts w:asciiTheme="minorHAnsi" w:hAnsiTheme="minorHAnsi" w:cstheme="minorHAnsi"/>
          <w:sz w:val="24"/>
          <w:szCs w:val="24"/>
        </w:rPr>
        <w:t xml:space="preserve"> </w:t>
      </w:r>
      <w:r w:rsidR="007F76CD" w:rsidRPr="00CD5172">
        <w:rPr>
          <w:rFonts w:asciiTheme="minorHAnsi" w:hAnsiTheme="minorHAnsi" w:cstheme="minorHAnsi"/>
          <w:sz w:val="24"/>
          <w:szCs w:val="24"/>
        </w:rPr>
        <w:t>Estimate</w:t>
      </w:r>
      <w:r w:rsidRPr="00CD5172">
        <w:rPr>
          <w:rFonts w:asciiTheme="minorHAnsi" w:hAnsiTheme="minorHAnsi" w:cstheme="minorHAnsi"/>
          <w:sz w:val="24"/>
          <w:szCs w:val="24"/>
        </w:rPr>
        <w:t xml:space="preserve"> the non</w:t>
      </w:r>
      <w:r w:rsidR="007F76CD" w:rsidRPr="00CD5172">
        <w:rPr>
          <w:rFonts w:asciiTheme="minorHAnsi" w:hAnsiTheme="minorHAnsi" w:cstheme="minorHAnsi"/>
          <w:sz w:val="24"/>
          <w:szCs w:val="24"/>
        </w:rPr>
        <w:t>-</w:t>
      </w:r>
      <w:r w:rsidRPr="00CD5172">
        <w:rPr>
          <w:rFonts w:asciiTheme="minorHAnsi" w:hAnsiTheme="minorHAnsi" w:cstheme="minorHAnsi"/>
          <w:sz w:val="24"/>
          <w:szCs w:val="24"/>
        </w:rPr>
        <w:t xml:space="preserve">medically </w:t>
      </w:r>
      <w:r w:rsidR="007F76CD" w:rsidRPr="00CD5172">
        <w:rPr>
          <w:rFonts w:asciiTheme="minorHAnsi" w:hAnsiTheme="minorHAnsi" w:cstheme="minorHAnsi"/>
          <w:sz w:val="24"/>
          <w:szCs w:val="24"/>
        </w:rPr>
        <w:t>attended</w:t>
      </w:r>
      <w:r w:rsidRPr="00CD5172">
        <w:rPr>
          <w:rFonts w:asciiTheme="minorHAnsi" w:hAnsiTheme="minorHAnsi" w:cstheme="minorHAnsi"/>
          <w:sz w:val="24"/>
          <w:szCs w:val="24"/>
        </w:rPr>
        <w:t xml:space="preserve"> number of RSV-</w:t>
      </w:r>
      <w:r w:rsidR="007F76CD" w:rsidRPr="00CD5172">
        <w:rPr>
          <w:rFonts w:asciiTheme="minorHAnsi" w:hAnsiTheme="minorHAnsi" w:cstheme="minorHAnsi"/>
          <w:sz w:val="24"/>
          <w:szCs w:val="24"/>
        </w:rPr>
        <w:t>associated</w:t>
      </w:r>
      <w:r w:rsidRPr="00CD5172">
        <w:rPr>
          <w:rFonts w:asciiTheme="minorHAnsi" w:hAnsiTheme="minorHAnsi" w:cstheme="minorHAnsi"/>
          <w:sz w:val="24"/>
          <w:szCs w:val="24"/>
        </w:rPr>
        <w:t xml:space="preserve"> S</w:t>
      </w:r>
      <w:r w:rsidR="001E0503">
        <w:rPr>
          <w:rFonts w:asciiTheme="minorHAnsi" w:hAnsiTheme="minorHAnsi" w:cstheme="minorHAnsi"/>
          <w:sz w:val="24"/>
          <w:szCs w:val="24"/>
        </w:rPr>
        <w:t>A</w:t>
      </w:r>
      <w:r w:rsidRPr="00CD5172">
        <w:rPr>
          <w:rFonts w:asciiTheme="minorHAnsi" w:hAnsiTheme="minorHAnsi" w:cstheme="minorHAnsi"/>
          <w:sz w:val="24"/>
          <w:szCs w:val="24"/>
        </w:rPr>
        <w:t>RI is done by adding all the provincial estimates and dividing by the national population.</w:t>
      </w:r>
    </w:p>
    <w:p w14:paraId="2D3AD272" w14:textId="135A455B" w:rsidR="00F6494A" w:rsidRPr="00CD5172" w:rsidRDefault="0088453B" w:rsidP="00CD5172">
      <w:pPr>
        <w:ind w:left="360"/>
        <w:jc w:val="both"/>
        <w:rPr>
          <w:rFonts w:asciiTheme="minorHAnsi" w:hAnsiTheme="minorHAnsi" w:cstheme="minorHAnsi"/>
        </w:rPr>
      </w:pPr>
      <m:oMathPara>
        <m:oMath>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NumNH,Y</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RateNH,Y</m:t>
              </m:r>
            </m:sub>
          </m:sSub>
          <m:r>
            <w:rPr>
              <w:rFonts w:ascii="Cambria Math" w:hAnsi="Cambria Math" w:cstheme="minorHAnsi"/>
            </w:rPr>
            <m:t xml:space="preserve"> × P</m:t>
          </m:r>
          <m:sSub>
            <m:sSubPr>
              <m:ctrlPr>
                <w:rPr>
                  <w:rFonts w:ascii="Cambria Math" w:hAnsi="Cambria Math" w:cstheme="minorHAnsi"/>
                  <w:i/>
                </w:rPr>
              </m:ctrlPr>
            </m:sSubPr>
            <m:e>
              <m:r>
                <w:rPr>
                  <w:rFonts w:ascii="Cambria Math" w:hAnsi="Cambria Math" w:cstheme="minorHAnsi"/>
                </w:rPr>
                <m:t>op</m:t>
              </m:r>
            </m:e>
            <m:sub>
              <m:r>
                <w:rPr>
                  <w:rFonts w:ascii="Cambria Math" w:hAnsi="Cambria Math" w:cstheme="minorHAnsi"/>
                </w:rPr>
                <m:t>Y</m:t>
              </m:r>
            </m:sub>
          </m:sSub>
        </m:oMath>
      </m:oMathPara>
    </w:p>
    <w:p w14:paraId="3DEE6666" w14:textId="77777777" w:rsidR="000545D6" w:rsidRPr="00CD5172" w:rsidRDefault="000545D6" w:rsidP="00CD5172">
      <w:pPr>
        <w:ind w:left="360"/>
        <w:jc w:val="both"/>
        <w:rPr>
          <w:rFonts w:asciiTheme="minorHAnsi" w:hAnsiTheme="minorHAnsi" w:cstheme="minorHAnsi"/>
        </w:rPr>
      </w:pPr>
    </w:p>
    <w:p w14:paraId="16340C7E" w14:textId="3E74060D" w:rsidR="00702DBB" w:rsidRPr="00CD5172" w:rsidRDefault="00702DBB" w:rsidP="00CD5172">
      <w:pPr>
        <w:contextualSpacing/>
        <w:jc w:val="both"/>
        <w:rPr>
          <w:rFonts w:asciiTheme="minorHAnsi" w:hAnsiTheme="minorHAnsi" w:cstheme="minorHAnsi"/>
        </w:rPr>
      </w:pPr>
      <w:r w:rsidRPr="00CD5172">
        <w:rPr>
          <w:rFonts w:asciiTheme="minorHAnsi" w:hAnsiTheme="minorHAnsi" w:cstheme="minorHAnsi"/>
        </w:rPr>
        <w:t xml:space="preserve">Where </w:t>
      </w:r>
      <m:oMath>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NumNH,Y</m:t>
            </m:r>
          </m:sub>
        </m:sSub>
      </m:oMath>
      <w:r w:rsidRPr="00CD5172">
        <w:rPr>
          <w:rFonts w:asciiTheme="minorHAnsi" w:hAnsiTheme="minorHAnsi" w:cstheme="minorHAnsi"/>
        </w:rPr>
        <w:t xml:space="preserve"> is the number of non-</w:t>
      </w:r>
      <w:r w:rsidR="000545D6" w:rsidRPr="00CD5172">
        <w:rPr>
          <w:rFonts w:asciiTheme="minorHAnsi" w:hAnsiTheme="minorHAnsi" w:cstheme="minorHAnsi"/>
        </w:rPr>
        <w:t>medically attended</w:t>
      </w:r>
      <w:r w:rsidRPr="00CD5172">
        <w:rPr>
          <w:rFonts w:asciiTheme="minorHAnsi" w:hAnsiTheme="minorHAnsi" w:cstheme="minorHAnsi"/>
        </w:rPr>
        <w:t xml:space="preserve"> </w:t>
      </w:r>
      <w:r w:rsidR="000545D6" w:rsidRPr="00CD5172">
        <w:rPr>
          <w:rFonts w:asciiTheme="minorHAnsi" w:hAnsiTheme="minorHAnsi" w:cstheme="minorHAnsi"/>
        </w:rPr>
        <w:t>RSV</w:t>
      </w:r>
      <w:r w:rsidRPr="00CD5172">
        <w:rPr>
          <w:rFonts w:asciiTheme="minorHAnsi" w:hAnsiTheme="minorHAnsi" w:cstheme="minorHAnsi"/>
        </w:rPr>
        <w:t xml:space="preserve">-associated SARI cases in province </w:t>
      </w:r>
      <w:r w:rsidRPr="00CD5172">
        <w:rPr>
          <w:rFonts w:asciiTheme="minorHAnsi" w:hAnsiTheme="minorHAnsi" w:cstheme="minorHAnsi"/>
          <w:i/>
        </w:rPr>
        <w:t>Y</w:t>
      </w:r>
      <w:r w:rsidRPr="00CD5172">
        <w:rPr>
          <w:rFonts w:asciiTheme="minorHAnsi" w:hAnsiTheme="minorHAnsi" w:cstheme="minorHAnsi"/>
        </w:rPr>
        <w:t xml:space="preserve"> (including the base provinces); </w:t>
      </w:r>
      <m:oMath>
        <m:sSub>
          <m:sSubPr>
            <m:ctrlPr>
              <w:rPr>
                <w:rFonts w:ascii="Cambria Math" w:hAnsi="Cambria Math" w:cstheme="minorHAnsi"/>
                <w:i/>
              </w:rPr>
            </m:ctrlPr>
          </m:sSubPr>
          <m:e>
            <m:r>
              <w:rPr>
                <w:rFonts w:ascii="Cambria Math" w:hAnsi="Cambria Math" w:cstheme="minorHAnsi"/>
              </w:rPr>
              <m:t>RSVSARI</m:t>
            </m:r>
          </m:e>
          <m:sub>
            <m:r>
              <w:rPr>
                <w:rFonts w:ascii="Cambria Math" w:hAnsi="Cambria Math" w:cstheme="minorHAnsi"/>
              </w:rPr>
              <m:t>RateNH,Y</m:t>
            </m:r>
          </m:sub>
        </m:sSub>
      </m:oMath>
      <w:r w:rsidRPr="00CD5172">
        <w:rPr>
          <w:rFonts w:asciiTheme="minorHAnsi" w:hAnsiTheme="minorHAnsi" w:cstheme="minorHAnsi"/>
        </w:rPr>
        <w:t xml:space="preserve"> is the non-</w:t>
      </w:r>
      <w:r w:rsidR="000545D6" w:rsidRPr="00CD5172">
        <w:rPr>
          <w:rFonts w:asciiTheme="minorHAnsi" w:hAnsiTheme="minorHAnsi" w:cstheme="minorHAnsi"/>
        </w:rPr>
        <w:t>medically attended RSV</w:t>
      </w:r>
      <w:r w:rsidRPr="00CD5172">
        <w:rPr>
          <w:rFonts w:asciiTheme="minorHAnsi" w:hAnsiTheme="minorHAnsi" w:cstheme="minorHAnsi"/>
        </w:rPr>
        <w:t>-associated S</w:t>
      </w:r>
      <w:r w:rsidR="00D45D95" w:rsidRPr="00CD5172">
        <w:rPr>
          <w:rFonts w:asciiTheme="minorHAnsi" w:hAnsiTheme="minorHAnsi" w:cstheme="minorHAnsi"/>
        </w:rPr>
        <w:t>A</w:t>
      </w:r>
      <w:r w:rsidRPr="00CD5172">
        <w:rPr>
          <w:rFonts w:asciiTheme="minorHAnsi" w:hAnsiTheme="minorHAnsi" w:cstheme="minorHAnsi"/>
        </w:rPr>
        <w:t xml:space="preserve">RI rate in province Y (including the base provinces); and </w:t>
      </w:r>
      <m:oMath>
        <m:r>
          <w:rPr>
            <w:rFonts w:ascii="Cambria Math" w:hAnsi="Cambria Math" w:cstheme="minorHAnsi"/>
          </w:rPr>
          <m:t>P</m:t>
        </m:r>
        <m:sSub>
          <m:sSubPr>
            <m:ctrlPr>
              <w:rPr>
                <w:rFonts w:ascii="Cambria Math" w:hAnsi="Cambria Math" w:cstheme="minorHAnsi"/>
                <w:i/>
              </w:rPr>
            </m:ctrlPr>
          </m:sSubPr>
          <m:e>
            <m:r>
              <w:rPr>
                <w:rFonts w:ascii="Cambria Math" w:hAnsi="Cambria Math" w:cstheme="minorHAnsi"/>
              </w:rPr>
              <m:t>op</m:t>
            </m:r>
          </m:e>
          <m:sub>
            <m:r>
              <w:rPr>
                <w:rFonts w:ascii="Cambria Math" w:hAnsi="Cambria Math" w:cstheme="minorHAnsi"/>
              </w:rPr>
              <m:t>Y</m:t>
            </m:r>
          </m:sub>
        </m:sSub>
      </m:oMath>
      <w:r w:rsidRPr="00CD5172">
        <w:rPr>
          <w:rFonts w:asciiTheme="minorHAnsi" w:hAnsiTheme="minorHAnsi" w:cstheme="minorHAnsi"/>
        </w:rPr>
        <w:t xml:space="preserve"> is the population in province Y (including the base province</w:t>
      </w:r>
      <w:r w:rsidR="000545D6" w:rsidRPr="00CD5172">
        <w:rPr>
          <w:rFonts w:asciiTheme="minorHAnsi" w:hAnsiTheme="minorHAnsi" w:cstheme="minorHAnsi"/>
        </w:rPr>
        <w:t>s</w:t>
      </w:r>
      <w:r w:rsidRPr="00CD5172">
        <w:rPr>
          <w:rFonts w:asciiTheme="minorHAnsi" w:hAnsiTheme="minorHAnsi" w:cstheme="minorHAnsi"/>
        </w:rPr>
        <w:t>).</w:t>
      </w:r>
    </w:p>
    <w:p w14:paraId="1555C35A" w14:textId="77777777" w:rsidR="00702DBB" w:rsidRPr="00CD5172" w:rsidRDefault="00702DBB" w:rsidP="00CD5172">
      <w:pPr>
        <w:ind w:left="360"/>
        <w:jc w:val="both"/>
        <w:rPr>
          <w:rFonts w:asciiTheme="minorHAnsi" w:hAnsiTheme="minorHAnsi" w:cstheme="minorHAnsi"/>
        </w:rPr>
      </w:pPr>
    </w:p>
    <w:p w14:paraId="5C8C6044" w14:textId="77777777" w:rsidR="00E56B17" w:rsidRPr="00CD5172" w:rsidRDefault="00E56B17" w:rsidP="00CD5172">
      <w:pPr>
        <w:jc w:val="both"/>
        <w:rPr>
          <w:rFonts w:asciiTheme="minorHAnsi" w:hAnsiTheme="minorHAnsi" w:cstheme="minorHAnsi"/>
        </w:rPr>
      </w:pPr>
    </w:p>
    <w:p w14:paraId="56BEFB52" w14:textId="26F7CD7D" w:rsidR="005A5949" w:rsidRPr="00CD5172" w:rsidRDefault="00E56B17" w:rsidP="00CD5172">
      <w:pPr>
        <w:jc w:val="both"/>
        <w:rPr>
          <w:rFonts w:asciiTheme="minorHAnsi" w:hAnsiTheme="minorHAnsi" w:cstheme="minorHAnsi"/>
        </w:rPr>
      </w:pPr>
      <w:r w:rsidRPr="00CD5172">
        <w:rPr>
          <w:rFonts w:asciiTheme="minorHAnsi" w:hAnsiTheme="minorHAnsi" w:cstheme="minorHAnsi"/>
        </w:rPr>
        <w:t xml:space="preserve">Calculation of the </w:t>
      </w:r>
      <w:r w:rsidR="00B96E2E" w:rsidRPr="00CD5172">
        <w:rPr>
          <w:rFonts w:asciiTheme="minorHAnsi" w:hAnsiTheme="minorHAnsi" w:cstheme="minorHAnsi"/>
        </w:rPr>
        <w:t>confidence intervals (</w:t>
      </w:r>
      <w:r w:rsidRPr="00CD5172">
        <w:rPr>
          <w:rFonts w:asciiTheme="minorHAnsi" w:hAnsiTheme="minorHAnsi" w:cstheme="minorHAnsi"/>
        </w:rPr>
        <w:t>CI</w:t>
      </w:r>
      <w:r w:rsidR="00B96E2E" w:rsidRPr="00CD5172">
        <w:rPr>
          <w:rFonts w:asciiTheme="minorHAnsi" w:hAnsiTheme="minorHAnsi" w:cstheme="minorHAnsi"/>
        </w:rPr>
        <w:t>)</w:t>
      </w:r>
      <w:r w:rsidRPr="00CD5172">
        <w:rPr>
          <w:rFonts w:asciiTheme="minorHAnsi" w:hAnsiTheme="minorHAnsi" w:cstheme="minorHAnsi"/>
        </w:rPr>
        <w:t xml:space="preserve"> for medically and non</w:t>
      </w:r>
      <w:r w:rsidR="007F76CD" w:rsidRPr="00CD5172">
        <w:rPr>
          <w:rFonts w:asciiTheme="minorHAnsi" w:hAnsiTheme="minorHAnsi" w:cstheme="minorHAnsi"/>
        </w:rPr>
        <w:t>-</w:t>
      </w:r>
      <w:r w:rsidRPr="00CD5172">
        <w:rPr>
          <w:rFonts w:asciiTheme="minorHAnsi" w:hAnsiTheme="minorHAnsi" w:cstheme="minorHAnsi"/>
        </w:rPr>
        <w:t xml:space="preserve">medically </w:t>
      </w:r>
      <w:r w:rsidR="007F76CD" w:rsidRPr="00CD5172">
        <w:rPr>
          <w:rFonts w:asciiTheme="minorHAnsi" w:hAnsiTheme="minorHAnsi" w:cstheme="minorHAnsi"/>
        </w:rPr>
        <w:t>RSV-associated illness</w:t>
      </w:r>
      <w:r w:rsidRPr="00CD5172">
        <w:rPr>
          <w:rFonts w:asciiTheme="minorHAnsi" w:hAnsiTheme="minorHAnsi" w:cstheme="minorHAnsi"/>
        </w:rPr>
        <w:t xml:space="preserve"> is obtained by using bootstrapping resamples over 100 </w:t>
      </w:r>
      <w:r w:rsidR="006B3C27" w:rsidRPr="00CD5172">
        <w:rPr>
          <w:rFonts w:asciiTheme="minorHAnsi" w:hAnsiTheme="minorHAnsi" w:cstheme="minorHAnsi"/>
        </w:rPr>
        <w:t>replications</w:t>
      </w:r>
      <w:r w:rsidRPr="00CD5172">
        <w:rPr>
          <w:rFonts w:asciiTheme="minorHAnsi" w:hAnsiTheme="minorHAnsi" w:cstheme="minorHAnsi"/>
        </w:rPr>
        <w:t xml:space="preserve"> for all parameters. The lower limit and upper </w:t>
      </w:r>
      <w:r w:rsidR="007F76CD" w:rsidRPr="00CD5172">
        <w:rPr>
          <w:rFonts w:asciiTheme="minorHAnsi" w:hAnsiTheme="minorHAnsi" w:cstheme="minorHAnsi"/>
        </w:rPr>
        <w:t>limit</w:t>
      </w:r>
      <w:r w:rsidRPr="00CD5172">
        <w:rPr>
          <w:rFonts w:asciiTheme="minorHAnsi" w:hAnsiTheme="minorHAnsi" w:cstheme="minorHAnsi"/>
        </w:rPr>
        <w:t xml:space="preserve"> of the CI are the 2.5</w:t>
      </w:r>
      <w:r w:rsidRPr="00CD5172">
        <w:rPr>
          <w:rFonts w:asciiTheme="minorHAnsi" w:hAnsiTheme="minorHAnsi" w:cstheme="minorHAnsi"/>
          <w:vertAlign w:val="superscript"/>
        </w:rPr>
        <w:t>th</w:t>
      </w:r>
      <w:r w:rsidRPr="00CD5172">
        <w:rPr>
          <w:rFonts w:asciiTheme="minorHAnsi" w:hAnsiTheme="minorHAnsi" w:cstheme="minorHAnsi"/>
        </w:rPr>
        <w:t xml:space="preserve"> and </w:t>
      </w:r>
      <w:r w:rsidR="00471AB3" w:rsidRPr="00CD5172">
        <w:rPr>
          <w:rFonts w:asciiTheme="minorHAnsi" w:hAnsiTheme="minorHAnsi" w:cstheme="minorHAnsi"/>
        </w:rPr>
        <w:t>97.5</w:t>
      </w:r>
      <w:r w:rsidR="00471AB3" w:rsidRPr="00CD5172">
        <w:rPr>
          <w:rFonts w:asciiTheme="minorHAnsi" w:hAnsiTheme="minorHAnsi" w:cstheme="minorHAnsi"/>
          <w:vertAlign w:val="superscript"/>
        </w:rPr>
        <w:t>th</w:t>
      </w:r>
      <w:r w:rsidR="00471AB3" w:rsidRPr="00CD5172">
        <w:rPr>
          <w:rFonts w:asciiTheme="minorHAnsi" w:hAnsiTheme="minorHAnsi" w:cstheme="minorHAnsi"/>
        </w:rPr>
        <w:t xml:space="preserve"> percentiles</w:t>
      </w:r>
      <w:r w:rsidRPr="00CD5172">
        <w:rPr>
          <w:rFonts w:asciiTheme="minorHAnsi" w:hAnsiTheme="minorHAnsi" w:cstheme="minorHAnsi"/>
        </w:rPr>
        <w:t xml:space="preserve"> of the estimated values from 1000 resampled datasets. </w:t>
      </w:r>
    </w:p>
    <w:p w14:paraId="021488C9" w14:textId="77777777" w:rsidR="00702DBB" w:rsidRPr="00CD5172" w:rsidRDefault="00702DBB" w:rsidP="00CD5172">
      <w:pPr>
        <w:jc w:val="both"/>
        <w:rPr>
          <w:rFonts w:asciiTheme="minorHAnsi" w:hAnsiTheme="minorHAnsi" w:cstheme="minorHAnsi"/>
        </w:rPr>
      </w:pPr>
    </w:p>
    <w:p w14:paraId="7A6374E2" w14:textId="77777777" w:rsidR="00E56B17" w:rsidRPr="00CD5172" w:rsidRDefault="00E56B17" w:rsidP="00CD5172">
      <w:pPr>
        <w:jc w:val="both"/>
        <w:rPr>
          <w:rFonts w:asciiTheme="minorHAnsi" w:hAnsiTheme="minorHAnsi" w:cstheme="minorHAnsi"/>
        </w:rPr>
      </w:pPr>
    </w:p>
    <w:p w14:paraId="1FD011E8" w14:textId="287F4ACD" w:rsidR="008746B5" w:rsidRPr="00CD5172" w:rsidRDefault="008746B5" w:rsidP="00CD5172">
      <w:pPr>
        <w:jc w:val="both"/>
        <w:rPr>
          <w:rFonts w:asciiTheme="minorHAnsi" w:hAnsiTheme="minorHAnsi" w:cstheme="minorHAnsi"/>
          <w:b/>
        </w:rPr>
      </w:pPr>
      <w:r w:rsidRPr="00CD5172">
        <w:rPr>
          <w:rFonts w:asciiTheme="minorHAnsi" w:hAnsiTheme="minorHAnsi" w:cstheme="minorHAnsi"/>
          <w:b/>
        </w:rPr>
        <w:t>Burden of RSV</w:t>
      </w:r>
      <w:r w:rsidR="00FC70E5" w:rsidRPr="00CD5172">
        <w:rPr>
          <w:rFonts w:asciiTheme="minorHAnsi" w:hAnsiTheme="minorHAnsi" w:cstheme="minorHAnsi"/>
          <w:b/>
        </w:rPr>
        <w:t>-</w:t>
      </w:r>
      <w:r w:rsidRPr="00CD5172">
        <w:rPr>
          <w:rFonts w:asciiTheme="minorHAnsi" w:hAnsiTheme="minorHAnsi" w:cstheme="minorHAnsi"/>
          <w:b/>
        </w:rPr>
        <w:t xml:space="preserve">associated </w:t>
      </w:r>
      <w:r w:rsidR="001B63AE" w:rsidRPr="00CD5172">
        <w:rPr>
          <w:rFonts w:asciiTheme="minorHAnsi" w:hAnsiTheme="minorHAnsi" w:cstheme="minorHAnsi"/>
          <w:b/>
        </w:rPr>
        <w:t xml:space="preserve">ILI </w:t>
      </w:r>
      <w:r w:rsidRPr="00CD5172">
        <w:rPr>
          <w:rFonts w:asciiTheme="minorHAnsi" w:hAnsiTheme="minorHAnsi" w:cstheme="minorHAnsi"/>
          <w:b/>
        </w:rPr>
        <w:t xml:space="preserve"> </w:t>
      </w:r>
    </w:p>
    <w:p w14:paraId="4DFB8321" w14:textId="28FA1833" w:rsidR="00DE0D4E" w:rsidRPr="00CD5172" w:rsidRDefault="00874277" w:rsidP="00CD5172">
      <w:pPr>
        <w:jc w:val="both"/>
        <w:rPr>
          <w:rFonts w:asciiTheme="minorHAnsi" w:hAnsiTheme="minorHAnsi" w:cstheme="minorHAnsi"/>
        </w:rPr>
      </w:pPr>
      <w:r w:rsidRPr="00CD5172">
        <w:rPr>
          <w:rFonts w:asciiTheme="minorHAnsi" w:hAnsiTheme="minorHAnsi" w:cstheme="minorHAnsi"/>
        </w:rPr>
        <w:lastRenderedPageBreak/>
        <w:t>ILI surveillance i</w:t>
      </w:r>
      <w:r w:rsidR="00C247CB" w:rsidRPr="00CD5172">
        <w:rPr>
          <w:rFonts w:asciiTheme="minorHAnsi" w:hAnsiTheme="minorHAnsi" w:cstheme="minorHAnsi"/>
        </w:rPr>
        <w:t xml:space="preserve">s only conducted at </w:t>
      </w:r>
      <w:r w:rsidR="00C424C1" w:rsidRPr="00CD5172">
        <w:rPr>
          <w:rFonts w:asciiTheme="minorHAnsi" w:hAnsiTheme="minorHAnsi" w:cstheme="minorHAnsi"/>
        </w:rPr>
        <w:t>one</w:t>
      </w:r>
      <w:r w:rsidR="00C247CB" w:rsidRPr="00CD5172">
        <w:rPr>
          <w:rFonts w:asciiTheme="minorHAnsi" w:hAnsiTheme="minorHAnsi" w:cstheme="minorHAnsi"/>
        </w:rPr>
        <w:t xml:space="preserve"> of several </w:t>
      </w:r>
      <w:r w:rsidRPr="00CD5172">
        <w:rPr>
          <w:rFonts w:asciiTheme="minorHAnsi" w:hAnsiTheme="minorHAnsi" w:cstheme="minorHAnsi"/>
        </w:rPr>
        <w:t>clinics</w:t>
      </w:r>
      <w:r w:rsidR="00C247CB" w:rsidRPr="00CD5172">
        <w:rPr>
          <w:rFonts w:asciiTheme="minorHAnsi" w:hAnsiTheme="minorHAnsi" w:cstheme="minorHAnsi"/>
        </w:rPr>
        <w:t xml:space="preserve"> serving </w:t>
      </w:r>
      <w:r w:rsidR="00C424C1" w:rsidRPr="00CD5172">
        <w:rPr>
          <w:rFonts w:asciiTheme="minorHAnsi" w:hAnsiTheme="minorHAnsi" w:cstheme="minorHAnsi"/>
        </w:rPr>
        <w:t xml:space="preserve">each of </w:t>
      </w:r>
      <w:r w:rsidR="00C247CB" w:rsidRPr="00CD5172">
        <w:rPr>
          <w:rFonts w:asciiTheme="minorHAnsi" w:hAnsiTheme="minorHAnsi" w:cstheme="minorHAnsi"/>
        </w:rPr>
        <w:t xml:space="preserve">the </w:t>
      </w:r>
      <w:r w:rsidR="00C424C1" w:rsidRPr="00CD5172">
        <w:rPr>
          <w:rFonts w:asciiTheme="minorHAnsi" w:hAnsiTheme="minorHAnsi" w:cstheme="minorHAnsi"/>
        </w:rPr>
        <w:t xml:space="preserve">base </w:t>
      </w:r>
      <w:r w:rsidR="00C247CB" w:rsidRPr="00CD5172">
        <w:rPr>
          <w:rFonts w:asciiTheme="minorHAnsi" w:hAnsiTheme="minorHAnsi" w:cstheme="minorHAnsi"/>
        </w:rPr>
        <w:t>hospital catchment area</w:t>
      </w:r>
      <w:r w:rsidR="00C424C1" w:rsidRPr="00CD5172">
        <w:rPr>
          <w:rFonts w:asciiTheme="minorHAnsi" w:hAnsiTheme="minorHAnsi" w:cstheme="minorHAnsi"/>
        </w:rPr>
        <w:t>s</w:t>
      </w:r>
      <w:r w:rsidR="00C247CB" w:rsidRPr="00CD5172">
        <w:rPr>
          <w:rFonts w:asciiTheme="minorHAnsi" w:hAnsiTheme="minorHAnsi" w:cstheme="minorHAnsi"/>
        </w:rPr>
        <w:t xml:space="preserve">, </w:t>
      </w:r>
      <w:r w:rsidRPr="00CD5172">
        <w:rPr>
          <w:rFonts w:asciiTheme="minorHAnsi" w:hAnsiTheme="minorHAnsi" w:cstheme="minorHAnsi"/>
        </w:rPr>
        <w:t>therefore</w:t>
      </w:r>
      <w:r w:rsidR="0019236C" w:rsidRPr="00CD5172">
        <w:rPr>
          <w:rFonts w:asciiTheme="minorHAnsi" w:hAnsiTheme="minorHAnsi" w:cstheme="minorHAnsi"/>
        </w:rPr>
        <w:t xml:space="preserve"> ARI</w:t>
      </w:r>
      <w:r w:rsidR="00C247CB" w:rsidRPr="00CD5172">
        <w:rPr>
          <w:rFonts w:asciiTheme="minorHAnsi" w:hAnsiTheme="minorHAnsi" w:cstheme="minorHAnsi"/>
        </w:rPr>
        <w:t xml:space="preserve"> estimates for the base population are derived by a backwards adjustment of the S</w:t>
      </w:r>
      <w:r w:rsidR="0019236C" w:rsidRPr="00CD5172">
        <w:rPr>
          <w:rFonts w:asciiTheme="minorHAnsi" w:hAnsiTheme="minorHAnsi" w:cstheme="minorHAnsi"/>
        </w:rPr>
        <w:t>A</w:t>
      </w:r>
      <w:r w:rsidR="00C247CB" w:rsidRPr="00CD5172">
        <w:rPr>
          <w:rFonts w:asciiTheme="minorHAnsi" w:hAnsiTheme="minorHAnsi" w:cstheme="minorHAnsi"/>
        </w:rPr>
        <w:t xml:space="preserve">RI rate </w:t>
      </w:r>
      <w:r w:rsidRPr="00CD5172">
        <w:rPr>
          <w:rFonts w:asciiTheme="minorHAnsi" w:hAnsiTheme="minorHAnsi" w:cstheme="minorHAnsi"/>
        </w:rPr>
        <w:t>at sentinel hospitals, adjusting for ILI cases transferred to hospital and in referrals for other facilities.</w:t>
      </w:r>
      <w:r w:rsidR="00DE0D4E" w:rsidRPr="00CD5172">
        <w:rPr>
          <w:rFonts w:asciiTheme="minorHAnsi" w:hAnsiTheme="minorHAnsi" w:cstheme="minorHAnsi"/>
        </w:rPr>
        <w:t xml:space="preserve"> </w:t>
      </w:r>
    </w:p>
    <w:p w14:paraId="3B2FD99D" w14:textId="77777777" w:rsidR="00DE0D4E" w:rsidRPr="00CD5172" w:rsidRDefault="00DE0D4E" w:rsidP="00CD5172">
      <w:pPr>
        <w:jc w:val="both"/>
        <w:rPr>
          <w:rFonts w:asciiTheme="minorHAnsi" w:hAnsiTheme="minorHAnsi" w:cstheme="minorHAnsi"/>
        </w:rPr>
      </w:pPr>
    </w:p>
    <w:p w14:paraId="67424BD7" w14:textId="5743923F" w:rsidR="00C247CB" w:rsidRPr="00CD5172" w:rsidRDefault="00DE0D4E" w:rsidP="00CD5172">
      <w:pPr>
        <w:jc w:val="both"/>
        <w:rPr>
          <w:rFonts w:asciiTheme="minorHAnsi" w:hAnsiTheme="minorHAnsi" w:cstheme="minorHAnsi"/>
        </w:rPr>
      </w:pPr>
      <w:r w:rsidRPr="00CD5172">
        <w:rPr>
          <w:rFonts w:asciiTheme="minorHAnsi" w:hAnsiTheme="minorHAnsi" w:cstheme="minorHAnsi"/>
        </w:rPr>
        <w:t>As follows:</w:t>
      </w:r>
    </w:p>
    <w:p w14:paraId="564E56BF" w14:textId="327C9352" w:rsidR="00C32356" w:rsidRPr="00CD5172" w:rsidRDefault="00C32356" w:rsidP="00CD5172">
      <w:pPr>
        <w:jc w:val="both"/>
        <w:rPr>
          <w:rFonts w:asciiTheme="minorHAnsi" w:hAnsiTheme="minorHAnsi" w:cstheme="minorHAnsi"/>
        </w:rPr>
      </w:pPr>
    </w:p>
    <w:p w14:paraId="29B509B6" w14:textId="3A25B66F" w:rsidR="00C247CB" w:rsidRPr="00AA02E3" w:rsidRDefault="0088453B" w:rsidP="00CD5172">
      <w:pPr>
        <w:jc w:val="both"/>
        <w:rPr>
          <w:rFonts w:asciiTheme="minorHAnsi" w:hAnsiTheme="minorHAnsi" w:cstheme="minorHAnsi"/>
          <w:vertAlign w:val="subscript"/>
        </w:rPr>
      </w:pPr>
      <m:oMathPara>
        <m:oMathParaPr>
          <m:jc m:val="left"/>
        </m:oMathParaPr>
        <m:oMath>
          <m:sSub>
            <m:sSubPr>
              <m:ctrlPr>
                <w:rPr>
                  <w:rFonts w:ascii="Cambria Math" w:hAnsi="Cambria Math" w:cstheme="minorHAnsi"/>
                  <w:i/>
                </w:rPr>
              </m:ctrlPr>
            </m:sSubPr>
            <m:e>
              <m:r>
                <w:rPr>
                  <w:rFonts w:ascii="Cambria Math" w:hAnsi="Cambria Math" w:cstheme="minorHAnsi"/>
                </w:rPr>
                <m:t>ARI</m:t>
              </m:r>
            </m:e>
            <m:sub>
              <m:r>
                <w:rPr>
                  <w:rFonts w:ascii="Cambria Math" w:hAnsi="Cambria Math" w:cstheme="minorHAnsi"/>
                </w:rPr>
                <m:t>ratei</m:t>
              </m:r>
            </m:sub>
          </m:sSub>
          <m:r>
            <w:rPr>
              <w:rFonts w:ascii="Cambria Math" w:hAnsi="Cambria Math" w:cstheme="minorHAnsi"/>
            </w:rPr>
            <m:t>=</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SARI</m:t>
                  </m:r>
                </m:e>
                <m:sub>
                  <m:r>
                    <w:rPr>
                      <w:rFonts w:ascii="Cambria Math" w:hAnsi="Cambria Math" w:cstheme="minorHAnsi"/>
                    </w:rPr>
                    <m:t>ratei</m:t>
                  </m:r>
                </m:sub>
              </m:sSub>
              <m:r>
                <w:rPr>
                  <w:rFonts w:ascii="Cambria Math" w:hAnsi="Cambria Math" w:cstheme="minorHAnsi"/>
                </w:rPr>
                <m:t>*Z*X*</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ILIi</m:t>
                      </m:r>
                    </m:sub>
                  </m:sSub>
                </m:num>
                <m:den>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SARIi</m:t>
                      </m:r>
                    </m:sub>
                  </m:sSub>
                </m:den>
              </m:f>
            </m:e>
          </m:d>
          <m:r>
            <w:rPr>
              <w:rFonts w:ascii="Cambria Math" w:hAnsi="Cambria Math" w:cstheme="minorHAnsi"/>
            </w:rPr>
            <m:t>*proportion with no fever in age group</m:t>
          </m:r>
        </m:oMath>
      </m:oMathPara>
    </w:p>
    <w:p w14:paraId="799CEB2B" w14:textId="13F6D5C6" w:rsidR="0031564B" w:rsidRPr="00CD5172" w:rsidRDefault="0031564B" w:rsidP="00CD5172">
      <w:pPr>
        <w:jc w:val="both"/>
        <w:rPr>
          <w:rFonts w:asciiTheme="minorHAnsi" w:hAnsiTheme="minorHAnsi" w:cstheme="minorHAnsi"/>
        </w:rPr>
      </w:pPr>
    </w:p>
    <w:p w14:paraId="56B56F4C" w14:textId="69EBB4E9" w:rsidR="00982720" w:rsidRPr="00CD5172" w:rsidRDefault="00C247CB" w:rsidP="00CD5172">
      <w:pPr>
        <w:jc w:val="both"/>
        <w:rPr>
          <w:rFonts w:asciiTheme="minorHAnsi" w:hAnsiTheme="minorHAnsi" w:cstheme="minorHAnsi"/>
        </w:rPr>
      </w:pPr>
      <w:r w:rsidRPr="00CD5172">
        <w:rPr>
          <w:rFonts w:asciiTheme="minorHAnsi" w:hAnsiTheme="minorHAnsi" w:cstheme="minorHAnsi"/>
        </w:rPr>
        <w:t xml:space="preserve">Where </w:t>
      </w:r>
      <w:r w:rsidR="00F704C3" w:rsidRPr="00CD5172">
        <w:rPr>
          <w:rFonts w:asciiTheme="minorHAnsi" w:hAnsiTheme="minorHAnsi" w:cstheme="minorHAnsi"/>
          <w:position w:val="-14"/>
          <w:lang w:val="en-ZA"/>
        </w:rPr>
        <w:object w:dxaOrig="700" w:dyaOrig="380" w14:anchorId="51405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0.25pt" o:ole="">
            <v:imagedata r:id="rId8" o:title=""/>
          </v:shape>
          <o:OLEObject Type="Embed" ProgID="Equation.DSMT4" ShapeID="_x0000_i1025" DrawAspect="Content" ObjectID="_1717303177" r:id="rId9"/>
        </w:object>
      </w:r>
      <w:r w:rsidR="00F704C3" w:rsidRPr="00CD5172">
        <w:rPr>
          <w:rFonts w:asciiTheme="minorHAnsi" w:hAnsiTheme="minorHAnsi" w:cstheme="minorHAnsi"/>
          <w:lang w:val="en-ZA"/>
        </w:rPr>
        <w:t xml:space="preserve"> </w:t>
      </w:r>
      <w:r w:rsidRPr="00CD5172">
        <w:rPr>
          <w:rFonts w:asciiTheme="minorHAnsi" w:hAnsiTheme="minorHAnsi" w:cstheme="minorHAnsi"/>
        </w:rPr>
        <w:t>is the estimated age</w:t>
      </w:r>
      <w:r w:rsidR="001E0503">
        <w:rPr>
          <w:rFonts w:asciiTheme="minorHAnsi" w:hAnsiTheme="minorHAnsi" w:cstheme="minorHAnsi"/>
        </w:rPr>
        <w:t>-</w:t>
      </w:r>
      <w:r w:rsidRPr="00CD5172">
        <w:rPr>
          <w:rFonts w:asciiTheme="minorHAnsi" w:hAnsiTheme="minorHAnsi" w:cstheme="minorHAnsi"/>
        </w:rPr>
        <w:t>specific rate of RSV-associated ILI outpatient consult</w:t>
      </w:r>
      <w:r w:rsidR="00874277" w:rsidRPr="00CD5172">
        <w:rPr>
          <w:rFonts w:asciiTheme="minorHAnsi" w:hAnsiTheme="minorHAnsi" w:cstheme="minorHAnsi"/>
        </w:rPr>
        <w:t>ations (</w:t>
      </w:r>
      <w:r w:rsidRPr="00CD5172">
        <w:rPr>
          <w:rFonts w:asciiTheme="minorHAnsi" w:hAnsiTheme="minorHAnsi" w:cstheme="minorHAnsi"/>
        </w:rPr>
        <w:t>in age group</w:t>
      </w:r>
      <w:r w:rsidR="00DA7D27" w:rsidRPr="00CD5172">
        <w:rPr>
          <w:rFonts w:asciiTheme="minorHAnsi" w:hAnsiTheme="minorHAnsi" w:cstheme="minorHAnsi"/>
        </w:rPr>
        <w:t xml:space="preserve"> </w:t>
      </w:r>
      <w:proofErr w:type="spellStart"/>
      <w:r w:rsidR="00DA7D27" w:rsidRPr="00CD5172">
        <w:rPr>
          <w:rFonts w:asciiTheme="minorHAnsi" w:hAnsiTheme="minorHAnsi" w:cstheme="minorHAnsi"/>
          <w:i/>
        </w:rPr>
        <w:t>i</w:t>
      </w:r>
      <w:proofErr w:type="spellEnd"/>
      <w:r w:rsidR="00874277" w:rsidRPr="00CD5172">
        <w:rPr>
          <w:rFonts w:asciiTheme="minorHAnsi" w:hAnsiTheme="minorHAnsi" w:cstheme="minorHAnsi"/>
        </w:rPr>
        <w:t>)</w:t>
      </w:r>
      <w:r w:rsidR="001E0503">
        <w:rPr>
          <w:rFonts w:asciiTheme="minorHAnsi" w:hAnsiTheme="minorHAnsi" w:cstheme="minorHAnsi"/>
        </w:rPr>
        <w:t>;</w:t>
      </w:r>
      <w:r w:rsidR="00F704C3" w:rsidRPr="00CD5172">
        <w:rPr>
          <w:rFonts w:asciiTheme="minorHAnsi" w:hAnsiTheme="minorHAnsi" w:cstheme="minorHAnsi"/>
        </w:rPr>
        <w:t xml:space="preserve"> </w:t>
      </w:r>
      <w:r w:rsidR="00F704C3" w:rsidRPr="00CD5172">
        <w:rPr>
          <w:rFonts w:asciiTheme="minorHAnsi" w:hAnsiTheme="minorHAnsi" w:cstheme="minorHAnsi"/>
          <w:position w:val="-14"/>
          <w:lang w:val="en-ZA"/>
        </w:rPr>
        <w:object w:dxaOrig="880" w:dyaOrig="380" w14:anchorId="355A8A7C">
          <v:shape id="_x0000_i1026" type="#_x0000_t75" style="width:45pt;height:20.25pt" o:ole="">
            <v:imagedata r:id="rId10" o:title=""/>
          </v:shape>
          <o:OLEObject Type="Embed" ProgID="Equation.DSMT4" ShapeID="_x0000_i1026" DrawAspect="Content" ObjectID="_1717303178" r:id="rId11"/>
        </w:object>
      </w:r>
      <w:r w:rsidR="00DA7D27" w:rsidRPr="00CD5172">
        <w:rPr>
          <w:rFonts w:asciiTheme="minorHAnsi" w:hAnsiTheme="minorHAnsi" w:cstheme="minorHAnsi"/>
        </w:rPr>
        <w:t>is the age</w:t>
      </w:r>
      <w:r w:rsidR="001E0503">
        <w:rPr>
          <w:rFonts w:asciiTheme="minorHAnsi" w:hAnsiTheme="minorHAnsi" w:cstheme="minorHAnsi"/>
        </w:rPr>
        <w:t>-</w:t>
      </w:r>
      <w:r w:rsidR="00DA7D27" w:rsidRPr="00CD5172">
        <w:rPr>
          <w:rFonts w:asciiTheme="minorHAnsi" w:hAnsiTheme="minorHAnsi" w:cstheme="minorHAnsi"/>
        </w:rPr>
        <w:t>specific rate of SAR</w:t>
      </w:r>
      <w:r w:rsidR="00874277" w:rsidRPr="00CD5172">
        <w:rPr>
          <w:rFonts w:asciiTheme="minorHAnsi" w:hAnsiTheme="minorHAnsi" w:cstheme="minorHAnsi"/>
        </w:rPr>
        <w:t>I</w:t>
      </w:r>
      <w:r w:rsidR="00DA7D27" w:rsidRPr="00CD5172">
        <w:rPr>
          <w:rFonts w:asciiTheme="minorHAnsi" w:hAnsiTheme="minorHAnsi" w:cstheme="minorHAnsi"/>
        </w:rPr>
        <w:t xml:space="preserve"> hospitalization (adjusted </w:t>
      </w:r>
      <w:r w:rsidR="00874277" w:rsidRPr="00CD5172">
        <w:rPr>
          <w:rFonts w:asciiTheme="minorHAnsi" w:hAnsiTheme="minorHAnsi" w:cstheme="minorHAnsi"/>
        </w:rPr>
        <w:t>for non-</w:t>
      </w:r>
      <w:r w:rsidR="00DA7D27" w:rsidRPr="00CD5172">
        <w:rPr>
          <w:rFonts w:asciiTheme="minorHAnsi" w:hAnsiTheme="minorHAnsi" w:cstheme="minorHAnsi"/>
        </w:rPr>
        <w:t>enrollment and healthcare seeking behavior</w:t>
      </w:r>
      <w:r w:rsidR="00F704C3" w:rsidRPr="00CD5172">
        <w:rPr>
          <w:rFonts w:asciiTheme="minorHAnsi" w:hAnsiTheme="minorHAnsi" w:cstheme="minorHAnsi"/>
        </w:rPr>
        <w:t>,  as per the calculation for SARI</w:t>
      </w:r>
      <w:r w:rsidR="00982720" w:rsidRPr="00CD5172">
        <w:rPr>
          <w:rFonts w:asciiTheme="minorHAnsi" w:hAnsiTheme="minorHAnsi" w:cstheme="minorHAnsi"/>
        </w:rPr>
        <w:t>)</w:t>
      </w:r>
      <w:r w:rsidR="001E0503">
        <w:rPr>
          <w:rFonts w:asciiTheme="minorHAnsi" w:hAnsiTheme="minorHAnsi" w:cstheme="minorHAnsi"/>
        </w:rPr>
        <w:t xml:space="preserve">; </w:t>
      </w:r>
      <w:r w:rsidR="00982720" w:rsidRPr="00CD5172">
        <w:rPr>
          <w:rFonts w:asciiTheme="minorHAnsi" w:hAnsiTheme="minorHAnsi" w:cstheme="minorHAnsi"/>
        </w:rPr>
        <w:t>Z is the proportion of SARI cases that sought outpatient care before hospitalization</w:t>
      </w:r>
      <w:r w:rsidR="00F704C3" w:rsidRPr="00CD5172">
        <w:rPr>
          <w:rFonts w:asciiTheme="minorHAnsi" w:hAnsiTheme="minorHAnsi" w:cstheme="minorHAnsi"/>
        </w:rPr>
        <w:t xml:space="preserve">; </w:t>
      </w:r>
      <w:r w:rsidR="00982720" w:rsidRPr="00CD5172">
        <w:rPr>
          <w:rFonts w:asciiTheme="minorHAnsi" w:hAnsiTheme="minorHAnsi" w:cstheme="minorHAnsi"/>
        </w:rPr>
        <w:t>X is the ratio of ILI consultations referred to hospital</w:t>
      </w:r>
      <w:r w:rsidR="00AE45EA" w:rsidRPr="00CD5172">
        <w:rPr>
          <w:rFonts w:asciiTheme="minorHAnsi" w:hAnsiTheme="minorHAnsi" w:cstheme="minorHAnsi"/>
        </w:rPr>
        <w:t xml:space="preserve">/ </w:t>
      </w:r>
      <w:r w:rsidR="00982720" w:rsidRPr="00CD5172">
        <w:rPr>
          <w:rFonts w:asciiTheme="minorHAnsi" w:hAnsiTheme="minorHAnsi" w:cstheme="minorHAnsi"/>
        </w:rPr>
        <w:t>the total number of ILI consultations obtained from ILI surveillance</w:t>
      </w:r>
      <w:r w:rsidR="001E0503">
        <w:rPr>
          <w:rFonts w:asciiTheme="minorHAnsi" w:hAnsiTheme="minorHAnsi" w:cstheme="minorHAnsi"/>
        </w:rPr>
        <w:t>;</w:t>
      </w:r>
      <w:r w:rsidR="00F704C3" w:rsidRPr="00CD5172">
        <w:rPr>
          <w:rFonts w:asciiTheme="minorHAnsi" w:hAnsiTheme="minorHAnsi" w:cstheme="minorHAnsi"/>
        </w:rPr>
        <w:t xml:space="preserve"> </w:t>
      </w:r>
      <w:r w:rsidR="00F704C3" w:rsidRPr="00CD5172">
        <w:rPr>
          <w:rFonts w:asciiTheme="minorHAnsi" w:hAnsiTheme="minorHAnsi" w:cstheme="minorHAnsi"/>
          <w:position w:val="-16"/>
        </w:rPr>
        <w:object w:dxaOrig="400" w:dyaOrig="400" w14:anchorId="5508D259">
          <v:shape id="_x0000_i1027" type="#_x0000_t75" style="width:18.75pt;height:20.25pt" o:ole="">
            <v:imagedata r:id="rId12" o:title=""/>
          </v:shape>
          <o:OLEObject Type="Embed" ProgID="Equation.DSMT4" ShapeID="_x0000_i1027" DrawAspect="Content" ObjectID="_1717303179" r:id="rId13"/>
        </w:object>
      </w:r>
      <w:r w:rsidR="00982720" w:rsidRPr="00CD5172">
        <w:rPr>
          <w:rFonts w:asciiTheme="minorHAnsi" w:hAnsiTheme="minorHAnsi" w:cstheme="minorHAnsi"/>
        </w:rPr>
        <w:t xml:space="preserve">is the proportion of ILI case in age group </w:t>
      </w:r>
      <w:proofErr w:type="spellStart"/>
      <w:r w:rsidR="00982720" w:rsidRPr="00CD5172">
        <w:rPr>
          <w:rFonts w:asciiTheme="minorHAnsi" w:hAnsiTheme="minorHAnsi" w:cstheme="minorHAnsi"/>
          <w:i/>
        </w:rPr>
        <w:t>i</w:t>
      </w:r>
      <w:proofErr w:type="spellEnd"/>
      <w:r w:rsidR="00982720" w:rsidRPr="00CD5172">
        <w:rPr>
          <w:rFonts w:asciiTheme="minorHAnsi" w:hAnsiTheme="minorHAnsi" w:cstheme="minorHAnsi"/>
          <w:i/>
        </w:rPr>
        <w:t xml:space="preserve"> </w:t>
      </w:r>
      <w:r w:rsidR="00982720" w:rsidRPr="00CD5172">
        <w:rPr>
          <w:rFonts w:asciiTheme="minorHAnsi" w:hAnsiTheme="minorHAnsi" w:cstheme="minorHAnsi"/>
        </w:rPr>
        <w:t>over the total ILI cases after adjusting for non-enrolment</w:t>
      </w:r>
      <w:r w:rsidR="001E0503">
        <w:rPr>
          <w:rFonts w:asciiTheme="minorHAnsi" w:hAnsiTheme="minorHAnsi" w:cstheme="minorHAnsi"/>
        </w:rPr>
        <w:t>;</w:t>
      </w:r>
      <w:r w:rsidR="00F704C3" w:rsidRPr="00CD5172">
        <w:rPr>
          <w:rFonts w:asciiTheme="minorHAnsi" w:hAnsiTheme="minorHAnsi" w:cstheme="minorHAnsi"/>
        </w:rPr>
        <w:t xml:space="preserve"> </w:t>
      </w:r>
      <w:r w:rsidR="00F704C3" w:rsidRPr="00CD5172">
        <w:rPr>
          <w:rFonts w:asciiTheme="minorHAnsi" w:hAnsiTheme="minorHAnsi" w:cstheme="minorHAnsi"/>
          <w:position w:val="-16"/>
        </w:rPr>
        <w:object w:dxaOrig="520" w:dyaOrig="400" w14:anchorId="2C60CBBC">
          <v:shape id="_x0000_i1028" type="#_x0000_t75" style="width:25.5pt;height:20.25pt" o:ole="">
            <v:imagedata r:id="rId14" o:title=""/>
          </v:shape>
          <o:OLEObject Type="Embed" ProgID="Equation.DSMT4" ShapeID="_x0000_i1028" DrawAspect="Content" ObjectID="_1717303180" r:id="rId15"/>
        </w:object>
      </w:r>
      <w:r w:rsidR="00982720" w:rsidRPr="00CD5172">
        <w:rPr>
          <w:rFonts w:asciiTheme="minorHAnsi" w:hAnsiTheme="minorHAnsi" w:cstheme="minorHAnsi"/>
        </w:rPr>
        <w:t>is the proportion of SARI cases in age group I over the total S</w:t>
      </w:r>
      <w:r w:rsidR="00766334" w:rsidRPr="00CD5172">
        <w:rPr>
          <w:rFonts w:asciiTheme="minorHAnsi" w:hAnsiTheme="minorHAnsi" w:cstheme="minorHAnsi"/>
        </w:rPr>
        <w:t>A</w:t>
      </w:r>
      <w:r w:rsidR="00982720" w:rsidRPr="00CD5172">
        <w:rPr>
          <w:rFonts w:asciiTheme="minorHAnsi" w:hAnsiTheme="minorHAnsi" w:cstheme="minorHAnsi"/>
        </w:rPr>
        <w:t>RI cases after adjusting for non</w:t>
      </w:r>
      <w:r w:rsidR="002605A7" w:rsidRPr="00CD5172">
        <w:rPr>
          <w:rFonts w:asciiTheme="minorHAnsi" w:hAnsiTheme="minorHAnsi" w:cstheme="minorHAnsi"/>
        </w:rPr>
        <w:t>-</w:t>
      </w:r>
      <w:r w:rsidR="00982720" w:rsidRPr="00CD5172">
        <w:rPr>
          <w:rFonts w:asciiTheme="minorHAnsi" w:hAnsiTheme="minorHAnsi" w:cstheme="minorHAnsi"/>
        </w:rPr>
        <w:t xml:space="preserve">enrolment </w:t>
      </w:r>
    </w:p>
    <w:p w14:paraId="75DF70BA" w14:textId="77777777" w:rsidR="00D664FF" w:rsidRPr="00CD5172" w:rsidRDefault="00D664FF" w:rsidP="00CD5172">
      <w:pPr>
        <w:jc w:val="both"/>
        <w:rPr>
          <w:rFonts w:asciiTheme="minorHAnsi" w:hAnsiTheme="minorHAnsi" w:cstheme="minorHAnsi"/>
        </w:rPr>
      </w:pPr>
    </w:p>
    <w:p w14:paraId="7D13DAF3" w14:textId="2669CDF1" w:rsidR="0022280F" w:rsidRDefault="00D664FF" w:rsidP="00AF5716">
      <w:pPr>
        <w:jc w:val="both"/>
        <w:rPr>
          <w:rFonts w:asciiTheme="minorHAnsi" w:hAnsiTheme="minorHAnsi" w:cstheme="minorHAnsi"/>
        </w:rPr>
      </w:pPr>
      <w:r w:rsidRPr="00CD5172">
        <w:rPr>
          <w:rFonts w:asciiTheme="minorHAnsi" w:hAnsiTheme="minorHAnsi" w:cstheme="minorHAnsi"/>
        </w:rPr>
        <w:t xml:space="preserve">We use ILI </w:t>
      </w:r>
      <w:r w:rsidR="00982720" w:rsidRPr="00CD5172">
        <w:rPr>
          <w:rFonts w:asciiTheme="minorHAnsi" w:hAnsiTheme="minorHAnsi" w:cstheme="minorHAnsi"/>
        </w:rPr>
        <w:t xml:space="preserve">at sentinel sites </w:t>
      </w:r>
      <w:r w:rsidR="000C20A3" w:rsidRPr="00CD5172">
        <w:rPr>
          <w:rFonts w:asciiTheme="minorHAnsi" w:hAnsiTheme="minorHAnsi" w:cstheme="minorHAnsi"/>
        </w:rPr>
        <w:t>as proxy</w:t>
      </w:r>
      <w:r w:rsidR="00982720" w:rsidRPr="00CD5172">
        <w:rPr>
          <w:rFonts w:asciiTheme="minorHAnsi" w:hAnsiTheme="minorHAnsi" w:cstheme="minorHAnsi"/>
        </w:rPr>
        <w:t xml:space="preserve"> </w:t>
      </w:r>
      <w:r w:rsidR="00C424C1" w:rsidRPr="00CD5172">
        <w:rPr>
          <w:rFonts w:asciiTheme="minorHAnsi" w:hAnsiTheme="minorHAnsi" w:cstheme="minorHAnsi"/>
        </w:rPr>
        <w:t>for the base province, and expand to other provinces and nationally in a similar way to the S</w:t>
      </w:r>
      <w:r w:rsidR="001B63AE" w:rsidRPr="00CD5172">
        <w:rPr>
          <w:rFonts w:asciiTheme="minorHAnsi" w:hAnsiTheme="minorHAnsi" w:cstheme="minorHAnsi"/>
        </w:rPr>
        <w:t>A</w:t>
      </w:r>
      <w:r w:rsidR="00C424C1" w:rsidRPr="00CD5172">
        <w:rPr>
          <w:rFonts w:asciiTheme="minorHAnsi" w:hAnsiTheme="minorHAnsi" w:cstheme="minorHAnsi"/>
        </w:rPr>
        <w:t>RI/RSV-associated S</w:t>
      </w:r>
      <w:r w:rsidR="001E0503">
        <w:rPr>
          <w:rFonts w:asciiTheme="minorHAnsi" w:hAnsiTheme="minorHAnsi" w:cstheme="minorHAnsi"/>
        </w:rPr>
        <w:t>A</w:t>
      </w:r>
      <w:r w:rsidR="00C424C1" w:rsidRPr="00CD5172">
        <w:rPr>
          <w:rFonts w:asciiTheme="minorHAnsi" w:hAnsiTheme="minorHAnsi" w:cstheme="minorHAnsi"/>
        </w:rPr>
        <w:t>RI estimates, but without adjusting for the S</w:t>
      </w:r>
      <w:r w:rsidR="001B63AE" w:rsidRPr="00CD5172">
        <w:rPr>
          <w:rFonts w:asciiTheme="minorHAnsi" w:hAnsiTheme="minorHAnsi" w:cstheme="minorHAnsi"/>
        </w:rPr>
        <w:t>A</w:t>
      </w:r>
      <w:r w:rsidR="00C424C1" w:rsidRPr="00CD5172">
        <w:rPr>
          <w:rFonts w:asciiTheme="minorHAnsi" w:hAnsiTheme="minorHAnsi" w:cstheme="minorHAnsi"/>
        </w:rPr>
        <w:t xml:space="preserve">RI risk factors. </w:t>
      </w:r>
      <w:r w:rsidR="00982720" w:rsidRPr="00CD5172">
        <w:rPr>
          <w:rFonts w:asciiTheme="minorHAnsi" w:hAnsiTheme="minorHAnsi" w:cstheme="minorHAnsi"/>
        </w:rPr>
        <w:t xml:space="preserve"> </w:t>
      </w:r>
      <w:r w:rsidR="006B3C27" w:rsidRPr="00CD5172">
        <w:rPr>
          <w:rFonts w:asciiTheme="minorHAnsi" w:hAnsiTheme="minorHAnsi" w:cstheme="minorHAnsi"/>
        </w:rPr>
        <w:t>Finally,</w:t>
      </w:r>
      <w:r w:rsidR="001B63AE" w:rsidRPr="00CD5172">
        <w:rPr>
          <w:rFonts w:asciiTheme="minorHAnsi" w:hAnsiTheme="minorHAnsi" w:cstheme="minorHAnsi"/>
        </w:rPr>
        <w:t xml:space="preserve"> ILI estimates are adjusted for the proportion of children who do not present with fever for final acute respiratory illness (ARI)</w:t>
      </w:r>
      <w:r w:rsidR="001E0503">
        <w:rPr>
          <w:rFonts w:asciiTheme="minorHAnsi" w:hAnsiTheme="minorHAnsi" w:cstheme="minorHAnsi"/>
        </w:rPr>
        <w:t xml:space="preserve"> rates</w:t>
      </w:r>
      <w:r w:rsidR="006B3C27" w:rsidRPr="00CD5172">
        <w:rPr>
          <w:rFonts w:asciiTheme="minorHAnsi" w:hAnsiTheme="minorHAnsi" w:cstheme="minorHAnsi"/>
        </w:rPr>
        <w:fldChar w:fldCharType="begin" w:fldLock="1"/>
      </w:r>
      <w:r w:rsidR="003143D8">
        <w:rPr>
          <w:rFonts w:asciiTheme="minorHAnsi" w:hAnsiTheme="minorHAnsi" w:cstheme="minorHAnsi"/>
        </w:rPr>
        <w:instrText>ADDIN CSL_CITATION {"citationItems":[{"id":"ITEM-1","itemData":{"DOI":"10.12688/wellcomeopenres.14662.1","ISSN":"2398502X","abstract":"Background: Endemic and seasonally recurring respiratory viruses are a major cause of disease and death globally. The burden is particularly severe in developing countries. Improved understanding of the source of infection, pathways of spread and persistence in communities would be of benefit in devising intervention strategies. Methods: We report epidemiological data obtained through surveillance of respiratory viruses at nine outpatient health facilities within the Kilifi Health and Demographic Surveillance System, Kilifi County, coastal Kenya, between January and December 2016. Nasopharyngeal swabs were collected from individuals of all ages presenting with acute respiratory infection (ARI) symptoms (up to 15 swabs per week per facility) and screened for 15 respiratory viruses using real-time PCR. Paediatric inpatient surveillance at Kilifi County Hospital for respiratory viruses provided comparative data. Results: Over the year, 5,647 participants were sampled, of which 3,029 (53.7%) were aged &lt;5 years. At least one target respiratory virus was detected in 2,380 (42.2%) of the samples; the most common being rhinovirus 18.6% (1,050), influenza virus 6.9% (390), coronavirus 6.8% (387), parainfluenza virus 6.6% (371), respiratory syncytial virus (RSV) 3.9% (219) and adenovirus 2.7% (155). Virus detections were higher among &lt;5-year-olds compared to older children and adults (50.3% vs 32.7%, respectively; χ 2 (1) =177.3, P=0.0001). Frequency of viruses did not differ significantly by facility (χ 2 (8) =13.38, P=0.072). However, prevalence was significantly higher among inpatients than outpatients in &lt;5-year-olds for RSV (22.1% vs 6.0%; χ 2 (1) = 159.4, P=0.0001), and adenovirus (12.4% vs 4.4%, χ 2 (1) =56.6, P=0.0001). Conclusions: Respiratory virus infections are common amongst ARI outpatients in this coastal Kenya setting, particularly in young children. Rhinovirus predominance warrants further studies on the health and socio-economic implications. RSV and adenovirus were more commonly associated with severe disease. Further analysis will explore epidemiological transmission patterns with the addition of virus sequence data.","author":[{"dropping-particle":"","family":"Nyiro","given":"Joyce Uchi","non-dropping-particle":"","parse-names":false,"suffix":""},{"dropping-particle":"","family":"Munywoki","given":"Patrick","non-dropping-particle":"","parse-names":false,"suffix":""},{"dropping-particle":"","family":"Kamau","given":"Everlyn","non-dropping-particle":"","parse-names":false,"suffix":""},{"dropping-particle":"","family":"Agoti","given":"Charles","non-dropping-particle":"","parse-names":false,"suffix":""},{"dropping-particle":"","family":"Gichuki","given":"Alex","non-dropping-particle":"","parse-names":false,"suffix":""},{"dropping-particle":"","family":"Etyang","given":"Timothy","non-dropping-particle":"","parse-names":false,"suffix":""},{"dropping-particle":"","family":"Otieno","given":"Grieven","non-dropping-particle":"","parse-names":false,"suffix":""},{"dropping-particle":"","family":"James Nokes","given":"D.","non-dropping-particle":"","parse-names":false,"suffix":""}],"container-title":"Wellcome Open Research","id":"ITEM-1","issue":"May","issued":{"date-parts":[["2018"]]},"title":"Surveillance of respiratory viruses in the outpatient setting in rural coastal Kenya: Baseline epidemiological observations [version 1; referees: 2 approved]","type":"article-journal","volume":"3"},"uris":["http://www.mendeley.com/documents/?uuid=cafb1762-ebc0-49ec-a7b0-559e35a6cfa9"]}],"mendeley":{"formattedCitation":"&lt;sup&gt;12&lt;/sup&gt;","plainTextFormattedCitation":"12","previouslyFormattedCitation":"&lt;sup&gt;12&lt;/sup&gt;"},"properties":{"noteIndex":0},"schema":"https://github.com/citation-style-language/schema/raw/master/csl-citation.json"}</w:instrText>
      </w:r>
      <w:r w:rsidR="006B3C27" w:rsidRPr="00CD5172">
        <w:rPr>
          <w:rFonts w:asciiTheme="minorHAnsi" w:hAnsiTheme="minorHAnsi" w:cstheme="minorHAnsi"/>
        </w:rPr>
        <w:fldChar w:fldCharType="separate"/>
      </w:r>
      <w:r w:rsidR="003143D8" w:rsidRPr="003143D8">
        <w:rPr>
          <w:rFonts w:asciiTheme="minorHAnsi" w:hAnsiTheme="minorHAnsi" w:cstheme="minorHAnsi"/>
          <w:noProof/>
          <w:vertAlign w:val="superscript"/>
        </w:rPr>
        <w:t>12</w:t>
      </w:r>
      <w:r w:rsidR="006B3C27" w:rsidRPr="00CD5172">
        <w:rPr>
          <w:rFonts w:asciiTheme="minorHAnsi" w:hAnsiTheme="minorHAnsi" w:cstheme="minorHAnsi"/>
        </w:rPr>
        <w:fldChar w:fldCharType="end"/>
      </w:r>
      <w:r w:rsidR="006B3C27" w:rsidRPr="00CD5172">
        <w:rPr>
          <w:rFonts w:asciiTheme="minorHAnsi" w:hAnsiTheme="minorHAnsi" w:cstheme="minorHAnsi"/>
        </w:rPr>
        <w:t xml:space="preserve">. </w:t>
      </w:r>
    </w:p>
    <w:p w14:paraId="05C8A5DE" w14:textId="77777777" w:rsidR="0022280F" w:rsidRDefault="0022280F">
      <w:pPr>
        <w:spacing w:after="160"/>
        <w:rPr>
          <w:rFonts w:asciiTheme="minorHAnsi" w:hAnsiTheme="minorHAnsi" w:cstheme="minorHAnsi"/>
        </w:rPr>
        <w:pPrChange w:id="1" w:author="Jocelyn Moyes" w:date="2021-12-28T08:02:00Z">
          <w:pPr>
            <w:spacing w:after="160" w:line="259" w:lineRule="auto"/>
          </w:pPr>
        </w:pPrChange>
      </w:pPr>
      <w:r>
        <w:rPr>
          <w:rFonts w:asciiTheme="minorHAnsi" w:hAnsiTheme="minorHAnsi" w:cstheme="minorHAnsi"/>
        </w:rPr>
        <w:br w:type="page"/>
      </w:r>
    </w:p>
    <w:p w14:paraId="2C3657DC" w14:textId="77777777" w:rsidR="00982720" w:rsidRDefault="00982720" w:rsidP="00CD5172">
      <w:pPr>
        <w:jc w:val="both"/>
        <w:rPr>
          <w:rFonts w:asciiTheme="minorHAnsi" w:hAnsiTheme="minorHAnsi" w:cstheme="minorHAnsi"/>
        </w:rPr>
      </w:pPr>
    </w:p>
    <w:p w14:paraId="05653AFF" w14:textId="77777777" w:rsidR="0022280F" w:rsidRDefault="0022280F" w:rsidP="0022280F">
      <w:pPr>
        <w:spacing w:line="276" w:lineRule="auto"/>
        <w:jc w:val="both"/>
        <w:rPr>
          <w:rFonts w:asciiTheme="minorHAnsi" w:hAnsiTheme="minorHAnsi" w:cstheme="minorHAnsi"/>
        </w:rPr>
        <w:sectPr w:rsidR="002228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5CD5B9BB" w14:textId="1A5D3920" w:rsidR="0022280F" w:rsidRDefault="0022280F" w:rsidP="0022280F">
      <w:pPr>
        <w:spacing w:line="276" w:lineRule="auto"/>
        <w:jc w:val="both"/>
        <w:rPr>
          <w:rFonts w:asciiTheme="minorHAnsi" w:hAnsiTheme="minorHAnsi" w:cstheme="minorHAnsi"/>
        </w:rPr>
      </w:pPr>
    </w:p>
    <w:p w14:paraId="1C965C7A" w14:textId="074464B0" w:rsidR="0022280F" w:rsidRPr="00AC4BB6" w:rsidRDefault="0022280F" w:rsidP="0022280F">
      <w:pPr>
        <w:spacing w:line="276" w:lineRule="auto"/>
        <w:jc w:val="both"/>
        <w:rPr>
          <w:rFonts w:asciiTheme="minorHAnsi" w:hAnsiTheme="minorHAnsi" w:cstheme="minorHAnsi"/>
          <w:b/>
        </w:rPr>
      </w:pPr>
      <w:r w:rsidRPr="00AC4BB6">
        <w:rPr>
          <w:rFonts w:asciiTheme="minorHAnsi" w:hAnsiTheme="minorHAnsi" w:cstheme="minorHAnsi"/>
          <w:b/>
        </w:rPr>
        <w:t>Supplementary Table 1: Estimated mean annual number and rates of respiratory syncytial virus-associated mild illness in children aged &lt;5 years</w:t>
      </w:r>
      <w:r w:rsidR="001E0503" w:rsidRPr="00AC4BB6">
        <w:rPr>
          <w:rFonts w:asciiTheme="minorHAnsi" w:hAnsiTheme="minorHAnsi" w:cstheme="minorHAnsi"/>
          <w:b/>
        </w:rPr>
        <w:t>,</w:t>
      </w:r>
      <w:r w:rsidRPr="00AC4BB6">
        <w:rPr>
          <w:rFonts w:asciiTheme="minorHAnsi" w:hAnsiTheme="minorHAnsi" w:cstheme="minorHAnsi"/>
          <w:b/>
        </w:rPr>
        <w:t xml:space="preserve"> South Africa</w:t>
      </w:r>
      <w:r w:rsidR="001E0503" w:rsidRPr="00AC4BB6">
        <w:rPr>
          <w:rFonts w:asciiTheme="minorHAnsi" w:hAnsiTheme="minorHAnsi" w:cstheme="minorHAnsi"/>
          <w:b/>
        </w:rPr>
        <w:t>,</w:t>
      </w:r>
      <w:r w:rsidRPr="00AC4BB6">
        <w:rPr>
          <w:rFonts w:asciiTheme="minorHAnsi" w:hAnsiTheme="minorHAnsi" w:cstheme="minorHAnsi"/>
          <w:b/>
        </w:rPr>
        <w:t xml:space="preserve"> 2011-2016.</w:t>
      </w:r>
    </w:p>
    <w:tbl>
      <w:tblPr>
        <w:tblStyle w:val="TableGrid"/>
        <w:tblW w:w="15735" w:type="dxa"/>
        <w:tblInd w:w="-714" w:type="dxa"/>
        <w:tblLook w:val="04A0" w:firstRow="1" w:lastRow="0" w:firstColumn="1" w:lastColumn="0" w:noHBand="0" w:noVBand="1"/>
      </w:tblPr>
      <w:tblGrid>
        <w:gridCol w:w="1135"/>
        <w:gridCol w:w="2471"/>
        <w:gridCol w:w="2602"/>
        <w:gridCol w:w="2314"/>
        <w:gridCol w:w="2252"/>
        <w:gridCol w:w="2409"/>
        <w:gridCol w:w="2552"/>
      </w:tblGrid>
      <w:tr w:rsidR="00C214DC" w:rsidRPr="00AE771E" w14:paraId="03C4F9EC" w14:textId="77777777" w:rsidTr="00D34B76">
        <w:trPr>
          <w:trHeight w:val="409"/>
        </w:trPr>
        <w:tc>
          <w:tcPr>
            <w:tcW w:w="1135" w:type="dxa"/>
            <w:vMerge w:val="restart"/>
          </w:tcPr>
          <w:p w14:paraId="6FF119A4"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Age group</w:t>
            </w:r>
          </w:p>
          <w:p w14:paraId="0F71A4AA"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Months</w:t>
            </w:r>
          </w:p>
        </w:tc>
        <w:tc>
          <w:tcPr>
            <w:tcW w:w="14600" w:type="dxa"/>
            <w:gridSpan w:val="6"/>
          </w:tcPr>
          <w:p w14:paraId="15C6B972" w14:textId="77777777" w:rsidR="00C214DC" w:rsidRPr="00AE771E" w:rsidRDefault="00C214DC" w:rsidP="00D34B76">
            <w:pPr>
              <w:spacing w:line="276" w:lineRule="auto"/>
              <w:jc w:val="center"/>
              <w:rPr>
                <w:rFonts w:asciiTheme="minorHAnsi" w:hAnsiTheme="minorHAnsi" w:cstheme="minorHAnsi"/>
                <w:b/>
              </w:rPr>
            </w:pPr>
            <w:r>
              <w:rPr>
                <w:rFonts w:asciiTheme="minorHAnsi" w:hAnsiTheme="minorHAnsi" w:cstheme="minorHAnsi"/>
                <w:b/>
              </w:rPr>
              <w:t>Respiratory syncytial virus</w:t>
            </w:r>
            <w:r w:rsidRPr="00AE771E">
              <w:rPr>
                <w:rFonts w:asciiTheme="minorHAnsi" w:hAnsiTheme="minorHAnsi" w:cstheme="minorHAnsi"/>
                <w:b/>
              </w:rPr>
              <w:t xml:space="preserve">-associated mild </w:t>
            </w:r>
            <w:proofErr w:type="spellStart"/>
            <w:r w:rsidRPr="00AE771E">
              <w:rPr>
                <w:rFonts w:asciiTheme="minorHAnsi" w:hAnsiTheme="minorHAnsi" w:cstheme="minorHAnsi"/>
                <w:b/>
              </w:rPr>
              <w:t>illness</w:t>
            </w:r>
            <w:r w:rsidRPr="00AE771E">
              <w:rPr>
                <w:rFonts w:asciiTheme="minorHAnsi" w:hAnsiTheme="minorHAnsi" w:cstheme="minorHAnsi"/>
                <w:b/>
                <w:vertAlign w:val="superscript"/>
              </w:rPr>
              <w:t>a</w:t>
            </w:r>
            <w:proofErr w:type="spellEnd"/>
          </w:p>
        </w:tc>
      </w:tr>
      <w:tr w:rsidR="00C214DC" w:rsidRPr="00AE771E" w14:paraId="7CFA970A" w14:textId="77777777" w:rsidTr="00D34B76">
        <w:trPr>
          <w:trHeight w:val="470"/>
        </w:trPr>
        <w:tc>
          <w:tcPr>
            <w:tcW w:w="1135" w:type="dxa"/>
            <w:vMerge/>
          </w:tcPr>
          <w:p w14:paraId="36B48C5B" w14:textId="77777777" w:rsidR="00C214DC" w:rsidRPr="00AE771E" w:rsidRDefault="00C214DC" w:rsidP="00D34B76">
            <w:pPr>
              <w:spacing w:line="276" w:lineRule="auto"/>
              <w:jc w:val="center"/>
              <w:rPr>
                <w:rFonts w:asciiTheme="minorHAnsi" w:hAnsiTheme="minorHAnsi" w:cstheme="minorHAnsi"/>
                <w:b/>
              </w:rPr>
            </w:pPr>
          </w:p>
        </w:tc>
        <w:tc>
          <w:tcPr>
            <w:tcW w:w="5073" w:type="dxa"/>
            <w:gridSpan w:val="2"/>
          </w:tcPr>
          <w:p w14:paraId="47794CAF"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Total</w:t>
            </w:r>
          </w:p>
        </w:tc>
        <w:tc>
          <w:tcPr>
            <w:tcW w:w="4566" w:type="dxa"/>
            <w:gridSpan w:val="2"/>
          </w:tcPr>
          <w:p w14:paraId="137FB64F"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Medically-attended</w:t>
            </w:r>
          </w:p>
        </w:tc>
        <w:tc>
          <w:tcPr>
            <w:tcW w:w="4961" w:type="dxa"/>
            <w:gridSpan w:val="2"/>
          </w:tcPr>
          <w:p w14:paraId="2581BB49"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Non-medically-attended</w:t>
            </w:r>
          </w:p>
        </w:tc>
      </w:tr>
      <w:tr w:rsidR="00C214DC" w:rsidRPr="00AE771E" w14:paraId="12E7EEE1" w14:textId="77777777" w:rsidTr="00D34B76">
        <w:trPr>
          <w:trHeight w:val="470"/>
        </w:trPr>
        <w:tc>
          <w:tcPr>
            <w:tcW w:w="1135" w:type="dxa"/>
            <w:vMerge/>
          </w:tcPr>
          <w:p w14:paraId="34814B53" w14:textId="77777777" w:rsidR="00C214DC" w:rsidRPr="00AE771E" w:rsidRDefault="00C214DC" w:rsidP="00D34B76">
            <w:pPr>
              <w:spacing w:line="276" w:lineRule="auto"/>
              <w:jc w:val="center"/>
              <w:rPr>
                <w:rFonts w:asciiTheme="minorHAnsi" w:hAnsiTheme="minorHAnsi" w:cstheme="minorHAnsi"/>
                <w:b/>
              </w:rPr>
            </w:pPr>
          </w:p>
        </w:tc>
        <w:tc>
          <w:tcPr>
            <w:tcW w:w="2471" w:type="dxa"/>
          </w:tcPr>
          <w:p w14:paraId="5F33902F"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Number (95% CI)</w:t>
            </w:r>
          </w:p>
        </w:tc>
        <w:tc>
          <w:tcPr>
            <w:tcW w:w="2602" w:type="dxa"/>
          </w:tcPr>
          <w:p w14:paraId="582F3D87" w14:textId="77777777" w:rsidR="00C214DC" w:rsidRPr="00AE771E" w:rsidRDefault="00C214DC" w:rsidP="00D34B76">
            <w:pPr>
              <w:spacing w:line="276" w:lineRule="auto"/>
              <w:jc w:val="center"/>
              <w:rPr>
                <w:rFonts w:asciiTheme="minorHAnsi" w:hAnsiTheme="minorHAnsi" w:cstheme="minorHAnsi"/>
                <w:b/>
              </w:rPr>
            </w:pPr>
            <w:proofErr w:type="spellStart"/>
            <w:r w:rsidRPr="00AE771E">
              <w:rPr>
                <w:rFonts w:asciiTheme="minorHAnsi" w:hAnsiTheme="minorHAnsi" w:cstheme="minorHAnsi"/>
                <w:b/>
              </w:rPr>
              <w:t>Rate</w:t>
            </w:r>
            <w:r w:rsidRPr="00AE771E">
              <w:rPr>
                <w:rFonts w:asciiTheme="minorHAnsi" w:hAnsiTheme="minorHAnsi" w:cstheme="minorHAnsi"/>
                <w:b/>
                <w:vertAlign w:val="superscript"/>
              </w:rPr>
              <w:t>b</w:t>
            </w:r>
            <w:proofErr w:type="spellEnd"/>
            <w:r w:rsidRPr="00AE771E">
              <w:rPr>
                <w:rFonts w:asciiTheme="minorHAnsi" w:hAnsiTheme="minorHAnsi" w:cstheme="minorHAnsi"/>
                <w:b/>
              </w:rPr>
              <w:t xml:space="preserve"> (95% CI)</w:t>
            </w:r>
          </w:p>
        </w:tc>
        <w:tc>
          <w:tcPr>
            <w:tcW w:w="2314" w:type="dxa"/>
          </w:tcPr>
          <w:p w14:paraId="275857CF"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Number (95% CI)</w:t>
            </w:r>
          </w:p>
        </w:tc>
        <w:tc>
          <w:tcPr>
            <w:tcW w:w="2252" w:type="dxa"/>
          </w:tcPr>
          <w:p w14:paraId="032D6C08" w14:textId="77777777" w:rsidR="00C214DC" w:rsidRPr="00AE771E" w:rsidRDefault="00C214DC" w:rsidP="00D34B76">
            <w:pPr>
              <w:spacing w:line="276" w:lineRule="auto"/>
              <w:jc w:val="center"/>
              <w:rPr>
                <w:rFonts w:asciiTheme="minorHAnsi" w:hAnsiTheme="minorHAnsi" w:cstheme="minorHAnsi"/>
                <w:b/>
              </w:rPr>
            </w:pPr>
            <w:proofErr w:type="spellStart"/>
            <w:r w:rsidRPr="00AE771E">
              <w:rPr>
                <w:rFonts w:asciiTheme="minorHAnsi" w:hAnsiTheme="minorHAnsi" w:cstheme="minorHAnsi"/>
                <w:b/>
              </w:rPr>
              <w:t>Rate</w:t>
            </w:r>
            <w:r w:rsidRPr="00AE771E">
              <w:rPr>
                <w:rFonts w:asciiTheme="minorHAnsi" w:hAnsiTheme="minorHAnsi" w:cstheme="minorHAnsi"/>
                <w:b/>
                <w:vertAlign w:val="superscript"/>
              </w:rPr>
              <w:t>b</w:t>
            </w:r>
            <w:proofErr w:type="spellEnd"/>
            <w:r w:rsidRPr="00AE771E">
              <w:rPr>
                <w:rFonts w:asciiTheme="minorHAnsi" w:hAnsiTheme="minorHAnsi" w:cstheme="minorHAnsi"/>
                <w:b/>
              </w:rPr>
              <w:t xml:space="preserve"> (95% CI)</w:t>
            </w:r>
          </w:p>
        </w:tc>
        <w:tc>
          <w:tcPr>
            <w:tcW w:w="2409" w:type="dxa"/>
          </w:tcPr>
          <w:p w14:paraId="00961B7E" w14:textId="77777777" w:rsidR="00C214DC" w:rsidRPr="00AE771E" w:rsidRDefault="00C214DC" w:rsidP="00D34B76">
            <w:pPr>
              <w:spacing w:line="276" w:lineRule="auto"/>
              <w:jc w:val="center"/>
              <w:rPr>
                <w:rFonts w:asciiTheme="minorHAnsi" w:hAnsiTheme="minorHAnsi" w:cstheme="minorHAnsi"/>
                <w:b/>
              </w:rPr>
            </w:pPr>
            <w:r w:rsidRPr="00AE771E">
              <w:rPr>
                <w:rFonts w:asciiTheme="minorHAnsi" w:hAnsiTheme="minorHAnsi" w:cstheme="minorHAnsi"/>
                <w:b/>
              </w:rPr>
              <w:t>Number (95% CI)</w:t>
            </w:r>
          </w:p>
        </w:tc>
        <w:tc>
          <w:tcPr>
            <w:tcW w:w="2552" w:type="dxa"/>
          </w:tcPr>
          <w:p w14:paraId="19A9672D" w14:textId="77777777" w:rsidR="00C214DC" w:rsidRPr="00AE771E" w:rsidRDefault="00C214DC" w:rsidP="00D34B76">
            <w:pPr>
              <w:spacing w:line="276" w:lineRule="auto"/>
              <w:jc w:val="center"/>
              <w:rPr>
                <w:rFonts w:asciiTheme="minorHAnsi" w:hAnsiTheme="minorHAnsi" w:cstheme="minorHAnsi"/>
                <w:b/>
              </w:rPr>
            </w:pPr>
            <w:proofErr w:type="spellStart"/>
            <w:r w:rsidRPr="00AE771E">
              <w:rPr>
                <w:rFonts w:asciiTheme="minorHAnsi" w:hAnsiTheme="minorHAnsi" w:cstheme="minorHAnsi"/>
                <w:b/>
              </w:rPr>
              <w:t>Rate</w:t>
            </w:r>
            <w:r w:rsidRPr="00AE771E">
              <w:rPr>
                <w:rFonts w:asciiTheme="minorHAnsi" w:hAnsiTheme="minorHAnsi" w:cstheme="minorHAnsi"/>
                <w:b/>
                <w:vertAlign w:val="superscript"/>
              </w:rPr>
              <w:t>b</w:t>
            </w:r>
            <w:proofErr w:type="spellEnd"/>
            <w:r w:rsidRPr="00AE771E">
              <w:rPr>
                <w:rFonts w:asciiTheme="minorHAnsi" w:hAnsiTheme="minorHAnsi" w:cstheme="minorHAnsi"/>
                <w:b/>
              </w:rPr>
              <w:t xml:space="preserve"> (95% CI)</w:t>
            </w:r>
          </w:p>
        </w:tc>
      </w:tr>
      <w:tr w:rsidR="00C214DC" w:rsidRPr="009B6F42" w14:paraId="315F6FBF" w14:textId="77777777" w:rsidTr="00D34B76">
        <w:trPr>
          <w:trHeight w:val="409"/>
        </w:trPr>
        <w:tc>
          <w:tcPr>
            <w:tcW w:w="1135" w:type="dxa"/>
          </w:tcPr>
          <w:p w14:paraId="66C3E3AA"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 xml:space="preserve">&lt;1 </w:t>
            </w:r>
          </w:p>
        </w:tc>
        <w:tc>
          <w:tcPr>
            <w:tcW w:w="2471" w:type="dxa"/>
            <w:vAlign w:val="center"/>
          </w:tcPr>
          <w:p w14:paraId="0401F06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11543 (0-39394)</w:t>
            </w:r>
          </w:p>
        </w:tc>
        <w:tc>
          <w:tcPr>
            <w:tcW w:w="2602" w:type="dxa"/>
            <w:vAlign w:val="center"/>
          </w:tcPr>
          <w:p w14:paraId="597107F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12004.7 (0-40969.2)</w:t>
            </w:r>
          </w:p>
        </w:tc>
        <w:tc>
          <w:tcPr>
            <w:tcW w:w="2314" w:type="dxa"/>
            <w:vAlign w:val="center"/>
          </w:tcPr>
          <w:p w14:paraId="604C9448"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2625 (0-9263)</w:t>
            </w:r>
          </w:p>
        </w:tc>
        <w:tc>
          <w:tcPr>
            <w:tcW w:w="2252" w:type="dxa"/>
            <w:vAlign w:val="center"/>
          </w:tcPr>
          <w:p w14:paraId="74E17568"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2730,2 (0,0-9528,6)</w:t>
            </w:r>
          </w:p>
        </w:tc>
        <w:tc>
          <w:tcPr>
            <w:tcW w:w="2409" w:type="dxa"/>
            <w:vAlign w:val="center"/>
          </w:tcPr>
          <w:p w14:paraId="0861FC2A"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8918 (0-30231)</w:t>
            </w:r>
          </w:p>
        </w:tc>
        <w:tc>
          <w:tcPr>
            <w:tcW w:w="2552" w:type="dxa"/>
            <w:vAlign w:val="center"/>
          </w:tcPr>
          <w:p w14:paraId="32138198" w14:textId="77777777" w:rsidR="00C214DC" w:rsidRPr="009B6F42"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9274,6 (0,0-31440,0)</w:t>
            </w:r>
          </w:p>
        </w:tc>
      </w:tr>
      <w:tr w:rsidR="00C214DC" w:rsidRPr="00AE771E" w14:paraId="045D407A" w14:textId="77777777" w:rsidTr="00D34B76">
        <w:trPr>
          <w:trHeight w:val="409"/>
        </w:trPr>
        <w:tc>
          <w:tcPr>
            <w:tcW w:w="1135" w:type="dxa"/>
          </w:tcPr>
          <w:p w14:paraId="354ECFD3"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1</w:t>
            </w:r>
          </w:p>
        </w:tc>
        <w:tc>
          <w:tcPr>
            <w:tcW w:w="2471" w:type="dxa"/>
            <w:vAlign w:val="center"/>
          </w:tcPr>
          <w:p w14:paraId="2B879889"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10348 (4248-18535)</w:t>
            </w:r>
          </w:p>
        </w:tc>
        <w:tc>
          <w:tcPr>
            <w:tcW w:w="2602" w:type="dxa"/>
            <w:vAlign w:val="center"/>
          </w:tcPr>
          <w:p w14:paraId="0BF3932B"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10992.8  (4512.8-19689.9)</w:t>
            </w:r>
          </w:p>
        </w:tc>
        <w:tc>
          <w:tcPr>
            <w:tcW w:w="2314" w:type="dxa"/>
            <w:vAlign w:val="center"/>
          </w:tcPr>
          <w:p w14:paraId="1A619278"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2352 (1042-4051)</w:t>
            </w:r>
          </w:p>
        </w:tc>
        <w:tc>
          <w:tcPr>
            <w:tcW w:w="2252" w:type="dxa"/>
            <w:vAlign w:val="center"/>
          </w:tcPr>
          <w:p w14:paraId="2C3CC1C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2499,0 (1107,3-4302,8)</w:t>
            </w:r>
          </w:p>
        </w:tc>
        <w:tc>
          <w:tcPr>
            <w:tcW w:w="2409" w:type="dxa"/>
            <w:vAlign w:val="center"/>
          </w:tcPr>
          <w:p w14:paraId="31E22A3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7996 (3206-14485)</w:t>
            </w:r>
          </w:p>
        </w:tc>
        <w:tc>
          <w:tcPr>
            <w:tcW w:w="2552" w:type="dxa"/>
            <w:vAlign w:val="center"/>
          </w:tcPr>
          <w:p w14:paraId="4C7A215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8493,7 (3405,5-15386,5)</w:t>
            </w:r>
          </w:p>
        </w:tc>
      </w:tr>
      <w:tr w:rsidR="00C214DC" w:rsidRPr="00AE771E" w14:paraId="0956A1C2" w14:textId="77777777" w:rsidTr="00D34B76">
        <w:trPr>
          <w:trHeight w:val="409"/>
        </w:trPr>
        <w:tc>
          <w:tcPr>
            <w:tcW w:w="1135" w:type="dxa"/>
          </w:tcPr>
          <w:p w14:paraId="087F3B33"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2</w:t>
            </w:r>
          </w:p>
        </w:tc>
        <w:tc>
          <w:tcPr>
            <w:tcW w:w="2471" w:type="dxa"/>
            <w:vAlign w:val="center"/>
          </w:tcPr>
          <w:p w14:paraId="140ED3D2"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17259 (8776-26759)</w:t>
            </w:r>
          </w:p>
        </w:tc>
        <w:tc>
          <w:tcPr>
            <w:tcW w:w="2602" w:type="dxa"/>
            <w:vAlign w:val="center"/>
          </w:tcPr>
          <w:p w14:paraId="17E0CCE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18360.5 (9336.3-28466.4)</w:t>
            </w:r>
          </w:p>
        </w:tc>
        <w:tc>
          <w:tcPr>
            <w:tcW w:w="2314" w:type="dxa"/>
            <w:vAlign w:val="center"/>
          </w:tcPr>
          <w:p w14:paraId="262244F7"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3924 (2042-5860)</w:t>
            </w:r>
          </w:p>
        </w:tc>
        <w:tc>
          <w:tcPr>
            <w:tcW w:w="2252" w:type="dxa"/>
            <w:vAlign w:val="center"/>
          </w:tcPr>
          <w:p w14:paraId="0BBC794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4175,0 (2172,5-6233,4)</w:t>
            </w:r>
          </w:p>
        </w:tc>
        <w:tc>
          <w:tcPr>
            <w:tcW w:w="2409" w:type="dxa"/>
            <w:vAlign w:val="center"/>
          </w:tcPr>
          <w:p w14:paraId="5886099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13334 (6734-20899)</w:t>
            </w:r>
          </w:p>
        </w:tc>
        <w:tc>
          <w:tcPr>
            <w:tcW w:w="2552" w:type="dxa"/>
            <w:vAlign w:val="center"/>
          </w:tcPr>
          <w:p w14:paraId="292B9DE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14185,5 (7163,6-) 22231,7</w:t>
            </w:r>
          </w:p>
        </w:tc>
      </w:tr>
      <w:tr w:rsidR="00C214DC" w:rsidRPr="00AE771E" w14:paraId="4288A8BB" w14:textId="77777777" w:rsidTr="00D34B76">
        <w:trPr>
          <w:trHeight w:val="409"/>
        </w:trPr>
        <w:tc>
          <w:tcPr>
            <w:tcW w:w="1135" w:type="dxa"/>
          </w:tcPr>
          <w:p w14:paraId="5B885156"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3</w:t>
            </w:r>
          </w:p>
        </w:tc>
        <w:tc>
          <w:tcPr>
            <w:tcW w:w="2471" w:type="dxa"/>
            <w:vAlign w:val="center"/>
          </w:tcPr>
          <w:p w14:paraId="17A5437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8737 (4066-14378)</w:t>
            </w:r>
          </w:p>
        </w:tc>
        <w:tc>
          <w:tcPr>
            <w:tcW w:w="2602" w:type="dxa"/>
            <w:vAlign w:val="center"/>
          </w:tcPr>
          <w:p w14:paraId="3A1AAD7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9308.9 (4332.3-15318.6)</w:t>
            </w:r>
          </w:p>
        </w:tc>
        <w:tc>
          <w:tcPr>
            <w:tcW w:w="2314" w:type="dxa"/>
            <w:vAlign w:val="center"/>
          </w:tcPr>
          <w:p w14:paraId="2C7D514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1986 (932 3148)</w:t>
            </w:r>
          </w:p>
        </w:tc>
        <w:tc>
          <w:tcPr>
            <w:tcW w:w="2252" w:type="dxa"/>
            <w:vAlign w:val="center"/>
          </w:tcPr>
          <w:p w14:paraId="5EA4AAB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2116,4 (993,0- 3352,9)</w:t>
            </w:r>
          </w:p>
        </w:tc>
        <w:tc>
          <w:tcPr>
            <w:tcW w:w="2409" w:type="dxa"/>
            <w:vAlign w:val="center"/>
          </w:tcPr>
          <w:p w14:paraId="6E374EEE"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6751 (3134-11230)</w:t>
            </w:r>
          </w:p>
        </w:tc>
        <w:tc>
          <w:tcPr>
            <w:tcW w:w="2552" w:type="dxa"/>
            <w:vAlign w:val="center"/>
          </w:tcPr>
          <w:p w14:paraId="5ADBEFBA"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7192,5( 3338,6-11965,1)</w:t>
            </w:r>
          </w:p>
        </w:tc>
      </w:tr>
      <w:tr w:rsidR="00C214DC" w:rsidRPr="00AE771E" w14:paraId="7D0FFA2F" w14:textId="77777777" w:rsidTr="00D34B76">
        <w:trPr>
          <w:trHeight w:val="409"/>
        </w:trPr>
        <w:tc>
          <w:tcPr>
            <w:tcW w:w="1135" w:type="dxa"/>
          </w:tcPr>
          <w:p w14:paraId="0FBDF8EF"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4</w:t>
            </w:r>
          </w:p>
        </w:tc>
        <w:tc>
          <w:tcPr>
            <w:tcW w:w="2471" w:type="dxa"/>
            <w:vAlign w:val="center"/>
          </w:tcPr>
          <w:p w14:paraId="0603AAFD"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11675 (5769-19465)</w:t>
            </w:r>
          </w:p>
        </w:tc>
        <w:tc>
          <w:tcPr>
            <w:tcW w:w="2602" w:type="dxa"/>
            <w:vAlign w:val="center"/>
          </w:tcPr>
          <w:p w14:paraId="55C36E4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12461.7 (6157.7-20775.9)</w:t>
            </w:r>
          </w:p>
        </w:tc>
        <w:tc>
          <w:tcPr>
            <w:tcW w:w="2314" w:type="dxa"/>
            <w:vAlign w:val="center"/>
          </w:tcPr>
          <w:p w14:paraId="456B30E7"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2654 (1337- 4293)</w:t>
            </w:r>
          </w:p>
        </w:tc>
        <w:tc>
          <w:tcPr>
            <w:tcW w:w="2252" w:type="dxa"/>
            <w:vAlign w:val="center"/>
          </w:tcPr>
          <w:p w14:paraId="3C3FD8D9"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2833,1 (3352,9-4582,1)</w:t>
            </w:r>
          </w:p>
        </w:tc>
        <w:tc>
          <w:tcPr>
            <w:tcW w:w="2409" w:type="dxa"/>
            <w:vAlign w:val="center"/>
          </w:tcPr>
          <w:p w14:paraId="786EC8E2"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9021 (4432- 15172)</w:t>
            </w:r>
          </w:p>
        </w:tc>
        <w:tc>
          <w:tcPr>
            <w:tcW w:w="2552" w:type="dxa"/>
            <w:vAlign w:val="center"/>
          </w:tcPr>
          <w:p w14:paraId="4D1D6DF4"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9628,6 (4730,8-16193,8)</w:t>
            </w:r>
          </w:p>
        </w:tc>
      </w:tr>
      <w:tr w:rsidR="00C214DC" w:rsidRPr="00AE771E" w14:paraId="693E7CC4" w14:textId="77777777" w:rsidTr="00D34B76">
        <w:trPr>
          <w:trHeight w:val="465"/>
        </w:trPr>
        <w:tc>
          <w:tcPr>
            <w:tcW w:w="1135" w:type="dxa"/>
          </w:tcPr>
          <w:p w14:paraId="68FDE764"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5</w:t>
            </w:r>
          </w:p>
        </w:tc>
        <w:tc>
          <w:tcPr>
            <w:tcW w:w="2471" w:type="dxa"/>
            <w:vAlign w:val="center"/>
          </w:tcPr>
          <w:p w14:paraId="6FA2CD27"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5363 (2024-9806)</w:t>
            </w:r>
          </w:p>
        </w:tc>
        <w:tc>
          <w:tcPr>
            <w:tcW w:w="2602" w:type="dxa"/>
            <w:vAlign w:val="center"/>
          </w:tcPr>
          <w:p w14:paraId="53A54B9A"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5734.8 (2164.3-10486.0)</w:t>
            </w:r>
          </w:p>
        </w:tc>
        <w:tc>
          <w:tcPr>
            <w:tcW w:w="2314" w:type="dxa"/>
            <w:vAlign w:val="center"/>
          </w:tcPr>
          <w:p w14:paraId="0752254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1219 (470-2153)</w:t>
            </w:r>
          </w:p>
        </w:tc>
        <w:tc>
          <w:tcPr>
            <w:tcW w:w="2252" w:type="dxa"/>
            <w:vAlign w:val="center"/>
          </w:tcPr>
          <w:p w14:paraId="756D799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1303,7 (502,9-2301,1)</w:t>
            </w:r>
          </w:p>
        </w:tc>
        <w:tc>
          <w:tcPr>
            <w:tcW w:w="2409" w:type="dxa"/>
            <w:vAlign w:val="center"/>
          </w:tcPr>
          <w:p w14:paraId="03DFBEA1"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4144 (1554-7654)</w:t>
            </w:r>
          </w:p>
        </w:tc>
        <w:tc>
          <w:tcPr>
            <w:tcW w:w="2552" w:type="dxa"/>
            <w:vAlign w:val="center"/>
          </w:tcPr>
          <w:p w14:paraId="39A0CF5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4431,1 (1661,5-8184,3)</w:t>
            </w:r>
          </w:p>
        </w:tc>
      </w:tr>
      <w:tr w:rsidR="00C214DC" w:rsidRPr="00AE771E" w14:paraId="4504FEC6" w14:textId="77777777" w:rsidTr="00D34B76">
        <w:trPr>
          <w:trHeight w:val="409"/>
        </w:trPr>
        <w:tc>
          <w:tcPr>
            <w:tcW w:w="1135" w:type="dxa"/>
          </w:tcPr>
          <w:p w14:paraId="1D454E56"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6</w:t>
            </w:r>
          </w:p>
        </w:tc>
        <w:tc>
          <w:tcPr>
            <w:tcW w:w="2471" w:type="dxa"/>
            <w:vAlign w:val="center"/>
          </w:tcPr>
          <w:p w14:paraId="06DAF8A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5667 (2399-9640)</w:t>
            </w:r>
          </w:p>
        </w:tc>
        <w:tc>
          <w:tcPr>
            <w:tcW w:w="2602" w:type="dxa"/>
            <w:vAlign w:val="center"/>
          </w:tcPr>
          <w:p w14:paraId="19812BF5"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6068.1 (2569.1-10323.2)</w:t>
            </w:r>
          </w:p>
        </w:tc>
        <w:tc>
          <w:tcPr>
            <w:tcW w:w="2314" w:type="dxa"/>
            <w:vAlign w:val="center"/>
          </w:tcPr>
          <w:p w14:paraId="0B8005F6"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1288 (539-2141)</w:t>
            </w:r>
          </w:p>
        </w:tc>
        <w:tc>
          <w:tcPr>
            <w:tcW w:w="2252" w:type="dxa"/>
            <w:vAlign w:val="center"/>
          </w:tcPr>
          <w:p w14:paraId="49716B6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1379,3 (577,0-2292,3)</w:t>
            </w:r>
          </w:p>
        </w:tc>
        <w:tc>
          <w:tcPr>
            <w:tcW w:w="2409" w:type="dxa"/>
            <w:vAlign w:val="center"/>
          </w:tcPr>
          <w:p w14:paraId="1F335C97"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4379 (1860- 7500)</w:t>
            </w:r>
          </w:p>
        </w:tc>
        <w:tc>
          <w:tcPr>
            <w:tcW w:w="2552" w:type="dxa"/>
            <w:vAlign w:val="center"/>
          </w:tcPr>
          <w:p w14:paraId="1073C97A"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4688,9 (1991,6-8031,0)</w:t>
            </w:r>
          </w:p>
        </w:tc>
      </w:tr>
      <w:tr w:rsidR="00C214DC" w:rsidRPr="00AE771E" w14:paraId="0F670E38" w14:textId="77777777" w:rsidTr="00D34B76">
        <w:trPr>
          <w:trHeight w:val="409"/>
        </w:trPr>
        <w:tc>
          <w:tcPr>
            <w:tcW w:w="1135" w:type="dxa"/>
          </w:tcPr>
          <w:p w14:paraId="6BAEC745"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7</w:t>
            </w:r>
          </w:p>
        </w:tc>
        <w:tc>
          <w:tcPr>
            <w:tcW w:w="2471" w:type="dxa"/>
            <w:vAlign w:val="center"/>
          </w:tcPr>
          <w:p w14:paraId="2B1F9E00"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6760 (3213-11344)</w:t>
            </w:r>
          </w:p>
        </w:tc>
        <w:tc>
          <w:tcPr>
            <w:tcW w:w="2602" w:type="dxa"/>
            <w:vAlign w:val="center"/>
          </w:tcPr>
          <w:p w14:paraId="76FD2A42"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7249.8 (3445.5-12166.6)</w:t>
            </w:r>
          </w:p>
        </w:tc>
        <w:tc>
          <w:tcPr>
            <w:tcW w:w="2314" w:type="dxa"/>
            <w:vAlign w:val="center"/>
          </w:tcPr>
          <w:p w14:paraId="694B1205"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1535 (723-2508)</w:t>
            </w:r>
          </w:p>
        </w:tc>
        <w:tc>
          <w:tcPr>
            <w:tcW w:w="2252" w:type="dxa"/>
            <w:vAlign w:val="center"/>
          </w:tcPr>
          <w:p w14:paraId="7FFF4751"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1646,5 (774,7-2689,4)</w:t>
            </w:r>
          </w:p>
        </w:tc>
        <w:tc>
          <w:tcPr>
            <w:tcW w:w="2409" w:type="dxa"/>
            <w:vAlign w:val="center"/>
          </w:tcPr>
          <w:p w14:paraId="7F5FF824"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5225 (2490-8837)</w:t>
            </w:r>
          </w:p>
        </w:tc>
        <w:tc>
          <w:tcPr>
            <w:tcW w:w="2552" w:type="dxa"/>
            <w:vAlign w:val="center"/>
          </w:tcPr>
          <w:p w14:paraId="1FBF77E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5603,3 (2669,6- 9477,1)</w:t>
            </w:r>
          </w:p>
        </w:tc>
      </w:tr>
      <w:tr w:rsidR="00C214DC" w:rsidRPr="00AE771E" w14:paraId="7A515132" w14:textId="77777777" w:rsidTr="00D34B76">
        <w:trPr>
          <w:trHeight w:val="409"/>
        </w:trPr>
        <w:tc>
          <w:tcPr>
            <w:tcW w:w="1135" w:type="dxa"/>
          </w:tcPr>
          <w:p w14:paraId="7F992A25"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8</w:t>
            </w:r>
          </w:p>
        </w:tc>
        <w:tc>
          <w:tcPr>
            <w:tcW w:w="2471" w:type="dxa"/>
            <w:vAlign w:val="center"/>
          </w:tcPr>
          <w:p w14:paraId="31F2C94D" w14:textId="77777777" w:rsidR="00C214DC" w:rsidRPr="00444D64" w:rsidRDefault="00C214DC" w:rsidP="00D34B76">
            <w:pPr>
              <w:spacing w:line="276" w:lineRule="auto"/>
              <w:jc w:val="center"/>
            </w:pPr>
            <w:r>
              <w:rPr>
                <w:rFonts w:ascii="Calibri" w:hAnsi="Calibri" w:cs="Calibri"/>
                <w:color w:val="000000"/>
                <w:sz w:val="20"/>
                <w:szCs w:val="20"/>
              </w:rPr>
              <w:t>4343 (1588-7824)</w:t>
            </w:r>
          </w:p>
        </w:tc>
        <w:tc>
          <w:tcPr>
            <w:tcW w:w="2602" w:type="dxa"/>
            <w:vAlign w:val="center"/>
          </w:tcPr>
          <w:p w14:paraId="4A214C30"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4664.0 (1705.2- 8402.6)</w:t>
            </w:r>
          </w:p>
        </w:tc>
        <w:tc>
          <w:tcPr>
            <w:tcW w:w="2314" w:type="dxa"/>
            <w:vAlign w:val="center"/>
          </w:tcPr>
          <w:p w14:paraId="7A74B6A2"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988 (365-1766)</w:t>
            </w:r>
          </w:p>
        </w:tc>
        <w:tc>
          <w:tcPr>
            <w:tcW w:w="2252" w:type="dxa"/>
            <w:vAlign w:val="center"/>
          </w:tcPr>
          <w:p w14:paraId="6A8F65F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1061,1 (391,2-1896,4)</w:t>
            </w:r>
          </w:p>
        </w:tc>
        <w:tc>
          <w:tcPr>
            <w:tcW w:w="2409" w:type="dxa"/>
            <w:vAlign w:val="center"/>
          </w:tcPr>
          <w:p w14:paraId="1A471A49"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3355 (1223-6058)</w:t>
            </w:r>
          </w:p>
        </w:tc>
        <w:tc>
          <w:tcPr>
            <w:tcW w:w="2552" w:type="dxa"/>
            <w:vAlign w:val="center"/>
          </w:tcPr>
          <w:p w14:paraId="34C8116D"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3602,8 (1313,5-6505,6)</w:t>
            </w:r>
          </w:p>
        </w:tc>
      </w:tr>
      <w:tr w:rsidR="00C214DC" w:rsidRPr="00AE771E" w14:paraId="7AF76FEC" w14:textId="77777777" w:rsidTr="00D34B76">
        <w:trPr>
          <w:trHeight w:val="409"/>
        </w:trPr>
        <w:tc>
          <w:tcPr>
            <w:tcW w:w="1135" w:type="dxa"/>
          </w:tcPr>
          <w:p w14:paraId="1CA4D9C3"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9</w:t>
            </w:r>
          </w:p>
        </w:tc>
        <w:tc>
          <w:tcPr>
            <w:tcW w:w="2471" w:type="dxa"/>
            <w:vAlign w:val="center"/>
          </w:tcPr>
          <w:p w14:paraId="7B42C535"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7461 (3990-11472)</w:t>
            </w:r>
          </w:p>
        </w:tc>
        <w:tc>
          <w:tcPr>
            <w:tcW w:w="2602" w:type="dxa"/>
            <w:vAlign w:val="center"/>
          </w:tcPr>
          <w:p w14:paraId="4B948B5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8024.9 (4291.7-12338.2)</w:t>
            </w:r>
          </w:p>
        </w:tc>
        <w:tc>
          <w:tcPr>
            <w:tcW w:w="2314" w:type="dxa"/>
            <w:vAlign w:val="center"/>
          </w:tcPr>
          <w:p w14:paraId="1CB3A4F0"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1696 (918- 2485)</w:t>
            </w:r>
          </w:p>
        </w:tc>
        <w:tc>
          <w:tcPr>
            <w:tcW w:w="2252" w:type="dxa"/>
            <w:vAlign w:val="center"/>
          </w:tcPr>
          <w:p w14:paraId="32CB5478"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1824,5 (986,3-2672,4)</w:t>
            </w:r>
          </w:p>
        </w:tc>
        <w:tc>
          <w:tcPr>
            <w:tcW w:w="2409" w:type="dxa"/>
            <w:vAlign w:val="center"/>
          </w:tcPr>
          <w:p w14:paraId="3D744BC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5765 (3073-8987)</w:t>
            </w:r>
          </w:p>
        </w:tc>
        <w:tc>
          <w:tcPr>
            <w:tcW w:w="2552" w:type="dxa"/>
            <w:vAlign w:val="center"/>
          </w:tcPr>
          <w:p w14:paraId="318CA089"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6200,4 (3304,7-9665,3)</w:t>
            </w:r>
          </w:p>
        </w:tc>
      </w:tr>
      <w:tr w:rsidR="00C214DC" w:rsidRPr="00AE771E" w14:paraId="3D67C783" w14:textId="77777777" w:rsidTr="00D34B76">
        <w:trPr>
          <w:trHeight w:val="409"/>
        </w:trPr>
        <w:tc>
          <w:tcPr>
            <w:tcW w:w="1135" w:type="dxa"/>
          </w:tcPr>
          <w:p w14:paraId="018DADDE"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10</w:t>
            </w:r>
          </w:p>
        </w:tc>
        <w:tc>
          <w:tcPr>
            <w:tcW w:w="2471" w:type="dxa"/>
            <w:vAlign w:val="center"/>
          </w:tcPr>
          <w:p w14:paraId="3353DE50"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4241 (1821-7567)</w:t>
            </w:r>
          </w:p>
        </w:tc>
        <w:tc>
          <w:tcPr>
            <w:tcW w:w="2602" w:type="dxa"/>
            <w:vAlign w:val="center"/>
          </w:tcPr>
          <w:p w14:paraId="3384738A"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4571.0 (1962.3-8155.5)</w:t>
            </w:r>
          </w:p>
        </w:tc>
        <w:tc>
          <w:tcPr>
            <w:tcW w:w="2314" w:type="dxa"/>
            <w:vAlign w:val="center"/>
          </w:tcPr>
          <w:p w14:paraId="7B513741"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963 (439-1671)</w:t>
            </w:r>
          </w:p>
        </w:tc>
        <w:tc>
          <w:tcPr>
            <w:tcW w:w="2252" w:type="dxa"/>
            <w:vAlign w:val="center"/>
          </w:tcPr>
          <w:p w14:paraId="75C1B10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1038,4 (472,8-1800,0)</w:t>
            </w:r>
          </w:p>
        </w:tc>
        <w:tc>
          <w:tcPr>
            <w:tcW w:w="2409" w:type="dxa"/>
            <w:vAlign w:val="center"/>
          </w:tcPr>
          <w:p w14:paraId="22B2790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3278 (1382-5896)</w:t>
            </w:r>
          </w:p>
        </w:tc>
        <w:tc>
          <w:tcPr>
            <w:tcW w:w="2552" w:type="dxa"/>
            <w:vAlign w:val="center"/>
          </w:tcPr>
          <w:p w14:paraId="33D9964D"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3532,6 (1489,5-6354,2)</w:t>
            </w:r>
          </w:p>
        </w:tc>
      </w:tr>
      <w:tr w:rsidR="00C214DC" w:rsidRPr="00AE771E" w14:paraId="7CD83532" w14:textId="77777777" w:rsidTr="00D34B76">
        <w:trPr>
          <w:trHeight w:val="287"/>
        </w:trPr>
        <w:tc>
          <w:tcPr>
            <w:tcW w:w="1135" w:type="dxa"/>
          </w:tcPr>
          <w:p w14:paraId="515DC7A1"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11</w:t>
            </w:r>
          </w:p>
        </w:tc>
        <w:tc>
          <w:tcPr>
            <w:tcW w:w="2471" w:type="dxa"/>
            <w:vAlign w:val="center"/>
          </w:tcPr>
          <w:p w14:paraId="15C03991"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4506 (1827-7637)</w:t>
            </w:r>
          </w:p>
        </w:tc>
        <w:tc>
          <w:tcPr>
            <w:tcW w:w="2602" w:type="dxa"/>
            <w:vAlign w:val="center"/>
          </w:tcPr>
          <w:p w14:paraId="0A6D2D7F"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4873.1 (1976.2-8259.0)</w:t>
            </w:r>
          </w:p>
        </w:tc>
        <w:tc>
          <w:tcPr>
            <w:tcW w:w="2314" w:type="dxa"/>
            <w:vAlign w:val="center"/>
          </w:tcPr>
          <w:p w14:paraId="19770EFF"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1024 (421-1685)</w:t>
            </w:r>
          </w:p>
        </w:tc>
        <w:tc>
          <w:tcPr>
            <w:tcW w:w="2252" w:type="dxa"/>
            <w:vAlign w:val="center"/>
          </w:tcPr>
          <w:p w14:paraId="07870669"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1107,3 (455,0-1821,8)</w:t>
            </w:r>
          </w:p>
        </w:tc>
        <w:tc>
          <w:tcPr>
            <w:tcW w:w="2409" w:type="dxa"/>
            <w:vAlign w:val="center"/>
          </w:tcPr>
          <w:p w14:paraId="620D9F58"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3482 (1407-5952)</w:t>
            </w:r>
          </w:p>
        </w:tc>
        <w:tc>
          <w:tcPr>
            <w:tcW w:w="2552" w:type="dxa"/>
            <w:vAlign w:val="center"/>
          </w:tcPr>
          <w:p w14:paraId="3FA6CB7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3765,9 (1521,2-6436,6)</w:t>
            </w:r>
          </w:p>
        </w:tc>
      </w:tr>
      <w:tr w:rsidR="00C214DC" w:rsidRPr="00AE771E" w14:paraId="40F09D59" w14:textId="77777777" w:rsidTr="00D34B76">
        <w:trPr>
          <w:trHeight w:val="409"/>
        </w:trPr>
        <w:tc>
          <w:tcPr>
            <w:tcW w:w="1135" w:type="dxa"/>
          </w:tcPr>
          <w:p w14:paraId="0D7DBC5F"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12-14</w:t>
            </w:r>
          </w:p>
        </w:tc>
        <w:tc>
          <w:tcPr>
            <w:tcW w:w="2471" w:type="dxa"/>
            <w:vAlign w:val="center"/>
          </w:tcPr>
          <w:p w14:paraId="2BB05012"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33621 (19584-50774)</w:t>
            </w:r>
          </w:p>
        </w:tc>
        <w:tc>
          <w:tcPr>
            <w:tcW w:w="2602" w:type="dxa"/>
            <w:vAlign w:val="center"/>
          </w:tcPr>
          <w:p w14:paraId="25FC87ED"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11935.2 (6952.2-18024.5)</w:t>
            </w:r>
          </w:p>
        </w:tc>
        <w:tc>
          <w:tcPr>
            <w:tcW w:w="2314" w:type="dxa"/>
            <w:vAlign w:val="center"/>
          </w:tcPr>
          <w:p w14:paraId="63F74A37"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7645  (4565-11116)</w:t>
            </w:r>
          </w:p>
        </w:tc>
        <w:tc>
          <w:tcPr>
            <w:tcW w:w="2252" w:type="dxa"/>
            <w:vAlign w:val="center"/>
          </w:tcPr>
          <w:p w14:paraId="20E705E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2713,8 (1581,0-3945,8)</w:t>
            </w:r>
          </w:p>
        </w:tc>
        <w:tc>
          <w:tcPr>
            <w:tcW w:w="2409" w:type="dxa"/>
            <w:vAlign w:val="center"/>
          </w:tcPr>
          <w:p w14:paraId="59D98A2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25976 (15019-39659)</w:t>
            </w:r>
          </w:p>
        </w:tc>
        <w:tc>
          <w:tcPr>
            <w:tcW w:w="2552" w:type="dxa"/>
            <w:vAlign w:val="center"/>
          </w:tcPr>
          <w:p w14:paraId="09955528"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9221,3 (5331,6- 14078,6)</w:t>
            </w:r>
          </w:p>
        </w:tc>
      </w:tr>
      <w:tr w:rsidR="00C214DC" w:rsidRPr="00AE771E" w14:paraId="3D26C8C8" w14:textId="77777777" w:rsidTr="00D34B76">
        <w:trPr>
          <w:trHeight w:val="409"/>
        </w:trPr>
        <w:tc>
          <w:tcPr>
            <w:tcW w:w="1135" w:type="dxa"/>
          </w:tcPr>
          <w:p w14:paraId="69D1338D"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15-17</w:t>
            </w:r>
          </w:p>
        </w:tc>
        <w:tc>
          <w:tcPr>
            <w:tcW w:w="2471" w:type="dxa"/>
            <w:vAlign w:val="center"/>
          </w:tcPr>
          <w:p w14:paraId="19B3885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22157 (11305-36639)</w:t>
            </w:r>
          </w:p>
        </w:tc>
        <w:tc>
          <w:tcPr>
            <w:tcW w:w="2602" w:type="dxa"/>
            <w:vAlign w:val="center"/>
          </w:tcPr>
          <w:p w14:paraId="1782E6A0"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7865.4 (4013.1-13006.5)</w:t>
            </w:r>
          </w:p>
        </w:tc>
        <w:tc>
          <w:tcPr>
            <w:tcW w:w="2314" w:type="dxa"/>
            <w:vAlign w:val="center"/>
          </w:tcPr>
          <w:p w14:paraId="13D63A41"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5036 (2508-7893)</w:t>
            </w:r>
          </w:p>
        </w:tc>
        <w:tc>
          <w:tcPr>
            <w:tcW w:w="2252" w:type="dxa"/>
            <w:vAlign w:val="center"/>
          </w:tcPr>
          <w:p w14:paraId="1C8596F3"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1787,9 (890,5-2801,5)</w:t>
            </w:r>
          </w:p>
        </w:tc>
        <w:tc>
          <w:tcPr>
            <w:tcW w:w="2409" w:type="dxa"/>
            <w:vAlign w:val="center"/>
          </w:tcPr>
          <w:p w14:paraId="4BFC98C1"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17120 (8796-28746)</w:t>
            </w:r>
          </w:p>
        </w:tc>
        <w:tc>
          <w:tcPr>
            <w:tcW w:w="2552" w:type="dxa"/>
            <w:vAlign w:val="center"/>
          </w:tcPr>
          <w:p w14:paraId="347D11F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6077,5 (3122,5-10204,5)</w:t>
            </w:r>
          </w:p>
        </w:tc>
      </w:tr>
      <w:tr w:rsidR="00C214DC" w:rsidRPr="00AE771E" w14:paraId="20A977C1" w14:textId="77777777" w:rsidTr="00D34B76">
        <w:trPr>
          <w:trHeight w:val="409"/>
        </w:trPr>
        <w:tc>
          <w:tcPr>
            <w:tcW w:w="1135" w:type="dxa"/>
          </w:tcPr>
          <w:p w14:paraId="13F18643"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18-20</w:t>
            </w:r>
          </w:p>
        </w:tc>
        <w:tc>
          <w:tcPr>
            <w:tcW w:w="2471" w:type="dxa"/>
            <w:vAlign w:val="center"/>
          </w:tcPr>
          <w:p w14:paraId="33B87781"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23832 (12778-37462)</w:t>
            </w:r>
          </w:p>
        </w:tc>
        <w:tc>
          <w:tcPr>
            <w:tcW w:w="2602" w:type="dxa"/>
            <w:vAlign w:val="center"/>
          </w:tcPr>
          <w:p w14:paraId="46CD6E6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8460.4 (4535.9-13298.9)</w:t>
            </w:r>
          </w:p>
        </w:tc>
        <w:tc>
          <w:tcPr>
            <w:tcW w:w="2314" w:type="dxa"/>
            <w:vAlign w:val="center"/>
          </w:tcPr>
          <w:p w14:paraId="521207EA"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5418 (2993-8145)</w:t>
            </w:r>
          </w:p>
        </w:tc>
        <w:tc>
          <w:tcPr>
            <w:tcW w:w="2252" w:type="dxa"/>
            <w:vAlign w:val="center"/>
          </w:tcPr>
          <w:p w14:paraId="18C67E51"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1923,5 (1062,1-2891,4)</w:t>
            </w:r>
          </w:p>
        </w:tc>
        <w:tc>
          <w:tcPr>
            <w:tcW w:w="2409" w:type="dxa"/>
            <w:vAlign w:val="center"/>
          </w:tcPr>
          <w:p w14:paraId="11E8A8E5"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18414 (9785-29317)</w:t>
            </w:r>
          </w:p>
        </w:tc>
        <w:tc>
          <w:tcPr>
            <w:tcW w:w="2552" w:type="dxa"/>
            <w:vAlign w:val="center"/>
          </w:tcPr>
          <w:p w14:paraId="25A406E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6536,9 (3473,5-10407,4)</w:t>
            </w:r>
          </w:p>
        </w:tc>
      </w:tr>
      <w:tr w:rsidR="00C214DC" w:rsidRPr="00AE771E" w14:paraId="4C3D6B70" w14:textId="77777777" w:rsidTr="00D34B76">
        <w:trPr>
          <w:trHeight w:val="409"/>
        </w:trPr>
        <w:tc>
          <w:tcPr>
            <w:tcW w:w="1135" w:type="dxa"/>
          </w:tcPr>
          <w:p w14:paraId="2063E48F"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lastRenderedPageBreak/>
              <w:t>21-23</w:t>
            </w:r>
          </w:p>
        </w:tc>
        <w:tc>
          <w:tcPr>
            <w:tcW w:w="2471" w:type="dxa"/>
            <w:vAlign w:val="center"/>
          </w:tcPr>
          <w:p w14:paraId="3343F354"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28903 (12127-49316)</w:t>
            </w:r>
          </w:p>
        </w:tc>
        <w:tc>
          <w:tcPr>
            <w:tcW w:w="2602" w:type="dxa"/>
            <w:vAlign w:val="center"/>
          </w:tcPr>
          <w:p w14:paraId="50DAABE4"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10260.5 (4305.1 17507.0)</w:t>
            </w:r>
          </w:p>
        </w:tc>
        <w:tc>
          <w:tcPr>
            <w:tcW w:w="2314" w:type="dxa"/>
            <w:vAlign w:val="center"/>
          </w:tcPr>
          <w:p w14:paraId="70012384"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6570 (2748-10924)</w:t>
            </w:r>
          </w:p>
        </w:tc>
        <w:tc>
          <w:tcPr>
            <w:tcW w:w="2252" w:type="dxa"/>
            <w:vAlign w:val="center"/>
          </w:tcPr>
          <w:p w14:paraId="76BC690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2332,3  (975,6-3877,8)</w:t>
            </w:r>
          </w:p>
        </w:tc>
        <w:tc>
          <w:tcPr>
            <w:tcW w:w="2409" w:type="dxa"/>
            <w:vAlign w:val="center"/>
          </w:tcPr>
          <w:p w14:paraId="3516F95B"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22333 (9379-38392)</w:t>
            </w:r>
          </w:p>
        </w:tc>
        <w:tc>
          <w:tcPr>
            <w:tcW w:w="2552" w:type="dxa"/>
            <w:vAlign w:val="center"/>
          </w:tcPr>
          <w:p w14:paraId="4D68E59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7928,2 (3329,5-13628,9)</w:t>
            </w:r>
          </w:p>
        </w:tc>
      </w:tr>
      <w:tr w:rsidR="00C214DC" w:rsidRPr="00AE771E" w14:paraId="58900403" w14:textId="77777777" w:rsidTr="00D34B76">
        <w:trPr>
          <w:trHeight w:val="409"/>
        </w:trPr>
        <w:tc>
          <w:tcPr>
            <w:tcW w:w="1135" w:type="dxa"/>
          </w:tcPr>
          <w:p w14:paraId="6B4F7264"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24-35</w:t>
            </w:r>
          </w:p>
        </w:tc>
        <w:tc>
          <w:tcPr>
            <w:tcW w:w="2471" w:type="dxa"/>
            <w:vAlign w:val="center"/>
          </w:tcPr>
          <w:p w14:paraId="61E443D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32177 (21840-44569)</w:t>
            </w:r>
          </w:p>
        </w:tc>
        <w:tc>
          <w:tcPr>
            <w:tcW w:w="2602" w:type="dxa"/>
            <w:vAlign w:val="center"/>
          </w:tcPr>
          <w:p w14:paraId="0D0B5CF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2860.9 (1941.8-3962.7)</w:t>
            </w:r>
          </w:p>
        </w:tc>
        <w:tc>
          <w:tcPr>
            <w:tcW w:w="2314" w:type="dxa"/>
            <w:vAlign w:val="center"/>
          </w:tcPr>
          <w:p w14:paraId="07F9F248"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7313 (5211-9548)</w:t>
            </w:r>
          </w:p>
        </w:tc>
        <w:tc>
          <w:tcPr>
            <w:tcW w:w="2252" w:type="dxa"/>
            <w:vAlign w:val="center"/>
          </w:tcPr>
          <w:p w14:paraId="1AD06E61"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650,2 (463,3-848,9)</w:t>
            </w:r>
          </w:p>
        </w:tc>
        <w:tc>
          <w:tcPr>
            <w:tcW w:w="2409" w:type="dxa"/>
            <w:vAlign w:val="center"/>
          </w:tcPr>
          <w:p w14:paraId="492737E2"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24864 (16658-35082)</w:t>
            </w:r>
          </w:p>
        </w:tc>
        <w:tc>
          <w:tcPr>
            <w:tcW w:w="2552" w:type="dxa"/>
            <w:vAlign w:val="center"/>
          </w:tcPr>
          <w:p w14:paraId="0097BF3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2214,5 (1481,0-3119,2)</w:t>
            </w:r>
          </w:p>
        </w:tc>
      </w:tr>
      <w:tr w:rsidR="00C214DC" w:rsidRPr="00AE771E" w14:paraId="7D4D75BB" w14:textId="77777777" w:rsidTr="00D34B76">
        <w:trPr>
          <w:trHeight w:val="409"/>
        </w:trPr>
        <w:tc>
          <w:tcPr>
            <w:tcW w:w="1135" w:type="dxa"/>
          </w:tcPr>
          <w:p w14:paraId="27F6CF2B"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36-47</w:t>
            </w:r>
          </w:p>
        </w:tc>
        <w:tc>
          <w:tcPr>
            <w:tcW w:w="2471" w:type="dxa"/>
            <w:vAlign w:val="center"/>
          </w:tcPr>
          <w:p w14:paraId="42766F06"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19704 (12678-27630)</w:t>
            </w:r>
          </w:p>
        </w:tc>
        <w:tc>
          <w:tcPr>
            <w:tcW w:w="2602" w:type="dxa"/>
            <w:vAlign w:val="center"/>
          </w:tcPr>
          <w:p w14:paraId="548E212E"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1799.4 (157.7-2523.1)</w:t>
            </w:r>
          </w:p>
        </w:tc>
        <w:tc>
          <w:tcPr>
            <w:tcW w:w="2314" w:type="dxa"/>
            <w:vAlign w:val="center"/>
          </w:tcPr>
          <w:p w14:paraId="6B9BC00B"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4474 (2960-6031)</w:t>
            </w:r>
          </w:p>
        </w:tc>
        <w:tc>
          <w:tcPr>
            <w:tcW w:w="2252" w:type="dxa"/>
            <w:vAlign w:val="center"/>
          </w:tcPr>
          <w:p w14:paraId="51235A22"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408,6 (270,4-550,7)</w:t>
            </w:r>
          </w:p>
        </w:tc>
        <w:tc>
          <w:tcPr>
            <w:tcW w:w="2409" w:type="dxa"/>
            <w:vAlign w:val="center"/>
          </w:tcPr>
          <w:p w14:paraId="5445B92B"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15230 (9717-21599)</w:t>
            </w:r>
          </w:p>
        </w:tc>
        <w:tc>
          <w:tcPr>
            <w:tcW w:w="2552" w:type="dxa"/>
            <w:vAlign w:val="center"/>
          </w:tcPr>
          <w:p w14:paraId="11DD9944"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1390,8 (887,3-1972,4)</w:t>
            </w:r>
          </w:p>
        </w:tc>
      </w:tr>
      <w:tr w:rsidR="00C214DC" w:rsidRPr="00AE771E" w14:paraId="6C4F7FA7" w14:textId="77777777" w:rsidTr="00D34B76">
        <w:trPr>
          <w:trHeight w:val="409"/>
        </w:trPr>
        <w:tc>
          <w:tcPr>
            <w:tcW w:w="1135" w:type="dxa"/>
          </w:tcPr>
          <w:p w14:paraId="1FAA7156" w14:textId="77777777" w:rsidR="00C214DC" w:rsidRPr="00AE771E" w:rsidRDefault="00C214DC" w:rsidP="00D34B76">
            <w:pPr>
              <w:spacing w:line="276" w:lineRule="auto"/>
              <w:jc w:val="both"/>
              <w:rPr>
                <w:rFonts w:asciiTheme="minorHAnsi" w:hAnsiTheme="minorHAnsi" w:cstheme="minorHAnsi"/>
              </w:rPr>
            </w:pPr>
            <w:r w:rsidRPr="00AE771E">
              <w:rPr>
                <w:rFonts w:asciiTheme="minorHAnsi" w:hAnsiTheme="minorHAnsi" w:cstheme="minorHAnsi"/>
              </w:rPr>
              <w:t>48-59</w:t>
            </w:r>
          </w:p>
        </w:tc>
        <w:tc>
          <w:tcPr>
            <w:tcW w:w="2471" w:type="dxa"/>
            <w:vAlign w:val="center"/>
          </w:tcPr>
          <w:p w14:paraId="68CAA105"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14404 (8382-22173)</w:t>
            </w:r>
          </w:p>
        </w:tc>
        <w:tc>
          <w:tcPr>
            <w:tcW w:w="2602" w:type="dxa"/>
            <w:vAlign w:val="center"/>
          </w:tcPr>
          <w:p w14:paraId="4090202C"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1316.0 (765.9-2025.9)</w:t>
            </w:r>
          </w:p>
        </w:tc>
        <w:tc>
          <w:tcPr>
            <w:tcW w:w="2314" w:type="dxa"/>
            <w:vAlign w:val="center"/>
          </w:tcPr>
          <w:p w14:paraId="742F0C47" w14:textId="77777777" w:rsidR="00C214DC" w:rsidRPr="00AE771E" w:rsidRDefault="00C214DC" w:rsidP="00D34B76">
            <w:pPr>
              <w:spacing w:line="276" w:lineRule="auto"/>
              <w:jc w:val="center"/>
              <w:rPr>
                <w:rFonts w:asciiTheme="minorHAnsi" w:hAnsiTheme="minorHAnsi" w:cstheme="minorHAnsi"/>
                <w:bCs/>
              </w:rPr>
            </w:pPr>
            <w:r>
              <w:rPr>
                <w:rFonts w:ascii="Calibri" w:hAnsi="Calibri" w:cs="Calibri"/>
                <w:color w:val="000000"/>
                <w:sz w:val="20"/>
                <w:szCs w:val="20"/>
              </w:rPr>
              <w:t>3271 (2804-4789)</w:t>
            </w:r>
          </w:p>
        </w:tc>
        <w:tc>
          <w:tcPr>
            <w:tcW w:w="2252" w:type="dxa"/>
            <w:vAlign w:val="center"/>
          </w:tcPr>
          <w:p w14:paraId="4BF6E6E5"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298,9 (174,5-437,5)</w:t>
            </w:r>
          </w:p>
        </w:tc>
        <w:tc>
          <w:tcPr>
            <w:tcW w:w="2409" w:type="dxa"/>
            <w:vAlign w:val="center"/>
          </w:tcPr>
          <w:p w14:paraId="5A04B6A2"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11133 (6472-17384)</w:t>
            </w:r>
          </w:p>
        </w:tc>
        <w:tc>
          <w:tcPr>
            <w:tcW w:w="2552" w:type="dxa"/>
            <w:vAlign w:val="center"/>
          </w:tcPr>
          <w:p w14:paraId="01DF3DB8" w14:textId="77777777" w:rsidR="00C214DC" w:rsidRPr="00AE771E" w:rsidRDefault="00C214DC" w:rsidP="00D34B76">
            <w:pPr>
              <w:spacing w:line="276" w:lineRule="auto"/>
              <w:jc w:val="center"/>
              <w:rPr>
                <w:rFonts w:asciiTheme="minorHAnsi" w:hAnsiTheme="minorHAnsi" w:cstheme="minorHAnsi"/>
              </w:rPr>
            </w:pPr>
            <w:r>
              <w:rPr>
                <w:rFonts w:ascii="Calibri" w:hAnsi="Calibri" w:cs="Calibri"/>
                <w:color w:val="000000"/>
                <w:sz w:val="20"/>
                <w:szCs w:val="20"/>
              </w:rPr>
              <w:t>1017,2 (887,3-1588,4)</w:t>
            </w:r>
          </w:p>
        </w:tc>
      </w:tr>
      <w:tr w:rsidR="00C214DC" w:rsidRPr="00AE771E" w14:paraId="0ACE26B3" w14:textId="77777777" w:rsidTr="00D34B76">
        <w:trPr>
          <w:trHeight w:val="409"/>
        </w:trPr>
        <w:tc>
          <w:tcPr>
            <w:tcW w:w="1135" w:type="dxa"/>
          </w:tcPr>
          <w:p w14:paraId="40E11245" w14:textId="77777777" w:rsidR="00C214DC" w:rsidRPr="00AE771E" w:rsidRDefault="00C214DC" w:rsidP="00D34B76">
            <w:pPr>
              <w:spacing w:line="276" w:lineRule="auto"/>
              <w:jc w:val="both"/>
              <w:rPr>
                <w:rFonts w:asciiTheme="minorHAnsi" w:hAnsiTheme="minorHAnsi" w:cstheme="minorHAnsi"/>
              </w:rPr>
            </w:pPr>
            <w:r>
              <w:rPr>
                <w:rFonts w:asciiTheme="minorHAnsi" w:hAnsiTheme="minorHAnsi" w:cstheme="minorHAnsi"/>
              </w:rPr>
              <w:t>&lt; 1 year</w:t>
            </w:r>
          </w:p>
        </w:tc>
        <w:tc>
          <w:tcPr>
            <w:tcW w:w="2471" w:type="dxa"/>
            <w:vAlign w:val="center"/>
          </w:tcPr>
          <w:p w14:paraId="1586C181" w14:textId="77777777" w:rsidR="00C214DC" w:rsidRPr="00686F47" w:rsidRDefault="00C214DC" w:rsidP="00D34B76">
            <w:pPr>
              <w:spacing w:line="276" w:lineRule="auto"/>
              <w:jc w:val="center"/>
              <w:rPr>
                <w:rFonts w:ascii="Calibri" w:hAnsi="Calibri" w:cs="Calibri"/>
                <w:color w:val="000000"/>
                <w:sz w:val="20"/>
                <w:szCs w:val="20"/>
              </w:rPr>
            </w:pPr>
            <w:r w:rsidRPr="00686F47">
              <w:rPr>
                <w:rFonts w:ascii="Calibri" w:hAnsi="Calibri" w:cs="Calibri"/>
                <w:color w:val="000000"/>
                <w:sz w:val="20"/>
                <w:szCs w:val="20"/>
              </w:rPr>
              <w:t>9</w:t>
            </w:r>
            <w:r>
              <w:rPr>
                <w:rFonts w:ascii="Calibri" w:hAnsi="Calibri" w:cs="Calibri"/>
                <w:color w:val="000000"/>
                <w:sz w:val="20"/>
                <w:szCs w:val="20"/>
              </w:rPr>
              <w:t>6783</w:t>
            </w:r>
            <w:r w:rsidRPr="00686F47">
              <w:rPr>
                <w:rFonts w:ascii="Calibri" w:hAnsi="Calibri" w:cs="Calibri"/>
                <w:color w:val="000000"/>
                <w:sz w:val="20"/>
                <w:szCs w:val="20"/>
              </w:rPr>
              <w:t xml:space="preserve"> (3</w:t>
            </w:r>
            <w:r>
              <w:rPr>
                <w:rFonts w:ascii="Calibri" w:hAnsi="Calibri" w:cs="Calibri"/>
                <w:color w:val="000000"/>
                <w:sz w:val="20"/>
                <w:szCs w:val="20"/>
              </w:rPr>
              <w:t>9380</w:t>
            </w:r>
            <w:r w:rsidRPr="00686F47">
              <w:rPr>
                <w:rFonts w:ascii="Calibri" w:hAnsi="Calibri" w:cs="Calibri"/>
                <w:color w:val="000000"/>
                <w:sz w:val="20"/>
                <w:szCs w:val="20"/>
              </w:rPr>
              <w:t>-1</w:t>
            </w:r>
            <w:r>
              <w:rPr>
                <w:rFonts w:ascii="Calibri" w:hAnsi="Calibri" w:cs="Calibri"/>
                <w:color w:val="000000"/>
                <w:sz w:val="20"/>
                <w:szCs w:val="20"/>
              </w:rPr>
              <w:t>81197</w:t>
            </w:r>
            <w:r w:rsidRPr="00686F47">
              <w:rPr>
                <w:rFonts w:ascii="Calibri" w:hAnsi="Calibri" w:cs="Calibri"/>
                <w:color w:val="000000"/>
                <w:sz w:val="20"/>
                <w:szCs w:val="20"/>
              </w:rPr>
              <w:t>)</w:t>
            </w:r>
          </w:p>
        </w:tc>
        <w:tc>
          <w:tcPr>
            <w:tcW w:w="2602" w:type="dxa"/>
            <w:vAlign w:val="center"/>
          </w:tcPr>
          <w:p w14:paraId="6DBA1C92"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8615.7</w:t>
            </w:r>
            <w:r w:rsidRPr="00686F47">
              <w:rPr>
                <w:rFonts w:ascii="Calibri" w:hAnsi="Calibri" w:cs="Calibri"/>
                <w:color w:val="000000"/>
                <w:sz w:val="20"/>
                <w:szCs w:val="20"/>
              </w:rPr>
              <w:t xml:space="preserve"> (3</w:t>
            </w:r>
            <w:r>
              <w:rPr>
                <w:rFonts w:ascii="Calibri" w:hAnsi="Calibri" w:cs="Calibri"/>
                <w:color w:val="000000"/>
                <w:sz w:val="20"/>
                <w:szCs w:val="20"/>
              </w:rPr>
              <w:t>505.7</w:t>
            </w:r>
            <w:r w:rsidRPr="00686F47">
              <w:rPr>
                <w:rFonts w:ascii="Calibri" w:hAnsi="Calibri" w:cs="Calibri"/>
                <w:color w:val="000000"/>
                <w:sz w:val="20"/>
                <w:szCs w:val="20"/>
              </w:rPr>
              <w:t>-</w:t>
            </w:r>
            <w:r>
              <w:rPr>
                <w:rFonts w:ascii="Calibri" w:hAnsi="Calibri" w:cs="Calibri"/>
                <w:color w:val="000000"/>
                <w:sz w:val="20"/>
                <w:szCs w:val="20"/>
              </w:rPr>
              <w:t>16130.4)</w:t>
            </w:r>
          </w:p>
        </w:tc>
        <w:tc>
          <w:tcPr>
            <w:tcW w:w="2314" w:type="dxa"/>
            <w:vAlign w:val="center"/>
          </w:tcPr>
          <w:p w14:paraId="17E6FB69"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22002</w:t>
            </w:r>
            <w:r w:rsidRPr="00686F47">
              <w:rPr>
                <w:rFonts w:ascii="Calibri" w:hAnsi="Calibri" w:cs="Calibri"/>
                <w:color w:val="000000"/>
                <w:sz w:val="20"/>
                <w:szCs w:val="20"/>
              </w:rPr>
              <w:t xml:space="preserve"> (</w:t>
            </w:r>
            <w:r>
              <w:rPr>
                <w:rFonts w:ascii="Calibri" w:hAnsi="Calibri" w:cs="Calibri"/>
                <w:color w:val="000000"/>
                <w:sz w:val="20"/>
                <w:szCs w:val="20"/>
              </w:rPr>
              <w:t>9143</w:t>
            </w:r>
            <w:r w:rsidRPr="00686F47">
              <w:rPr>
                <w:rFonts w:ascii="Calibri" w:hAnsi="Calibri" w:cs="Calibri"/>
                <w:color w:val="000000"/>
                <w:sz w:val="20"/>
                <w:szCs w:val="20"/>
              </w:rPr>
              <w:t>-</w:t>
            </w:r>
            <w:r>
              <w:rPr>
                <w:rFonts w:ascii="Calibri" w:hAnsi="Calibri" w:cs="Calibri"/>
                <w:color w:val="000000"/>
                <w:sz w:val="20"/>
                <w:szCs w:val="20"/>
              </w:rPr>
              <w:t>40327</w:t>
            </w:r>
            <w:r w:rsidRPr="00686F47">
              <w:rPr>
                <w:rFonts w:ascii="Calibri" w:hAnsi="Calibri" w:cs="Calibri"/>
                <w:color w:val="000000"/>
                <w:sz w:val="20"/>
                <w:szCs w:val="20"/>
              </w:rPr>
              <w:t>)</w:t>
            </w:r>
          </w:p>
        </w:tc>
        <w:tc>
          <w:tcPr>
            <w:tcW w:w="2252" w:type="dxa"/>
            <w:vAlign w:val="center"/>
          </w:tcPr>
          <w:p w14:paraId="1347B40E"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1958.6</w:t>
            </w:r>
            <w:r w:rsidRPr="00686F47">
              <w:rPr>
                <w:rFonts w:ascii="Calibri" w:hAnsi="Calibri" w:cs="Calibri"/>
                <w:color w:val="000000"/>
                <w:sz w:val="20"/>
                <w:szCs w:val="20"/>
              </w:rPr>
              <w:t xml:space="preserve"> (</w:t>
            </w:r>
            <w:r>
              <w:rPr>
                <w:rFonts w:ascii="Calibri" w:hAnsi="Calibri" w:cs="Calibri"/>
                <w:color w:val="000000"/>
                <w:sz w:val="20"/>
                <w:szCs w:val="20"/>
              </w:rPr>
              <w:t>813.9-3590.0</w:t>
            </w:r>
            <w:r w:rsidRPr="00686F47">
              <w:rPr>
                <w:rFonts w:ascii="Calibri" w:hAnsi="Calibri" w:cs="Calibri"/>
                <w:color w:val="000000"/>
                <w:sz w:val="20"/>
                <w:szCs w:val="20"/>
              </w:rPr>
              <w:t>)</w:t>
            </w:r>
          </w:p>
        </w:tc>
        <w:tc>
          <w:tcPr>
            <w:tcW w:w="2409" w:type="dxa"/>
            <w:vAlign w:val="center"/>
          </w:tcPr>
          <w:p w14:paraId="40D32672"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74781</w:t>
            </w:r>
            <w:r w:rsidRPr="00686F47">
              <w:rPr>
                <w:rFonts w:ascii="Calibri" w:hAnsi="Calibri" w:cs="Calibri"/>
                <w:color w:val="000000"/>
                <w:sz w:val="20"/>
                <w:szCs w:val="20"/>
              </w:rPr>
              <w:t xml:space="preserve"> (</w:t>
            </w:r>
            <w:r>
              <w:rPr>
                <w:rFonts w:ascii="Calibri" w:hAnsi="Calibri" w:cs="Calibri"/>
                <w:color w:val="000000"/>
                <w:sz w:val="20"/>
                <w:szCs w:val="20"/>
              </w:rPr>
              <w:t>30237</w:t>
            </w:r>
            <w:r w:rsidRPr="00686F47">
              <w:rPr>
                <w:rFonts w:ascii="Calibri" w:hAnsi="Calibri" w:cs="Calibri"/>
                <w:color w:val="000000"/>
                <w:sz w:val="20"/>
                <w:szCs w:val="20"/>
              </w:rPr>
              <w:t>- 1</w:t>
            </w:r>
            <w:r>
              <w:rPr>
                <w:rFonts w:ascii="Calibri" w:hAnsi="Calibri" w:cs="Calibri"/>
                <w:color w:val="000000"/>
                <w:sz w:val="20"/>
                <w:szCs w:val="20"/>
              </w:rPr>
              <w:t>40869</w:t>
            </w:r>
            <w:r w:rsidRPr="00686F47">
              <w:rPr>
                <w:rFonts w:ascii="Calibri" w:hAnsi="Calibri" w:cs="Calibri"/>
                <w:color w:val="000000"/>
                <w:sz w:val="20"/>
                <w:szCs w:val="20"/>
              </w:rPr>
              <w:t>)</w:t>
            </w:r>
          </w:p>
        </w:tc>
        <w:tc>
          <w:tcPr>
            <w:tcW w:w="2552" w:type="dxa"/>
            <w:vAlign w:val="center"/>
          </w:tcPr>
          <w:p w14:paraId="7F76C771"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6657.1</w:t>
            </w:r>
            <w:r w:rsidRPr="00686F47">
              <w:rPr>
                <w:rFonts w:ascii="Calibri" w:hAnsi="Calibri" w:cs="Calibri"/>
                <w:color w:val="000000"/>
                <w:sz w:val="20"/>
                <w:szCs w:val="20"/>
              </w:rPr>
              <w:t xml:space="preserve"> (</w:t>
            </w:r>
            <w:r>
              <w:rPr>
                <w:rFonts w:ascii="Calibri" w:hAnsi="Calibri" w:cs="Calibri"/>
                <w:color w:val="000000"/>
                <w:sz w:val="20"/>
                <w:szCs w:val="20"/>
              </w:rPr>
              <w:t>2691.7</w:t>
            </w:r>
            <w:r w:rsidRPr="00686F47">
              <w:rPr>
                <w:rFonts w:ascii="Calibri" w:hAnsi="Calibri" w:cs="Calibri"/>
                <w:color w:val="000000"/>
                <w:sz w:val="20"/>
                <w:szCs w:val="20"/>
              </w:rPr>
              <w:t>-</w:t>
            </w:r>
            <w:r>
              <w:rPr>
                <w:rFonts w:ascii="Calibri" w:hAnsi="Calibri" w:cs="Calibri"/>
                <w:color w:val="000000"/>
                <w:sz w:val="20"/>
                <w:szCs w:val="20"/>
              </w:rPr>
              <w:t>12540.4</w:t>
            </w:r>
            <w:r w:rsidRPr="00686F47">
              <w:rPr>
                <w:rFonts w:ascii="Calibri" w:hAnsi="Calibri" w:cs="Calibri"/>
                <w:color w:val="000000"/>
                <w:sz w:val="20"/>
                <w:szCs w:val="20"/>
              </w:rPr>
              <w:t>)</w:t>
            </w:r>
          </w:p>
        </w:tc>
      </w:tr>
      <w:tr w:rsidR="00C214DC" w:rsidRPr="00AE771E" w14:paraId="19E64FFE" w14:textId="77777777" w:rsidTr="00D34B76">
        <w:trPr>
          <w:trHeight w:val="409"/>
        </w:trPr>
        <w:tc>
          <w:tcPr>
            <w:tcW w:w="1135" w:type="dxa"/>
          </w:tcPr>
          <w:p w14:paraId="21AF6331" w14:textId="77777777" w:rsidR="00C214DC" w:rsidRPr="00AE771E" w:rsidRDefault="00C214DC" w:rsidP="00D34B76">
            <w:pPr>
              <w:spacing w:line="276" w:lineRule="auto"/>
              <w:jc w:val="both"/>
              <w:rPr>
                <w:rFonts w:asciiTheme="minorHAnsi" w:hAnsiTheme="minorHAnsi" w:cstheme="minorHAnsi"/>
              </w:rPr>
            </w:pPr>
            <w:r>
              <w:rPr>
                <w:rFonts w:asciiTheme="minorHAnsi" w:hAnsiTheme="minorHAnsi" w:cstheme="minorHAnsi"/>
              </w:rPr>
              <w:t>&lt;5 years</w:t>
            </w:r>
          </w:p>
        </w:tc>
        <w:tc>
          <w:tcPr>
            <w:tcW w:w="2471" w:type="dxa"/>
            <w:vAlign w:val="center"/>
          </w:tcPr>
          <w:p w14:paraId="607D1130" w14:textId="77777777" w:rsidR="00C214DC" w:rsidRPr="00686F47" w:rsidRDefault="00C214DC" w:rsidP="00D34B76">
            <w:pPr>
              <w:spacing w:line="276" w:lineRule="auto"/>
              <w:jc w:val="center"/>
              <w:rPr>
                <w:rFonts w:ascii="Calibri" w:hAnsi="Calibri" w:cs="Calibri"/>
                <w:color w:val="000000"/>
                <w:sz w:val="20"/>
                <w:szCs w:val="20"/>
              </w:rPr>
            </w:pPr>
            <w:r w:rsidRPr="00686F47">
              <w:rPr>
                <w:rFonts w:ascii="Calibri" w:hAnsi="Calibri" w:cs="Calibri"/>
                <w:color w:val="000000"/>
                <w:sz w:val="20"/>
                <w:szCs w:val="20"/>
              </w:rPr>
              <w:t>2</w:t>
            </w:r>
            <w:r>
              <w:rPr>
                <w:rFonts w:ascii="Calibri" w:hAnsi="Calibri" w:cs="Calibri"/>
                <w:color w:val="000000"/>
                <w:sz w:val="20"/>
                <w:szCs w:val="20"/>
              </w:rPr>
              <w:t>64112</w:t>
            </w:r>
            <w:r w:rsidRPr="00686F47">
              <w:rPr>
                <w:rFonts w:ascii="Calibri" w:hAnsi="Calibri" w:cs="Calibri"/>
                <w:color w:val="000000"/>
                <w:sz w:val="20"/>
                <w:szCs w:val="20"/>
              </w:rPr>
              <w:t xml:space="preserve"> (1</w:t>
            </w:r>
            <w:r>
              <w:rPr>
                <w:rFonts w:ascii="Calibri" w:hAnsi="Calibri" w:cs="Calibri"/>
                <w:color w:val="000000"/>
                <w:sz w:val="20"/>
                <w:szCs w:val="20"/>
              </w:rPr>
              <w:t>34357</w:t>
            </w:r>
            <w:r w:rsidRPr="00686F47">
              <w:rPr>
                <w:rFonts w:ascii="Calibri" w:hAnsi="Calibri" w:cs="Calibri"/>
                <w:color w:val="000000"/>
                <w:sz w:val="20"/>
                <w:szCs w:val="20"/>
              </w:rPr>
              <w:t xml:space="preserve">-  </w:t>
            </w:r>
            <w:r>
              <w:rPr>
                <w:rFonts w:ascii="Calibri" w:hAnsi="Calibri" w:cs="Calibri"/>
                <w:color w:val="000000"/>
                <w:sz w:val="20"/>
                <w:szCs w:val="20"/>
              </w:rPr>
              <w:t>437187</w:t>
            </w:r>
            <w:r w:rsidRPr="00686F47">
              <w:rPr>
                <w:rFonts w:ascii="Calibri" w:hAnsi="Calibri" w:cs="Calibri"/>
                <w:color w:val="000000"/>
                <w:sz w:val="20"/>
                <w:szCs w:val="20"/>
              </w:rPr>
              <w:t>)</w:t>
            </w:r>
          </w:p>
        </w:tc>
        <w:tc>
          <w:tcPr>
            <w:tcW w:w="2602" w:type="dxa"/>
            <w:vAlign w:val="center"/>
          </w:tcPr>
          <w:p w14:paraId="390935BB"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4746.5</w:t>
            </w:r>
            <w:r w:rsidRPr="00686F47">
              <w:rPr>
                <w:rFonts w:ascii="Calibri" w:hAnsi="Calibri" w:cs="Calibri"/>
                <w:color w:val="000000"/>
                <w:sz w:val="20"/>
                <w:szCs w:val="20"/>
              </w:rPr>
              <w:t xml:space="preserve"> (</w:t>
            </w:r>
            <w:r>
              <w:rPr>
                <w:rFonts w:ascii="Calibri" w:hAnsi="Calibri" w:cs="Calibri"/>
                <w:color w:val="000000"/>
                <w:sz w:val="20"/>
                <w:szCs w:val="20"/>
              </w:rPr>
              <w:t>2414.6</w:t>
            </w:r>
            <w:r w:rsidRPr="00686F47">
              <w:rPr>
                <w:rFonts w:ascii="Calibri" w:hAnsi="Calibri" w:cs="Calibri"/>
                <w:color w:val="000000"/>
                <w:sz w:val="20"/>
                <w:szCs w:val="20"/>
              </w:rPr>
              <w:t>-</w:t>
            </w:r>
            <w:r>
              <w:rPr>
                <w:rFonts w:ascii="Calibri" w:hAnsi="Calibri" w:cs="Calibri"/>
                <w:color w:val="000000"/>
                <w:sz w:val="20"/>
                <w:szCs w:val="20"/>
              </w:rPr>
              <w:t>7856.6</w:t>
            </w:r>
            <w:r w:rsidRPr="00686F47">
              <w:rPr>
                <w:rFonts w:ascii="Calibri" w:hAnsi="Calibri" w:cs="Calibri"/>
                <w:color w:val="000000"/>
                <w:sz w:val="20"/>
                <w:szCs w:val="20"/>
              </w:rPr>
              <w:t>)</w:t>
            </w:r>
          </w:p>
        </w:tc>
        <w:tc>
          <w:tcPr>
            <w:tcW w:w="2314" w:type="dxa"/>
            <w:vAlign w:val="center"/>
          </w:tcPr>
          <w:p w14:paraId="315F11DD"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60032</w:t>
            </w:r>
            <w:r w:rsidRPr="00686F47">
              <w:rPr>
                <w:rFonts w:ascii="Calibri" w:hAnsi="Calibri" w:cs="Calibri"/>
                <w:color w:val="000000"/>
                <w:sz w:val="20"/>
                <w:szCs w:val="20"/>
              </w:rPr>
              <w:t xml:space="preserve"> (</w:t>
            </w:r>
            <w:r>
              <w:rPr>
                <w:rFonts w:ascii="Calibri" w:hAnsi="Calibri" w:cs="Calibri"/>
                <w:color w:val="000000"/>
                <w:sz w:val="20"/>
                <w:szCs w:val="20"/>
              </w:rPr>
              <w:t>31176</w:t>
            </w:r>
            <w:r w:rsidRPr="00686F47">
              <w:rPr>
                <w:rFonts w:ascii="Calibri" w:hAnsi="Calibri" w:cs="Calibri"/>
                <w:color w:val="000000"/>
                <w:sz w:val="20"/>
                <w:szCs w:val="20"/>
              </w:rPr>
              <w:t xml:space="preserve">- </w:t>
            </w:r>
            <w:r>
              <w:rPr>
                <w:rFonts w:ascii="Calibri" w:hAnsi="Calibri" w:cs="Calibri"/>
                <w:color w:val="000000"/>
                <w:sz w:val="20"/>
                <w:szCs w:val="20"/>
              </w:rPr>
              <w:t>96004</w:t>
            </w:r>
            <w:r w:rsidRPr="00686F47">
              <w:rPr>
                <w:rFonts w:ascii="Calibri" w:hAnsi="Calibri" w:cs="Calibri"/>
                <w:color w:val="000000"/>
                <w:sz w:val="20"/>
                <w:szCs w:val="20"/>
              </w:rPr>
              <w:t>)</w:t>
            </w:r>
          </w:p>
        </w:tc>
        <w:tc>
          <w:tcPr>
            <w:tcW w:w="2252" w:type="dxa"/>
            <w:vAlign w:val="center"/>
          </w:tcPr>
          <w:p w14:paraId="273D1757"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1078.8</w:t>
            </w:r>
            <w:r w:rsidRPr="00686F47">
              <w:rPr>
                <w:rFonts w:ascii="Calibri" w:hAnsi="Calibri" w:cs="Calibri"/>
                <w:color w:val="000000"/>
                <w:sz w:val="20"/>
                <w:szCs w:val="20"/>
              </w:rPr>
              <w:t xml:space="preserve"> (</w:t>
            </w:r>
            <w:r>
              <w:rPr>
                <w:rFonts w:ascii="Calibri" w:hAnsi="Calibri" w:cs="Calibri"/>
                <w:color w:val="000000"/>
                <w:sz w:val="20"/>
                <w:szCs w:val="20"/>
              </w:rPr>
              <w:t>560.3</w:t>
            </w:r>
            <w:r w:rsidRPr="00686F47">
              <w:rPr>
                <w:rFonts w:ascii="Calibri" w:hAnsi="Calibri" w:cs="Calibri"/>
                <w:color w:val="000000"/>
                <w:sz w:val="20"/>
                <w:szCs w:val="20"/>
              </w:rPr>
              <w:t>-</w:t>
            </w:r>
            <w:r>
              <w:rPr>
                <w:rFonts w:ascii="Calibri" w:hAnsi="Calibri" w:cs="Calibri"/>
                <w:color w:val="000000"/>
                <w:sz w:val="20"/>
                <w:szCs w:val="20"/>
              </w:rPr>
              <w:t>1725.4</w:t>
            </w:r>
            <w:r w:rsidRPr="00686F47">
              <w:rPr>
                <w:rFonts w:ascii="Calibri" w:hAnsi="Calibri" w:cs="Calibri"/>
                <w:color w:val="000000"/>
                <w:sz w:val="20"/>
                <w:szCs w:val="20"/>
              </w:rPr>
              <w:t>)</w:t>
            </w:r>
          </w:p>
        </w:tc>
        <w:tc>
          <w:tcPr>
            <w:tcW w:w="2409" w:type="dxa"/>
            <w:vAlign w:val="center"/>
          </w:tcPr>
          <w:p w14:paraId="6DB52617"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204080</w:t>
            </w:r>
            <w:r w:rsidRPr="00686F47">
              <w:rPr>
                <w:rFonts w:ascii="Calibri" w:hAnsi="Calibri" w:cs="Calibri"/>
                <w:color w:val="000000"/>
                <w:sz w:val="20"/>
                <w:szCs w:val="20"/>
              </w:rPr>
              <w:t xml:space="preserve"> (</w:t>
            </w:r>
            <w:r>
              <w:rPr>
                <w:rFonts w:ascii="Calibri" w:hAnsi="Calibri" w:cs="Calibri"/>
                <w:color w:val="000000"/>
                <w:sz w:val="20"/>
                <w:szCs w:val="20"/>
              </w:rPr>
              <w:t>103181</w:t>
            </w:r>
            <w:r w:rsidRPr="00686F47">
              <w:rPr>
                <w:rFonts w:ascii="Calibri" w:hAnsi="Calibri" w:cs="Calibri"/>
                <w:color w:val="000000"/>
                <w:sz w:val="20"/>
                <w:szCs w:val="20"/>
              </w:rPr>
              <w:t>-</w:t>
            </w:r>
            <w:r>
              <w:rPr>
                <w:rFonts w:ascii="Calibri" w:hAnsi="Calibri" w:cs="Calibri"/>
                <w:color w:val="000000"/>
                <w:sz w:val="20"/>
                <w:szCs w:val="20"/>
              </w:rPr>
              <w:t>341183</w:t>
            </w:r>
            <w:r w:rsidRPr="00686F47">
              <w:rPr>
                <w:rFonts w:ascii="Calibri" w:hAnsi="Calibri" w:cs="Calibri"/>
                <w:color w:val="000000"/>
                <w:sz w:val="20"/>
                <w:szCs w:val="20"/>
              </w:rPr>
              <w:t>)</w:t>
            </w:r>
          </w:p>
        </w:tc>
        <w:tc>
          <w:tcPr>
            <w:tcW w:w="2552" w:type="dxa"/>
            <w:vAlign w:val="center"/>
          </w:tcPr>
          <w:p w14:paraId="5983371E" w14:textId="77777777" w:rsidR="00C214DC" w:rsidRPr="00686F47" w:rsidRDefault="00C214DC" w:rsidP="00D34B76">
            <w:pPr>
              <w:spacing w:line="276" w:lineRule="auto"/>
              <w:jc w:val="center"/>
              <w:rPr>
                <w:rFonts w:ascii="Calibri" w:hAnsi="Calibri" w:cs="Calibri"/>
                <w:color w:val="000000"/>
                <w:sz w:val="20"/>
                <w:szCs w:val="20"/>
              </w:rPr>
            </w:pPr>
            <w:r>
              <w:rPr>
                <w:rFonts w:ascii="Calibri" w:hAnsi="Calibri" w:cs="Calibri"/>
                <w:color w:val="000000"/>
                <w:sz w:val="20"/>
                <w:szCs w:val="20"/>
              </w:rPr>
              <w:t>3667.7</w:t>
            </w:r>
            <w:r w:rsidRPr="00686F47">
              <w:rPr>
                <w:rFonts w:ascii="Calibri" w:hAnsi="Calibri" w:cs="Calibri"/>
                <w:color w:val="000000"/>
                <w:sz w:val="20"/>
                <w:szCs w:val="20"/>
              </w:rPr>
              <w:t xml:space="preserve">  (</w:t>
            </w:r>
            <w:r>
              <w:rPr>
                <w:rFonts w:ascii="Calibri" w:hAnsi="Calibri" w:cs="Calibri"/>
                <w:color w:val="000000"/>
                <w:sz w:val="20"/>
                <w:szCs w:val="20"/>
              </w:rPr>
              <w:t>854.4</w:t>
            </w:r>
            <w:r w:rsidRPr="00686F47">
              <w:rPr>
                <w:rFonts w:ascii="Calibri" w:hAnsi="Calibri" w:cs="Calibri"/>
                <w:color w:val="000000"/>
                <w:sz w:val="20"/>
                <w:szCs w:val="20"/>
              </w:rPr>
              <w:t>-</w:t>
            </w:r>
            <w:r>
              <w:rPr>
                <w:rFonts w:ascii="Calibri" w:hAnsi="Calibri" w:cs="Calibri"/>
                <w:color w:val="000000"/>
                <w:sz w:val="20"/>
                <w:szCs w:val="20"/>
              </w:rPr>
              <w:t>6132.0</w:t>
            </w:r>
            <w:r w:rsidRPr="00686F47">
              <w:rPr>
                <w:rFonts w:ascii="Calibri" w:hAnsi="Calibri" w:cs="Calibri"/>
                <w:color w:val="000000"/>
                <w:sz w:val="20"/>
                <w:szCs w:val="20"/>
              </w:rPr>
              <w:t>)</w:t>
            </w:r>
          </w:p>
        </w:tc>
      </w:tr>
    </w:tbl>
    <w:p w14:paraId="589A0995" w14:textId="77777777" w:rsidR="0022280F" w:rsidRPr="00CD5172" w:rsidRDefault="0022280F" w:rsidP="00CD5172">
      <w:pPr>
        <w:jc w:val="both"/>
        <w:rPr>
          <w:rFonts w:asciiTheme="minorHAnsi" w:hAnsiTheme="minorHAnsi" w:cstheme="minorHAnsi"/>
        </w:rPr>
      </w:pPr>
    </w:p>
    <w:p w14:paraId="6E03A868"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Abbreviations: CI: confidence intervals.</w:t>
      </w:r>
    </w:p>
    <w:p w14:paraId="1D607FF1"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vertAlign w:val="superscript"/>
        </w:rPr>
        <w:t>a</w:t>
      </w:r>
      <w:r w:rsidRPr="00AE771E">
        <w:rPr>
          <w:rFonts w:asciiTheme="minorHAnsi" w:hAnsiTheme="minorHAnsi" w:cstheme="minorHAnsi"/>
        </w:rPr>
        <w:t xml:space="preserve"> Mild illness defined as not requiring hospitalization; (Obtained from case-based surveillance at 5 facilities and extrapolated nationally).</w:t>
      </w:r>
    </w:p>
    <w:p w14:paraId="1A18F23B" w14:textId="38B268BE"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vertAlign w:val="superscript"/>
        </w:rPr>
        <w:t>b</w:t>
      </w:r>
      <w:r w:rsidRPr="00AE771E">
        <w:rPr>
          <w:rFonts w:asciiTheme="minorHAnsi" w:hAnsiTheme="minorHAnsi" w:cstheme="minorHAnsi"/>
        </w:rPr>
        <w:t xml:space="preserve"> Rates expressed per 100</w:t>
      </w:r>
      <w:r w:rsidR="000B4211">
        <w:rPr>
          <w:rFonts w:asciiTheme="minorHAnsi" w:hAnsiTheme="minorHAnsi" w:cstheme="minorHAnsi"/>
        </w:rPr>
        <w:t>,</w:t>
      </w:r>
      <w:r w:rsidRPr="00AE771E">
        <w:rPr>
          <w:rFonts w:asciiTheme="minorHAnsi" w:hAnsiTheme="minorHAnsi" w:cstheme="minorHAnsi"/>
        </w:rPr>
        <w:t xml:space="preserve">000 </w:t>
      </w:r>
      <w:proofErr w:type="gramStart"/>
      <w:r w:rsidRPr="00AE771E">
        <w:rPr>
          <w:rFonts w:asciiTheme="minorHAnsi" w:hAnsiTheme="minorHAnsi" w:cstheme="minorHAnsi"/>
        </w:rPr>
        <w:t>population</w:t>
      </w:r>
      <w:proofErr w:type="gramEnd"/>
      <w:r w:rsidRPr="00AE771E">
        <w:rPr>
          <w:rFonts w:asciiTheme="minorHAnsi" w:hAnsiTheme="minorHAnsi" w:cstheme="minorHAnsi"/>
        </w:rPr>
        <w:t>.</w:t>
      </w:r>
    </w:p>
    <w:p w14:paraId="1CFFC494" w14:textId="002546C5" w:rsidR="0022280F" w:rsidRDefault="0022280F">
      <w:pPr>
        <w:spacing w:after="160" w:line="259" w:lineRule="auto"/>
        <w:rPr>
          <w:rFonts w:asciiTheme="minorHAnsi" w:hAnsiTheme="minorHAnsi" w:cstheme="minorHAnsi"/>
        </w:rPr>
      </w:pPr>
      <w:r>
        <w:rPr>
          <w:rFonts w:asciiTheme="minorHAnsi" w:hAnsiTheme="minorHAnsi" w:cstheme="minorHAnsi"/>
        </w:rPr>
        <w:br w:type="page"/>
      </w:r>
    </w:p>
    <w:p w14:paraId="3118A89E" w14:textId="77777777" w:rsidR="00DA7D27" w:rsidRPr="00CD5172" w:rsidRDefault="00DA7D27" w:rsidP="00CD5172">
      <w:pPr>
        <w:jc w:val="both"/>
        <w:rPr>
          <w:rFonts w:asciiTheme="minorHAnsi" w:hAnsiTheme="minorHAnsi" w:cstheme="minorHAnsi"/>
        </w:rPr>
      </w:pPr>
    </w:p>
    <w:p w14:paraId="094C2A5D" w14:textId="458CE8AD" w:rsidR="0022280F" w:rsidRPr="00AE771E" w:rsidRDefault="0022280F" w:rsidP="0022280F">
      <w:pPr>
        <w:spacing w:line="276" w:lineRule="auto"/>
        <w:jc w:val="both"/>
        <w:rPr>
          <w:rFonts w:asciiTheme="minorHAnsi" w:hAnsiTheme="minorHAnsi" w:cstheme="minorHAnsi"/>
        </w:rPr>
      </w:pPr>
      <w:r>
        <w:rPr>
          <w:rFonts w:asciiTheme="minorHAnsi" w:hAnsiTheme="minorHAnsi" w:cstheme="minorHAnsi"/>
          <w:b/>
        </w:rPr>
        <w:t xml:space="preserve">Supplementary </w:t>
      </w:r>
      <w:r w:rsidRPr="00AE771E">
        <w:rPr>
          <w:rFonts w:asciiTheme="minorHAnsi" w:hAnsiTheme="minorHAnsi" w:cstheme="minorHAnsi"/>
          <w:b/>
        </w:rPr>
        <w:t>Table 2:</w:t>
      </w:r>
      <w:r w:rsidRPr="00AE771E">
        <w:rPr>
          <w:rFonts w:asciiTheme="minorHAnsi" w:hAnsiTheme="minorHAnsi" w:cstheme="minorHAnsi"/>
        </w:rPr>
        <w:t xml:space="preserve"> Estimated mean annual number and rates of respiratory syncytial virus-associated severe illness (excluding deaths) in children aged &lt;5 years</w:t>
      </w:r>
      <w:r w:rsidR="000B4211">
        <w:rPr>
          <w:rFonts w:asciiTheme="minorHAnsi" w:hAnsiTheme="minorHAnsi" w:cstheme="minorHAnsi"/>
        </w:rPr>
        <w:t>,</w:t>
      </w:r>
      <w:r w:rsidRPr="00AE771E">
        <w:rPr>
          <w:rFonts w:asciiTheme="minorHAnsi" w:hAnsiTheme="minorHAnsi" w:cstheme="minorHAnsi"/>
        </w:rPr>
        <w:t xml:space="preserve"> South Africa</w:t>
      </w:r>
      <w:r w:rsidR="000B4211">
        <w:rPr>
          <w:rFonts w:asciiTheme="minorHAnsi" w:hAnsiTheme="minorHAnsi" w:cstheme="minorHAnsi"/>
        </w:rPr>
        <w:t>,</w:t>
      </w:r>
      <w:r w:rsidRPr="00AE771E">
        <w:rPr>
          <w:rFonts w:asciiTheme="minorHAnsi" w:hAnsiTheme="minorHAnsi" w:cstheme="minorHAnsi"/>
        </w:rPr>
        <w:t xml:space="preserve"> 2011-2016.</w:t>
      </w:r>
    </w:p>
    <w:tbl>
      <w:tblPr>
        <w:tblStyle w:val="TableGrid"/>
        <w:tblW w:w="16427" w:type="dxa"/>
        <w:tblInd w:w="-1139" w:type="dxa"/>
        <w:tblLook w:val="04A0" w:firstRow="1" w:lastRow="0" w:firstColumn="1" w:lastColumn="0" w:noHBand="0" w:noVBand="1"/>
      </w:tblPr>
      <w:tblGrid>
        <w:gridCol w:w="1152"/>
        <w:gridCol w:w="2259"/>
        <w:gridCol w:w="2843"/>
        <w:gridCol w:w="2274"/>
        <w:gridCol w:w="2422"/>
        <w:gridCol w:w="2737"/>
        <w:gridCol w:w="2740"/>
      </w:tblGrid>
      <w:tr w:rsidR="0022280F" w:rsidRPr="00AE771E" w14:paraId="74B20F44" w14:textId="77777777" w:rsidTr="0022280F">
        <w:trPr>
          <w:trHeight w:val="391"/>
        </w:trPr>
        <w:tc>
          <w:tcPr>
            <w:tcW w:w="1152" w:type="dxa"/>
            <w:vMerge w:val="restart"/>
          </w:tcPr>
          <w:p w14:paraId="5AB83804" w14:textId="77777777" w:rsidR="0022280F" w:rsidRPr="00AE771E" w:rsidRDefault="0022280F" w:rsidP="0022280F">
            <w:pPr>
              <w:spacing w:line="276" w:lineRule="auto"/>
              <w:jc w:val="center"/>
              <w:rPr>
                <w:rFonts w:asciiTheme="minorHAnsi" w:hAnsiTheme="minorHAnsi" w:cstheme="minorHAnsi"/>
                <w:b/>
              </w:rPr>
            </w:pPr>
            <w:bookmarkStart w:id="2" w:name="OLE_LINK1"/>
            <w:r w:rsidRPr="00AE771E">
              <w:rPr>
                <w:rFonts w:asciiTheme="minorHAnsi" w:hAnsiTheme="minorHAnsi" w:cstheme="minorHAnsi"/>
                <w:b/>
              </w:rPr>
              <w:t>Age group: months</w:t>
            </w:r>
          </w:p>
        </w:tc>
        <w:tc>
          <w:tcPr>
            <w:tcW w:w="15275" w:type="dxa"/>
            <w:gridSpan w:val="6"/>
          </w:tcPr>
          <w:p w14:paraId="6849DD0C" w14:textId="77777777" w:rsidR="0022280F" w:rsidRPr="00AE771E" w:rsidRDefault="0022280F" w:rsidP="0022280F">
            <w:pPr>
              <w:spacing w:line="276" w:lineRule="auto"/>
              <w:jc w:val="center"/>
              <w:rPr>
                <w:rFonts w:asciiTheme="minorHAnsi" w:hAnsiTheme="minorHAnsi" w:cstheme="minorHAnsi"/>
                <w:b/>
              </w:rPr>
            </w:pPr>
            <w:r w:rsidRPr="00AE771E">
              <w:rPr>
                <w:rFonts w:asciiTheme="minorHAnsi" w:hAnsiTheme="minorHAnsi" w:cstheme="minorHAnsi"/>
                <w:b/>
              </w:rPr>
              <w:t xml:space="preserve">Respiratory syncytial virus-associated severe </w:t>
            </w:r>
            <w:proofErr w:type="spellStart"/>
            <w:r w:rsidRPr="00AE771E">
              <w:rPr>
                <w:rFonts w:asciiTheme="minorHAnsi" w:hAnsiTheme="minorHAnsi" w:cstheme="minorHAnsi"/>
                <w:b/>
              </w:rPr>
              <w:t>illness</w:t>
            </w:r>
            <w:r w:rsidRPr="00AE771E">
              <w:rPr>
                <w:rFonts w:asciiTheme="minorHAnsi" w:hAnsiTheme="minorHAnsi" w:cstheme="minorHAnsi"/>
                <w:b/>
                <w:vertAlign w:val="superscript"/>
              </w:rPr>
              <w:t>a</w:t>
            </w:r>
            <w:proofErr w:type="spellEnd"/>
          </w:p>
        </w:tc>
      </w:tr>
      <w:tr w:rsidR="0022280F" w:rsidRPr="00AE771E" w14:paraId="1940C17A" w14:textId="77777777" w:rsidTr="009D2EC0">
        <w:trPr>
          <w:trHeight w:val="208"/>
        </w:trPr>
        <w:tc>
          <w:tcPr>
            <w:tcW w:w="1152" w:type="dxa"/>
            <w:vMerge/>
          </w:tcPr>
          <w:p w14:paraId="6E0091D8" w14:textId="77777777" w:rsidR="0022280F" w:rsidRPr="00AE771E" w:rsidRDefault="0022280F" w:rsidP="0022280F">
            <w:pPr>
              <w:spacing w:line="276" w:lineRule="auto"/>
              <w:jc w:val="center"/>
              <w:rPr>
                <w:rFonts w:asciiTheme="minorHAnsi" w:hAnsiTheme="minorHAnsi" w:cstheme="minorHAnsi"/>
                <w:b/>
              </w:rPr>
            </w:pPr>
          </w:p>
        </w:tc>
        <w:tc>
          <w:tcPr>
            <w:tcW w:w="5102" w:type="dxa"/>
            <w:gridSpan w:val="2"/>
          </w:tcPr>
          <w:p w14:paraId="26E80C46" w14:textId="77777777" w:rsidR="0022280F" w:rsidRPr="00AE771E" w:rsidRDefault="0022280F" w:rsidP="0022280F">
            <w:pPr>
              <w:spacing w:line="276" w:lineRule="auto"/>
              <w:jc w:val="center"/>
              <w:rPr>
                <w:rFonts w:asciiTheme="minorHAnsi" w:hAnsiTheme="minorHAnsi" w:cstheme="minorHAnsi"/>
                <w:b/>
              </w:rPr>
            </w:pPr>
            <w:r w:rsidRPr="00AE771E">
              <w:rPr>
                <w:rFonts w:asciiTheme="minorHAnsi" w:hAnsiTheme="minorHAnsi" w:cstheme="minorHAnsi"/>
                <w:b/>
              </w:rPr>
              <w:t>Total</w:t>
            </w:r>
          </w:p>
        </w:tc>
        <w:tc>
          <w:tcPr>
            <w:tcW w:w="4696" w:type="dxa"/>
            <w:gridSpan w:val="2"/>
          </w:tcPr>
          <w:p w14:paraId="2F2B9633" w14:textId="49C70B77" w:rsidR="0022280F" w:rsidRPr="00AE771E" w:rsidRDefault="0022280F" w:rsidP="0022280F">
            <w:pPr>
              <w:spacing w:line="276" w:lineRule="auto"/>
              <w:jc w:val="center"/>
              <w:rPr>
                <w:rFonts w:asciiTheme="minorHAnsi" w:hAnsiTheme="minorHAnsi" w:cstheme="minorHAnsi"/>
                <w:b/>
              </w:rPr>
            </w:pPr>
            <w:r w:rsidRPr="00AE771E">
              <w:rPr>
                <w:rFonts w:asciiTheme="minorHAnsi" w:hAnsiTheme="minorHAnsi" w:cstheme="minorHAnsi"/>
                <w:b/>
              </w:rPr>
              <w:t>Medically</w:t>
            </w:r>
            <w:r w:rsidR="000B4211">
              <w:rPr>
                <w:rFonts w:asciiTheme="minorHAnsi" w:hAnsiTheme="minorHAnsi" w:cstheme="minorHAnsi"/>
                <w:b/>
              </w:rPr>
              <w:t xml:space="preserve"> </w:t>
            </w:r>
            <w:r w:rsidRPr="00AE771E">
              <w:rPr>
                <w:rFonts w:asciiTheme="minorHAnsi" w:hAnsiTheme="minorHAnsi" w:cstheme="minorHAnsi"/>
                <w:b/>
              </w:rPr>
              <w:t>attended</w:t>
            </w:r>
          </w:p>
        </w:tc>
        <w:tc>
          <w:tcPr>
            <w:tcW w:w="5477" w:type="dxa"/>
            <w:gridSpan w:val="2"/>
          </w:tcPr>
          <w:p w14:paraId="362DE1EB" w14:textId="740FAD2B" w:rsidR="0022280F" w:rsidRPr="00AE771E" w:rsidRDefault="0022280F" w:rsidP="0022280F">
            <w:pPr>
              <w:spacing w:line="276" w:lineRule="auto"/>
              <w:jc w:val="center"/>
              <w:rPr>
                <w:rFonts w:asciiTheme="minorHAnsi" w:hAnsiTheme="minorHAnsi" w:cstheme="minorHAnsi"/>
                <w:b/>
              </w:rPr>
            </w:pPr>
            <w:r w:rsidRPr="00AE771E">
              <w:rPr>
                <w:rFonts w:asciiTheme="minorHAnsi" w:hAnsiTheme="minorHAnsi" w:cstheme="minorHAnsi"/>
                <w:b/>
              </w:rPr>
              <w:t>Non-medically</w:t>
            </w:r>
            <w:r w:rsidR="000B4211">
              <w:rPr>
                <w:rFonts w:asciiTheme="minorHAnsi" w:hAnsiTheme="minorHAnsi" w:cstheme="minorHAnsi"/>
                <w:b/>
              </w:rPr>
              <w:t xml:space="preserve"> </w:t>
            </w:r>
            <w:r w:rsidRPr="00AE771E">
              <w:rPr>
                <w:rFonts w:asciiTheme="minorHAnsi" w:hAnsiTheme="minorHAnsi" w:cstheme="minorHAnsi"/>
                <w:b/>
              </w:rPr>
              <w:t>attended</w:t>
            </w:r>
          </w:p>
        </w:tc>
      </w:tr>
      <w:tr w:rsidR="0022280F" w:rsidRPr="00AE771E" w14:paraId="0ADF6AC2" w14:textId="77777777" w:rsidTr="009D2EC0">
        <w:trPr>
          <w:trHeight w:val="208"/>
        </w:trPr>
        <w:tc>
          <w:tcPr>
            <w:tcW w:w="1152" w:type="dxa"/>
            <w:vMerge/>
          </w:tcPr>
          <w:p w14:paraId="644B1546" w14:textId="77777777" w:rsidR="0022280F" w:rsidRPr="00AE771E" w:rsidRDefault="0022280F" w:rsidP="0022280F">
            <w:pPr>
              <w:spacing w:line="276" w:lineRule="auto"/>
              <w:jc w:val="center"/>
              <w:rPr>
                <w:rFonts w:asciiTheme="minorHAnsi" w:hAnsiTheme="minorHAnsi" w:cstheme="minorHAnsi"/>
                <w:b/>
              </w:rPr>
            </w:pPr>
          </w:p>
        </w:tc>
        <w:tc>
          <w:tcPr>
            <w:tcW w:w="2259" w:type="dxa"/>
          </w:tcPr>
          <w:p w14:paraId="2F7C01DC" w14:textId="77777777" w:rsidR="0022280F" w:rsidRPr="00AE771E" w:rsidRDefault="0022280F" w:rsidP="0022280F">
            <w:pPr>
              <w:spacing w:line="276" w:lineRule="auto"/>
              <w:jc w:val="center"/>
              <w:rPr>
                <w:rFonts w:asciiTheme="minorHAnsi" w:hAnsiTheme="minorHAnsi" w:cstheme="minorHAnsi"/>
                <w:b/>
              </w:rPr>
            </w:pPr>
            <w:r w:rsidRPr="00AE771E">
              <w:rPr>
                <w:rFonts w:asciiTheme="minorHAnsi" w:hAnsiTheme="minorHAnsi" w:cstheme="minorHAnsi"/>
                <w:b/>
              </w:rPr>
              <w:t>Number (95% CI)</w:t>
            </w:r>
          </w:p>
        </w:tc>
        <w:tc>
          <w:tcPr>
            <w:tcW w:w="2843" w:type="dxa"/>
          </w:tcPr>
          <w:p w14:paraId="4360302F" w14:textId="77777777" w:rsidR="0022280F" w:rsidRPr="00AE771E" w:rsidRDefault="0022280F" w:rsidP="0022280F">
            <w:pPr>
              <w:spacing w:line="276" w:lineRule="auto"/>
              <w:jc w:val="center"/>
              <w:rPr>
                <w:rFonts w:asciiTheme="minorHAnsi" w:hAnsiTheme="minorHAnsi" w:cstheme="minorHAnsi"/>
                <w:b/>
              </w:rPr>
            </w:pPr>
            <w:proofErr w:type="spellStart"/>
            <w:r w:rsidRPr="00AE771E">
              <w:rPr>
                <w:rFonts w:asciiTheme="minorHAnsi" w:hAnsiTheme="minorHAnsi" w:cstheme="minorHAnsi"/>
                <w:b/>
              </w:rPr>
              <w:t>Rate</w:t>
            </w:r>
            <w:r w:rsidRPr="00AE771E">
              <w:rPr>
                <w:rFonts w:asciiTheme="minorHAnsi" w:hAnsiTheme="minorHAnsi" w:cstheme="minorHAnsi"/>
                <w:b/>
                <w:vertAlign w:val="superscript"/>
              </w:rPr>
              <w:t>b</w:t>
            </w:r>
            <w:proofErr w:type="spellEnd"/>
            <w:r w:rsidRPr="00AE771E">
              <w:rPr>
                <w:rFonts w:asciiTheme="minorHAnsi" w:hAnsiTheme="minorHAnsi" w:cstheme="minorHAnsi"/>
                <w:b/>
              </w:rPr>
              <w:t xml:space="preserve"> (95% CI)</w:t>
            </w:r>
          </w:p>
        </w:tc>
        <w:tc>
          <w:tcPr>
            <w:tcW w:w="2274" w:type="dxa"/>
          </w:tcPr>
          <w:p w14:paraId="5C255E0E" w14:textId="77777777" w:rsidR="0022280F" w:rsidRPr="00AE771E" w:rsidRDefault="0022280F" w:rsidP="0022280F">
            <w:pPr>
              <w:spacing w:line="276" w:lineRule="auto"/>
              <w:jc w:val="center"/>
              <w:rPr>
                <w:rFonts w:asciiTheme="minorHAnsi" w:hAnsiTheme="minorHAnsi" w:cstheme="minorHAnsi"/>
                <w:b/>
              </w:rPr>
            </w:pPr>
            <w:r w:rsidRPr="00AE771E">
              <w:rPr>
                <w:rFonts w:asciiTheme="minorHAnsi" w:hAnsiTheme="minorHAnsi" w:cstheme="minorHAnsi"/>
                <w:b/>
              </w:rPr>
              <w:t>Number (95% CI)</w:t>
            </w:r>
          </w:p>
        </w:tc>
        <w:tc>
          <w:tcPr>
            <w:tcW w:w="2422" w:type="dxa"/>
          </w:tcPr>
          <w:p w14:paraId="209616E7" w14:textId="77777777" w:rsidR="0022280F" w:rsidRPr="00AE771E" w:rsidRDefault="0022280F" w:rsidP="0022280F">
            <w:pPr>
              <w:spacing w:line="276" w:lineRule="auto"/>
              <w:jc w:val="center"/>
              <w:rPr>
                <w:rFonts w:asciiTheme="minorHAnsi" w:hAnsiTheme="minorHAnsi" w:cstheme="minorHAnsi"/>
                <w:b/>
              </w:rPr>
            </w:pPr>
            <w:proofErr w:type="spellStart"/>
            <w:r w:rsidRPr="00AE771E">
              <w:rPr>
                <w:rFonts w:asciiTheme="minorHAnsi" w:hAnsiTheme="minorHAnsi" w:cstheme="minorHAnsi"/>
                <w:b/>
              </w:rPr>
              <w:t>Rate</w:t>
            </w:r>
            <w:r w:rsidRPr="00AE771E">
              <w:rPr>
                <w:rFonts w:asciiTheme="minorHAnsi" w:hAnsiTheme="minorHAnsi" w:cstheme="minorHAnsi"/>
                <w:b/>
                <w:vertAlign w:val="superscript"/>
              </w:rPr>
              <w:t>b</w:t>
            </w:r>
            <w:proofErr w:type="spellEnd"/>
            <w:r w:rsidRPr="00AE771E">
              <w:rPr>
                <w:rFonts w:asciiTheme="minorHAnsi" w:hAnsiTheme="minorHAnsi" w:cstheme="minorHAnsi"/>
                <w:b/>
              </w:rPr>
              <w:t xml:space="preserve"> (95% CI)</w:t>
            </w:r>
          </w:p>
        </w:tc>
        <w:tc>
          <w:tcPr>
            <w:tcW w:w="2737" w:type="dxa"/>
          </w:tcPr>
          <w:p w14:paraId="38F97143" w14:textId="77777777" w:rsidR="0022280F" w:rsidRPr="00AE771E" w:rsidRDefault="0022280F" w:rsidP="0022280F">
            <w:pPr>
              <w:spacing w:line="276" w:lineRule="auto"/>
              <w:jc w:val="center"/>
              <w:rPr>
                <w:rFonts w:asciiTheme="minorHAnsi" w:hAnsiTheme="minorHAnsi" w:cstheme="minorHAnsi"/>
                <w:b/>
              </w:rPr>
            </w:pPr>
            <w:r w:rsidRPr="00AE771E">
              <w:rPr>
                <w:rFonts w:asciiTheme="minorHAnsi" w:hAnsiTheme="minorHAnsi" w:cstheme="minorHAnsi"/>
                <w:b/>
              </w:rPr>
              <w:t>Number (95% CI)</w:t>
            </w:r>
          </w:p>
        </w:tc>
        <w:tc>
          <w:tcPr>
            <w:tcW w:w="2740" w:type="dxa"/>
          </w:tcPr>
          <w:p w14:paraId="547AECE8" w14:textId="77777777" w:rsidR="0022280F" w:rsidRPr="00AE771E" w:rsidRDefault="0022280F" w:rsidP="0022280F">
            <w:pPr>
              <w:spacing w:line="276" w:lineRule="auto"/>
              <w:jc w:val="center"/>
              <w:rPr>
                <w:rFonts w:asciiTheme="minorHAnsi" w:hAnsiTheme="minorHAnsi" w:cstheme="minorHAnsi"/>
                <w:b/>
              </w:rPr>
            </w:pPr>
            <w:proofErr w:type="spellStart"/>
            <w:r w:rsidRPr="00AE771E">
              <w:rPr>
                <w:rFonts w:asciiTheme="minorHAnsi" w:hAnsiTheme="minorHAnsi" w:cstheme="minorHAnsi"/>
                <w:b/>
              </w:rPr>
              <w:t>Rate</w:t>
            </w:r>
            <w:r w:rsidRPr="00AE771E">
              <w:rPr>
                <w:rFonts w:asciiTheme="minorHAnsi" w:hAnsiTheme="minorHAnsi" w:cstheme="minorHAnsi"/>
                <w:b/>
                <w:vertAlign w:val="superscript"/>
              </w:rPr>
              <w:t>b</w:t>
            </w:r>
            <w:proofErr w:type="spellEnd"/>
            <w:r w:rsidRPr="00AE771E">
              <w:rPr>
                <w:rFonts w:asciiTheme="minorHAnsi" w:hAnsiTheme="minorHAnsi" w:cstheme="minorHAnsi"/>
                <w:b/>
              </w:rPr>
              <w:t xml:space="preserve"> (95% CI)</w:t>
            </w:r>
          </w:p>
        </w:tc>
      </w:tr>
      <w:tr w:rsidR="0022280F" w:rsidRPr="00AE771E" w14:paraId="6EE2E130" w14:textId="77777777" w:rsidTr="009D2EC0">
        <w:trPr>
          <w:trHeight w:val="418"/>
        </w:trPr>
        <w:tc>
          <w:tcPr>
            <w:tcW w:w="1152" w:type="dxa"/>
          </w:tcPr>
          <w:p w14:paraId="380F4C39"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&lt;1</w:t>
            </w:r>
          </w:p>
        </w:tc>
        <w:tc>
          <w:tcPr>
            <w:tcW w:w="2259" w:type="dxa"/>
            <w:vAlign w:val="center"/>
          </w:tcPr>
          <w:p w14:paraId="3DEC05F1"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14110 (9784-18889)</w:t>
            </w:r>
          </w:p>
        </w:tc>
        <w:tc>
          <w:tcPr>
            <w:tcW w:w="2843" w:type="dxa"/>
            <w:vAlign w:val="center"/>
          </w:tcPr>
          <w:p w14:paraId="22ACC339" w14:textId="3B5F51E3"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14674 (10175-19645)</w:t>
            </w:r>
          </w:p>
        </w:tc>
        <w:tc>
          <w:tcPr>
            <w:tcW w:w="2274" w:type="dxa"/>
            <w:vAlign w:val="center"/>
          </w:tcPr>
          <w:p w14:paraId="58CA1EEC"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6542 (4871-8201)</w:t>
            </w:r>
          </w:p>
        </w:tc>
        <w:tc>
          <w:tcPr>
            <w:tcW w:w="2422" w:type="dxa"/>
            <w:vAlign w:val="center"/>
          </w:tcPr>
          <w:p w14:paraId="5D112CEF" w14:textId="1EFC095B"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680</w:t>
            </w:r>
            <w:r w:rsidR="000A05AD">
              <w:rPr>
                <w:rFonts w:ascii="Calibri" w:hAnsi="Calibri" w:cs="Calibri"/>
                <w:color w:val="000000"/>
                <w:sz w:val="20"/>
                <w:szCs w:val="20"/>
              </w:rPr>
              <w:t>4</w:t>
            </w:r>
            <w:r w:rsidRPr="004F568F">
              <w:rPr>
                <w:rFonts w:ascii="Calibri" w:hAnsi="Calibri" w:cs="Calibri"/>
                <w:color w:val="000000"/>
                <w:sz w:val="20"/>
                <w:szCs w:val="20"/>
              </w:rPr>
              <w:t>(5065-8529)</w:t>
            </w:r>
          </w:p>
        </w:tc>
        <w:tc>
          <w:tcPr>
            <w:tcW w:w="2737" w:type="dxa"/>
            <w:vAlign w:val="center"/>
          </w:tcPr>
          <w:p w14:paraId="76F5A78F"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7568 (4913-10688)</w:t>
            </w:r>
          </w:p>
        </w:tc>
        <w:tc>
          <w:tcPr>
            <w:tcW w:w="2740" w:type="dxa"/>
            <w:vAlign w:val="center"/>
          </w:tcPr>
          <w:p w14:paraId="492A17E1" w14:textId="09BB34B5"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787</w:t>
            </w:r>
            <w:r w:rsidR="007E1445">
              <w:rPr>
                <w:rFonts w:ascii="Calibri" w:hAnsi="Calibri" w:cs="Calibri"/>
                <w:color w:val="000000"/>
                <w:sz w:val="20"/>
                <w:szCs w:val="20"/>
              </w:rPr>
              <w:t>1</w:t>
            </w:r>
            <w:r w:rsidRPr="004F568F">
              <w:rPr>
                <w:rFonts w:ascii="Calibri" w:hAnsi="Calibri" w:cs="Calibri"/>
                <w:color w:val="000000"/>
                <w:sz w:val="20"/>
                <w:szCs w:val="20"/>
              </w:rPr>
              <w:t xml:space="preserve"> (5109-1111</w:t>
            </w:r>
            <w:r w:rsidR="007E1445">
              <w:rPr>
                <w:rFonts w:ascii="Calibri" w:hAnsi="Calibri" w:cs="Calibri"/>
                <w:color w:val="000000"/>
                <w:sz w:val="20"/>
                <w:szCs w:val="20"/>
              </w:rPr>
              <w:t>6</w:t>
            </w:r>
            <w:r w:rsidRPr="004F568F">
              <w:rPr>
                <w:rFonts w:ascii="Calibri" w:hAnsi="Calibri" w:cs="Calibri"/>
                <w:color w:val="000000"/>
                <w:sz w:val="20"/>
                <w:szCs w:val="20"/>
              </w:rPr>
              <w:t>)</w:t>
            </w:r>
          </w:p>
        </w:tc>
      </w:tr>
      <w:tr w:rsidR="0022280F" w:rsidRPr="00AE771E" w14:paraId="4CD37C8A" w14:textId="77777777" w:rsidTr="009D2EC0">
        <w:trPr>
          <w:trHeight w:val="470"/>
        </w:trPr>
        <w:tc>
          <w:tcPr>
            <w:tcW w:w="1152" w:type="dxa"/>
          </w:tcPr>
          <w:p w14:paraId="10E5CF19"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1</w:t>
            </w:r>
          </w:p>
        </w:tc>
        <w:tc>
          <w:tcPr>
            <w:tcW w:w="2259" w:type="dxa"/>
            <w:vAlign w:val="center"/>
          </w:tcPr>
          <w:p w14:paraId="5B46B1D8"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13872 (11003-17389)</w:t>
            </w:r>
          </w:p>
        </w:tc>
        <w:tc>
          <w:tcPr>
            <w:tcW w:w="2843" w:type="dxa"/>
            <w:vAlign w:val="center"/>
          </w:tcPr>
          <w:p w14:paraId="42219B69" w14:textId="416BFDF7"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14736 (1168</w:t>
            </w:r>
            <w:r w:rsidR="00203B88">
              <w:rPr>
                <w:rFonts w:ascii="Calibri" w:hAnsi="Calibri" w:cs="Calibri"/>
                <w:color w:val="000000"/>
                <w:sz w:val="20"/>
                <w:szCs w:val="20"/>
              </w:rPr>
              <w:t>9</w:t>
            </w:r>
            <w:r w:rsidRPr="004F568F">
              <w:rPr>
                <w:rFonts w:ascii="Calibri" w:hAnsi="Calibri" w:cs="Calibri"/>
                <w:color w:val="000000"/>
                <w:sz w:val="20"/>
                <w:szCs w:val="20"/>
              </w:rPr>
              <w:t>-18472)</w:t>
            </w:r>
          </w:p>
        </w:tc>
        <w:tc>
          <w:tcPr>
            <w:tcW w:w="2274" w:type="dxa"/>
            <w:vAlign w:val="center"/>
          </w:tcPr>
          <w:p w14:paraId="1E53F339"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6431 (5515-7382)</w:t>
            </w:r>
          </w:p>
        </w:tc>
        <w:tc>
          <w:tcPr>
            <w:tcW w:w="2422" w:type="dxa"/>
            <w:vAlign w:val="center"/>
          </w:tcPr>
          <w:p w14:paraId="15A690A6" w14:textId="16756565"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683</w:t>
            </w:r>
            <w:r w:rsidR="000A05AD">
              <w:rPr>
                <w:rFonts w:ascii="Calibri" w:hAnsi="Calibri" w:cs="Calibri"/>
                <w:color w:val="000000"/>
                <w:sz w:val="20"/>
                <w:szCs w:val="20"/>
              </w:rPr>
              <w:t>2</w:t>
            </w:r>
            <w:r w:rsidRPr="004F568F">
              <w:rPr>
                <w:rFonts w:ascii="Calibri" w:hAnsi="Calibri" w:cs="Calibri"/>
                <w:color w:val="000000"/>
                <w:sz w:val="20"/>
                <w:szCs w:val="20"/>
              </w:rPr>
              <w:t>( 5858-784</w:t>
            </w:r>
            <w:r w:rsidR="000A05AD">
              <w:rPr>
                <w:rFonts w:ascii="Calibri" w:hAnsi="Calibri" w:cs="Calibri"/>
                <w:color w:val="000000"/>
                <w:sz w:val="20"/>
                <w:szCs w:val="20"/>
              </w:rPr>
              <w:t>2</w:t>
            </w:r>
            <w:r w:rsidRPr="004F568F">
              <w:rPr>
                <w:rFonts w:ascii="Calibri" w:hAnsi="Calibri" w:cs="Calibri"/>
                <w:color w:val="000000"/>
                <w:sz w:val="20"/>
                <w:szCs w:val="20"/>
              </w:rPr>
              <w:t>)</w:t>
            </w:r>
          </w:p>
        </w:tc>
        <w:tc>
          <w:tcPr>
            <w:tcW w:w="2737" w:type="dxa"/>
            <w:vAlign w:val="center"/>
          </w:tcPr>
          <w:p w14:paraId="3207F9F6"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7441 (5488-10007)</w:t>
            </w:r>
          </w:p>
        </w:tc>
        <w:tc>
          <w:tcPr>
            <w:tcW w:w="2740" w:type="dxa"/>
            <w:vAlign w:val="center"/>
          </w:tcPr>
          <w:p w14:paraId="770D1B0B" w14:textId="1DC94284"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790</w:t>
            </w:r>
            <w:r w:rsidR="007E1445">
              <w:rPr>
                <w:rFonts w:ascii="Calibri" w:hAnsi="Calibri" w:cs="Calibri"/>
                <w:color w:val="000000"/>
                <w:sz w:val="20"/>
                <w:szCs w:val="20"/>
              </w:rPr>
              <w:t>5</w:t>
            </w:r>
            <w:r w:rsidRPr="004F568F">
              <w:rPr>
                <w:rFonts w:ascii="Calibri" w:hAnsi="Calibri" w:cs="Calibri"/>
                <w:color w:val="000000"/>
                <w:sz w:val="20"/>
                <w:szCs w:val="20"/>
              </w:rPr>
              <w:t xml:space="preserve"> (5829-106</w:t>
            </w:r>
            <w:r w:rsidR="007E1445">
              <w:rPr>
                <w:rFonts w:ascii="Calibri" w:hAnsi="Calibri" w:cs="Calibri"/>
                <w:color w:val="000000"/>
                <w:sz w:val="20"/>
                <w:szCs w:val="20"/>
              </w:rPr>
              <w:t>30</w:t>
            </w:r>
            <w:r w:rsidRPr="004F568F">
              <w:rPr>
                <w:rFonts w:ascii="Calibri" w:hAnsi="Calibri" w:cs="Calibri"/>
                <w:color w:val="000000"/>
                <w:sz w:val="20"/>
                <w:szCs w:val="20"/>
              </w:rPr>
              <w:t>)</w:t>
            </w:r>
          </w:p>
        </w:tc>
      </w:tr>
      <w:tr w:rsidR="0022280F" w:rsidRPr="00AE771E" w14:paraId="3E587646" w14:textId="77777777" w:rsidTr="009D2EC0">
        <w:trPr>
          <w:trHeight w:val="391"/>
        </w:trPr>
        <w:tc>
          <w:tcPr>
            <w:tcW w:w="1152" w:type="dxa"/>
          </w:tcPr>
          <w:p w14:paraId="685DAA99"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2</w:t>
            </w:r>
          </w:p>
        </w:tc>
        <w:tc>
          <w:tcPr>
            <w:tcW w:w="2259" w:type="dxa"/>
            <w:vAlign w:val="center"/>
          </w:tcPr>
          <w:p w14:paraId="6C66A212"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9848 (7600-12613)</w:t>
            </w:r>
          </w:p>
        </w:tc>
        <w:tc>
          <w:tcPr>
            <w:tcW w:w="2843" w:type="dxa"/>
            <w:vAlign w:val="center"/>
          </w:tcPr>
          <w:p w14:paraId="38647B5C" w14:textId="6CF61622"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1047</w:t>
            </w:r>
            <w:r w:rsidR="00203B88">
              <w:rPr>
                <w:rFonts w:ascii="Calibri" w:hAnsi="Calibri" w:cs="Calibri"/>
                <w:color w:val="000000"/>
                <w:sz w:val="20"/>
                <w:szCs w:val="20"/>
              </w:rPr>
              <w:t>7</w:t>
            </w:r>
            <w:r w:rsidRPr="004F568F">
              <w:rPr>
                <w:rFonts w:ascii="Calibri" w:hAnsi="Calibri" w:cs="Calibri"/>
                <w:color w:val="000000"/>
                <w:sz w:val="20"/>
                <w:szCs w:val="20"/>
              </w:rPr>
              <w:t xml:space="preserve"> (8085-13418)</w:t>
            </w:r>
          </w:p>
        </w:tc>
        <w:tc>
          <w:tcPr>
            <w:tcW w:w="2274" w:type="dxa"/>
            <w:vAlign w:val="center"/>
          </w:tcPr>
          <w:p w14:paraId="01DD44C7"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4566 (3764-5404)</w:t>
            </w:r>
          </w:p>
        </w:tc>
        <w:tc>
          <w:tcPr>
            <w:tcW w:w="2422" w:type="dxa"/>
            <w:vAlign w:val="center"/>
          </w:tcPr>
          <w:p w14:paraId="20A43D4B" w14:textId="35B7395D"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4857 (400</w:t>
            </w:r>
            <w:r w:rsidR="000A05AD">
              <w:rPr>
                <w:rFonts w:ascii="Calibri" w:hAnsi="Calibri" w:cs="Calibri"/>
                <w:color w:val="000000"/>
                <w:sz w:val="20"/>
                <w:szCs w:val="20"/>
              </w:rPr>
              <w:t>4</w:t>
            </w:r>
            <w:r w:rsidRPr="004F568F">
              <w:rPr>
                <w:rFonts w:ascii="Calibri" w:hAnsi="Calibri" w:cs="Calibri"/>
                <w:color w:val="000000"/>
                <w:sz w:val="20"/>
                <w:szCs w:val="20"/>
              </w:rPr>
              <w:t>-5749)</w:t>
            </w:r>
          </w:p>
        </w:tc>
        <w:tc>
          <w:tcPr>
            <w:tcW w:w="2737" w:type="dxa"/>
            <w:vAlign w:val="center"/>
          </w:tcPr>
          <w:p w14:paraId="57D02629"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5282 (3836-7209)</w:t>
            </w:r>
          </w:p>
        </w:tc>
        <w:tc>
          <w:tcPr>
            <w:tcW w:w="2740" w:type="dxa"/>
            <w:vAlign w:val="center"/>
          </w:tcPr>
          <w:p w14:paraId="6754E169" w14:textId="02E27AAF"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5619 (4080-766</w:t>
            </w:r>
            <w:r w:rsidR="007E1445">
              <w:rPr>
                <w:rFonts w:ascii="Calibri" w:hAnsi="Calibri" w:cs="Calibri"/>
                <w:color w:val="000000"/>
                <w:sz w:val="20"/>
                <w:szCs w:val="20"/>
              </w:rPr>
              <w:t>9</w:t>
            </w:r>
            <w:r w:rsidRPr="004F568F">
              <w:rPr>
                <w:rFonts w:ascii="Calibri" w:hAnsi="Calibri" w:cs="Calibri"/>
                <w:color w:val="000000"/>
                <w:sz w:val="20"/>
                <w:szCs w:val="20"/>
              </w:rPr>
              <w:t>)</w:t>
            </w:r>
          </w:p>
        </w:tc>
      </w:tr>
      <w:tr w:rsidR="0022280F" w:rsidRPr="00AE771E" w14:paraId="5A225FAF" w14:textId="77777777" w:rsidTr="009D2EC0">
        <w:trPr>
          <w:trHeight w:val="368"/>
        </w:trPr>
        <w:tc>
          <w:tcPr>
            <w:tcW w:w="1152" w:type="dxa"/>
          </w:tcPr>
          <w:p w14:paraId="62BE424E"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3</w:t>
            </w:r>
          </w:p>
        </w:tc>
        <w:tc>
          <w:tcPr>
            <w:tcW w:w="2259" w:type="dxa"/>
            <w:vAlign w:val="center"/>
          </w:tcPr>
          <w:p w14:paraId="3802933D"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8721 (6550-11357)</w:t>
            </w:r>
          </w:p>
        </w:tc>
        <w:tc>
          <w:tcPr>
            <w:tcW w:w="2843" w:type="dxa"/>
            <w:vAlign w:val="center"/>
          </w:tcPr>
          <w:p w14:paraId="55D74A06" w14:textId="1D302CC9"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929</w:t>
            </w:r>
            <w:r w:rsidR="00203B88">
              <w:rPr>
                <w:rFonts w:ascii="Calibri" w:hAnsi="Calibri" w:cs="Calibri"/>
                <w:color w:val="000000"/>
                <w:sz w:val="20"/>
                <w:szCs w:val="20"/>
              </w:rPr>
              <w:t>2</w:t>
            </w:r>
            <w:r w:rsidRPr="004F568F">
              <w:rPr>
                <w:rFonts w:ascii="Calibri" w:hAnsi="Calibri" w:cs="Calibri"/>
                <w:color w:val="000000"/>
                <w:sz w:val="20"/>
                <w:szCs w:val="20"/>
              </w:rPr>
              <w:t xml:space="preserve"> (6978-12100)</w:t>
            </w:r>
          </w:p>
        </w:tc>
        <w:tc>
          <w:tcPr>
            <w:tcW w:w="2274" w:type="dxa"/>
            <w:vAlign w:val="center"/>
          </w:tcPr>
          <w:p w14:paraId="3F3FB13B"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4043 (3247-4873)</w:t>
            </w:r>
          </w:p>
        </w:tc>
        <w:tc>
          <w:tcPr>
            <w:tcW w:w="2422" w:type="dxa"/>
            <w:vAlign w:val="center"/>
          </w:tcPr>
          <w:p w14:paraId="097EF13D" w14:textId="60B749F4"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430</w:t>
            </w:r>
            <w:r w:rsidR="000A05AD">
              <w:rPr>
                <w:rFonts w:ascii="Calibri" w:hAnsi="Calibri" w:cs="Calibri"/>
                <w:color w:val="000000"/>
                <w:sz w:val="20"/>
                <w:szCs w:val="20"/>
              </w:rPr>
              <w:t>8</w:t>
            </w:r>
            <w:r w:rsidRPr="004F568F">
              <w:rPr>
                <w:rFonts w:ascii="Calibri" w:hAnsi="Calibri" w:cs="Calibri"/>
                <w:color w:val="000000"/>
                <w:sz w:val="20"/>
                <w:szCs w:val="20"/>
              </w:rPr>
              <w:t xml:space="preserve"> (3459-5191)</w:t>
            </w:r>
          </w:p>
        </w:tc>
        <w:tc>
          <w:tcPr>
            <w:tcW w:w="2737" w:type="dxa"/>
            <w:vAlign w:val="center"/>
          </w:tcPr>
          <w:p w14:paraId="65F96B9A"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4678 (3303-6484)</w:t>
            </w:r>
          </w:p>
        </w:tc>
        <w:tc>
          <w:tcPr>
            <w:tcW w:w="2740" w:type="dxa"/>
            <w:vAlign w:val="center"/>
          </w:tcPr>
          <w:p w14:paraId="2CA1E6DC" w14:textId="1DF0CB17"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4984 (3519-6908)</w:t>
            </w:r>
          </w:p>
        </w:tc>
      </w:tr>
      <w:tr w:rsidR="0022280F" w:rsidRPr="00AE771E" w14:paraId="2C549CB3" w14:textId="77777777" w:rsidTr="009D2EC0">
        <w:trPr>
          <w:trHeight w:val="391"/>
        </w:trPr>
        <w:tc>
          <w:tcPr>
            <w:tcW w:w="1152" w:type="dxa"/>
          </w:tcPr>
          <w:p w14:paraId="73BDADA3"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4</w:t>
            </w:r>
          </w:p>
        </w:tc>
        <w:tc>
          <w:tcPr>
            <w:tcW w:w="2259" w:type="dxa"/>
            <w:vAlign w:val="center"/>
          </w:tcPr>
          <w:p w14:paraId="4EBB4A17"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8263 (5966-11080)</w:t>
            </w:r>
          </w:p>
        </w:tc>
        <w:tc>
          <w:tcPr>
            <w:tcW w:w="2843" w:type="dxa"/>
            <w:vAlign w:val="center"/>
          </w:tcPr>
          <w:p w14:paraId="02162236" w14:textId="02C01144"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88</w:t>
            </w:r>
            <w:r w:rsidR="00203B88">
              <w:rPr>
                <w:rFonts w:ascii="Calibri" w:hAnsi="Calibri" w:cs="Calibri"/>
                <w:color w:val="000000"/>
                <w:sz w:val="20"/>
                <w:szCs w:val="20"/>
              </w:rPr>
              <w:t>20</w:t>
            </w:r>
            <w:r w:rsidRPr="004F568F">
              <w:rPr>
                <w:rFonts w:ascii="Calibri" w:hAnsi="Calibri" w:cs="Calibri"/>
                <w:color w:val="000000"/>
                <w:sz w:val="20"/>
                <w:szCs w:val="20"/>
              </w:rPr>
              <w:t xml:space="preserve"> (636</w:t>
            </w:r>
            <w:r w:rsidR="00203B88">
              <w:rPr>
                <w:rFonts w:ascii="Calibri" w:hAnsi="Calibri" w:cs="Calibri"/>
                <w:color w:val="000000"/>
                <w:sz w:val="20"/>
                <w:szCs w:val="20"/>
              </w:rPr>
              <w:t>8</w:t>
            </w:r>
            <w:r w:rsidRPr="004F568F">
              <w:rPr>
                <w:rFonts w:ascii="Calibri" w:hAnsi="Calibri" w:cs="Calibri"/>
                <w:color w:val="000000"/>
                <w:sz w:val="20"/>
                <w:szCs w:val="20"/>
              </w:rPr>
              <w:t>-11826)</w:t>
            </w:r>
          </w:p>
        </w:tc>
        <w:tc>
          <w:tcPr>
            <w:tcW w:w="2274" w:type="dxa"/>
            <w:vAlign w:val="center"/>
          </w:tcPr>
          <w:p w14:paraId="262B1A88"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3831 (2962-4774)</w:t>
            </w:r>
          </w:p>
        </w:tc>
        <w:tc>
          <w:tcPr>
            <w:tcW w:w="2422" w:type="dxa"/>
            <w:vAlign w:val="center"/>
          </w:tcPr>
          <w:p w14:paraId="5EA58DA0" w14:textId="5A4850EE"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4089 (3161-5095)</w:t>
            </w:r>
          </w:p>
        </w:tc>
        <w:tc>
          <w:tcPr>
            <w:tcW w:w="2737" w:type="dxa"/>
            <w:vAlign w:val="center"/>
          </w:tcPr>
          <w:p w14:paraId="10372924"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4432 (3004-6306)</w:t>
            </w:r>
          </w:p>
        </w:tc>
        <w:tc>
          <w:tcPr>
            <w:tcW w:w="2740" w:type="dxa"/>
            <w:vAlign w:val="center"/>
          </w:tcPr>
          <w:p w14:paraId="2F3200C7" w14:textId="006FD495"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473</w:t>
            </w:r>
            <w:r w:rsidR="007E1445">
              <w:rPr>
                <w:rFonts w:ascii="Calibri" w:hAnsi="Calibri" w:cs="Calibri"/>
                <w:color w:val="000000"/>
                <w:sz w:val="20"/>
                <w:szCs w:val="20"/>
              </w:rPr>
              <w:t>1</w:t>
            </w:r>
            <w:r w:rsidRPr="004F568F">
              <w:rPr>
                <w:rFonts w:ascii="Calibri" w:hAnsi="Calibri" w:cs="Calibri"/>
                <w:color w:val="000000"/>
                <w:sz w:val="20"/>
                <w:szCs w:val="20"/>
              </w:rPr>
              <w:t xml:space="preserve"> (3206-6730)</w:t>
            </w:r>
          </w:p>
        </w:tc>
      </w:tr>
      <w:tr w:rsidR="0022280F" w:rsidRPr="00AE771E" w14:paraId="1022B973" w14:textId="77777777" w:rsidTr="009D2EC0">
        <w:trPr>
          <w:trHeight w:val="368"/>
        </w:trPr>
        <w:tc>
          <w:tcPr>
            <w:tcW w:w="1152" w:type="dxa"/>
          </w:tcPr>
          <w:p w14:paraId="450C40AA"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5</w:t>
            </w:r>
          </w:p>
        </w:tc>
        <w:tc>
          <w:tcPr>
            <w:tcW w:w="2259" w:type="dxa"/>
            <w:vAlign w:val="center"/>
          </w:tcPr>
          <w:p w14:paraId="02199819"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5251 (3662-7334)</w:t>
            </w:r>
          </w:p>
        </w:tc>
        <w:tc>
          <w:tcPr>
            <w:tcW w:w="2843" w:type="dxa"/>
            <w:vAlign w:val="center"/>
          </w:tcPr>
          <w:p w14:paraId="2AEC9E7F" w14:textId="551A1B4A"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561</w:t>
            </w:r>
            <w:r w:rsidR="00203B88">
              <w:rPr>
                <w:rFonts w:ascii="Calibri" w:hAnsi="Calibri" w:cs="Calibri"/>
                <w:color w:val="000000"/>
                <w:sz w:val="20"/>
                <w:szCs w:val="20"/>
              </w:rPr>
              <w:t>5</w:t>
            </w:r>
            <w:r w:rsidRPr="004F568F">
              <w:rPr>
                <w:rFonts w:ascii="Calibri" w:hAnsi="Calibri" w:cs="Calibri"/>
                <w:color w:val="000000"/>
                <w:sz w:val="20"/>
                <w:szCs w:val="20"/>
              </w:rPr>
              <w:t xml:space="preserve"> (391</w:t>
            </w:r>
            <w:r w:rsidR="00203B88">
              <w:rPr>
                <w:rFonts w:ascii="Calibri" w:hAnsi="Calibri" w:cs="Calibri"/>
                <w:color w:val="000000"/>
                <w:sz w:val="20"/>
                <w:szCs w:val="20"/>
              </w:rPr>
              <w:t>6</w:t>
            </w:r>
            <w:r w:rsidRPr="004F568F">
              <w:rPr>
                <w:rFonts w:ascii="Calibri" w:hAnsi="Calibri" w:cs="Calibri"/>
                <w:color w:val="000000"/>
                <w:sz w:val="20"/>
                <w:szCs w:val="20"/>
              </w:rPr>
              <w:t>-7842)</w:t>
            </w:r>
          </w:p>
        </w:tc>
        <w:tc>
          <w:tcPr>
            <w:tcW w:w="2274" w:type="dxa"/>
            <w:vAlign w:val="center"/>
          </w:tcPr>
          <w:p w14:paraId="52893672"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2435 (1797-3185)</w:t>
            </w:r>
          </w:p>
        </w:tc>
        <w:tc>
          <w:tcPr>
            <w:tcW w:w="2422" w:type="dxa"/>
            <w:vAlign w:val="center"/>
          </w:tcPr>
          <w:p w14:paraId="74FA88C1" w14:textId="4BBBA9CD"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260</w:t>
            </w:r>
            <w:r w:rsidR="000A05AD">
              <w:rPr>
                <w:rFonts w:ascii="Calibri" w:hAnsi="Calibri" w:cs="Calibri"/>
                <w:color w:val="000000"/>
                <w:sz w:val="20"/>
                <w:szCs w:val="20"/>
              </w:rPr>
              <w:t>4</w:t>
            </w:r>
            <w:r w:rsidRPr="004F568F">
              <w:rPr>
                <w:rFonts w:ascii="Calibri" w:hAnsi="Calibri" w:cs="Calibri"/>
                <w:color w:val="000000"/>
                <w:sz w:val="20"/>
                <w:szCs w:val="20"/>
              </w:rPr>
              <w:t xml:space="preserve"> (192</w:t>
            </w:r>
            <w:r w:rsidR="000A05AD">
              <w:rPr>
                <w:rFonts w:ascii="Calibri" w:hAnsi="Calibri" w:cs="Calibri"/>
                <w:color w:val="000000"/>
                <w:sz w:val="20"/>
                <w:szCs w:val="20"/>
              </w:rPr>
              <w:t>2</w:t>
            </w:r>
            <w:r w:rsidRPr="004F568F">
              <w:rPr>
                <w:rFonts w:ascii="Calibri" w:hAnsi="Calibri" w:cs="Calibri"/>
                <w:color w:val="000000"/>
                <w:sz w:val="20"/>
                <w:szCs w:val="20"/>
              </w:rPr>
              <w:t>-3405)</w:t>
            </w:r>
          </w:p>
        </w:tc>
        <w:tc>
          <w:tcPr>
            <w:tcW w:w="2737" w:type="dxa"/>
            <w:vAlign w:val="center"/>
          </w:tcPr>
          <w:p w14:paraId="4A5D500B"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2816 (1865-4149)</w:t>
            </w:r>
          </w:p>
        </w:tc>
        <w:tc>
          <w:tcPr>
            <w:tcW w:w="2740" w:type="dxa"/>
            <w:vAlign w:val="center"/>
          </w:tcPr>
          <w:p w14:paraId="78D4A09E" w14:textId="76D8A044"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3011 (1994-443</w:t>
            </w:r>
            <w:r w:rsidR="007E1445">
              <w:rPr>
                <w:rFonts w:ascii="Calibri" w:hAnsi="Calibri" w:cs="Calibri"/>
                <w:color w:val="000000"/>
                <w:sz w:val="20"/>
                <w:szCs w:val="20"/>
              </w:rPr>
              <w:t>7</w:t>
            </w:r>
            <w:r w:rsidRPr="004F568F">
              <w:rPr>
                <w:rFonts w:ascii="Calibri" w:hAnsi="Calibri" w:cs="Calibri"/>
                <w:color w:val="000000"/>
                <w:sz w:val="20"/>
                <w:szCs w:val="20"/>
              </w:rPr>
              <w:t>)</w:t>
            </w:r>
          </w:p>
        </w:tc>
      </w:tr>
      <w:tr w:rsidR="0022280F" w:rsidRPr="00AE771E" w14:paraId="0E73E482" w14:textId="77777777" w:rsidTr="009D2EC0">
        <w:trPr>
          <w:trHeight w:val="391"/>
        </w:trPr>
        <w:tc>
          <w:tcPr>
            <w:tcW w:w="1152" w:type="dxa"/>
          </w:tcPr>
          <w:p w14:paraId="1F31218F"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6</w:t>
            </w:r>
          </w:p>
        </w:tc>
        <w:tc>
          <w:tcPr>
            <w:tcW w:w="2259" w:type="dxa"/>
            <w:vAlign w:val="center"/>
          </w:tcPr>
          <w:p w14:paraId="3AE127F1"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5721 (4034-7791)</w:t>
            </w:r>
          </w:p>
        </w:tc>
        <w:tc>
          <w:tcPr>
            <w:tcW w:w="2843" w:type="dxa"/>
            <w:vAlign w:val="center"/>
          </w:tcPr>
          <w:p w14:paraId="6AC61CD8" w14:textId="6EBB272E"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6126 (43</w:t>
            </w:r>
            <w:r w:rsidR="00203B88">
              <w:rPr>
                <w:rFonts w:ascii="Calibri" w:hAnsi="Calibri" w:cs="Calibri"/>
                <w:color w:val="000000"/>
                <w:sz w:val="20"/>
                <w:szCs w:val="20"/>
              </w:rPr>
              <w:t>20</w:t>
            </w:r>
            <w:r w:rsidRPr="004F568F">
              <w:rPr>
                <w:rFonts w:ascii="Calibri" w:hAnsi="Calibri" w:cs="Calibri"/>
                <w:color w:val="000000"/>
                <w:sz w:val="20"/>
                <w:szCs w:val="20"/>
              </w:rPr>
              <w:t>-8343)</w:t>
            </w:r>
          </w:p>
        </w:tc>
        <w:tc>
          <w:tcPr>
            <w:tcW w:w="2274" w:type="dxa"/>
            <w:vAlign w:val="center"/>
          </w:tcPr>
          <w:p w14:paraId="4D4D7192"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2652 (1976-3369)</w:t>
            </w:r>
          </w:p>
        </w:tc>
        <w:tc>
          <w:tcPr>
            <w:tcW w:w="2422" w:type="dxa"/>
            <w:vAlign w:val="center"/>
          </w:tcPr>
          <w:p w14:paraId="2F0AC57B" w14:textId="070173B7"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28</w:t>
            </w:r>
            <w:r w:rsidR="000A05AD">
              <w:rPr>
                <w:rFonts w:ascii="Calibri" w:hAnsi="Calibri" w:cs="Calibri"/>
                <w:color w:val="000000"/>
                <w:sz w:val="20"/>
                <w:szCs w:val="20"/>
              </w:rPr>
              <w:t>40</w:t>
            </w:r>
            <w:r w:rsidRPr="004F568F">
              <w:rPr>
                <w:rFonts w:ascii="Calibri" w:hAnsi="Calibri" w:cs="Calibri"/>
                <w:color w:val="000000"/>
                <w:sz w:val="20"/>
                <w:szCs w:val="20"/>
              </w:rPr>
              <w:t xml:space="preserve"> (211</w:t>
            </w:r>
            <w:r w:rsidR="000A05AD">
              <w:rPr>
                <w:rFonts w:ascii="Calibri" w:hAnsi="Calibri" w:cs="Calibri"/>
                <w:color w:val="000000"/>
                <w:sz w:val="20"/>
                <w:szCs w:val="20"/>
              </w:rPr>
              <w:t>6</w:t>
            </w:r>
            <w:r w:rsidRPr="004F568F">
              <w:rPr>
                <w:rFonts w:ascii="Calibri" w:hAnsi="Calibri" w:cs="Calibri"/>
                <w:color w:val="000000"/>
                <w:sz w:val="20"/>
                <w:szCs w:val="20"/>
              </w:rPr>
              <w:t>-360</w:t>
            </w:r>
            <w:r w:rsidR="000A05AD">
              <w:rPr>
                <w:rFonts w:ascii="Calibri" w:hAnsi="Calibri" w:cs="Calibri"/>
                <w:color w:val="000000"/>
                <w:sz w:val="20"/>
                <w:szCs w:val="20"/>
              </w:rPr>
              <w:t>8</w:t>
            </w:r>
            <w:r w:rsidRPr="004F568F">
              <w:rPr>
                <w:rFonts w:ascii="Calibri" w:hAnsi="Calibri" w:cs="Calibri"/>
                <w:color w:val="000000"/>
                <w:sz w:val="20"/>
                <w:szCs w:val="20"/>
              </w:rPr>
              <w:t>)</w:t>
            </w:r>
          </w:p>
        </w:tc>
        <w:tc>
          <w:tcPr>
            <w:tcW w:w="2737" w:type="dxa"/>
            <w:vAlign w:val="center"/>
          </w:tcPr>
          <w:p w14:paraId="4B46D88C"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3069 (2058-4422)</w:t>
            </w:r>
          </w:p>
        </w:tc>
        <w:tc>
          <w:tcPr>
            <w:tcW w:w="2740" w:type="dxa"/>
            <w:vAlign w:val="center"/>
          </w:tcPr>
          <w:p w14:paraId="77EE5D08" w14:textId="79D196CD"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328</w:t>
            </w:r>
            <w:r w:rsidR="007E1445">
              <w:rPr>
                <w:rFonts w:ascii="Calibri" w:hAnsi="Calibri" w:cs="Calibri"/>
                <w:color w:val="000000"/>
                <w:sz w:val="20"/>
                <w:szCs w:val="20"/>
              </w:rPr>
              <w:t>7 (2203</w:t>
            </w:r>
            <w:r w:rsidRPr="004F568F">
              <w:rPr>
                <w:rFonts w:ascii="Calibri" w:hAnsi="Calibri" w:cs="Calibri"/>
                <w:color w:val="000000"/>
                <w:sz w:val="20"/>
                <w:szCs w:val="20"/>
              </w:rPr>
              <w:t>-4735)</w:t>
            </w:r>
          </w:p>
        </w:tc>
      </w:tr>
      <w:tr w:rsidR="0022280F" w:rsidRPr="00AE771E" w14:paraId="71212FB7" w14:textId="77777777" w:rsidTr="009D2EC0">
        <w:trPr>
          <w:trHeight w:val="391"/>
        </w:trPr>
        <w:tc>
          <w:tcPr>
            <w:tcW w:w="1152" w:type="dxa"/>
          </w:tcPr>
          <w:p w14:paraId="0F121896"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7</w:t>
            </w:r>
          </w:p>
        </w:tc>
        <w:tc>
          <w:tcPr>
            <w:tcW w:w="2259" w:type="dxa"/>
            <w:vAlign w:val="center"/>
          </w:tcPr>
          <w:p w14:paraId="4445DF4D"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3862 (2475-5625)</w:t>
            </w:r>
          </w:p>
        </w:tc>
        <w:tc>
          <w:tcPr>
            <w:tcW w:w="2843" w:type="dxa"/>
            <w:vAlign w:val="center"/>
          </w:tcPr>
          <w:p w14:paraId="47945847" w14:textId="2E710FE0" w:rsidR="0022280F" w:rsidRPr="004F568F" w:rsidRDefault="0022280F" w:rsidP="00203B88">
            <w:pPr>
              <w:spacing w:line="276" w:lineRule="auto"/>
              <w:jc w:val="center"/>
              <w:rPr>
                <w:rFonts w:ascii="Calibri" w:hAnsi="Calibri" w:cs="Calibri"/>
                <w:sz w:val="20"/>
                <w:szCs w:val="20"/>
              </w:rPr>
            </w:pPr>
            <w:r w:rsidRPr="004F568F">
              <w:rPr>
                <w:rFonts w:ascii="Calibri" w:hAnsi="Calibri" w:cs="Calibri"/>
                <w:color w:val="000000"/>
                <w:sz w:val="20"/>
                <w:szCs w:val="20"/>
              </w:rPr>
              <w:t>414</w:t>
            </w:r>
            <w:r w:rsidR="00203B88">
              <w:rPr>
                <w:rFonts w:ascii="Calibri" w:hAnsi="Calibri" w:cs="Calibri"/>
                <w:color w:val="000000"/>
                <w:sz w:val="20"/>
                <w:szCs w:val="20"/>
              </w:rPr>
              <w:t>2</w:t>
            </w:r>
            <w:r w:rsidRPr="004F568F">
              <w:rPr>
                <w:rFonts w:ascii="Calibri" w:hAnsi="Calibri" w:cs="Calibri"/>
                <w:color w:val="000000"/>
                <w:sz w:val="20"/>
                <w:szCs w:val="20"/>
              </w:rPr>
              <w:t xml:space="preserve"> (2654-603</w:t>
            </w:r>
            <w:r w:rsidR="00203B88">
              <w:rPr>
                <w:rFonts w:ascii="Calibri" w:hAnsi="Calibri" w:cs="Calibri"/>
                <w:color w:val="000000"/>
                <w:sz w:val="20"/>
                <w:szCs w:val="20"/>
              </w:rPr>
              <w:t>3</w:t>
            </w:r>
            <w:r w:rsidRPr="004F568F">
              <w:rPr>
                <w:rFonts w:ascii="Calibri" w:hAnsi="Calibri" w:cs="Calibri"/>
                <w:color w:val="000000"/>
                <w:sz w:val="20"/>
                <w:szCs w:val="20"/>
              </w:rPr>
              <w:t>)</w:t>
            </w:r>
          </w:p>
        </w:tc>
        <w:tc>
          <w:tcPr>
            <w:tcW w:w="2274" w:type="dxa"/>
            <w:vAlign w:val="center"/>
          </w:tcPr>
          <w:p w14:paraId="210B6453"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1790 (1196-2429)</w:t>
            </w:r>
          </w:p>
        </w:tc>
        <w:tc>
          <w:tcPr>
            <w:tcW w:w="2422" w:type="dxa"/>
            <w:vAlign w:val="center"/>
          </w:tcPr>
          <w:p w14:paraId="4D149766" w14:textId="78D4B0D3"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19</w:t>
            </w:r>
            <w:r w:rsidR="000A05AD">
              <w:rPr>
                <w:rFonts w:ascii="Calibri" w:hAnsi="Calibri" w:cs="Calibri"/>
                <w:color w:val="000000"/>
                <w:sz w:val="20"/>
                <w:szCs w:val="20"/>
              </w:rPr>
              <w:t>20</w:t>
            </w:r>
            <w:r w:rsidRPr="004F568F">
              <w:rPr>
                <w:rFonts w:ascii="Calibri" w:hAnsi="Calibri" w:cs="Calibri"/>
                <w:color w:val="000000"/>
                <w:sz w:val="20"/>
                <w:szCs w:val="20"/>
              </w:rPr>
              <w:t xml:space="preserve"> (1282-2605)</w:t>
            </w:r>
          </w:p>
        </w:tc>
        <w:tc>
          <w:tcPr>
            <w:tcW w:w="2737" w:type="dxa"/>
            <w:vAlign w:val="center"/>
          </w:tcPr>
          <w:p w14:paraId="2A00F654"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2072 (1279-3196)</w:t>
            </w:r>
          </w:p>
        </w:tc>
        <w:tc>
          <w:tcPr>
            <w:tcW w:w="2740" w:type="dxa"/>
            <w:vAlign w:val="center"/>
          </w:tcPr>
          <w:p w14:paraId="01F6B8EE" w14:textId="7801C96A"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2222 (1371-3427)</w:t>
            </w:r>
          </w:p>
        </w:tc>
      </w:tr>
      <w:tr w:rsidR="0022280F" w:rsidRPr="00AE771E" w14:paraId="1DA41E90" w14:textId="77777777" w:rsidTr="009D2EC0">
        <w:trPr>
          <w:trHeight w:val="368"/>
        </w:trPr>
        <w:tc>
          <w:tcPr>
            <w:tcW w:w="1152" w:type="dxa"/>
          </w:tcPr>
          <w:p w14:paraId="21307499"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8</w:t>
            </w:r>
          </w:p>
        </w:tc>
        <w:tc>
          <w:tcPr>
            <w:tcW w:w="2259" w:type="dxa"/>
            <w:vAlign w:val="center"/>
          </w:tcPr>
          <w:p w14:paraId="5AF5D863"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2595 (1592-3776)</w:t>
            </w:r>
          </w:p>
        </w:tc>
        <w:tc>
          <w:tcPr>
            <w:tcW w:w="2843" w:type="dxa"/>
            <w:vAlign w:val="center"/>
          </w:tcPr>
          <w:p w14:paraId="247B40C2" w14:textId="4A5ABBC4" w:rsidR="0022280F" w:rsidRPr="004F568F" w:rsidRDefault="0022280F" w:rsidP="00EF5F18">
            <w:pPr>
              <w:spacing w:line="276" w:lineRule="auto"/>
              <w:jc w:val="center"/>
              <w:rPr>
                <w:rFonts w:ascii="Calibri" w:hAnsi="Calibri" w:cs="Calibri"/>
                <w:sz w:val="20"/>
                <w:szCs w:val="20"/>
              </w:rPr>
            </w:pPr>
            <w:r w:rsidRPr="004F568F">
              <w:rPr>
                <w:rFonts w:ascii="Calibri" w:hAnsi="Calibri" w:cs="Calibri"/>
                <w:color w:val="000000"/>
                <w:sz w:val="20"/>
                <w:szCs w:val="20"/>
              </w:rPr>
              <w:t>2789 (17</w:t>
            </w:r>
            <w:r w:rsidR="00EF5F18">
              <w:rPr>
                <w:rFonts w:ascii="Calibri" w:hAnsi="Calibri" w:cs="Calibri"/>
                <w:color w:val="000000"/>
                <w:sz w:val="20"/>
                <w:szCs w:val="20"/>
              </w:rPr>
              <w:t>10</w:t>
            </w:r>
            <w:r w:rsidRPr="004F568F">
              <w:rPr>
                <w:rFonts w:ascii="Calibri" w:hAnsi="Calibri" w:cs="Calibri"/>
                <w:color w:val="000000"/>
                <w:sz w:val="20"/>
                <w:szCs w:val="20"/>
              </w:rPr>
              <w:t>-4055)</w:t>
            </w:r>
          </w:p>
        </w:tc>
        <w:tc>
          <w:tcPr>
            <w:tcW w:w="2274" w:type="dxa"/>
            <w:vAlign w:val="center"/>
          </w:tcPr>
          <w:p w14:paraId="27701072"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1203 (750-1645)</w:t>
            </w:r>
          </w:p>
        </w:tc>
        <w:tc>
          <w:tcPr>
            <w:tcW w:w="2422" w:type="dxa"/>
            <w:vAlign w:val="center"/>
          </w:tcPr>
          <w:p w14:paraId="1133A136" w14:textId="67AF6ECB"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1292 (80</w:t>
            </w:r>
            <w:r w:rsidR="000A05AD">
              <w:rPr>
                <w:rFonts w:ascii="Calibri" w:hAnsi="Calibri" w:cs="Calibri"/>
                <w:color w:val="000000"/>
                <w:sz w:val="20"/>
                <w:szCs w:val="20"/>
              </w:rPr>
              <w:t>5</w:t>
            </w:r>
            <w:r w:rsidRPr="004F568F">
              <w:rPr>
                <w:rFonts w:ascii="Calibri" w:hAnsi="Calibri" w:cs="Calibri"/>
                <w:color w:val="000000"/>
                <w:sz w:val="20"/>
                <w:szCs w:val="20"/>
              </w:rPr>
              <w:t>-1766)</w:t>
            </w:r>
          </w:p>
        </w:tc>
        <w:tc>
          <w:tcPr>
            <w:tcW w:w="2737" w:type="dxa"/>
            <w:vAlign w:val="center"/>
          </w:tcPr>
          <w:p w14:paraId="04BC4626"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1392 (842-2131)</w:t>
            </w:r>
          </w:p>
        </w:tc>
        <w:tc>
          <w:tcPr>
            <w:tcW w:w="2740" w:type="dxa"/>
            <w:vAlign w:val="center"/>
          </w:tcPr>
          <w:p w14:paraId="45DBD5C1" w14:textId="16114FF1"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149</w:t>
            </w:r>
            <w:r w:rsidR="007E1445">
              <w:rPr>
                <w:rFonts w:ascii="Calibri" w:hAnsi="Calibri" w:cs="Calibri"/>
                <w:color w:val="000000"/>
                <w:sz w:val="20"/>
                <w:szCs w:val="20"/>
              </w:rPr>
              <w:t>5</w:t>
            </w:r>
            <w:r w:rsidRPr="004F568F">
              <w:rPr>
                <w:rFonts w:ascii="Calibri" w:hAnsi="Calibri" w:cs="Calibri"/>
                <w:color w:val="000000"/>
                <w:sz w:val="20"/>
                <w:szCs w:val="20"/>
              </w:rPr>
              <w:t xml:space="preserve"> (904-228</w:t>
            </w:r>
            <w:r w:rsidR="007E1445">
              <w:rPr>
                <w:rFonts w:ascii="Calibri" w:hAnsi="Calibri" w:cs="Calibri"/>
                <w:color w:val="000000"/>
                <w:sz w:val="20"/>
                <w:szCs w:val="20"/>
              </w:rPr>
              <w:t>7</w:t>
            </w:r>
            <w:r w:rsidRPr="004F568F">
              <w:rPr>
                <w:rFonts w:ascii="Calibri" w:hAnsi="Calibri" w:cs="Calibri"/>
                <w:color w:val="000000"/>
                <w:sz w:val="20"/>
                <w:szCs w:val="20"/>
              </w:rPr>
              <w:t>)</w:t>
            </w:r>
          </w:p>
        </w:tc>
      </w:tr>
      <w:tr w:rsidR="0022280F" w:rsidRPr="00AE771E" w14:paraId="01549A86" w14:textId="77777777" w:rsidTr="009D2EC0">
        <w:trPr>
          <w:trHeight w:val="391"/>
        </w:trPr>
        <w:tc>
          <w:tcPr>
            <w:tcW w:w="1152" w:type="dxa"/>
          </w:tcPr>
          <w:p w14:paraId="3C353ECC"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9</w:t>
            </w:r>
          </w:p>
        </w:tc>
        <w:tc>
          <w:tcPr>
            <w:tcW w:w="2259" w:type="dxa"/>
            <w:vAlign w:val="center"/>
          </w:tcPr>
          <w:p w14:paraId="61B6F2B2"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2187 (1211-3493)</w:t>
            </w:r>
          </w:p>
        </w:tc>
        <w:tc>
          <w:tcPr>
            <w:tcW w:w="2843" w:type="dxa"/>
            <w:vAlign w:val="center"/>
          </w:tcPr>
          <w:p w14:paraId="428987A8" w14:textId="1DA7B001" w:rsidR="0022280F" w:rsidRPr="004F568F" w:rsidRDefault="0022280F" w:rsidP="00EF5F18">
            <w:pPr>
              <w:spacing w:line="276" w:lineRule="auto"/>
              <w:jc w:val="center"/>
              <w:rPr>
                <w:rFonts w:ascii="Calibri" w:hAnsi="Calibri" w:cs="Calibri"/>
                <w:sz w:val="20"/>
                <w:szCs w:val="20"/>
              </w:rPr>
            </w:pPr>
            <w:r w:rsidRPr="004F568F">
              <w:rPr>
                <w:rFonts w:ascii="Calibri" w:hAnsi="Calibri" w:cs="Calibri"/>
                <w:color w:val="000000"/>
                <w:sz w:val="20"/>
                <w:szCs w:val="20"/>
              </w:rPr>
              <w:t>2352 (1302-375</w:t>
            </w:r>
            <w:r w:rsidR="00EF5F18">
              <w:rPr>
                <w:rFonts w:ascii="Calibri" w:hAnsi="Calibri" w:cs="Calibri"/>
                <w:color w:val="000000"/>
                <w:sz w:val="20"/>
                <w:szCs w:val="20"/>
              </w:rPr>
              <w:t>7</w:t>
            </w:r>
            <w:r w:rsidRPr="004F568F">
              <w:rPr>
                <w:rFonts w:ascii="Calibri" w:hAnsi="Calibri" w:cs="Calibri"/>
                <w:color w:val="000000"/>
                <w:sz w:val="20"/>
                <w:szCs w:val="20"/>
              </w:rPr>
              <w:t>)</w:t>
            </w:r>
          </w:p>
        </w:tc>
        <w:tc>
          <w:tcPr>
            <w:tcW w:w="2274" w:type="dxa"/>
            <w:vAlign w:val="center"/>
          </w:tcPr>
          <w:p w14:paraId="31260E93"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1014 (579-1545)</w:t>
            </w:r>
          </w:p>
        </w:tc>
        <w:tc>
          <w:tcPr>
            <w:tcW w:w="2422" w:type="dxa"/>
            <w:vAlign w:val="center"/>
          </w:tcPr>
          <w:p w14:paraId="1C09EF60" w14:textId="79A9DF15" w:rsidR="0022280F" w:rsidRPr="004F568F" w:rsidRDefault="0022280F" w:rsidP="000A05AD">
            <w:pPr>
              <w:spacing w:line="276" w:lineRule="auto"/>
              <w:jc w:val="center"/>
              <w:rPr>
                <w:rFonts w:ascii="Calibri" w:hAnsi="Calibri" w:cs="Calibri"/>
                <w:sz w:val="20"/>
                <w:szCs w:val="20"/>
              </w:rPr>
            </w:pPr>
            <w:r w:rsidRPr="004F568F">
              <w:rPr>
                <w:rFonts w:ascii="Calibri" w:hAnsi="Calibri" w:cs="Calibri"/>
                <w:color w:val="000000"/>
                <w:sz w:val="20"/>
                <w:szCs w:val="20"/>
              </w:rPr>
              <w:t>109</w:t>
            </w:r>
            <w:r w:rsidR="000A05AD">
              <w:rPr>
                <w:rFonts w:ascii="Calibri" w:hAnsi="Calibri" w:cs="Calibri"/>
                <w:color w:val="000000"/>
                <w:sz w:val="20"/>
                <w:szCs w:val="20"/>
              </w:rPr>
              <w:t>1</w:t>
            </w:r>
            <w:r w:rsidRPr="004F568F">
              <w:rPr>
                <w:rFonts w:ascii="Calibri" w:hAnsi="Calibri" w:cs="Calibri"/>
                <w:color w:val="000000"/>
                <w:sz w:val="20"/>
                <w:szCs w:val="20"/>
              </w:rPr>
              <w:t xml:space="preserve"> (62</w:t>
            </w:r>
            <w:r w:rsidR="000A05AD">
              <w:rPr>
                <w:rFonts w:ascii="Calibri" w:hAnsi="Calibri" w:cs="Calibri"/>
                <w:color w:val="000000"/>
                <w:sz w:val="20"/>
                <w:szCs w:val="20"/>
              </w:rPr>
              <w:t>3</w:t>
            </w:r>
            <w:r w:rsidRPr="004F568F">
              <w:rPr>
                <w:rFonts w:ascii="Calibri" w:hAnsi="Calibri" w:cs="Calibri"/>
                <w:color w:val="000000"/>
                <w:sz w:val="20"/>
                <w:szCs w:val="20"/>
              </w:rPr>
              <w:t>-166</w:t>
            </w:r>
            <w:r w:rsidR="000A05AD">
              <w:rPr>
                <w:rFonts w:ascii="Calibri" w:hAnsi="Calibri" w:cs="Calibri"/>
                <w:color w:val="000000"/>
                <w:sz w:val="20"/>
                <w:szCs w:val="20"/>
              </w:rPr>
              <w:t>2</w:t>
            </w:r>
            <w:r w:rsidRPr="004F568F">
              <w:rPr>
                <w:rFonts w:ascii="Calibri" w:hAnsi="Calibri" w:cs="Calibri"/>
                <w:color w:val="000000"/>
                <w:sz w:val="20"/>
                <w:szCs w:val="20"/>
              </w:rPr>
              <w:t>)</w:t>
            </w:r>
          </w:p>
        </w:tc>
        <w:tc>
          <w:tcPr>
            <w:tcW w:w="2737" w:type="dxa"/>
            <w:vAlign w:val="center"/>
          </w:tcPr>
          <w:p w14:paraId="443104C6"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1173 (632-1948)</w:t>
            </w:r>
          </w:p>
        </w:tc>
        <w:tc>
          <w:tcPr>
            <w:tcW w:w="2740" w:type="dxa"/>
            <w:vAlign w:val="center"/>
          </w:tcPr>
          <w:p w14:paraId="27910409" w14:textId="34161402"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126</w:t>
            </w:r>
            <w:r w:rsidR="007E1445">
              <w:rPr>
                <w:rFonts w:ascii="Calibri" w:hAnsi="Calibri" w:cs="Calibri"/>
                <w:color w:val="000000"/>
                <w:sz w:val="20"/>
                <w:szCs w:val="20"/>
              </w:rPr>
              <w:t>2</w:t>
            </w:r>
            <w:r w:rsidRPr="004F568F">
              <w:rPr>
                <w:rFonts w:ascii="Calibri" w:hAnsi="Calibri" w:cs="Calibri"/>
                <w:color w:val="000000"/>
                <w:sz w:val="20"/>
                <w:szCs w:val="20"/>
              </w:rPr>
              <w:t xml:space="preserve"> (6</w:t>
            </w:r>
            <w:r w:rsidR="007E1445">
              <w:rPr>
                <w:rFonts w:ascii="Calibri" w:hAnsi="Calibri" w:cs="Calibri"/>
                <w:color w:val="000000"/>
                <w:sz w:val="20"/>
                <w:szCs w:val="20"/>
              </w:rPr>
              <w:t>80</w:t>
            </w:r>
            <w:r w:rsidRPr="004F568F">
              <w:rPr>
                <w:rFonts w:ascii="Calibri" w:hAnsi="Calibri" w:cs="Calibri"/>
                <w:color w:val="000000"/>
                <w:sz w:val="20"/>
                <w:szCs w:val="20"/>
              </w:rPr>
              <w:t>-209</w:t>
            </w:r>
            <w:r w:rsidR="007E1445">
              <w:rPr>
                <w:rFonts w:ascii="Calibri" w:hAnsi="Calibri" w:cs="Calibri"/>
                <w:color w:val="000000"/>
                <w:sz w:val="20"/>
                <w:szCs w:val="20"/>
              </w:rPr>
              <w:t>5</w:t>
            </w:r>
            <w:r w:rsidRPr="004F568F">
              <w:rPr>
                <w:rFonts w:ascii="Calibri" w:hAnsi="Calibri" w:cs="Calibri"/>
                <w:color w:val="000000"/>
                <w:sz w:val="20"/>
                <w:szCs w:val="20"/>
              </w:rPr>
              <w:t>)</w:t>
            </w:r>
          </w:p>
        </w:tc>
      </w:tr>
      <w:tr w:rsidR="0022280F" w:rsidRPr="00AE771E" w14:paraId="0553CB59" w14:textId="77777777" w:rsidTr="009D2EC0">
        <w:trPr>
          <w:trHeight w:val="368"/>
        </w:trPr>
        <w:tc>
          <w:tcPr>
            <w:tcW w:w="1152" w:type="dxa"/>
          </w:tcPr>
          <w:p w14:paraId="25B8C493"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10</w:t>
            </w:r>
          </w:p>
        </w:tc>
        <w:tc>
          <w:tcPr>
            <w:tcW w:w="2259" w:type="dxa"/>
            <w:vAlign w:val="center"/>
          </w:tcPr>
          <w:p w14:paraId="3C59F03A"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2147 (1214-3308)</w:t>
            </w:r>
          </w:p>
        </w:tc>
        <w:tc>
          <w:tcPr>
            <w:tcW w:w="2843" w:type="dxa"/>
            <w:vAlign w:val="center"/>
          </w:tcPr>
          <w:p w14:paraId="6161C895" w14:textId="0354533B" w:rsidR="0022280F" w:rsidRPr="004F568F" w:rsidRDefault="00EF5F18" w:rsidP="00EF5F18">
            <w:pPr>
              <w:spacing w:line="276" w:lineRule="auto"/>
              <w:jc w:val="center"/>
              <w:rPr>
                <w:rFonts w:ascii="Calibri" w:hAnsi="Calibri" w:cs="Calibri"/>
                <w:sz w:val="20"/>
                <w:szCs w:val="20"/>
              </w:rPr>
            </w:pPr>
            <w:r>
              <w:rPr>
                <w:rFonts w:ascii="Calibri" w:hAnsi="Calibri" w:cs="Calibri"/>
                <w:color w:val="000000"/>
                <w:sz w:val="20"/>
                <w:szCs w:val="20"/>
              </w:rPr>
              <w:t>2314</w:t>
            </w:r>
            <w:r w:rsidR="0022280F" w:rsidRPr="004F568F">
              <w:rPr>
                <w:rFonts w:ascii="Calibri" w:hAnsi="Calibri" w:cs="Calibri"/>
                <w:color w:val="000000"/>
                <w:sz w:val="20"/>
                <w:szCs w:val="20"/>
              </w:rPr>
              <w:t xml:space="preserve"> (130</w:t>
            </w:r>
            <w:r>
              <w:rPr>
                <w:rFonts w:ascii="Calibri" w:hAnsi="Calibri" w:cs="Calibri"/>
                <w:color w:val="000000"/>
                <w:sz w:val="20"/>
                <w:szCs w:val="20"/>
              </w:rPr>
              <w:t>9</w:t>
            </w:r>
            <w:r w:rsidR="0022280F" w:rsidRPr="004F568F">
              <w:rPr>
                <w:rFonts w:ascii="Calibri" w:hAnsi="Calibri" w:cs="Calibri"/>
                <w:color w:val="000000"/>
                <w:sz w:val="20"/>
                <w:szCs w:val="20"/>
              </w:rPr>
              <w:t>-3565)</w:t>
            </w:r>
          </w:p>
        </w:tc>
        <w:tc>
          <w:tcPr>
            <w:tcW w:w="2274" w:type="dxa"/>
            <w:vAlign w:val="center"/>
          </w:tcPr>
          <w:p w14:paraId="7F58E6AC"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996 (584-1467)</w:t>
            </w:r>
          </w:p>
        </w:tc>
        <w:tc>
          <w:tcPr>
            <w:tcW w:w="2422" w:type="dxa"/>
            <w:vAlign w:val="center"/>
          </w:tcPr>
          <w:p w14:paraId="10965FEE" w14:textId="3C75C7AB" w:rsidR="0022280F" w:rsidRPr="004F568F" w:rsidRDefault="0022280F" w:rsidP="00EF5F18">
            <w:pPr>
              <w:spacing w:line="276" w:lineRule="auto"/>
              <w:jc w:val="center"/>
              <w:rPr>
                <w:rFonts w:ascii="Calibri" w:hAnsi="Calibri" w:cs="Calibri"/>
                <w:sz w:val="20"/>
                <w:szCs w:val="20"/>
              </w:rPr>
            </w:pPr>
            <w:r w:rsidRPr="004F568F">
              <w:rPr>
                <w:rFonts w:ascii="Calibri" w:hAnsi="Calibri" w:cs="Calibri"/>
                <w:color w:val="000000"/>
                <w:sz w:val="20"/>
                <w:szCs w:val="20"/>
              </w:rPr>
              <w:t>107</w:t>
            </w:r>
            <w:r w:rsidR="00EF5F18">
              <w:rPr>
                <w:rFonts w:ascii="Calibri" w:hAnsi="Calibri" w:cs="Calibri"/>
                <w:color w:val="000000"/>
                <w:sz w:val="20"/>
                <w:szCs w:val="20"/>
              </w:rPr>
              <w:t>4</w:t>
            </w:r>
            <w:r w:rsidRPr="004F568F">
              <w:rPr>
                <w:rFonts w:ascii="Calibri" w:hAnsi="Calibri" w:cs="Calibri"/>
                <w:color w:val="000000"/>
                <w:sz w:val="20"/>
                <w:szCs w:val="20"/>
              </w:rPr>
              <w:t xml:space="preserve"> (629-1581)</w:t>
            </w:r>
          </w:p>
        </w:tc>
        <w:tc>
          <w:tcPr>
            <w:tcW w:w="2737" w:type="dxa"/>
            <w:vAlign w:val="center"/>
          </w:tcPr>
          <w:p w14:paraId="73EAE248" w14:textId="77777777" w:rsidR="0022280F" w:rsidRPr="004F568F" w:rsidRDefault="0022280F" w:rsidP="0022280F">
            <w:pPr>
              <w:spacing w:line="276" w:lineRule="auto"/>
              <w:jc w:val="center"/>
              <w:rPr>
                <w:rFonts w:ascii="Calibri" w:hAnsi="Calibri" w:cs="Calibri"/>
                <w:sz w:val="20"/>
                <w:szCs w:val="20"/>
              </w:rPr>
            </w:pPr>
            <w:r w:rsidRPr="004F568F">
              <w:rPr>
                <w:rFonts w:ascii="Calibri" w:hAnsi="Calibri" w:cs="Calibri"/>
                <w:color w:val="000000"/>
                <w:sz w:val="20"/>
                <w:szCs w:val="20"/>
              </w:rPr>
              <w:t>1151 (630-1841)</w:t>
            </w:r>
          </w:p>
        </w:tc>
        <w:tc>
          <w:tcPr>
            <w:tcW w:w="2740" w:type="dxa"/>
            <w:vAlign w:val="center"/>
          </w:tcPr>
          <w:p w14:paraId="14F7E689" w14:textId="7FC98F84" w:rsidR="0022280F" w:rsidRPr="004F568F" w:rsidRDefault="0022280F" w:rsidP="007E1445">
            <w:pPr>
              <w:spacing w:line="276" w:lineRule="auto"/>
              <w:jc w:val="center"/>
              <w:rPr>
                <w:rFonts w:ascii="Calibri" w:hAnsi="Calibri" w:cs="Calibri"/>
                <w:sz w:val="20"/>
                <w:szCs w:val="20"/>
              </w:rPr>
            </w:pPr>
            <w:r w:rsidRPr="004F568F">
              <w:rPr>
                <w:rFonts w:ascii="Calibri" w:hAnsi="Calibri" w:cs="Calibri"/>
                <w:color w:val="000000"/>
                <w:sz w:val="20"/>
                <w:szCs w:val="20"/>
              </w:rPr>
              <w:t>124</w:t>
            </w:r>
            <w:r w:rsidR="007E1445">
              <w:rPr>
                <w:rFonts w:ascii="Calibri" w:hAnsi="Calibri" w:cs="Calibri"/>
                <w:color w:val="000000"/>
                <w:sz w:val="20"/>
                <w:szCs w:val="20"/>
              </w:rPr>
              <w:t>1</w:t>
            </w:r>
            <w:r w:rsidRPr="004F568F">
              <w:rPr>
                <w:rFonts w:ascii="Calibri" w:hAnsi="Calibri" w:cs="Calibri"/>
                <w:color w:val="000000"/>
                <w:sz w:val="20"/>
                <w:szCs w:val="20"/>
              </w:rPr>
              <w:t xml:space="preserve"> (679-1984)</w:t>
            </w:r>
          </w:p>
        </w:tc>
      </w:tr>
      <w:tr w:rsidR="0022280F" w:rsidRPr="00AE771E" w14:paraId="0405A21C" w14:textId="77777777" w:rsidTr="009D2EC0">
        <w:trPr>
          <w:trHeight w:val="391"/>
        </w:trPr>
        <w:tc>
          <w:tcPr>
            <w:tcW w:w="1152" w:type="dxa"/>
          </w:tcPr>
          <w:p w14:paraId="7AACC3EF"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11</w:t>
            </w:r>
          </w:p>
        </w:tc>
        <w:tc>
          <w:tcPr>
            <w:tcW w:w="2259" w:type="dxa"/>
            <w:vAlign w:val="center"/>
          </w:tcPr>
          <w:p w14:paraId="50E5A747"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1994 (1102-3180)</w:t>
            </w:r>
          </w:p>
        </w:tc>
        <w:tc>
          <w:tcPr>
            <w:tcW w:w="2843" w:type="dxa"/>
            <w:vAlign w:val="center"/>
          </w:tcPr>
          <w:p w14:paraId="154F2796" w14:textId="3E9FDE67"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2156 (119</w:t>
            </w:r>
            <w:r w:rsidR="00EF5F18">
              <w:rPr>
                <w:rFonts w:ascii="Calibri" w:hAnsi="Calibri" w:cs="Calibri"/>
                <w:color w:val="000000"/>
                <w:sz w:val="20"/>
                <w:szCs w:val="20"/>
              </w:rPr>
              <w:t>2</w:t>
            </w:r>
            <w:r w:rsidRPr="004F568F">
              <w:rPr>
                <w:rFonts w:ascii="Calibri" w:hAnsi="Calibri" w:cs="Calibri"/>
                <w:color w:val="000000"/>
                <w:sz w:val="20"/>
                <w:szCs w:val="20"/>
              </w:rPr>
              <w:t>-3439)</w:t>
            </w:r>
          </w:p>
        </w:tc>
        <w:tc>
          <w:tcPr>
            <w:tcW w:w="2274" w:type="dxa"/>
            <w:vAlign w:val="center"/>
          </w:tcPr>
          <w:p w14:paraId="18AE6256"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925 (534-1382)</w:t>
            </w:r>
          </w:p>
        </w:tc>
        <w:tc>
          <w:tcPr>
            <w:tcW w:w="2422" w:type="dxa"/>
            <w:vAlign w:val="center"/>
          </w:tcPr>
          <w:p w14:paraId="74FF4399" w14:textId="1A94260F"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1000 (57</w:t>
            </w:r>
            <w:r w:rsidR="00EF5F18">
              <w:rPr>
                <w:rFonts w:ascii="Calibri" w:hAnsi="Calibri" w:cs="Calibri"/>
                <w:color w:val="000000"/>
                <w:sz w:val="20"/>
                <w:szCs w:val="20"/>
              </w:rPr>
              <w:t>8</w:t>
            </w:r>
            <w:r w:rsidRPr="004F568F">
              <w:rPr>
                <w:rFonts w:ascii="Calibri" w:hAnsi="Calibri" w:cs="Calibri"/>
                <w:color w:val="000000"/>
                <w:sz w:val="20"/>
                <w:szCs w:val="20"/>
              </w:rPr>
              <w:t>-1494)</w:t>
            </w:r>
          </w:p>
        </w:tc>
        <w:tc>
          <w:tcPr>
            <w:tcW w:w="2737" w:type="dxa"/>
            <w:vAlign w:val="center"/>
          </w:tcPr>
          <w:p w14:paraId="7FD133EC"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1069 (568-1798)</w:t>
            </w:r>
          </w:p>
        </w:tc>
        <w:tc>
          <w:tcPr>
            <w:tcW w:w="2740" w:type="dxa"/>
            <w:vAlign w:val="center"/>
          </w:tcPr>
          <w:p w14:paraId="17C1E1F1" w14:textId="2A49C6AA" w:rsidR="0022280F" w:rsidRPr="004F568F" w:rsidRDefault="007E1445" w:rsidP="007E1445">
            <w:pPr>
              <w:spacing w:line="276" w:lineRule="auto"/>
              <w:jc w:val="center"/>
              <w:rPr>
                <w:rFonts w:ascii="Calibri" w:hAnsi="Calibri" w:cs="Calibri"/>
                <w:color w:val="000000"/>
                <w:sz w:val="20"/>
                <w:szCs w:val="20"/>
              </w:rPr>
            </w:pPr>
            <w:r>
              <w:rPr>
                <w:rFonts w:ascii="Calibri" w:hAnsi="Calibri" w:cs="Calibri"/>
                <w:color w:val="000000"/>
                <w:sz w:val="20"/>
                <w:szCs w:val="20"/>
              </w:rPr>
              <w:t>1156 (614-1944</w:t>
            </w:r>
            <w:r w:rsidR="0022280F" w:rsidRPr="004F568F">
              <w:rPr>
                <w:rFonts w:ascii="Calibri" w:hAnsi="Calibri" w:cs="Calibri"/>
                <w:color w:val="000000"/>
                <w:sz w:val="20"/>
                <w:szCs w:val="20"/>
              </w:rPr>
              <w:t>)</w:t>
            </w:r>
          </w:p>
        </w:tc>
      </w:tr>
      <w:tr w:rsidR="0022280F" w:rsidRPr="00AE771E" w14:paraId="638108F1" w14:textId="77777777" w:rsidTr="009D2EC0">
        <w:trPr>
          <w:trHeight w:val="391"/>
        </w:trPr>
        <w:tc>
          <w:tcPr>
            <w:tcW w:w="1152" w:type="dxa"/>
          </w:tcPr>
          <w:p w14:paraId="6728D18E"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12-14</w:t>
            </w:r>
          </w:p>
        </w:tc>
        <w:tc>
          <w:tcPr>
            <w:tcW w:w="2259" w:type="dxa"/>
            <w:vAlign w:val="center"/>
          </w:tcPr>
          <w:p w14:paraId="23FC1612"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4154 (2855-5955)</w:t>
            </w:r>
          </w:p>
        </w:tc>
        <w:tc>
          <w:tcPr>
            <w:tcW w:w="2843" w:type="dxa"/>
            <w:vAlign w:val="center"/>
          </w:tcPr>
          <w:p w14:paraId="18E77015" w14:textId="2EBC7FE3"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147</w:t>
            </w:r>
            <w:r w:rsidR="00EF5F18">
              <w:rPr>
                <w:rFonts w:ascii="Calibri" w:hAnsi="Calibri" w:cs="Calibri"/>
                <w:color w:val="000000"/>
                <w:sz w:val="20"/>
                <w:szCs w:val="20"/>
              </w:rPr>
              <w:t>55</w:t>
            </w:r>
            <w:r w:rsidRPr="004F568F">
              <w:rPr>
                <w:rFonts w:ascii="Calibri" w:hAnsi="Calibri" w:cs="Calibri"/>
                <w:color w:val="000000"/>
                <w:sz w:val="20"/>
                <w:szCs w:val="20"/>
              </w:rPr>
              <w:t xml:space="preserve"> (101</w:t>
            </w:r>
            <w:r w:rsidR="00EF5F18">
              <w:rPr>
                <w:rFonts w:ascii="Calibri" w:hAnsi="Calibri" w:cs="Calibri"/>
                <w:color w:val="000000"/>
                <w:sz w:val="20"/>
                <w:szCs w:val="20"/>
              </w:rPr>
              <w:t>4</w:t>
            </w:r>
            <w:r w:rsidRPr="004F568F">
              <w:rPr>
                <w:rFonts w:ascii="Calibri" w:hAnsi="Calibri" w:cs="Calibri"/>
                <w:color w:val="000000"/>
                <w:sz w:val="20"/>
                <w:szCs w:val="20"/>
              </w:rPr>
              <w:t>-2114)</w:t>
            </w:r>
          </w:p>
        </w:tc>
        <w:tc>
          <w:tcPr>
            <w:tcW w:w="2274" w:type="dxa"/>
            <w:vAlign w:val="center"/>
          </w:tcPr>
          <w:p w14:paraId="01C38A4F"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1927 (1397-2564)</w:t>
            </w:r>
          </w:p>
        </w:tc>
        <w:tc>
          <w:tcPr>
            <w:tcW w:w="2422" w:type="dxa"/>
            <w:vAlign w:val="center"/>
          </w:tcPr>
          <w:p w14:paraId="459DA069" w14:textId="53C6102B"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684 (49</w:t>
            </w:r>
            <w:r w:rsidR="00EF5F18">
              <w:rPr>
                <w:rFonts w:ascii="Calibri" w:hAnsi="Calibri" w:cs="Calibri"/>
                <w:color w:val="000000"/>
                <w:sz w:val="20"/>
                <w:szCs w:val="20"/>
              </w:rPr>
              <w:t>6</w:t>
            </w:r>
            <w:r w:rsidRPr="004F568F">
              <w:rPr>
                <w:rFonts w:ascii="Calibri" w:hAnsi="Calibri" w:cs="Calibri"/>
                <w:color w:val="000000"/>
                <w:sz w:val="20"/>
                <w:szCs w:val="20"/>
              </w:rPr>
              <w:t>-910)</w:t>
            </w:r>
          </w:p>
        </w:tc>
        <w:tc>
          <w:tcPr>
            <w:tcW w:w="2737" w:type="dxa"/>
            <w:vAlign w:val="center"/>
          </w:tcPr>
          <w:p w14:paraId="4B1FC053"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2227 (1458-3391)</w:t>
            </w:r>
          </w:p>
        </w:tc>
        <w:tc>
          <w:tcPr>
            <w:tcW w:w="2740" w:type="dxa"/>
            <w:vAlign w:val="center"/>
          </w:tcPr>
          <w:p w14:paraId="1C221B61" w14:textId="193D8866" w:rsidR="0022280F" w:rsidRPr="004F568F" w:rsidRDefault="0022280F" w:rsidP="007E1445">
            <w:pPr>
              <w:spacing w:line="276" w:lineRule="auto"/>
              <w:jc w:val="center"/>
              <w:rPr>
                <w:rFonts w:ascii="Calibri" w:hAnsi="Calibri" w:cs="Calibri"/>
                <w:color w:val="000000"/>
                <w:sz w:val="20"/>
                <w:szCs w:val="20"/>
              </w:rPr>
            </w:pPr>
            <w:r w:rsidRPr="004F568F">
              <w:rPr>
                <w:rFonts w:ascii="Calibri" w:hAnsi="Calibri" w:cs="Calibri"/>
                <w:color w:val="000000"/>
                <w:sz w:val="20"/>
                <w:szCs w:val="20"/>
              </w:rPr>
              <w:t>79</w:t>
            </w:r>
            <w:r w:rsidR="007E1445">
              <w:rPr>
                <w:rFonts w:ascii="Calibri" w:hAnsi="Calibri" w:cs="Calibri"/>
                <w:color w:val="000000"/>
                <w:sz w:val="20"/>
                <w:szCs w:val="20"/>
              </w:rPr>
              <w:t>1</w:t>
            </w:r>
            <w:r w:rsidRPr="004F568F">
              <w:rPr>
                <w:rFonts w:ascii="Calibri" w:hAnsi="Calibri" w:cs="Calibri"/>
                <w:color w:val="000000"/>
                <w:sz w:val="20"/>
                <w:szCs w:val="20"/>
              </w:rPr>
              <w:t xml:space="preserve"> (517-120</w:t>
            </w:r>
            <w:r w:rsidR="007E1445">
              <w:rPr>
                <w:rFonts w:ascii="Calibri" w:hAnsi="Calibri" w:cs="Calibri"/>
                <w:color w:val="000000"/>
                <w:sz w:val="20"/>
                <w:szCs w:val="20"/>
              </w:rPr>
              <w:t>4</w:t>
            </w:r>
            <w:r w:rsidRPr="004F568F">
              <w:rPr>
                <w:rFonts w:ascii="Calibri" w:hAnsi="Calibri" w:cs="Calibri"/>
                <w:color w:val="000000"/>
                <w:sz w:val="20"/>
                <w:szCs w:val="20"/>
              </w:rPr>
              <w:t>)</w:t>
            </w:r>
          </w:p>
        </w:tc>
      </w:tr>
      <w:tr w:rsidR="0022280F" w:rsidRPr="00AE771E" w14:paraId="1A4753FF" w14:textId="77777777" w:rsidTr="009D2EC0">
        <w:trPr>
          <w:trHeight w:val="368"/>
        </w:trPr>
        <w:tc>
          <w:tcPr>
            <w:tcW w:w="1152" w:type="dxa"/>
          </w:tcPr>
          <w:p w14:paraId="6840E1EF"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15-17</w:t>
            </w:r>
          </w:p>
        </w:tc>
        <w:tc>
          <w:tcPr>
            <w:tcW w:w="2259" w:type="dxa"/>
            <w:vAlign w:val="center"/>
          </w:tcPr>
          <w:p w14:paraId="1C288C9B"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2904 (1861-4200)</w:t>
            </w:r>
          </w:p>
        </w:tc>
        <w:tc>
          <w:tcPr>
            <w:tcW w:w="2843" w:type="dxa"/>
            <w:vAlign w:val="center"/>
          </w:tcPr>
          <w:p w14:paraId="5AA6D6AC" w14:textId="5F481ECC"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103</w:t>
            </w:r>
            <w:r w:rsidR="00EF5F18">
              <w:rPr>
                <w:rFonts w:ascii="Calibri" w:hAnsi="Calibri" w:cs="Calibri"/>
                <w:color w:val="000000"/>
                <w:sz w:val="20"/>
                <w:szCs w:val="20"/>
              </w:rPr>
              <w:t>1</w:t>
            </w:r>
            <w:r w:rsidRPr="004F568F">
              <w:rPr>
                <w:rFonts w:ascii="Calibri" w:hAnsi="Calibri" w:cs="Calibri"/>
                <w:color w:val="000000"/>
                <w:sz w:val="20"/>
                <w:szCs w:val="20"/>
              </w:rPr>
              <w:t xml:space="preserve"> (66</w:t>
            </w:r>
            <w:r w:rsidR="00EF5F18">
              <w:rPr>
                <w:rFonts w:ascii="Calibri" w:hAnsi="Calibri" w:cs="Calibri"/>
                <w:color w:val="000000"/>
                <w:sz w:val="20"/>
                <w:szCs w:val="20"/>
              </w:rPr>
              <w:t>1</w:t>
            </w:r>
            <w:r w:rsidRPr="004F568F">
              <w:rPr>
                <w:rFonts w:ascii="Calibri" w:hAnsi="Calibri" w:cs="Calibri"/>
                <w:color w:val="000000"/>
                <w:sz w:val="20"/>
                <w:szCs w:val="20"/>
              </w:rPr>
              <w:t>-1491)</w:t>
            </w:r>
          </w:p>
        </w:tc>
        <w:tc>
          <w:tcPr>
            <w:tcW w:w="2274" w:type="dxa"/>
            <w:vAlign w:val="center"/>
          </w:tcPr>
          <w:p w14:paraId="4D865F72"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1347 (902-1823)</w:t>
            </w:r>
          </w:p>
        </w:tc>
        <w:tc>
          <w:tcPr>
            <w:tcW w:w="2422" w:type="dxa"/>
            <w:vAlign w:val="center"/>
          </w:tcPr>
          <w:p w14:paraId="370885E3" w14:textId="1B5955AF"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478 (320-647)</w:t>
            </w:r>
          </w:p>
        </w:tc>
        <w:tc>
          <w:tcPr>
            <w:tcW w:w="2737" w:type="dxa"/>
            <w:vAlign w:val="center"/>
          </w:tcPr>
          <w:p w14:paraId="5D051766"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1557 (959-2377)</w:t>
            </w:r>
          </w:p>
        </w:tc>
        <w:tc>
          <w:tcPr>
            <w:tcW w:w="2740" w:type="dxa"/>
            <w:vAlign w:val="center"/>
          </w:tcPr>
          <w:p w14:paraId="275F9E44" w14:textId="69C1755A" w:rsidR="0022280F" w:rsidRPr="004F568F" w:rsidRDefault="0022280F" w:rsidP="007E1445">
            <w:pPr>
              <w:spacing w:line="276" w:lineRule="auto"/>
              <w:jc w:val="center"/>
              <w:rPr>
                <w:rFonts w:ascii="Calibri" w:hAnsi="Calibri" w:cs="Calibri"/>
                <w:color w:val="000000"/>
                <w:sz w:val="20"/>
                <w:szCs w:val="20"/>
              </w:rPr>
            </w:pPr>
            <w:r w:rsidRPr="004F568F">
              <w:rPr>
                <w:rFonts w:ascii="Calibri" w:hAnsi="Calibri" w:cs="Calibri"/>
                <w:color w:val="000000"/>
                <w:sz w:val="20"/>
                <w:szCs w:val="20"/>
              </w:rPr>
              <w:t>55</w:t>
            </w:r>
            <w:r w:rsidR="007E1445">
              <w:rPr>
                <w:rFonts w:ascii="Calibri" w:hAnsi="Calibri" w:cs="Calibri"/>
                <w:color w:val="000000"/>
                <w:sz w:val="20"/>
                <w:szCs w:val="20"/>
              </w:rPr>
              <w:t>3</w:t>
            </w:r>
            <w:r w:rsidRPr="004F568F">
              <w:rPr>
                <w:rFonts w:ascii="Calibri" w:hAnsi="Calibri" w:cs="Calibri"/>
                <w:color w:val="000000"/>
                <w:sz w:val="20"/>
                <w:szCs w:val="20"/>
              </w:rPr>
              <w:t xml:space="preserve"> (340-84</w:t>
            </w:r>
            <w:r w:rsidR="007E1445">
              <w:rPr>
                <w:rFonts w:ascii="Calibri" w:hAnsi="Calibri" w:cs="Calibri"/>
                <w:color w:val="000000"/>
                <w:sz w:val="20"/>
                <w:szCs w:val="20"/>
              </w:rPr>
              <w:t>4</w:t>
            </w:r>
            <w:r w:rsidRPr="004F568F">
              <w:rPr>
                <w:rFonts w:ascii="Calibri" w:hAnsi="Calibri" w:cs="Calibri"/>
                <w:color w:val="000000"/>
                <w:sz w:val="20"/>
                <w:szCs w:val="20"/>
              </w:rPr>
              <w:t>)</w:t>
            </w:r>
          </w:p>
        </w:tc>
      </w:tr>
      <w:tr w:rsidR="0022280F" w:rsidRPr="00AE771E" w14:paraId="6EFED2DE" w14:textId="77777777" w:rsidTr="009D2EC0">
        <w:trPr>
          <w:trHeight w:val="391"/>
        </w:trPr>
        <w:tc>
          <w:tcPr>
            <w:tcW w:w="1152" w:type="dxa"/>
          </w:tcPr>
          <w:p w14:paraId="3D6E2771"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18-20</w:t>
            </w:r>
          </w:p>
        </w:tc>
        <w:tc>
          <w:tcPr>
            <w:tcW w:w="2259" w:type="dxa"/>
            <w:vAlign w:val="center"/>
          </w:tcPr>
          <w:p w14:paraId="45EBF0AB"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2107 (1154-3249)</w:t>
            </w:r>
          </w:p>
        </w:tc>
        <w:tc>
          <w:tcPr>
            <w:tcW w:w="2843" w:type="dxa"/>
            <w:vAlign w:val="center"/>
          </w:tcPr>
          <w:p w14:paraId="077CA911" w14:textId="57A111C7"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748 (4</w:t>
            </w:r>
            <w:r w:rsidR="00EF5F18">
              <w:rPr>
                <w:rFonts w:ascii="Calibri" w:hAnsi="Calibri" w:cs="Calibri"/>
                <w:color w:val="000000"/>
                <w:sz w:val="20"/>
                <w:szCs w:val="20"/>
              </w:rPr>
              <w:t>10</w:t>
            </w:r>
            <w:r w:rsidRPr="004F568F">
              <w:rPr>
                <w:rFonts w:ascii="Calibri" w:hAnsi="Calibri" w:cs="Calibri"/>
                <w:color w:val="000000"/>
                <w:sz w:val="20"/>
                <w:szCs w:val="20"/>
              </w:rPr>
              <w:t>-1153)</w:t>
            </w:r>
          </w:p>
        </w:tc>
        <w:tc>
          <w:tcPr>
            <w:tcW w:w="2274" w:type="dxa"/>
            <w:vAlign w:val="center"/>
          </w:tcPr>
          <w:p w14:paraId="546E9597"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978 (549-1447)</w:t>
            </w:r>
          </w:p>
        </w:tc>
        <w:tc>
          <w:tcPr>
            <w:tcW w:w="2422" w:type="dxa"/>
            <w:vAlign w:val="center"/>
          </w:tcPr>
          <w:p w14:paraId="316DA656" w14:textId="407A0288"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347 (19</w:t>
            </w:r>
            <w:r w:rsidR="00EF5F18">
              <w:rPr>
                <w:rFonts w:ascii="Calibri" w:hAnsi="Calibri" w:cs="Calibri"/>
                <w:color w:val="000000"/>
                <w:sz w:val="20"/>
                <w:szCs w:val="20"/>
              </w:rPr>
              <w:t>5</w:t>
            </w:r>
            <w:r w:rsidRPr="004F568F">
              <w:rPr>
                <w:rFonts w:ascii="Calibri" w:hAnsi="Calibri" w:cs="Calibri"/>
                <w:color w:val="000000"/>
                <w:sz w:val="20"/>
                <w:szCs w:val="20"/>
              </w:rPr>
              <w:t>-51</w:t>
            </w:r>
            <w:r w:rsidR="00EF5F18">
              <w:rPr>
                <w:rFonts w:ascii="Calibri" w:hAnsi="Calibri" w:cs="Calibri"/>
                <w:color w:val="000000"/>
                <w:sz w:val="20"/>
                <w:szCs w:val="20"/>
              </w:rPr>
              <w:t>4</w:t>
            </w:r>
            <w:r w:rsidRPr="004F568F">
              <w:rPr>
                <w:rFonts w:ascii="Calibri" w:hAnsi="Calibri" w:cs="Calibri"/>
                <w:color w:val="000000"/>
                <w:sz w:val="20"/>
                <w:szCs w:val="20"/>
              </w:rPr>
              <w:t>)</w:t>
            </w:r>
          </w:p>
        </w:tc>
        <w:tc>
          <w:tcPr>
            <w:tcW w:w="2737" w:type="dxa"/>
            <w:vAlign w:val="center"/>
          </w:tcPr>
          <w:p w14:paraId="5692FAF8"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1129 (605-1802)</w:t>
            </w:r>
          </w:p>
        </w:tc>
        <w:tc>
          <w:tcPr>
            <w:tcW w:w="2740" w:type="dxa"/>
            <w:vAlign w:val="center"/>
          </w:tcPr>
          <w:p w14:paraId="5FB2F21B" w14:textId="5846827D" w:rsidR="0022280F" w:rsidRPr="004F568F" w:rsidRDefault="0022280F" w:rsidP="007E1445">
            <w:pPr>
              <w:spacing w:line="276" w:lineRule="auto"/>
              <w:jc w:val="center"/>
              <w:rPr>
                <w:rFonts w:ascii="Calibri" w:hAnsi="Calibri" w:cs="Calibri"/>
                <w:color w:val="000000"/>
                <w:sz w:val="20"/>
                <w:szCs w:val="20"/>
              </w:rPr>
            </w:pPr>
            <w:r w:rsidRPr="004F568F">
              <w:rPr>
                <w:rFonts w:ascii="Calibri" w:hAnsi="Calibri" w:cs="Calibri"/>
                <w:color w:val="000000"/>
                <w:sz w:val="20"/>
                <w:szCs w:val="20"/>
              </w:rPr>
              <w:t>40</w:t>
            </w:r>
            <w:r w:rsidR="007E1445">
              <w:rPr>
                <w:rFonts w:ascii="Calibri" w:hAnsi="Calibri" w:cs="Calibri"/>
                <w:color w:val="000000"/>
                <w:sz w:val="20"/>
                <w:szCs w:val="20"/>
              </w:rPr>
              <w:t>1</w:t>
            </w:r>
            <w:r w:rsidRPr="004F568F">
              <w:rPr>
                <w:rFonts w:ascii="Calibri" w:hAnsi="Calibri" w:cs="Calibri"/>
                <w:color w:val="000000"/>
                <w:sz w:val="20"/>
                <w:szCs w:val="20"/>
              </w:rPr>
              <w:t xml:space="preserve"> (21</w:t>
            </w:r>
            <w:r w:rsidR="007E1445">
              <w:rPr>
                <w:rFonts w:ascii="Calibri" w:hAnsi="Calibri" w:cs="Calibri"/>
                <w:color w:val="000000"/>
                <w:sz w:val="20"/>
                <w:szCs w:val="20"/>
              </w:rPr>
              <w:t>5</w:t>
            </w:r>
            <w:r w:rsidRPr="004F568F">
              <w:rPr>
                <w:rFonts w:ascii="Calibri" w:hAnsi="Calibri" w:cs="Calibri"/>
                <w:color w:val="000000"/>
                <w:sz w:val="20"/>
                <w:szCs w:val="20"/>
              </w:rPr>
              <w:t>-6</w:t>
            </w:r>
            <w:r w:rsidR="007E1445">
              <w:rPr>
                <w:rFonts w:ascii="Calibri" w:hAnsi="Calibri" w:cs="Calibri"/>
                <w:color w:val="000000"/>
                <w:sz w:val="20"/>
                <w:szCs w:val="20"/>
              </w:rPr>
              <w:t>40</w:t>
            </w:r>
            <w:r w:rsidRPr="004F568F">
              <w:rPr>
                <w:rFonts w:ascii="Calibri" w:hAnsi="Calibri" w:cs="Calibri"/>
                <w:color w:val="000000"/>
                <w:sz w:val="20"/>
                <w:szCs w:val="20"/>
              </w:rPr>
              <w:t>)</w:t>
            </w:r>
          </w:p>
        </w:tc>
      </w:tr>
      <w:tr w:rsidR="0022280F" w:rsidRPr="00AE771E" w14:paraId="18E4C549" w14:textId="77777777" w:rsidTr="009D2EC0">
        <w:trPr>
          <w:trHeight w:val="368"/>
        </w:trPr>
        <w:tc>
          <w:tcPr>
            <w:tcW w:w="1152" w:type="dxa"/>
          </w:tcPr>
          <w:p w14:paraId="40EC7F6A"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21-23</w:t>
            </w:r>
          </w:p>
        </w:tc>
        <w:tc>
          <w:tcPr>
            <w:tcW w:w="2259" w:type="dxa"/>
            <w:vAlign w:val="center"/>
          </w:tcPr>
          <w:p w14:paraId="4BE0ED95"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2914 (1296-4852)</w:t>
            </w:r>
          </w:p>
        </w:tc>
        <w:tc>
          <w:tcPr>
            <w:tcW w:w="2843" w:type="dxa"/>
            <w:vAlign w:val="center"/>
          </w:tcPr>
          <w:p w14:paraId="0F07526F" w14:textId="03A524A0"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1035 (460-1722)</w:t>
            </w:r>
          </w:p>
        </w:tc>
        <w:tc>
          <w:tcPr>
            <w:tcW w:w="2274" w:type="dxa"/>
            <w:vAlign w:val="center"/>
          </w:tcPr>
          <w:p w14:paraId="26F235FB"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1352 (624-2181)</w:t>
            </w:r>
          </w:p>
        </w:tc>
        <w:tc>
          <w:tcPr>
            <w:tcW w:w="2422" w:type="dxa"/>
            <w:vAlign w:val="center"/>
          </w:tcPr>
          <w:p w14:paraId="350DA6DD" w14:textId="6917FEAF"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480 (221-774)</w:t>
            </w:r>
          </w:p>
        </w:tc>
        <w:tc>
          <w:tcPr>
            <w:tcW w:w="2737" w:type="dxa"/>
            <w:vAlign w:val="center"/>
          </w:tcPr>
          <w:p w14:paraId="67C74D77"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1562 (672-2671)</w:t>
            </w:r>
          </w:p>
        </w:tc>
        <w:tc>
          <w:tcPr>
            <w:tcW w:w="2740" w:type="dxa"/>
            <w:vAlign w:val="center"/>
          </w:tcPr>
          <w:p w14:paraId="63F3BE9F" w14:textId="271EB1E3" w:rsidR="0022280F" w:rsidRPr="004F568F" w:rsidRDefault="0022280F" w:rsidP="007E1445">
            <w:pPr>
              <w:spacing w:line="276" w:lineRule="auto"/>
              <w:jc w:val="center"/>
              <w:rPr>
                <w:rFonts w:ascii="Calibri" w:hAnsi="Calibri" w:cs="Calibri"/>
                <w:color w:val="000000"/>
                <w:sz w:val="20"/>
                <w:szCs w:val="20"/>
              </w:rPr>
            </w:pPr>
            <w:r w:rsidRPr="004F568F">
              <w:rPr>
                <w:rFonts w:ascii="Calibri" w:hAnsi="Calibri" w:cs="Calibri"/>
                <w:color w:val="000000"/>
                <w:sz w:val="20"/>
                <w:szCs w:val="20"/>
              </w:rPr>
              <w:t>555 (23</w:t>
            </w:r>
            <w:r w:rsidR="007E1445">
              <w:rPr>
                <w:rFonts w:ascii="Calibri" w:hAnsi="Calibri" w:cs="Calibri"/>
                <w:color w:val="000000"/>
                <w:sz w:val="20"/>
                <w:szCs w:val="20"/>
              </w:rPr>
              <w:t>9</w:t>
            </w:r>
            <w:r w:rsidRPr="004F568F">
              <w:rPr>
                <w:rFonts w:ascii="Calibri" w:hAnsi="Calibri" w:cs="Calibri"/>
                <w:color w:val="000000"/>
                <w:sz w:val="20"/>
                <w:szCs w:val="20"/>
              </w:rPr>
              <w:t>-948)</w:t>
            </w:r>
          </w:p>
        </w:tc>
      </w:tr>
      <w:tr w:rsidR="0022280F" w:rsidRPr="00AE771E" w14:paraId="19978091" w14:textId="77777777" w:rsidTr="009D2EC0">
        <w:trPr>
          <w:trHeight w:val="391"/>
        </w:trPr>
        <w:tc>
          <w:tcPr>
            <w:tcW w:w="1152" w:type="dxa"/>
          </w:tcPr>
          <w:p w14:paraId="1B714E19"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24-35</w:t>
            </w:r>
          </w:p>
        </w:tc>
        <w:tc>
          <w:tcPr>
            <w:tcW w:w="2259" w:type="dxa"/>
            <w:vAlign w:val="center"/>
          </w:tcPr>
          <w:p w14:paraId="64CDE0FC"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2831 (1858-4091)</w:t>
            </w:r>
          </w:p>
        </w:tc>
        <w:tc>
          <w:tcPr>
            <w:tcW w:w="2843" w:type="dxa"/>
            <w:vAlign w:val="center"/>
          </w:tcPr>
          <w:p w14:paraId="493CFD76" w14:textId="561378DB"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25</w:t>
            </w:r>
            <w:r w:rsidR="00EF5F18">
              <w:rPr>
                <w:rFonts w:ascii="Calibri" w:hAnsi="Calibri" w:cs="Calibri"/>
                <w:color w:val="000000"/>
                <w:sz w:val="20"/>
                <w:szCs w:val="20"/>
              </w:rPr>
              <w:t>2</w:t>
            </w:r>
            <w:r w:rsidRPr="004F568F">
              <w:rPr>
                <w:rFonts w:ascii="Calibri" w:hAnsi="Calibri" w:cs="Calibri"/>
                <w:color w:val="000000"/>
                <w:sz w:val="20"/>
                <w:szCs w:val="20"/>
              </w:rPr>
              <w:t xml:space="preserve"> (165-36</w:t>
            </w:r>
            <w:r w:rsidR="00EF5F18">
              <w:rPr>
                <w:rFonts w:ascii="Calibri" w:hAnsi="Calibri" w:cs="Calibri"/>
                <w:color w:val="000000"/>
                <w:sz w:val="20"/>
                <w:szCs w:val="20"/>
              </w:rPr>
              <w:t>4</w:t>
            </w:r>
            <w:r w:rsidRPr="004F568F">
              <w:rPr>
                <w:rFonts w:ascii="Calibri" w:hAnsi="Calibri" w:cs="Calibri"/>
                <w:color w:val="000000"/>
                <w:sz w:val="20"/>
                <w:szCs w:val="20"/>
              </w:rPr>
              <w:t>)</w:t>
            </w:r>
          </w:p>
        </w:tc>
        <w:tc>
          <w:tcPr>
            <w:tcW w:w="2274" w:type="dxa"/>
            <w:vAlign w:val="center"/>
          </w:tcPr>
          <w:p w14:paraId="43D47082"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1313 (899-1792)</w:t>
            </w:r>
          </w:p>
        </w:tc>
        <w:tc>
          <w:tcPr>
            <w:tcW w:w="2422" w:type="dxa"/>
            <w:vAlign w:val="center"/>
          </w:tcPr>
          <w:p w14:paraId="47ED007F" w14:textId="7ADD2445"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117 (</w:t>
            </w:r>
            <w:r w:rsidR="00EF5F18">
              <w:rPr>
                <w:rFonts w:ascii="Calibri" w:hAnsi="Calibri" w:cs="Calibri"/>
                <w:color w:val="000000"/>
                <w:sz w:val="20"/>
                <w:szCs w:val="20"/>
              </w:rPr>
              <w:t>80</w:t>
            </w:r>
            <w:r w:rsidRPr="004F568F">
              <w:rPr>
                <w:rFonts w:ascii="Calibri" w:hAnsi="Calibri" w:cs="Calibri"/>
                <w:color w:val="000000"/>
                <w:sz w:val="20"/>
                <w:szCs w:val="20"/>
              </w:rPr>
              <w:t>-159)</w:t>
            </w:r>
          </w:p>
        </w:tc>
        <w:tc>
          <w:tcPr>
            <w:tcW w:w="2737" w:type="dxa"/>
            <w:vAlign w:val="center"/>
          </w:tcPr>
          <w:p w14:paraId="6A38D6BC"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1518 (959-2299)</w:t>
            </w:r>
          </w:p>
        </w:tc>
        <w:tc>
          <w:tcPr>
            <w:tcW w:w="2740" w:type="dxa"/>
            <w:vAlign w:val="center"/>
          </w:tcPr>
          <w:p w14:paraId="2192D8E5" w14:textId="4D45F324" w:rsidR="0022280F" w:rsidRPr="004F568F" w:rsidRDefault="0022280F" w:rsidP="007E1445">
            <w:pPr>
              <w:spacing w:line="276" w:lineRule="auto"/>
              <w:jc w:val="center"/>
              <w:rPr>
                <w:rFonts w:ascii="Calibri" w:hAnsi="Calibri" w:cs="Calibri"/>
                <w:color w:val="000000"/>
                <w:sz w:val="20"/>
                <w:szCs w:val="20"/>
              </w:rPr>
            </w:pPr>
            <w:r w:rsidRPr="004F568F">
              <w:rPr>
                <w:rFonts w:ascii="Calibri" w:hAnsi="Calibri" w:cs="Calibri"/>
                <w:color w:val="000000"/>
                <w:sz w:val="20"/>
                <w:szCs w:val="20"/>
              </w:rPr>
              <w:t>135 (85-204)</w:t>
            </w:r>
          </w:p>
        </w:tc>
      </w:tr>
      <w:tr w:rsidR="0022280F" w:rsidRPr="00AE771E" w14:paraId="56D22174" w14:textId="77777777" w:rsidTr="009D2EC0">
        <w:trPr>
          <w:trHeight w:val="391"/>
        </w:trPr>
        <w:tc>
          <w:tcPr>
            <w:tcW w:w="1152" w:type="dxa"/>
          </w:tcPr>
          <w:p w14:paraId="642BF711"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lastRenderedPageBreak/>
              <w:t>36-47</w:t>
            </w:r>
          </w:p>
        </w:tc>
        <w:tc>
          <w:tcPr>
            <w:tcW w:w="2259" w:type="dxa"/>
            <w:vAlign w:val="center"/>
          </w:tcPr>
          <w:p w14:paraId="05B23074"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1355 (620-2326)</w:t>
            </w:r>
          </w:p>
        </w:tc>
        <w:tc>
          <w:tcPr>
            <w:tcW w:w="2843" w:type="dxa"/>
            <w:vAlign w:val="center"/>
          </w:tcPr>
          <w:p w14:paraId="1FF98D7C" w14:textId="3FA27502" w:rsidR="0022280F" w:rsidRPr="004F568F" w:rsidRDefault="0022280F" w:rsidP="00D2761E">
            <w:pPr>
              <w:spacing w:line="276" w:lineRule="auto"/>
              <w:jc w:val="center"/>
              <w:rPr>
                <w:rFonts w:ascii="Calibri" w:hAnsi="Calibri" w:cs="Calibri"/>
                <w:color w:val="000000"/>
                <w:sz w:val="20"/>
                <w:szCs w:val="20"/>
              </w:rPr>
            </w:pPr>
            <w:r w:rsidRPr="004F568F">
              <w:rPr>
                <w:rFonts w:ascii="Calibri" w:hAnsi="Calibri" w:cs="Calibri"/>
                <w:color w:val="000000"/>
                <w:sz w:val="20"/>
                <w:szCs w:val="20"/>
              </w:rPr>
              <w:t>12</w:t>
            </w:r>
            <w:r w:rsidR="00D2761E">
              <w:rPr>
                <w:rFonts w:ascii="Calibri" w:hAnsi="Calibri" w:cs="Calibri"/>
                <w:color w:val="000000"/>
                <w:sz w:val="20"/>
                <w:szCs w:val="20"/>
              </w:rPr>
              <w:t>4</w:t>
            </w:r>
            <w:r w:rsidRPr="004F568F">
              <w:rPr>
                <w:rFonts w:ascii="Calibri" w:hAnsi="Calibri" w:cs="Calibri"/>
                <w:color w:val="000000"/>
                <w:sz w:val="20"/>
                <w:szCs w:val="20"/>
              </w:rPr>
              <w:t xml:space="preserve"> (5</w:t>
            </w:r>
            <w:r w:rsidR="00D2761E">
              <w:rPr>
                <w:rFonts w:ascii="Calibri" w:hAnsi="Calibri" w:cs="Calibri"/>
                <w:color w:val="000000"/>
                <w:sz w:val="20"/>
                <w:szCs w:val="20"/>
              </w:rPr>
              <w:t>7</w:t>
            </w:r>
            <w:r w:rsidRPr="004F568F">
              <w:rPr>
                <w:rFonts w:ascii="Calibri" w:hAnsi="Calibri" w:cs="Calibri"/>
                <w:color w:val="000000"/>
                <w:sz w:val="20"/>
                <w:szCs w:val="20"/>
              </w:rPr>
              <w:t>-212)</w:t>
            </w:r>
          </w:p>
        </w:tc>
        <w:tc>
          <w:tcPr>
            <w:tcW w:w="2274" w:type="dxa"/>
            <w:vAlign w:val="center"/>
          </w:tcPr>
          <w:p w14:paraId="43B5A27E"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628 (293-1034)</w:t>
            </w:r>
          </w:p>
        </w:tc>
        <w:tc>
          <w:tcPr>
            <w:tcW w:w="2422" w:type="dxa"/>
            <w:vAlign w:val="center"/>
          </w:tcPr>
          <w:p w14:paraId="2A278A73" w14:textId="5790DD1C"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57</w:t>
            </w:r>
            <w:r w:rsidR="00EF5F18">
              <w:rPr>
                <w:rFonts w:ascii="Calibri" w:hAnsi="Calibri" w:cs="Calibri"/>
                <w:color w:val="000000"/>
                <w:sz w:val="20"/>
                <w:szCs w:val="20"/>
              </w:rPr>
              <w:t xml:space="preserve"> (27-94</w:t>
            </w:r>
            <w:r w:rsidRPr="004F568F">
              <w:rPr>
                <w:rFonts w:ascii="Calibri" w:hAnsi="Calibri" w:cs="Calibri"/>
                <w:color w:val="000000"/>
                <w:sz w:val="20"/>
                <w:szCs w:val="20"/>
              </w:rPr>
              <w:t>)</w:t>
            </w:r>
          </w:p>
        </w:tc>
        <w:tc>
          <w:tcPr>
            <w:tcW w:w="2737" w:type="dxa"/>
            <w:vAlign w:val="center"/>
          </w:tcPr>
          <w:p w14:paraId="49F72CFA"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727 (327-1292)</w:t>
            </w:r>
          </w:p>
        </w:tc>
        <w:tc>
          <w:tcPr>
            <w:tcW w:w="2740" w:type="dxa"/>
            <w:vAlign w:val="center"/>
          </w:tcPr>
          <w:p w14:paraId="2A854C70" w14:textId="73775ADB" w:rsidR="0022280F" w:rsidRPr="004F568F" w:rsidRDefault="0022280F" w:rsidP="00D2761E">
            <w:pPr>
              <w:spacing w:line="276" w:lineRule="auto"/>
              <w:jc w:val="center"/>
              <w:rPr>
                <w:rFonts w:ascii="Calibri" w:hAnsi="Calibri" w:cs="Calibri"/>
                <w:color w:val="000000"/>
                <w:sz w:val="20"/>
                <w:szCs w:val="20"/>
              </w:rPr>
            </w:pPr>
            <w:r w:rsidRPr="004F568F">
              <w:rPr>
                <w:rFonts w:ascii="Calibri" w:hAnsi="Calibri" w:cs="Calibri"/>
                <w:color w:val="000000"/>
                <w:sz w:val="20"/>
                <w:szCs w:val="20"/>
              </w:rPr>
              <w:t>66 (</w:t>
            </w:r>
            <w:r w:rsidR="00D2761E">
              <w:rPr>
                <w:rFonts w:ascii="Calibri" w:hAnsi="Calibri" w:cs="Calibri"/>
                <w:color w:val="000000"/>
                <w:sz w:val="20"/>
                <w:szCs w:val="20"/>
              </w:rPr>
              <w:t>30</w:t>
            </w:r>
            <w:r w:rsidRPr="004F568F">
              <w:rPr>
                <w:rFonts w:ascii="Calibri" w:hAnsi="Calibri" w:cs="Calibri"/>
                <w:color w:val="000000"/>
                <w:sz w:val="20"/>
                <w:szCs w:val="20"/>
              </w:rPr>
              <w:t>-118)</w:t>
            </w:r>
          </w:p>
        </w:tc>
      </w:tr>
      <w:tr w:rsidR="0022280F" w:rsidRPr="00AE771E" w14:paraId="1628B5C6" w14:textId="77777777" w:rsidTr="009D2EC0">
        <w:trPr>
          <w:trHeight w:val="368"/>
        </w:trPr>
        <w:tc>
          <w:tcPr>
            <w:tcW w:w="1152" w:type="dxa"/>
          </w:tcPr>
          <w:p w14:paraId="565A44E4"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48-59</w:t>
            </w:r>
          </w:p>
        </w:tc>
        <w:tc>
          <w:tcPr>
            <w:tcW w:w="2259" w:type="dxa"/>
            <w:vAlign w:val="center"/>
          </w:tcPr>
          <w:p w14:paraId="6011D24A"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1384 (643-2343)</w:t>
            </w:r>
          </w:p>
        </w:tc>
        <w:tc>
          <w:tcPr>
            <w:tcW w:w="2843" w:type="dxa"/>
            <w:vAlign w:val="center"/>
          </w:tcPr>
          <w:p w14:paraId="26BD5D91" w14:textId="2EB99C7D" w:rsidR="0022280F" w:rsidRPr="004F568F" w:rsidRDefault="0022280F" w:rsidP="00D2761E">
            <w:pPr>
              <w:spacing w:line="276" w:lineRule="auto"/>
              <w:jc w:val="center"/>
              <w:rPr>
                <w:rFonts w:ascii="Calibri" w:hAnsi="Calibri" w:cs="Calibri"/>
                <w:color w:val="000000"/>
                <w:sz w:val="20"/>
                <w:szCs w:val="20"/>
              </w:rPr>
            </w:pPr>
            <w:r w:rsidRPr="004F568F">
              <w:rPr>
                <w:rFonts w:ascii="Calibri" w:hAnsi="Calibri" w:cs="Calibri"/>
                <w:color w:val="000000"/>
                <w:sz w:val="20"/>
                <w:szCs w:val="20"/>
              </w:rPr>
              <w:t>12</w:t>
            </w:r>
            <w:r w:rsidR="00D2761E">
              <w:rPr>
                <w:rFonts w:ascii="Calibri" w:hAnsi="Calibri" w:cs="Calibri"/>
                <w:color w:val="000000"/>
                <w:sz w:val="20"/>
                <w:szCs w:val="20"/>
              </w:rPr>
              <w:t>7</w:t>
            </w:r>
            <w:r w:rsidRPr="004F568F">
              <w:rPr>
                <w:rFonts w:ascii="Calibri" w:hAnsi="Calibri" w:cs="Calibri"/>
                <w:color w:val="000000"/>
                <w:sz w:val="20"/>
                <w:szCs w:val="20"/>
              </w:rPr>
              <w:t xml:space="preserve"> (5</w:t>
            </w:r>
            <w:r w:rsidR="00D2761E">
              <w:rPr>
                <w:rFonts w:ascii="Calibri" w:hAnsi="Calibri" w:cs="Calibri"/>
                <w:color w:val="000000"/>
                <w:sz w:val="20"/>
                <w:szCs w:val="20"/>
              </w:rPr>
              <w:t>9</w:t>
            </w:r>
            <w:r w:rsidRPr="004F568F">
              <w:rPr>
                <w:rFonts w:ascii="Calibri" w:hAnsi="Calibri" w:cs="Calibri"/>
                <w:color w:val="000000"/>
                <w:sz w:val="20"/>
                <w:szCs w:val="20"/>
              </w:rPr>
              <w:t>-214)</w:t>
            </w:r>
          </w:p>
        </w:tc>
        <w:tc>
          <w:tcPr>
            <w:tcW w:w="2274" w:type="dxa"/>
            <w:vAlign w:val="center"/>
          </w:tcPr>
          <w:p w14:paraId="49BB40BE"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642 (297-1044)</w:t>
            </w:r>
          </w:p>
        </w:tc>
        <w:tc>
          <w:tcPr>
            <w:tcW w:w="2422" w:type="dxa"/>
            <w:vAlign w:val="center"/>
          </w:tcPr>
          <w:p w14:paraId="2FAF944A" w14:textId="1563B095"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5</w:t>
            </w:r>
            <w:r w:rsidR="00EF5F18">
              <w:rPr>
                <w:rFonts w:ascii="Calibri" w:hAnsi="Calibri" w:cs="Calibri"/>
                <w:color w:val="000000"/>
                <w:sz w:val="20"/>
                <w:szCs w:val="20"/>
              </w:rPr>
              <w:t>9</w:t>
            </w:r>
            <w:r w:rsidRPr="004F568F">
              <w:rPr>
                <w:rFonts w:ascii="Calibri" w:hAnsi="Calibri" w:cs="Calibri"/>
                <w:color w:val="000000"/>
                <w:sz w:val="20"/>
                <w:szCs w:val="20"/>
              </w:rPr>
              <w:t xml:space="preserve"> (27-95)</w:t>
            </w:r>
          </w:p>
        </w:tc>
        <w:tc>
          <w:tcPr>
            <w:tcW w:w="2737" w:type="dxa"/>
            <w:vAlign w:val="center"/>
          </w:tcPr>
          <w:p w14:paraId="7DD8977F"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742 (346-1299)</w:t>
            </w:r>
          </w:p>
        </w:tc>
        <w:tc>
          <w:tcPr>
            <w:tcW w:w="2740" w:type="dxa"/>
            <w:vAlign w:val="center"/>
          </w:tcPr>
          <w:p w14:paraId="7938E150" w14:textId="36416164" w:rsidR="0022280F" w:rsidRPr="004F568F" w:rsidRDefault="0022280F" w:rsidP="00D2761E">
            <w:pPr>
              <w:spacing w:line="276" w:lineRule="auto"/>
              <w:jc w:val="center"/>
              <w:rPr>
                <w:rFonts w:ascii="Calibri" w:hAnsi="Calibri" w:cs="Calibri"/>
                <w:color w:val="000000"/>
                <w:sz w:val="20"/>
                <w:szCs w:val="20"/>
              </w:rPr>
            </w:pPr>
            <w:r w:rsidRPr="004F568F">
              <w:rPr>
                <w:rFonts w:ascii="Calibri" w:hAnsi="Calibri" w:cs="Calibri"/>
                <w:color w:val="000000"/>
                <w:sz w:val="20"/>
                <w:szCs w:val="20"/>
              </w:rPr>
              <w:t>68 (3</w:t>
            </w:r>
            <w:r w:rsidR="00D2761E">
              <w:rPr>
                <w:rFonts w:ascii="Calibri" w:hAnsi="Calibri" w:cs="Calibri"/>
                <w:color w:val="000000"/>
                <w:sz w:val="20"/>
                <w:szCs w:val="20"/>
              </w:rPr>
              <w:t>2</w:t>
            </w:r>
            <w:r w:rsidRPr="004F568F">
              <w:rPr>
                <w:rFonts w:ascii="Calibri" w:hAnsi="Calibri" w:cs="Calibri"/>
                <w:color w:val="000000"/>
                <w:sz w:val="20"/>
                <w:szCs w:val="20"/>
              </w:rPr>
              <w:t>-11</w:t>
            </w:r>
            <w:r w:rsidR="00D2761E">
              <w:rPr>
                <w:rFonts w:ascii="Calibri" w:hAnsi="Calibri" w:cs="Calibri"/>
                <w:color w:val="000000"/>
                <w:sz w:val="20"/>
                <w:szCs w:val="20"/>
              </w:rPr>
              <w:t>9</w:t>
            </w:r>
            <w:r w:rsidRPr="004F568F">
              <w:rPr>
                <w:rFonts w:ascii="Calibri" w:hAnsi="Calibri" w:cs="Calibri"/>
                <w:color w:val="000000"/>
                <w:sz w:val="20"/>
                <w:szCs w:val="20"/>
              </w:rPr>
              <w:t>)</w:t>
            </w:r>
          </w:p>
        </w:tc>
      </w:tr>
      <w:tr w:rsidR="0022280F" w:rsidRPr="00AE771E" w14:paraId="1CA47E56" w14:textId="77777777" w:rsidTr="009D2EC0">
        <w:trPr>
          <w:trHeight w:val="368"/>
        </w:trPr>
        <w:tc>
          <w:tcPr>
            <w:tcW w:w="1152" w:type="dxa"/>
          </w:tcPr>
          <w:p w14:paraId="7AF473C4"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&lt;1y</w:t>
            </w:r>
          </w:p>
        </w:tc>
        <w:tc>
          <w:tcPr>
            <w:tcW w:w="2259" w:type="dxa"/>
            <w:vAlign w:val="center"/>
          </w:tcPr>
          <w:p w14:paraId="0F0A201D"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78571 (56187-105831)</w:t>
            </w:r>
          </w:p>
        </w:tc>
        <w:tc>
          <w:tcPr>
            <w:tcW w:w="2843" w:type="dxa"/>
            <w:vAlign w:val="center"/>
          </w:tcPr>
          <w:p w14:paraId="127EC065" w14:textId="5C3732A2"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6995 (500</w:t>
            </w:r>
            <w:r w:rsidR="00EF5F18">
              <w:rPr>
                <w:rFonts w:ascii="Calibri" w:hAnsi="Calibri" w:cs="Calibri"/>
                <w:color w:val="000000"/>
                <w:sz w:val="20"/>
                <w:szCs w:val="20"/>
              </w:rPr>
              <w:t>2</w:t>
            </w:r>
            <w:r w:rsidRPr="004F568F">
              <w:rPr>
                <w:rFonts w:ascii="Calibri" w:hAnsi="Calibri" w:cs="Calibri"/>
                <w:color w:val="000000"/>
                <w:sz w:val="20"/>
                <w:szCs w:val="20"/>
              </w:rPr>
              <w:t>-9421)</w:t>
            </w:r>
          </w:p>
        </w:tc>
        <w:tc>
          <w:tcPr>
            <w:tcW w:w="2274" w:type="dxa"/>
            <w:vAlign w:val="center"/>
          </w:tcPr>
          <w:p w14:paraId="23A79D96"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36428 (27772-45654)</w:t>
            </w:r>
          </w:p>
        </w:tc>
        <w:tc>
          <w:tcPr>
            <w:tcW w:w="2422" w:type="dxa"/>
            <w:vAlign w:val="center"/>
          </w:tcPr>
          <w:p w14:paraId="7055547D" w14:textId="7EE36CFB"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324</w:t>
            </w:r>
            <w:r w:rsidR="00EF5F18">
              <w:rPr>
                <w:rFonts w:ascii="Calibri" w:hAnsi="Calibri" w:cs="Calibri"/>
                <w:color w:val="000000"/>
                <w:sz w:val="20"/>
                <w:szCs w:val="20"/>
              </w:rPr>
              <w:t>3</w:t>
            </w:r>
            <w:r w:rsidRPr="004F568F">
              <w:rPr>
                <w:rFonts w:ascii="Calibri" w:hAnsi="Calibri" w:cs="Calibri"/>
                <w:color w:val="000000"/>
                <w:sz w:val="20"/>
                <w:szCs w:val="20"/>
              </w:rPr>
              <w:t xml:space="preserve"> (2472-4064)</w:t>
            </w:r>
          </w:p>
        </w:tc>
        <w:tc>
          <w:tcPr>
            <w:tcW w:w="2737" w:type="dxa"/>
            <w:vAlign w:val="center"/>
          </w:tcPr>
          <w:p w14:paraId="149726D0"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42143 (28415-60177)</w:t>
            </w:r>
          </w:p>
        </w:tc>
        <w:tc>
          <w:tcPr>
            <w:tcW w:w="2740" w:type="dxa"/>
            <w:vAlign w:val="center"/>
          </w:tcPr>
          <w:p w14:paraId="05B8C685" w14:textId="0F49EA99" w:rsidR="0022280F" w:rsidRPr="004F568F" w:rsidRDefault="0022280F" w:rsidP="00B852C5">
            <w:pPr>
              <w:spacing w:line="276" w:lineRule="auto"/>
              <w:jc w:val="center"/>
              <w:rPr>
                <w:rFonts w:ascii="Calibri" w:hAnsi="Calibri" w:cs="Calibri"/>
                <w:color w:val="000000"/>
                <w:sz w:val="20"/>
                <w:szCs w:val="20"/>
              </w:rPr>
            </w:pPr>
            <w:r w:rsidRPr="004F568F">
              <w:rPr>
                <w:rFonts w:ascii="Calibri" w:hAnsi="Calibri" w:cs="Calibri"/>
                <w:color w:val="000000"/>
                <w:sz w:val="20"/>
                <w:szCs w:val="20"/>
              </w:rPr>
              <w:t>375</w:t>
            </w:r>
            <w:r w:rsidR="00B852C5">
              <w:rPr>
                <w:rFonts w:ascii="Calibri" w:hAnsi="Calibri" w:cs="Calibri"/>
                <w:color w:val="000000"/>
                <w:sz w:val="20"/>
                <w:szCs w:val="20"/>
              </w:rPr>
              <w:t>2</w:t>
            </w:r>
            <w:r w:rsidRPr="004F568F">
              <w:rPr>
                <w:rFonts w:ascii="Calibri" w:hAnsi="Calibri" w:cs="Calibri"/>
                <w:color w:val="000000"/>
                <w:sz w:val="20"/>
                <w:szCs w:val="20"/>
              </w:rPr>
              <w:t xml:space="preserve"> (25</w:t>
            </w:r>
            <w:r w:rsidR="00B852C5">
              <w:rPr>
                <w:rFonts w:ascii="Calibri" w:hAnsi="Calibri" w:cs="Calibri"/>
                <w:color w:val="000000"/>
                <w:sz w:val="20"/>
                <w:szCs w:val="20"/>
              </w:rPr>
              <w:t>30</w:t>
            </w:r>
            <w:r w:rsidRPr="004F568F">
              <w:rPr>
                <w:rFonts w:ascii="Calibri" w:hAnsi="Calibri" w:cs="Calibri"/>
                <w:color w:val="000000"/>
                <w:sz w:val="20"/>
                <w:szCs w:val="20"/>
              </w:rPr>
              <w:t>-5357)</w:t>
            </w:r>
          </w:p>
        </w:tc>
      </w:tr>
      <w:tr w:rsidR="0022280F" w:rsidRPr="00AE771E" w14:paraId="377AF49B" w14:textId="77777777" w:rsidTr="009D2EC0">
        <w:trPr>
          <w:trHeight w:val="463"/>
        </w:trPr>
        <w:tc>
          <w:tcPr>
            <w:tcW w:w="1152" w:type="dxa"/>
          </w:tcPr>
          <w:p w14:paraId="6D8F6E8C" w14:textId="77777777" w:rsidR="0022280F" w:rsidRPr="00AE771E" w:rsidRDefault="0022280F" w:rsidP="0022280F">
            <w:pPr>
              <w:spacing w:line="276" w:lineRule="auto"/>
              <w:rPr>
                <w:rFonts w:asciiTheme="minorHAnsi" w:hAnsiTheme="minorHAnsi" w:cstheme="minorHAnsi"/>
              </w:rPr>
            </w:pPr>
            <w:r w:rsidRPr="00AE771E">
              <w:rPr>
                <w:rFonts w:asciiTheme="minorHAnsi" w:hAnsiTheme="minorHAnsi" w:cstheme="minorHAnsi"/>
              </w:rPr>
              <w:t>&lt;5y</w:t>
            </w:r>
          </w:p>
        </w:tc>
        <w:tc>
          <w:tcPr>
            <w:tcW w:w="2259" w:type="dxa"/>
            <w:vAlign w:val="center"/>
          </w:tcPr>
          <w:p w14:paraId="3290F1BD"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96220 (66470-132844)</w:t>
            </w:r>
          </w:p>
        </w:tc>
        <w:tc>
          <w:tcPr>
            <w:tcW w:w="2843" w:type="dxa"/>
            <w:vAlign w:val="center"/>
          </w:tcPr>
          <w:p w14:paraId="7D96A351" w14:textId="1FC7D3B6"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1729 (119</w:t>
            </w:r>
            <w:r w:rsidR="00EF5F18">
              <w:rPr>
                <w:rFonts w:ascii="Calibri" w:hAnsi="Calibri" w:cs="Calibri"/>
                <w:color w:val="000000"/>
                <w:sz w:val="20"/>
                <w:szCs w:val="20"/>
              </w:rPr>
              <w:t>5</w:t>
            </w:r>
            <w:r w:rsidRPr="004F568F">
              <w:rPr>
                <w:rFonts w:ascii="Calibri" w:hAnsi="Calibri" w:cs="Calibri"/>
                <w:color w:val="000000"/>
                <w:sz w:val="20"/>
                <w:szCs w:val="20"/>
              </w:rPr>
              <w:t>-2387)</w:t>
            </w:r>
          </w:p>
        </w:tc>
        <w:tc>
          <w:tcPr>
            <w:tcW w:w="2274" w:type="dxa"/>
            <w:vAlign w:val="center"/>
          </w:tcPr>
          <w:p w14:paraId="17045B75"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44615 (32731-57538)</w:t>
            </w:r>
          </w:p>
        </w:tc>
        <w:tc>
          <w:tcPr>
            <w:tcW w:w="2422" w:type="dxa"/>
            <w:vAlign w:val="center"/>
          </w:tcPr>
          <w:p w14:paraId="1D3542E4" w14:textId="39B7D1A0" w:rsidR="0022280F" w:rsidRPr="004F568F" w:rsidRDefault="0022280F" w:rsidP="00EF5F18">
            <w:pPr>
              <w:spacing w:line="276" w:lineRule="auto"/>
              <w:jc w:val="center"/>
              <w:rPr>
                <w:rFonts w:ascii="Calibri" w:hAnsi="Calibri" w:cs="Calibri"/>
                <w:color w:val="000000"/>
                <w:sz w:val="20"/>
                <w:szCs w:val="20"/>
              </w:rPr>
            </w:pPr>
            <w:r w:rsidRPr="004F568F">
              <w:rPr>
                <w:rFonts w:ascii="Calibri" w:hAnsi="Calibri" w:cs="Calibri"/>
                <w:color w:val="000000"/>
                <w:sz w:val="20"/>
                <w:szCs w:val="20"/>
              </w:rPr>
              <w:t>80</w:t>
            </w:r>
            <w:r w:rsidR="00EF5F18">
              <w:rPr>
                <w:rFonts w:ascii="Calibri" w:hAnsi="Calibri" w:cs="Calibri"/>
                <w:color w:val="000000"/>
                <w:sz w:val="20"/>
                <w:szCs w:val="20"/>
              </w:rPr>
              <w:t>2</w:t>
            </w:r>
            <w:r w:rsidRPr="004F568F">
              <w:rPr>
                <w:rFonts w:ascii="Calibri" w:hAnsi="Calibri" w:cs="Calibri"/>
                <w:color w:val="000000"/>
                <w:sz w:val="20"/>
                <w:szCs w:val="20"/>
              </w:rPr>
              <w:t xml:space="preserve"> (58-1034)</w:t>
            </w:r>
          </w:p>
        </w:tc>
        <w:tc>
          <w:tcPr>
            <w:tcW w:w="2737" w:type="dxa"/>
            <w:vAlign w:val="center"/>
          </w:tcPr>
          <w:p w14:paraId="1F53DED3" w14:textId="77777777" w:rsidR="0022280F" w:rsidRPr="004F568F" w:rsidRDefault="0022280F" w:rsidP="0022280F">
            <w:pPr>
              <w:spacing w:line="276" w:lineRule="auto"/>
              <w:jc w:val="center"/>
              <w:rPr>
                <w:rFonts w:ascii="Calibri" w:hAnsi="Calibri" w:cs="Calibri"/>
                <w:color w:val="000000"/>
                <w:sz w:val="20"/>
                <w:szCs w:val="20"/>
              </w:rPr>
            </w:pPr>
            <w:r w:rsidRPr="004F568F">
              <w:rPr>
                <w:rFonts w:ascii="Calibri" w:hAnsi="Calibri" w:cs="Calibri"/>
                <w:color w:val="000000"/>
                <w:sz w:val="20"/>
                <w:szCs w:val="20"/>
              </w:rPr>
              <w:t>51605 (33739-75306)</w:t>
            </w:r>
          </w:p>
        </w:tc>
        <w:tc>
          <w:tcPr>
            <w:tcW w:w="2740" w:type="dxa"/>
            <w:vAlign w:val="center"/>
          </w:tcPr>
          <w:p w14:paraId="6F980EC1" w14:textId="7EA0CC0A" w:rsidR="0022280F" w:rsidRPr="004F568F" w:rsidRDefault="0022280F" w:rsidP="00B852C5">
            <w:pPr>
              <w:spacing w:line="276" w:lineRule="auto"/>
              <w:jc w:val="center"/>
              <w:rPr>
                <w:rFonts w:ascii="Calibri" w:hAnsi="Calibri" w:cs="Calibri"/>
                <w:color w:val="000000"/>
                <w:sz w:val="20"/>
                <w:szCs w:val="20"/>
              </w:rPr>
            </w:pPr>
            <w:r w:rsidRPr="004F568F">
              <w:rPr>
                <w:rFonts w:ascii="Calibri" w:hAnsi="Calibri" w:cs="Calibri"/>
                <w:color w:val="000000"/>
                <w:sz w:val="20"/>
                <w:szCs w:val="20"/>
              </w:rPr>
              <w:t>927 (606-1353)</w:t>
            </w:r>
          </w:p>
        </w:tc>
      </w:tr>
      <w:bookmarkEnd w:id="2"/>
    </w:tbl>
    <w:p w14:paraId="267BADB7" w14:textId="77777777" w:rsidR="0022280F" w:rsidRDefault="0022280F" w:rsidP="00CD5172">
      <w:pPr>
        <w:jc w:val="both"/>
        <w:rPr>
          <w:rFonts w:asciiTheme="minorHAnsi" w:hAnsiTheme="minorHAnsi" w:cstheme="minorHAnsi"/>
          <w:b/>
        </w:rPr>
      </w:pPr>
    </w:p>
    <w:p w14:paraId="2AB518A6"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rPr>
        <w:t>Abbreviations: CI: confidence intervals.</w:t>
      </w:r>
    </w:p>
    <w:p w14:paraId="007F500E"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vertAlign w:val="superscript"/>
        </w:rPr>
        <w:t>a</w:t>
      </w:r>
      <w:r w:rsidRPr="00AE771E">
        <w:rPr>
          <w:rFonts w:asciiTheme="minorHAnsi" w:hAnsiTheme="minorHAnsi" w:cstheme="minorHAnsi"/>
        </w:rPr>
        <w:t xml:space="preserve"> Severe illness defined as requiring hospitalization excluding deaths.</w:t>
      </w:r>
    </w:p>
    <w:p w14:paraId="2F2EE1F5"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vertAlign w:val="superscript"/>
        </w:rPr>
        <w:t>b</w:t>
      </w:r>
      <w:r w:rsidRPr="00AE771E">
        <w:rPr>
          <w:rFonts w:asciiTheme="minorHAnsi" w:hAnsiTheme="minorHAnsi" w:cstheme="minorHAnsi"/>
        </w:rPr>
        <w:t xml:space="preserve"> Rates expressed per 100</w:t>
      </w:r>
      <w:r>
        <w:rPr>
          <w:rFonts w:asciiTheme="minorHAnsi" w:hAnsiTheme="minorHAnsi" w:cstheme="minorHAnsi"/>
        </w:rPr>
        <w:t>.</w:t>
      </w:r>
      <w:r w:rsidRPr="00AE771E">
        <w:rPr>
          <w:rFonts w:asciiTheme="minorHAnsi" w:hAnsiTheme="minorHAnsi" w:cstheme="minorHAnsi"/>
        </w:rPr>
        <w:t>000 population.</w:t>
      </w:r>
    </w:p>
    <w:p w14:paraId="349F48AD" w14:textId="77777777" w:rsidR="0022280F" w:rsidRPr="00AE771E" w:rsidRDefault="0022280F" w:rsidP="0022280F">
      <w:pPr>
        <w:spacing w:line="276" w:lineRule="auto"/>
        <w:jc w:val="both"/>
        <w:rPr>
          <w:rFonts w:asciiTheme="minorHAnsi" w:hAnsiTheme="minorHAnsi" w:cstheme="minorHAnsi"/>
        </w:rPr>
      </w:pPr>
      <w:r w:rsidRPr="00AE771E">
        <w:rPr>
          <w:rFonts w:asciiTheme="minorHAnsi" w:hAnsiTheme="minorHAnsi" w:cstheme="minorHAnsi"/>
          <w:vertAlign w:val="superscript"/>
        </w:rPr>
        <w:t>c</w:t>
      </w:r>
      <w:r w:rsidRPr="00AE771E">
        <w:rPr>
          <w:rFonts w:asciiTheme="minorHAnsi" w:hAnsiTheme="minorHAnsi" w:cstheme="minorHAnsi"/>
        </w:rPr>
        <w:t xml:space="preserve"> Obtained from case-based surveillance at 5 facilities and extrapolated nationally.</w:t>
      </w:r>
    </w:p>
    <w:p w14:paraId="4352BE9D" w14:textId="77777777" w:rsidR="0022280F" w:rsidRDefault="0022280F">
      <w:pPr>
        <w:spacing w:after="160" w:line="259" w:lineRule="auto"/>
        <w:rPr>
          <w:rFonts w:asciiTheme="minorHAnsi" w:hAnsiTheme="minorHAnsi" w:cstheme="minorHAnsi"/>
          <w:b/>
        </w:rPr>
      </w:pPr>
      <w:r>
        <w:rPr>
          <w:rFonts w:asciiTheme="minorHAnsi" w:hAnsiTheme="minorHAnsi" w:cstheme="minorHAnsi"/>
          <w:b/>
        </w:rPr>
        <w:br w:type="page"/>
      </w:r>
    </w:p>
    <w:p w14:paraId="347339FF" w14:textId="1041B1E8" w:rsidR="00851B8D" w:rsidRPr="00CD5172" w:rsidRDefault="006B3C27" w:rsidP="00CD5172">
      <w:pPr>
        <w:jc w:val="both"/>
        <w:rPr>
          <w:rFonts w:asciiTheme="minorHAnsi" w:hAnsiTheme="minorHAnsi" w:cstheme="minorHAnsi"/>
          <w:b/>
        </w:rPr>
      </w:pPr>
      <w:r w:rsidRPr="00CD5172">
        <w:rPr>
          <w:rFonts w:asciiTheme="minorHAnsi" w:hAnsiTheme="minorHAnsi" w:cstheme="minorHAnsi"/>
          <w:b/>
        </w:rPr>
        <w:lastRenderedPageBreak/>
        <w:t xml:space="preserve">References </w:t>
      </w:r>
    </w:p>
    <w:p w14:paraId="61A04A86" w14:textId="11337EB2" w:rsidR="004276C4" w:rsidRPr="00CD5172" w:rsidRDefault="004276C4" w:rsidP="00CD5172">
      <w:pPr>
        <w:jc w:val="both"/>
        <w:rPr>
          <w:rFonts w:asciiTheme="minorHAnsi" w:hAnsiTheme="minorHAnsi" w:cstheme="minorHAnsi"/>
        </w:rPr>
      </w:pPr>
    </w:p>
    <w:p w14:paraId="6D75CDA2" w14:textId="3E269B7F" w:rsidR="003143D8" w:rsidRPr="00713609" w:rsidRDefault="006B3C27" w:rsidP="003143D8">
      <w:pPr>
        <w:widowControl w:val="0"/>
        <w:autoSpaceDE w:val="0"/>
        <w:autoSpaceDN w:val="0"/>
        <w:adjustRightInd w:val="0"/>
        <w:ind w:left="640" w:hanging="640"/>
        <w:rPr>
          <w:rFonts w:ascii="Calibri" w:hAnsi="Calibri" w:cs="Calibri"/>
          <w:noProof/>
          <w:lang w:val="fr-FR"/>
        </w:rPr>
      </w:pPr>
      <w:r w:rsidRPr="00CD5172">
        <w:rPr>
          <w:rFonts w:asciiTheme="minorHAnsi" w:hAnsiTheme="minorHAnsi" w:cstheme="minorHAnsi"/>
        </w:rPr>
        <w:fldChar w:fldCharType="begin" w:fldLock="1"/>
      </w:r>
      <w:r w:rsidRPr="00CD5172">
        <w:rPr>
          <w:rFonts w:asciiTheme="minorHAnsi" w:hAnsiTheme="minorHAnsi" w:cstheme="minorHAnsi"/>
        </w:rPr>
        <w:instrText xml:space="preserve">ADDIN Mendeley Bibliography CSL_BIBLIOGRAPHY </w:instrText>
      </w:r>
      <w:r w:rsidRPr="00CD5172">
        <w:rPr>
          <w:rFonts w:asciiTheme="minorHAnsi" w:hAnsiTheme="minorHAnsi" w:cstheme="minorHAnsi"/>
        </w:rPr>
        <w:fldChar w:fldCharType="separate"/>
      </w:r>
      <w:r w:rsidR="003143D8" w:rsidRPr="003143D8">
        <w:rPr>
          <w:rFonts w:ascii="Calibri" w:hAnsi="Calibri" w:cs="Calibri"/>
          <w:noProof/>
        </w:rPr>
        <w:t xml:space="preserve">1. </w:t>
      </w:r>
      <w:r w:rsidR="003143D8" w:rsidRPr="003143D8">
        <w:rPr>
          <w:rFonts w:ascii="Calibri" w:hAnsi="Calibri" w:cs="Calibri"/>
          <w:noProof/>
        </w:rPr>
        <w:tab/>
        <w:t xml:space="preserve">Cohen C, Moyes J, Tempia S, et al. Severe influenza-associated respiratory infection in high HIV prevalence setting, South Africa, 2009-2011. </w:t>
      </w:r>
      <w:r w:rsidR="003143D8" w:rsidRPr="00713609">
        <w:rPr>
          <w:rFonts w:ascii="Calibri" w:hAnsi="Calibri" w:cs="Calibri"/>
          <w:i/>
          <w:iCs/>
          <w:noProof/>
          <w:lang w:val="fr-FR"/>
        </w:rPr>
        <w:t>Emerg Infect Dis</w:t>
      </w:r>
      <w:r w:rsidR="003143D8" w:rsidRPr="00713609">
        <w:rPr>
          <w:rFonts w:ascii="Calibri" w:hAnsi="Calibri" w:cs="Calibri"/>
          <w:noProof/>
          <w:lang w:val="fr-FR"/>
        </w:rPr>
        <w:t>. 2013;19(11):1766-1774. doi:10.3201/eid1911.130546</w:t>
      </w:r>
    </w:p>
    <w:p w14:paraId="5B5EA6F4"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713609">
        <w:rPr>
          <w:rFonts w:ascii="Calibri" w:hAnsi="Calibri" w:cs="Calibri"/>
          <w:noProof/>
          <w:lang w:val="fr-FR"/>
        </w:rPr>
        <w:t xml:space="preserve">2. </w:t>
      </w:r>
      <w:r w:rsidRPr="00713609">
        <w:rPr>
          <w:rFonts w:ascii="Calibri" w:hAnsi="Calibri" w:cs="Calibri"/>
          <w:noProof/>
          <w:lang w:val="fr-FR"/>
        </w:rPr>
        <w:tab/>
        <w:t xml:space="preserve">Moyes J, Cohen C, Pretorius M, et al. </w:t>
      </w:r>
      <w:r w:rsidRPr="003143D8">
        <w:rPr>
          <w:rFonts w:ascii="Calibri" w:hAnsi="Calibri" w:cs="Calibri"/>
          <w:noProof/>
        </w:rPr>
        <w:t xml:space="preserve">Epidemiology of respiratory syncytial virus-associated acute lower respiratory tract infection hospitalizations among HIV-infected and HIV-uninfected South African children, 2010-2011. </w:t>
      </w:r>
      <w:r w:rsidRPr="003143D8">
        <w:rPr>
          <w:rFonts w:ascii="Calibri" w:hAnsi="Calibri" w:cs="Calibri"/>
          <w:i/>
          <w:iCs/>
          <w:noProof/>
        </w:rPr>
        <w:t>J Infect Dis</w:t>
      </w:r>
      <w:r w:rsidRPr="003143D8">
        <w:rPr>
          <w:rFonts w:ascii="Calibri" w:hAnsi="Calibri" w:cs="Calibri"/>
          <w:noProof/>
        </w:rPr>
        <w:t>. 2013;208 Suppl 3(suppl 3):S217-26. doi:10.1093/infdis/jit479</w:t>
      </w:r>
    </w:p>
    <w:p w14:paraId="5937B615" w14:textId="77777777" w:rsidR="003143D8" w:rsidRPr="00713609" w:rsidRDefault="003143D8" w:rsidP="003143D8">
      <w:pPr>
        <w:widowControl w:val="0"/>
        <w:autoSpaceDE w:val="0"/>
        <w:autoSpaceDN w:val="0"/>
        <w:adjustRightInd w:val="0"/>
        <w:ind w:left="640" w:hanging="640"/>
        <w:rPr>
          <w:rFonts w:ascii="Calibri" w:hAnsi="Calibri" w:cs="Calibri"/>
          <w:noProof/>
          <w:lang w:val="fr-FR"/>
        </w:rPr>
      </w:pPr>
      <w:r w:rsidRPr="003143D8">
        <w:rPr>
          <w:rFonts w:ascii="Calibri" w:hAnsi="Calibri" w:cs="Calibri"/>
          <w:noProof/>
        </w:rPr>
        <w:t xml:space="preserve">3. </w:t>
      </w:r>
      <w:r w:rsidRPr="003143D8">
        <w:rPr>
          <w:rFonts w:ascii="Calibri" w:hAnsi="Calibri" w:cs="Calibri"/>
          <w:noProof/>
        </w:rPr>
        <w:tab/>
        <w:t xml:space="preserve">Wolter N, Tempia S, Cohen C, et al. High nasopharyngeal pneumococcal density, increased by viral coinfection, is associated with invasive pneumococcal pneumonia. </w:t>
      </w:r>
      <w:r w:rsidRPr="00713609">
        <w:rPr>
          <w:rFonts w:ascii="Calibri" w:hAnsi="Calibri" w:cs="Calibri"/>
          <w:i/>
          <w:iCs/>
          <w:noProof/>
          <w:lang w:val="fr-FR"/>
        </w:rPr>
        <w:t>J Infect Dis</w:t>
      </w:r>
      <w:r w:rsidRPr="00713609">
        <w:rPr>
          <w:rFonts w:ascii="Calibri" w:hAnsi="Calibri" w:cs="Calibri"/>
          <w:noProof/>
          <w:lang w:val="fr-FR"/>
        </w:rPr>
        <w:t>. 2014;210(10):1649-1657. doi:10.1093/infdis/jiu326</w:t>
      </w:r>
    </w:p>
    <w:p w14:paraId="49511C7E" w14:textId="77777777" w:rsidR="003143D8" w:rsidRPr="00713609" w:rsidRDefault="003143D8" w:rsidP="003143D8">
      <w:pPr>
        <w:widowControl w:val="0"/>
        <w:autoSpaceDE w:val="0"/>
        <w:autoSpaceDN w:val="0"/>
        <w:adjustRightInd w:val="0"/>
        <w:ind w:left="640" w:hanging="640"/>
        <w:rPr>
          <w:rFonts w:ascii="Calibri" w:hAnsi="Calibri" w:cs="Calibri"/>
          <w:noProof/>
          <w:lang w:val="fr-FR"/>
        </w:rPr>
      </w:pPr>
      <w:r w:rsidRPr="00713609">
        <w:rPr>
          <w:rFonts w:ascii="Calibri" w:hAnsi="Calibri" w:cs="Calibri"/>
          <w:noProof/>
          <w:lang w:val="fr-FR"/>
        </w:rPr>
        <w:t xml:space="preserve">4. </w:t>
      </w:r>
      <w:r w:rsidRPr="00713609">
        <w:rPr>
          <w:rFonts w:ascii="Calibri" w:hAnsi="Calibri" w:cs="Calibri"/>
          <w:noProof/>
          <w:lang w:val="fr-FR"/>
        </w:rPr>
        <w:tab/>
        <w:t xml:space="preserve">Pretorius MA, Tempia S, Walaza S, et al. </w:t>
      </w:r>
      <w:r w:rsidRPr="003143D8">
        <w:rPr>
          <w:rFonts w:ascii="Calibri" w:hAnsi="Calibri" w:cs="Calibri"/>
          <w:noProof/>
        </w:rPr>
        <w:t xml:space="preserve">The role of influenza, RSV and other common respiratory viruses in severe acute respiratory infections and influenza-like illness in a population with a high HIV sero-prevalence, South Africa 2012–2015. </w:t>
      </w:r>
      <w:r w:rsidRPr="00713609">
        <w:rPr>
          <w:rFonts w:ascii="Calibri" w:hAnsi="Calibri" w:cs="Calibri"/>
          <w:i/>
          <w:iCs/>
          <w:noProof/>
          <w:lang w:val="fr-FR"/>
        </w:rPr>
        <w:t>J Clin Virol</w:t>
      </w:r>
      <w:r w:rsidRPr="00713609">
        <w:rPr>
          <w:rFonts w:ascii="Calibri" w:hAnsi="Calibri" w:cs="Calibri"/>
          <w:noProof/>
          <w:lang w:val="fr-FR"/>
        </w:rPr>
        <w:t>. 2016;75:21-26. doi:10.1016/j.jcv.2015.12.004</w:t>
      </w:r>
    </w:p>
    <w:p w14:paraId="47BEF7F2"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713609">
        <w:rPr>
          <w:rFonts w:ascii="Calibri" w:hAnsi="Calibri" w:cs="Calibri"/>
          <w:noProof/>
          <w:lang w:val="fr-FR"/>
        </w:rPr>
        <w:t xml:space="preserve">5. </w:t>
      </w:r>
      <w:r w:rsidRPr="00713609">
        <w:rPr>
          <w:rFonts w:ascii="Calibri" w:hAnsi="Calibri" w:cs="Calibri"/>
          <w:noProof/>
          <w:lang w:val="fr-FR"/>
        </w:rPr>
        <w:tab/>
        <w:t xml:space="preserve">Wong KKL, von Mollendorf C, Martinson N, et al. </w:t>
      </w:r>
      <w:r w:rsidRPr="003143D8">
        <w:rPr>
          <w:rFonts w:ascii="Calibri" w:hAnsi="Calibri" w:cs="Calibri"/>
          <w:noProof/>
        </w:rPr>
        <w:t xml:space="preserve">Healthcare utilization for common infectious disease syndromes in Soweto and Klerksdorp, South Africa. </w:t>
      </w:r>
      <w:r w:rsidRPr="003143D8">
        <w:rPr>
          <w:rFonts w:ascii="Calibri" w:hAnsi="Calibri" w:cs="Calibri"/>
          <w:i/>
          <w:iCs/>
          <w:noProof/>
        </w:rPr>
        <w:t>Pan Afr Med J</w:t>
      </w:r>
      <w:r w:rsidRPr="003143D8">
        <w:rPr>
          <w:rFonts w:ascii="Calibri" w:hAnsi="Calibri" w:cs="Calibri"/>
          <w:noProof/>
        </w:rPr>
        <w:t>. 2018;30:1-12. doi:10.11604/pamj.2018.30.271.14477</w:t>
      </w:r>
    </w:p>
    <w:p w14:paraId="043AE785"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3143D8">
        <w:rPr>
          <w:rFonts w:ascii="Calibri" w:hAnsi="Calibri" w:cs="Calibri"/>
          <w:noProof/>
        </w:rPr>
        <w:t xml:space="preserve">6. </w:t>
      </w:r>
      <w:r w:rsidRPr="003143D8">
        <w:rPr>
          <w:rFonts w:ascii="Calibri" w:hAnsi="Calibri" w:cs="Calibri"/>
          <w:noProof/>
        </w:rPr>
        <w:tab/>
        <w:t xml:space="preserve">McAnerney JM, Cohen C, Cohen AL, et al. Healthcare utilisation patterns for respiratory and gastrointestinal syndromes and meningitis in Msunduzi municipality, Pietermaritzburg, KwaZulu-Natal Province, South Africa, 2013. </w:t>
      </w:r>
      <w:r w:rsidRPr="003143D8">
        <w:rPr>
          <w:rFonts w:ascii="Calibri" w:hAnsi="Calibri" w:cs="Calibri"/>
          <w:i/>
          <w:iCs/>
          <w:noProof/>
        </w:rPr>
        <w:t>South African Med J</w:t>
      </w:r>
      <w:r w:rsidRPr="003143D8">
        <w:rPr>
          <w:rFonts w:ascii="Calibri" w:hAnsi="Calibri" w:cs="Calibri"/>
          <w:noProof/>
        </w:rPr>
        <w:t>. 2019;109(5):333-339. doi:10.7196/SAMJ.2019.v109i5.13024</w:t>
      </w:r>
    </w:p>
    <w:p w14:paraId="62D07C4E"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3143D8">
        <w:rPr>
          <w:rFonts w:ascii="Calibri" w:hAnsi="Calibri" w:cs="Calibri"/>
          <w:noProof/>
        </w:rPr>
        <w:t xml:space="preserve">7. </w:t>
      </w:r>
      <w:r w:rsidRPr="003143D8">
        <w:rPr>
          <w:rFonts w:ascii="Calibri" w:hAnsi="Calibri" w:cs="Calibri"/>
          <w:noProof/>
        </w:rPr>
        <w:tab/>
        <w:t xml:space="preserve">Statistics South Africa. Mid-year Population estimates. </w:t>
      </w:r>
      <w:r w:rsidRPr="003143D8">
        <w:rPr>
          <w:rFonts w:ascii="Calibri" w:hAnsi="Calibri" w:cs="Calibri"/>
          <w:i/>
          <w:iCs/>
          <w:noProof/>
        </w:rPr>
        <w:t>www.statssa.gov.za/publications/./P03022014.pdf</w:t>
      </w:r>
      <w:r w:rsidRPr="003143D8">
        <w:rPr>
          <w:rFonts w:ascii="Calibri" w:hAnsi="Calibri" w:cs="Calibri"/>
          <w:noProof/>
        </w:rPr>
        <w:t>. 2014;(July):1-18. doi:Statistical release P0302</w:t>
      </w:r>
    </w:p>
    <w:p w14:paraId="733DB5DE"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3143D8">
        <w:rPr>
          <w:rFonts w:ascii="Calibri" w:hAnsi="Calibri" w:cs="Calibri"/>
          <w:noProof/>
        </w:rPr>
        <w:t xml:space="preserve">8. </w:t>
      </w:r>
      <w:r w:rsidRPr="003143D8">
        <w:rPr>
          <w:rFonts w:ascii="Calibri" w:hAnsi="Calibri" w:cs="Calibri"/>
          <w:noProof/>
        </w:rPr>
        <w:tab/>
        <w:t>Statistics South Africa. South Africa. Mid-year population estimates 2015. 2015;P0302(July):20. https://www.statssa.gov.za/publications/P0302/P03022015.pdf</w:t>
      </w:r>
    </w:p>
    <w:p w14:paraId="2176F751"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3143D8">
        <w:rPr>
          <w:rFonts w:ascii="Calibri" w:hAnsi="Calibri" w:cs="Calibri"/>
          <w:noProof/>
        </w:rPr>
        <w:t xml:space="preserve">9. </w:t>
      </w:r>
      <w:r w:rsidRPr="003143D8">
        <w:rPr>
          <w:rFonts w:ascii="Calibri" w:hAnsi="Calibri" w:cs="Calibri"/>
          <w:noProof/>
        </w:rPr>
        <w:tab/>
        <w:t xml:space="preserve">Statistics South Africa. Statistical release P0302: Mid-year population estimates, South Africa 2013. </w:t>
      </w:r>
      <w:r w:rsidRPr="003143D8">
        <w:rPr>
          <w:rFonts w:ascii="Calibri" w:hAnsi="Calibri" w:cs="Calibri"/>
          <w:i/>
          <w:iCs/>
          <w:noProof/>
        </w:rPr>
        <w:t>Stat South Africa</w:t>
      </w:r>
      <w:r w:rsidRPr="003143D8">
        <w:rPr>
          <w:rFonts w:ascii="Calibri" w:hAnsi="Calibri" w:cs="Calibri"/>
          <w:noProof/>
        </w:rPr>
        <w:t>. 2013;(P0302):1-17. http://www.hst.org.za/indicators/StatsSA/midyearpop2005.pdf</w:t>
      </w:r>
    </w:p>
    <w:p w14:paraId="6BFAA707"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3143D8">
        <w:rPr>
          <w:rFonts w:ascii="Calibri" w:hAnsi="Calibri" w:cs="Calibri"/>
          <w:noProof/>
        </w:rPr>
        <w:t xml:space="preserve">10. </w:t>
      </w:r>
      <w:r w:rsidRPr="003143D8">
        <w:rPr>
          <w:rFonts w:ascii="Calibri" w:hAnsi="Calibri" w:cs="Calibri"/>
          <w:noProof/>
        </w:rPr>
        <w:tab/>
        <w:t xml:space="preserve">Tempia S, Walaza S, Moyes J, et al. Quantifying how different clinical presentations, levels of severity, and healthcare attendance shape the burden of influenza-associated illness: A modeling study from South Africa. </w:t>
      </w:r>
      <w:r w:rsidRPr="003143D8">
        <w:rPr>
          <w:rFonts w:ascii="Calibri" w:hAnsi="Calibri" w:cs="Calibri"/>
          <w:i/>
          <w:iCs/>
          <w:noProof/>
        </w:rPr>
        <w:t>Clin Infect Dis</w:t>
      </w:r>
      <w:r w:rsidRPr="003143D8">
        <w:rPr>
          <w:rFonts w:ascii="Calibri" w:hAnsi="Calibri" w:cs="Calibri"/>
          <w:noProof/>
        </w:rPr>
        <w:t>. 2019;69(6):1036-1048. doi:10.1093/cid/ciy1017</w:t>
      </w:r>
    </w:p>
    <w:p w14:paraId="09E6B820"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3143D8">
        <w:rPr>
          <w:rFonts w:ascii="Calibri" w:hAnsi="Calibri" w:cs="Calibri"/>
          <w:noProof/>
        </w:rPr>
        <w:t xml:space="preserve">11. </w:t>
      </w:r>
      <w:r w:rsidRPr="003143D8">
        <w:rPr>
          <w:rFonts w:ascii="Calibri" w:hAnsi="Calibri" w:cs="Calibri"/>
          <w:noProof/>
        </w:rPr>
        <w:tab/>
        <w:t xml:space="preserve">Massyn N, Day C, Peer N, Padarath A, Barron P, Africa S. </w:t>
      </w:r>
      <w:r w:rsidRPr="003143D8">
        <w:rPr>
          <w:rFonts w:ascii="Calibri" w:hAnsi="Calibri" w:cs="Calibri"/>
          <w:i/>
          <w:iCs/>
          <w:noProof/>
        </w:rPr>
        <w:t>Dhb 2013 / 14</w:t>
      </w:r>
      <w:r w:rsidRPr="003143D8">
        <w:rPr>
          <w:rFonts w:ascii="Calibri" w:hAnsi="Calibri" w:cs="Calibri"/>
          <w:noProof/>
        </w:rPr>
        <w:t>.</w:t>
      </w:r>
    </w:p>
    <w:p w14:paraId="73324B69" w14:textId="77777777" w:rsidR="003143D8" w:rsidRPr="003143D8" w:rsidRDefault="003143D8" w:rsidP="003143D8">
      <w:pPr>
        <w:widowControl w:val="0"/>
        <w:autoSpaceDE w:val="0"/>
        <w:autoSpaceDN w:val="0"/>
        <w:adjustRightInd w:val="0"/>
        <w:ind w:left="640" w:hanging="640"/>
        <w:rPr>
          <w:rFonts w:ascii="Calibri" w:hAnsi="Calibri" w:cs="Calibri"/>
          <w:noProof/>
        </w:rPr>
      </w:pPr>
      <w:r w:rsidRPr="00713609">
        <w:rPr>
          <w:rFonts w:ascii="Calibri" w:hAnsi="Calibri" w:cs="Calibri"/>
          <w:noProof/>
          <w:lang w:val="fr-FR"/>
        </w:rPr>
        <w:t xml:space="preserve">12. </w:t>
      </w:r>
      <w:r w:rsidRPr="00713609">
        <w:rPr>
          <w:rFonts w:ascii="Calibri" w:hAnsi="Calibri" w:cs="Calibri"/>
          <w:noProof/>
          <w:lang w:val="fr-FR"/>
        </w:rPr>
        <w:tab/>
        <w:t xml:space="preserve">Nyiro JU, Munywoki P, Kamau E, et al. </w:t>
      </w:r>
      <w:r w:rsidRPr="003143D8">
        <w:rPr>
          <w:rFonts w:ascii="Calibri" w:hAnsi="Calibri" w:cs="Calibri"/>
          <w:noProof/>
        </w:rPr>
        <w:t xml:space="preserve">Surveillance of respiratory viruses in the outpatient setting in rural coastal Kenya: Baseline epidemiological observations [version 1; referees: 2 approved]. </w:t>
      </w:r>
      <w:r w:rsidRPr="003143D8">
        <w:rPr>
          <w:rFonts w:ascii="Calibri" w:hAnsi="Calibri" w:cs="Calibri"/>
          <w:i/>
          <w:iCs/>
          <w:noProof/>
        </w:rPr>
        <w:t>Wellcome Open Res</w:t>
      </w:r>
      <w:r w:rsidRPr="003143D8">
        <w:rPr>
          <w:rFonts w:ascii="Calibri" w:hAnsi="Calibri" w:cs="Calibri"/>
          <w:noProof/>
        </w:rPr>
        <w:t>. 2018;3(May). doi:10.12688/wellcomeopenres.14662.1</w:t>
      </w:r>
    </w:p>
    <w:p w14:paraId="64F365B0" w14:textId="3EF24EC8" w:rsidR="004276C4" w:rsidRPr="00CD5172" w:rsidRDefault="006B3C27" w:rsidP="00CD5172">
      <w:pPr>
        <w:jc w:val="both"/>
        <w:rPr>
          <w:rFonts w:asciiTheme="minorHAnsi" w:hAnsiTheme="minorHAnsi" w:cstheme="minorHAnsi"/>
        </w:rPr>
        <w:sectPr w:rsidR="004276C4" w:rsidRPr="00CD5172" w:rsidSect="0022280F">
          <w:pgSz w:w="16838" w:h="11906" w:orient="landscape"/>
          <w:pgMar w:top="1440" w:right="1440" w:bottom="1440" w:left="1440" w:header="708" w:footer="708" w:gutter="0"/>
          <w:cols w:space="708"/>
          <w:docGrid w:linePitch="360"/>
        </w:sectPr>
      </w:pPr>
      <w:r w:rsidRPr="00CD5172">
        <w:rPr>
          <w:rFonts w:asciiTheme="minorHAnsi" w:hAnsiTheme="minorHAnsi" w:cstheme="minorHAnsi"/>
        </w:rPr>
        <w:fldChar w:fldCharType="end"/>
      </w:r>
    </w:p>
    <w:p w14:paraId="3B98C0DC" w14:textId="77777777" w:rsidR="00331ADD" w:rsidRPr="00CD5172" w:rsidRDefault="00331ADD" w:rsidP="00895B55">
      <w:pPr>
        <w:jc w:val="both"/>
        <w:rPr>
          <w:rFonts w:asciiTheme="minorHAnsi" w:hAnsiTheme="minorHAnsi" w:cstheme="minorHAnsi"/>
        </w:rPr>
      </w:pPr>
    </w:p>
    <w:sectPr w:rsidR="00331ADD" w:rsidRPr="00CD5172" w:rsidSect="004276C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4218B" w16cex:dateUtc="2021-12-27T16:27:00Z"/>
  <w16cex:commentExtensible w16cex:durableId="257425BD" w16cex:dateUtc="2021-12-27T16:45:00Z"/>
  <w16cex:commentExtensible w16cex:durableId="2574260B" w16cex:dateUtc="2021-12-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1183E0" w16cid:durableId="2574218B"/>
  <w16cid:commentId w16cid:paraId="440E51AB" w16cid:durableId="257425BD"/>
  <w16cid:commentId w16cid:paraId="553EA7BA" w16cid:durableId="257426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BBE67" w14:textId="77777777" w:rsidR="0088453B" w:rsidRDefault="0088453B" w:rsidP="00AB7873">
      <w:r>
        <w:separator/>
      </w:r>
    </w:p>
  </w:endnote>
  <w:endnote w:type="continuationSeparator" w:id="0">
    <w:p w14:paraId="02289F6E" w14:textId="77777777" w:rsidR="0088453B" w:rsidRDefault="0088453B" w:rsidP="00AB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EE7A" w14:textId="77777777" w:rsidR="00AA02E3" w:rsidRDefault="00AA02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6661" w14:textId="77777777" w:rsidR="00AA02E3" w:rsidRDefault="00AA02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C9C4" w14:textId="77777777" w:rsidR="00AA02E3" w:rsidRDefault="00AA02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A2F63" w14:textId="77777777" w:rsidR="0088453B" w:rsidRDefault="0088453B" w:rsidP="00AB7873">
      <w:r>
        <w:separator/>
      </w:r>
    </w:p>
  </w:footnote>
  <w:footnote w:type="continuationSeparator" w:id="0">
    <w:p w14:paraId="51CBBA7D" w14:textId="77777777" w:rsidR="0088453B" w:rsidRDefault="0088453B" w:rsidP="00AB78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E58C1" w14:textId="77777777" w:rsidR="00AA02E3" w:rsidRDefault="00AA02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8BC7" w14:textId="77777777" w:rsidR="00AA02E3" w:rsidRDefault="00AA02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6297" w14:textId="77777777" w:rsidR="00AA02E3" w:rsidRDefault="00AA02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013"/>
    <w:multiLevelType w:val="hybridMultilevel"/>
    <w:tmpl w:val="93B0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D159D0"/>
    <w:multiLevelType w:val="hybridMultilevel"/>
    <w:tmpl w:val="CC5ED822"/>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9F616B"/>
    <w:multiLevelType w:val="hybridMultilevel"/>
    <w:tmpl w:val="48F8C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150D83"/>
    <w:multiLevelType w:val="hybridMultilevel"/>
    <w:tmpl w:val="FF029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9331E21"/>
    <w:multiLevelType w:val="hybridMultilevel"/>
    <w:tmpl w:val="28CA29F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41718"/>
    <w:multiLevelType w:val="hybridMultilevel"/>
    <w:tmpl w:val="3AD2D71E"/>
    <w:lvl w:ilvl="0" w:tplc="1C09000F">
      <w:start w:val="1"/>
      <w:numFmt w:val="decimal"/>
      <w:lvlText w:val="%1."/>
      <w:lvlJc w:val="left"/>
      <w:pPr>
        <w:ind w:left="1069" w:hanging="360"/>
      </w:pPr>
    </w:lvl>
    <w:lvl w:ilvl="1" w:tplc="1C090019">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6" w15:restartNumberingAfterBreak="0">
    <w:nsid w:val="168C3B5F"/>
    <w:multiLevelType w:val="hybridMultilevel"/>
    <w:tmpl w:val="FBFE03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933888"/>
    <w:multiLevelType w:val="hybridMultilevel"/>
    <w:tmpl w:val="DD6AA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815C8"/>
    <w:multiLevelType w:val="hybridMultilevel"/>
    <w:tmpl w:val="82CE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B7400"/>
    <w:multiLevelType w:val="hybridMultilevel"/>
    <w:tmpl w:val="623AE0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54E13"/>
    <w:multiLevelType w:val="hybridMultilevel"/>
    <w:tmpl w:val="D278F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101392E"/>
    <w:multiLevelType w:val="hybridMultilevel"/>
    <w:tmpl w:val="50EA96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91347BC"/>
    <w:multiLevelType w:val="hybridMultilevel"/>
    <w:tmpl w:val="6522581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A21495D"/>
    <w:multiLevelType w:val="hybridMultilevel"/>
    <w:tmpl w:val="7B3E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30D46"/>
    <w:multiLevelType w:val="hybridMultilevel"/>
    <w:tmpl w:val="DFDA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051BD"/>
    <w:multiLevelType w:val="hybridMultilevel"/>
    <w:tmpl w:val="EEF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519D5"/>
    <w:multiLevelType w:val="hybridMultilevel"/>
    <w:tmpl w:val="5B8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47963"/>
    <w:multiLevelType w:val="hybridMultilevel"/>
    <w:tmpl w:val="12A2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C55F2"/>
    <w:multiLevelType w:val="hybridMultilevel"/>
    <w:tmpl w:val="EB70C57E"/>
    <w:lvl w:ilvl="0" w:tplc="D76CD20E">
      <w:start w:val="1"/>
      <w:numFmt w:val="decimal"/>
      <w:lvlText w:val="(%1)"/>
      <w:lvlJc w:val="left"/>
      <w:pPr>
        <w:ind w:left="720" w:hanging="360"/>
      </w:pPr>
      <w:rPr>
        <w:rFonts w:ascii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7030F1"/>
    <w:multiLevelType w:val="hybridMultilevel"/>
    <w:tmpl w:val="AFF2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12F20"/>
    <w:multiLevelType w:val="hybridMultilevel"/>
    <w:tmpl w:val="43E6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D7114"/>
    <w:multiLevelType w:val="hybridMultilevel"/>
    <w:tmpl w:val="0AEC48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2"/>
  </w:num>
  <w:num w:numId="5">
    <w:abstractNumId w:val="3"/>
  </w:num>
  <w:num w:numId="6">
    <w:abstractNumId w:val="10"/>
  </w:num>
  <w:num w:numId="7">
    <w:abstractNumId w:val="0"/>
  </w:num>
  <w:num w:numId="8">
    <w:abstractNumId w:val="2"/>
  </w:num>
  <w:num w:numId="9">
    <w:abstractNumId w:val="6"/>
  </w:num>
  <w:num w:numId="10">
    <w:abstractNumId w:val="21"/>
  </w:num>
  <w:num w:numId="11">
    <w:abstractNumId w:val="11"/>
  </w:num>
  <w:num w:numId="12">
    <w:abstractNumId w:val="1"/>
  </w:num>
  <w:num w:numId="13">
    <w:abstractNumId w:val="4"/>
  </w:num>
  <w:num w:numId="14">
    <w:abstractNumId w:val="9"/>
  </w:num>
  <w:num w:numId="15">
    <w:abstractNumId w:val="20"/>
  </w:num>
  <w:num w:numId="16">
    <w:abstractNumId w:val="19"/>
  </w:num>
  <w:num w:numId="17">
    <w:abstractNumId w:val="8"/>
  </w:num>
  <w:num w:numId="18">
    <w:abstractNumId w:val="14"/>
  </w:num>
  <w:num w:numId="19">
    <w:abstractNumId w:val="17"/>
  </w:num>
  <w:num w:numId="20">
    <w:abstractNumId w:val="13"/>
  </w:num>
  <w:num w:numId="21">
    <w:abstractNumId w:val="18"/>
  </w:num>
  <w:num w:numId="22">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celyn Moyes">
    <w15:presenceInfo w15:providerId="AD" w15:userId="S-1-5-21-1960408961-1708537768-682003330-14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US" w:vendorID="64" w:dllVersion="6" w:nlCheck="1" w:checkStyle="0"/>
  <w:activeWritingStyle w:appName="MSWord" w:lang="en-ZA" w:vendorID="64" w:dllVersion="6"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Z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73"/>
    <w:rsid w:val="000134F5"/>
    <w:rsid w:val="00016E9C"/>
    <w:rsid w:val="00040EAA"/>
    <w:rsid w:val="000472C5"/>
    <w:rsid w:val="000545D6"/>
    <w:rsid w:val="00055F63"/>
    <w:rsid w:val="000829AD"/>
    <w:rsid w:val="00084106"/>
    <w:rsid w:val="00087602"/>
    <w:rsid w:val="000A05AD"/>
    <w:rsid w:val="000A5B17"/>
    <w:rsid w:val="000B4211"/>
    <w:rsid w:val="000B4B6B"/>
    <w:rsid w:val="000C20A3"/>
    <w:rsid w:val="000C6A06"/>
    <w:rsid w:val="001067E7"/>
    <w:rsid w:val="00140574"/>
    <w:rsid w:val="00143E66"/>
    <w:rsid w:val="00164528"/>
    <w:rsid w:val="001706AF"/>
    <w:rsid w:val="00176520"/>
    <w:rsid w:val="0019236C"/>
    <w:rsid w:val="001A26B0"/>
    <w:rsid w:val="001B63AE"/>
    <w:rsid w:val="001E0503"/>
    <w:rsid w:val="001F54C4"/>
    <w:rsid w:val="00203B88"/>
    <w:rsid w:val="002126EE"/>
    <w:rsid w:val="0022092F"/>
    <w:rsid w:val="0022280F"/>
    <w:rsid w:val="00223076"/>
    <w:rsid w:val="002311BD"/>
    <w:rsid w:val="00237A0D"/>
    <w:rsid w:val="00237B14"/>
    <w:rsid w:val="00254EFF"/>
    <w:rsid w:val="002605A7"/>
    <w:rsid w:val="00283123"/>
    <w:rsid w:val="002B0B20"/>
    <w:rsid w:val="002C24BD"/>
    <w:rsid w:val="002F6909"/>
    <w:rsid w:val="0030323C"/>
    <w:rsid w:val="003143D8"/>
    <w:rsid w:val="0031564B"/>
    <w:rsid w:val="00323FE4"/>
    <w:rsid w:val="00331ADD"/>
    <w:rsid w:val="00333BC8"/>
    <w:rsid w:val="00340DA0"/>
    <w:rsid w:val="00360EAA"/>
    <w:rsid w:val="00390479"/>
    <w:rsid w:val="003953DC"/>
    <w:rsid w:val="0039687E"/>
    <w:rsid w:val="003A2550"/>
    <w:rsid w:val="003A4882"/>
    <w:rsid w:val="003B36E6"/>
    <w:rsid w:val="003C42E6"/>
    <w:rsid w:val="003F08AD"/>
    <w:rsid w:val="00405335"/>
    <w:rsid w:val="004276C4"/>
    <w:rsid w:val="00463F47"/>
    <w:rsid w:val="00466519"/>
    <w:rsid w:val="00471AB3"/>
    <w:rsid w:val="004B6644"/>
    <w:rsid w:val="004C5751"/>
    <w:rsid w:val="004F1CB8"/>
    <w:rsid w:val="004F267C"/>
    <w:rsid w:val="00527590"/>
    <w:rsid w:val="005540EB"/>
    <w:rsid w:val="005926B6"/>
    <w:rsid w:val="00593621"/>
    <w:rsid w:val="005A5949"/>
    <w:rsid w:val="005B1CD3"/>
    <w:rsid w:val="005D168A"/>
    <w:rsid w:val="005E5150"/>
    <w:rsid w:val="005F7BCA"/>
    <w:rsid w:val="00622A95"/>
    <w:rsid w:val="00624D3B"/>
    <w:rsid w:val="00632C02"/>
    <w:rsid w:val="00636DC4"/>
    <w:rsid w:val="006470D2"/>
    <w:rsid w:val="00660BC8"/>
    <w:rsid w:val="00676EC0"/>
    <w:rsid w:val="006B3C27"/>
    <w:rsid w:val="006C4A0F"/>
    <w:rsid w:val="006F3313"/>
    <w:rsid w:val="006F4B57"/>
    <w:rsid w:val="006F5D9C"/>
    <w:rsid w:val="00702DBB"/>
    <w:rsid w:val="0071294B"/>
    <w:rsid w:val="00713609"/>
    <w:rsid w:val="00717A70"/>
    <w:rsid w:val="00730509"/>
    <w:rsid w:val="00742357"/>
    <w:rsid w:val="00745F40"/>
    <w:rsid w:val="00745F7C"/>
    <w:rsid w:val="00754D28"/>
    <w:rsid w:val="00764D2D"/>
    <w:rsid w:val="00766334"/>
    <w:rsid w:val="00770C99"/>
    <w:rsid w:val="0077538B"/>
    <w:rsid w:val="00791CBA"/>
    <w:rsid w:val="007A6E87"/>
    <w:rsid w:val="007C1AE9"/>
    <w:rsid w:val="007E1445"/>
    <w:rsid w:val="007E3D12"/>
    <w:rsid w:val="007F76CD"/>
    <w:rsid w:val="00820976"/>
    <w:rsid w:val="00831E5F"/>
    <w:rsid w:val="00851B8D"/>
    <w:rsid w:val="00857119"/>
    <w:rsid w:val="00874277"/>
    <w:rsid w:val="008746B5"/>
    <w:rsid w:val="00881206"/>
    <w:rsid w:val="0088453B"/>
    <w:rsid w:val="0089557D"/>
    <w:rsid w:val="00895B55"/>
    <w:rsid w:val="008A0B90"/>
    <w:rsid w:val="008B3343"/>
    <w:rsid w:val="008C0887"/>
    <w:rsid w:val="008C3B29"/>
    <w:rsid w:val="008C4227"/>
    <w:rsid w:val="008C43F2"/>
    <w:rsid w:val="008D1275"/>
    <w:rsid w:val="008E31C5"/>
    <w:rsid w:val="008F2CEA"/>
    <w:rsid w:val="008F3375"/>
    <w:rsid w:val="00943C70"/>
    <w:rsid w:val="00971953"/>
    <w:rsid w:val="00976A10"/>
    <w:rsid w:val="00982720"/>
    <w:rsid w:val="00991EE3"/>
    <w:rsid w:val="0099339F"/>
    <w:rsid w:val="009D2EC0"/>
    <w:rsid w:val="009E2492"/>
    <w:rsid w:val="009E599B"/>
    <w:rsid w:val="009F3D0A"/>
    <w:rsid w:val="00A25AF8"/>
    <w:rsid w:val="00A339A5"/>
    <w:rsid w:val="00A341A4"/>
    <w:rsid w:val="00A403FA"/>
    <w:rsid w:val="00A7751A"/>
    <w:rsid w:val="00A839E2"/>
    <w:rsid w:val="00A87E6C"/>
    <w:rsid w:val="00AA02E3"/>
    <w:rsid w:val="00AB7873"/>
    <w:rsid w:val="00AC4BB6"/>
    <w:rsid w:val="00AD26BC"/>
    <w:rsid w:val="00AD2D28"/>
    <w:rsid w:val="00AD39C3"/>
    <w:rsid w:val="00AD7EF3"/>
    <w:rsid w:val="00AE45EA"/>
    <w:rsid w:val="00AF5716"/>
    <w:rsid w:val="00AF7BAF"/>
    <w:rsid w:val="00B20EB9"/>
    <w:rsid w:val="00B238B0"/>
    <w:rsid w:val="00B47A63"/>
    <w:rsid w:val="00B60060"/>
    <w:rsid w:val="00B753F3"/>
    <w:rsid w:val="00B852C5"/>
    <w:rsid w:val="00B96E2E"/>
    <w:rsid w:val="00BB180F"/>
    <w:rsid w:val="00BC0FB7"/>
    <w:rsid w:val="00BC133C"/>
    <w:rsid w:val="00BF3716"/>
    <w:rsid w:val="00BF572D"/>
    <w:rsid w:val="00C214DC"/>
    <w:rsid w:val="00C247CB"/>
    <w:rsid w:val="00C27BFB"/>
    <w:rsid w:val="00C32356"/>
    <w:rsid w:val="00C424C1"/>
    <w:rsid w:val="00C50EEE"/>
    <w:rsid w:val="00C56B3A"/>
    <w:rsid w:val="00C66038"/>
    <w:rsid w:val="00C72AB4"/>
    <w:rsid w:val="00C80D2B"/>
    <w:rsid w:val="00CB1458"/>
    <w:rsid w:val="00CB6DDD"/>
    <w:rsid w:val="00CD5172"/>
    <w:rsid w:val="00CD5F0A"/>
    <w:rsid w:val="00CF45D6"/>
    <w:rsid w:val="00D11DF3"/>
    <w:rsid w:val="00D2761E"/>
    <w:rsid w:val="00D43C5C"/>
    <w:rsid w:val="00D45AAC"/>
    <w:rsid w:val="00D45D95"/>
    <w:rsid w:val="00D53790"/>
    <w:rsid w:val="00D664FF"/>
    <w:rsid w:val="00D757F7"/>
    <w:rsid w:val="00D84570"/>
    <w:rsid w:val="00D91078"/>
    <w:rsid w:val="00DA7D27"/>
    <w:rsid w:val="00DD66E2"/>
    <w:rsid w:val="00DE0115"/>
    <w:rsid w:val="00DE0D4E"/>
    <w:rsid w:val="00DF27ED"/>
    <w:rsid w:val="00E06428"/>
    <w:rsid w:val="00E120FD"/>
    <w:rsid w:val="00E24B96"/>
    <w:rsid w:val="00E31EBD"/>
    <w:rsid w:val="00E56B17"/>
    <w:rsid w:val="00E64488"/>
    <w:rsid w:val="00E71501"/>
    <w:rsid w:val="00E71F9F"/>
    <w:rsid w:val="00ED301F"/>
    <w:rsid w:val="00EF5F18"/>
    <w:rsid w:val="00F005FD"/>
    <w:rsid w:val="00F144FC"/>
    <w:rsid w:val="00F15DEC"/>
    <w:rsid w:val="00F2020E"/>
    <w:rsid w:val="00F637C7"/>
    <w:rsid w:val="00F642D5"/>
    <w:rsid w:val="00F6494A"/>
    <w:rsid w:val="00F704C3"/>
    <w:rsid w:val="00F7053D"/>
    <w:rsid w:val="00F8440D"/>
    <w:rsid w:val="00FC70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FB305"/>
  <w15:chartTrackingRefBased/>
  <w15:docId w15:val="{723F0728-25BC-4882-A041-13C1ADA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7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276C4"/>
    <w:pPr>
      <w:keepNext/>
      <w:jc w:val="both"/>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6C4"/>
    <w:rPr>
      <w:rFonts w:ascii="Times New Roman" w:eastAsia="Times New Roman" w:hAnsi="Times New Roman" w:cs="Times New Roman"/>
      <w:b/>
      <w:bCs/>
      <w:sz w:val="24"/>
      <w:szCs w:val="24"/>
      <w:lang w:val="en-GB"/>
    </w:rPr>
  </w:style>
  <w:style w:type="character" w:styleId="CommentReference">
    <w:name w:val="annotation reference"/>
    <w:uiPriority w:val="99"/>
    <w:semiHidden/>
    <w:rsid w:val="00AB7873"/>
    <w:rPr>
      <w:sz w:val="16"/>
      <w:szCs w:val="16"/>
    </w:rPr>
  </w:style>
  <w:style w:type="paragraph" w:styleId="CommentText">
    <w:name w:val="annotation text"/>
    <w:basedOn w:val="Normal"/>
    <w:link w:val="CommentTextChar"/>
    <w:uiPriority w:val="99"/>
    <w:rsid w:val="00AB7873"/>
    <w:rPr>
      <w:sz w:val="20"/>
      <w:szCs w:val="20"/>
    </w:rPr>
  </w:style>
  <w:style w:type="character" w:customStyle="1" w:styleId="CommentTextChar">
    <w:name w:val="Comment Text Char"/>
    <w:basedOn w:val="DefaultParagraphFont"/>
    <w:link w:val="CommentText"/>
    <w:uiPriority w:val="99"/>
    <w:rsid w:val="00AB7873"/>
    <w:rPr>
      <w:rFonts w:ascii="Times New Roman" w:eastAsia="Times New Roman" w:hAnsi="Times New Roman" w:cs="Times New Roman"/>
      <w:sz w:val="20"/>
      <w:szCs w:val="20"/>
      <w:lang w:val="en-US"/>
    </w:rPr>
  </w:style>
  <w:style w:type="paragraph" w:styleId="ListParagraph">
    <w:name w:val="List Paragraph"/>
    <w:basedOn w:val="Normal"/>
    <w:qFormat/>
    <w:rsid w:val="00AB7873"/>
    <w:pPr>
      <w:spacing w:after="200" w:line="276" w:lineRule="auto"/>
      <w:ind w:left="720"/>
      <w:contextualSpacing/>
    </w:pPr>
    <w:rPr>
      <w:rFonts w:ascii="Calibri" w:hAnsi="Calibri"/>
      <w:sz w:val="22"/>
      <w:szCs w:val="22"/>
    </w:rPr>
  </w:style>
  <w:style w:type="character" w:styleId="Hyperlink">
    <w:name w:val="Hyperlink"/>
    <w:rsid w:val="00AB7873"/>
    <w:rPr>
      <w:color w:val="0000FF"/>
      <w:u w:val="single"/>
    </w:rPr>
  </w:style>
  <w:style w:type="paragraph" w:styleId="EndnoteText">
    <w:name w:val="endnote text"/>
    <w:basedOn w:val="Normal"/>
    <w:link w:val="EndnoteTextChar"/>
    <w:rsid w:val="00AB7873"/>
    <w:rPr>
      <w:sz w:val="20"/>
      <w:szCs w:val="20"/>
    </w:rPr>
  </w:style>
  <w:style w:type="character" w:customStyle="1" w:styleId="EndnoteTextChar">
    <w:name w:val="Endnote Text Char"/>
    <w:basedOn w:val="DefaultParagraphFont"/>
    <w:link w:val="EndnoteText"/>
    <w:rsid w:val="00AB7873"/>
    <w:rPr>
      <w:rFonts w:ascii="Times New Roman" w:eastAsia="Times New Roman" w:hAnsi="Times New Roman" w:cs="Times New Roman"/>
      <w:sz w:val="20"/>
      <w:szCs w:val="20"/>
      <w:lang w:val="en-US"/>
    </w:rPr>
  </w:style>
  <w:style w:type="character" w:styleId="EndnoteReference">
    <w:name w:val="endnote reference"/>
    <w:rsid w:val="00AB7873"/>
    <w:rPr>
      <w:vertAlign w:val="superscript"/>
    </w:rPr>
  </w:style>
  <w:style w:type="paragraph" w:styleId="BalloonText">
    <w:name w:val="Balloon Text"/>
    <w:basedOn w:val="Normal"/>
    <w:link w:val="BalloonTextChar"/>
    <w:semiHidden/>
    <w:unhideWhenUsed/>
    <w:rsid w:val="00AB78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73"/>
    <w:rPr>
      <w:rFonts w:ascii="Segoe UI" w:eastAsia="Times New Roman" w:hAnsi="Segoe UI" w:cs="Segoe UI"/>
      <w:sz w:val="18"/>
      <w:szCs w:val="18"/>
      <w:lang w:val="en-US"/>
    </w:rPr>
  </w:style>
  <w:style w:type="table" w:styleId="TableGrid">
    <w:name w:val="Table Grid"/>
    <w:basedOn w:val="TableNormal"/>
    <w:rsid w:val="007C1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6470D2"/>
    <w:rPr>
      <w:b/>
      <w:bCs/>
    </w:rPr>
  </w:style>
  <w:style w:type="character" w:customStyle="1" w:styleId="CommentSubjectChar">
    <w:name w:val="Comment Subject Char"/>
    <w:basedOn w:val="CommentTextChar"/>
    <w:link w:val="CommentSubject"/>
    <w:uiPriority w:val="99"/>
    <w:semiHidden/>
    <w:rsid w:val="006470D2"/>
    <w:rPr>
      <w:rFonts w:ascii="Times New Roman" w:eastAsia="Times New Roman" w:hAnsi="Times New Roman" w:cs="Times New Roman"/>
      <w:b/>
      <w:bCs/>
      <w:sz w:val="20"/>
      <w:szCs w:val="20"/>
      <w:lang w:val="en-US"/>
    </w:rPr>
  </w:style>
  <w:style w:type="paragraph" w:styleId="FootnoteText">
    <w:name w:val="footnote text"/>
    <w:basedOn w:val="Normal"/>
    <w:link w:val="FootnoteTextChar"/>
    <w:semiHidden/>
    <w:rsid w:val="004276C4"/>
    <w:rPr>
      <w:sz w:val="20"/>
      <w:szCs w:val="20"/>
    </w:rPr>
  </w:style>
  <w:style w:type="character" w:customStyle="1" w:styleId="FootnoteTextChar">
    <w:name w:val="Footnote Text Char"/>
    <w:basedOn w:val="DefaultParagraphFont"/>
    <w:link w:val="FootnoteText"/>
    <w:semiHidden/>
    <w:rsid w:val="004276C4"/>
    <w:rPr>
      <w:rFonts w:ascii="Times New Roman" w:eastAsia="Times New Roman" w:hAnsi="Times New Roman" w:cs="Times New Roman"/>
      <w:sz w:val="20"/>
      <w:szCs w:val="20"/>
      <w:lang w:val="en-US"/>
    </w:rPr>
  </w:style>
  <w:style w:type="paragraph" w:styleId="Header">
    <w:name w:val="header"/>
    <w:basedOn w:val="Normal"/>
    <w:link w:val="HeaderChar"/>
    <w:rsid w:val="004276C4"/>
    <w:pPr>
      <w:tabs>
        <w:tab w:val="center" w:pos="4680"/>
        <w:tab w:val="right" w:pos="9360"/>
      </w:tabs>
    </w:pPr>
  </w:style>
  <w:style w:type="character" w:customStyle="1" w:styleId="HeaderChar">
    <w:name w:val="Header Char"/>
    <w:basedOn w:val="DefaultParagraphFont"/>
    <w:link w:val="Header"/>
    <w:rsid w:val="004276C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276C4"/>
    <w:pPr>
      <w:tabs>
        <w:tab w:val="center" w:pos="4680"/>
        <w:tab w:val="right" w:pos="9360"/>
      </w:tabs>
    </w:pPr>
  </w:style>
  <w:style w:type="character" w:customStyle="1" w:styleId="FooterChar">
    <w:name w:val="Footer Char"/>
    <w:basedOn w:val="DefaultParagraphFont"/>
    <w:link w:val="Footer"/>
    <w:uiPriority w:val="99"/>
    <w:rsid w:val="004276C4"/>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A02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958">
      <w:bodyDiv w:val="1"/>
      <w:marLeft w:val="0"/>
      <w:marRight w:val="0"/>
      <w:marTop w:val="0"/>
      <w:marBottom w:val="0"/>
      <w:divBdr>
        <w:top w:val="none" w:sz="0" w:space="0" w:color="auto"/>
        <w:left w:val="none" w:sz="0" w:space="0" w:color="auto"/>
        <w:bottom w:val="none" w:sz="0" w:space="0" w:color="auto"/>
        <w:right w:val="none" w:sz="0" w:space="0" w:color="auto"/>
      </w:divBdr>
    </w:div>
    <w:div w:id="1409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7BD5-BA08-4085-A7CA-6C279CCC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11250</Words>
  <Characters>64129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Moyes</dc:creator>
  <cp:keywords/>
  <dc:description/>
  <cp:lastModifiedBy>Jocelyn Moyes</cp:lastModifiedBy>
  <cp:revision>2</cp:revision>
  <cp:lastPrinted>2019-11-05T04:47:00Z</cp:lastPrinted>
  <dcterms:created xsi:type="dcterms:W3CDTF">2022-06-21T05:53:00Z</dcterms:created>
  <dcterms:modified xsi:type="dcterms:W3CDTF">2022-06-21T05:53:00Z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0c4b2431-d5c8-3c64-bb58-63c8562b64d5</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7b94a7b8-f06c-4dfe-bdcc-9b548fd58c31_Enabled">
    <vt:lpwstr>true</vt:lpwstr>
  </property>
  <property fmtid="{D5CDD505-2E9C-101B-9397-08002B2CF9AE}" pid="26" name="MSIP_Label_7b94a7b8-f06c-4dfe-bdcc-9b548fd58c31_SetDate">
    <vt:lpwstr>2021-12-27T16:49:07Z</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iteId">
    <vt:lpwstr>9ce70869-60db-44fd-abe8-d2767077fc8f</vt:lpwstr>
  </property>
  <property fmtid="{D5CDD505-2E9C-101B-9397-08002B2CF9AE}" pid="30" name="MSIP_Label_7b94a7b8-f06c-4dfe-bdcc-9b548fd58c31_ActionId">
    <vt:lpwstr>3562227d-0d73-4655-a203-54c4696593e4</vt:lpwstr>
  </property>
  <property fmtid="{D5CDD505-2E9C-101B-9397-08002B2CF9AE}" pid="31" name="MSIP_Label_7b94a7b8-f06c-4dfe-bdcc-9b548fd58c31_ContentBits">
    <vt:lpwstr>0</vt:lpwstr>
  </property>
</Properties>
</file>