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AF" w:rsidRDefault="00892C62" w:rsidP="00892C6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SUPPLEMENTARY </w:t>
      </w:r>
      <w:r w:rsidR="00DC15E1">
        <w:rPr>
          <w:rFonts w:ascii="Times New Roman" w:hAnsi="Times New Roman" w:cs="Times New Roman"/>
          <w:b/>
          <w:sz w:val="24"/>
          <w:szCs w:val="24"/>
        </w:rPr>
        <w:t>TEXT</w:t>
      </w:r>
    </w:p>
    <w:p w:rsidR="00892C62" w:rsidRPr="00787F3C" w:rsidRDefault="00892C62" w:rsidP="00892C62">
      <w:pPr>
        <w:spacing w:after="0" w:line="360" w:lineRule="auto"/>
        <w:rPr>
          <w:rFonts w:ascii="Times New Roman" w:hAnsi="Times New Roman" w:cs="Times New Roman"/>
          <w:b/>
          <w:sz w:val="24"/>
          <w:szCs w:val="24"/>
        </w:rPr>
      </w:pPr>
      <w:r w:rsidRPr="00B06067">
        <w:rPr>
          <w:rFonts w:ascii="Times New Roman" w:hAnsi="Times New Roman" w:cs="Times New Roman"/>
          <w:b/>
          <w:sz w:val="24"/>
          <w:szCs w:val="24"/>
        </w:rPr>
        <w:t xml:space="preserve">Derivation of neighbourhood-level social determinants of health </w:t>
      </w:r>
    </w:p>
    <w:p w:rsidR="00892C62" w:rsidRDefault="00892C62" w:rsidP="00892C62">
      <w:pPr>
        <w:spacing w:after="0" w:line="360" w:lineRule="auto"/>
        <w:rPr>
          <w:rFonts w:ascii="Times New Roman" w:hAnsi="Times New Roman" w:cs="Times New Roman"/>
          <w:sz w:val="24"/>
          <w:szCs w:val="24"/>
        </w:rPr>
      </w:pPr>
      <w:r w:rsidRPr="00B06067">
        <w:rPr>
          <w:rFonts w:ascii="Times New Roman" w:hAnsi="Times New Roman" w:cs="Times New Roman"/>
          <w:sz w:val="24"/>
          <w:szCs w:val="24"/>
        </w:rPr>
        <w:t xml:space="preserve">We analyzed associations between area-level social determinants of health and 30-day all-cause mortality among individuals hospitalized with influenza, respiratory syncytial virus (RSV) or </w:t>
      </w:r>
      <w:r>
        <w:rPr>
          <w:rFonts w:ascii="Times New Roman" w:hAnsi="Times New Roman" w:cs="Times New Roman"/>
          <w:sz w:val="24"/>
          <w:szCs w:val="24"/>
        </w:rPr>
        <w:t>COVID-19.  Three</w:t>
      </w:r>
      <w:r w:rsidRPr="00B06067">
        <w:rPr>
          <w:rFonts w:ascii="Times New Roman" w:hAnsi="Times New Roman" w:cs="Times New Roman"/>
          <w:sz w:val="24"/>
          <w:szCs w:val="24"/>
        </w:rPr>
        <w:t xml:space="preserve"> social determinants of health with known associations to access of health care and risk o</w:t>
      </w:r>
      <w:r>
        <w:rPr>
          <w:rFonts w:ascii="Times New Roman" w:hAnsi="Times New Roman" w:cs="Times New Roman"/>
          <w:sz w:val="24"/>
          <w:szCs w:val="24"/>
        </w:rPr>
        <w:t>f respiratory virus acquisition were analyzed,</w:t>
      </w:r>
      <w:r w:rsidRPr="00B06067">
        <w:rPr>
          <w:rFonts w:ascii="Times New Roman" w:hAnsi="Times New Roman" w:cs="Times New Roman"/>
          <w:sz w:val="24"/>
          <w:szCs w:val="24"/>
        </w:rPr>
        <w:t xml:space="preserve"> including</w:t>
      </w:r>
      <w:r>
        <w:rPr>
          <w:rFonts w:ascii="Times New Roman" w:hAnsi="Times New Roman" w:cs="Times New Roman"/>
          <w:sz w:val="24"/>
          <w:szCs w:val="24"/>
        </w:rPr>
        <w:t xml:space="preserve">: </w:t>
      </w:r>
      <w:r w:rsidRPr="00B06067">
        <w:rPr>
          <w:rFonts w:ascii="Times New Roman" w:hAnsi="Times New Roman" w:cs="Times New Roman"/>
          <w:sz w:val="24"/>
          <w:szCs w:val="24"/>
        </w:rPr>
        <w:t xml:space="preserve">income, household size, and </w:t>
      </w:r>
      <w:r w:rsidR="007C15BE">
        <w:rPr>
          <w:rFonts w:ascii="Times New Roman" w:hAnsi="Times New Roman" w:cs="Times New Roman"/>
          <w:sz w:val="24"/>
          <w:szCs w:val="24"/>
        </w:rPr>
        <w:t>percent</w:t>
      </w:r>
      <w:r w:rsidRPr="00B06067">
        <w:rPr>
          <w:rFonts w:ascii="Times New Roman" w:hAnsi="Times New Roman" w:cs="Times New Roman"/>
          <w:sz w:val="24"/>
          <w:szCs w:val="24"/>
        </w:rPr>
        <w:t xml:space="preserve"> racialized</w:t>
      </w:r>
      <w:r>
        <w:rPr>
          <w:rFonts w:ascii="Times New Roman" w:hAnsi="Times New Roman" w:cs="Times New Roman"/>
          <w:sz w:val="24"/>
          <w:szCs w:val="24"/>
        </w:rPr>
        <w:t xml:space="preserve">.  </w:t>
      </w:r>
      <w:r w:rsidRPr="00B06067">
        <w:rPr>
          <w:rFonts w:ascii="Times New Roman" w:hAnsi="Times New Roman" w:cs="Times New Roman"/>
          <w:sz w:val="24"/>
          <w:szCs w:val="24"/>
        </w:rPr>
        <w:t xml:space="preserve">We describe the data sources and </w:t>
      </w:r>
      <w:r>
        <w:rPr>
          <w:rFonts w:ascii="Times New Roman" w:hAnsi="Times New Roman" w:cs="Times New Roman"/>
          <w:sz w:val="24"/>
          <w:szCs w:val="24"/>
        </w:rPr>
        <w:t>derivation of</w:t>
      </w:r>
      <w:r w:rsidRPr="00B06067">
        <w:rPr>
          <w:rFonts w:ascii="Times New Roman" w:hAnsi="Times New Roman" w:cs="Times New Roman"/>
          <w:sz w:val="24"/>
          <w:szCs w:val="24"/>
        </w:rPr>
        <w:t xml:space="preserve"> </w:t>
      </w:r>
      <w:r>
        <w:rPr>
          <w:rFonts w:ascii="Times New Roman" w:hAnsi="Times New Roman" w:cs="Times New Roman"/>
          <w:sz w:val="24"/>
          <w:szCs w:val="24"/>
        </w:rPr>
        <w:t>area-level variables below:</w:t>
      </w:r>
    </w:p>
    <w:p w:rsidR="00892C62" w:rsidRPr="00787F3C" w:rsidRDefault="00892C62" w:rsidP="00892C62">
      <w:pPr>
        <w:spacing w:after="0" w:line="360" w:lineRule="auto"/>
        <w:rPr>
          <w:rFonts w:ascii="Times New Roman" w:hAnsi="Times New Roman" w:cs="Times New Roman"/>
          <w:sz w:val="24"/>
          <w:szCs w:val="24"/>
        </w:rPr>
      </w:pPr>
    </w:p>
    <w:p w:rsidR="00892C62" w:rsidRPr="00B06067" w:rsidRDefault="00892C62" w:rsidP="00892C62">
      <w:pPr>
        <w:pStyle w:val="ListParagraph"/>
        <w:numPr>
          <w:ilvl w:val="0"/>
          <w:numId w:val="1"/>
        </w:numPr>
        <w:spacing w:line="360" w:lineRule="auto"/>
        <w:rPr>
          <w:rFonts w:ascii="Times New Roman" w:hAnsi="Times New Roman" w:cs="Times New Roman"/>
          <w:bCs/>
          <w:i/>
          <w:sz w:val="24"/>
          <w:szCs w:val="24"/>
        </w:rPr>
      </w:pPr>
      <w:r w:rsidRPr="00B06067">
        <w:rPr>
          <w:rFonts w:ascii="Times New Roman" w:hAnsi="Times New Roman" w:cs="Times New Roman"/>
          <w:bCs/>
          <w:i/>
          <w:sz w:val="24"/>
          <w:szCs w:val="24"/>
        </w:rPr>
        <w:t>Income quintile:</w:t>
      </w:r>
    </w:p>
    <w:p w:rsidR="00892C62" w:rsidRPr="00DD290B" w:rsidRDefault="00892C62" w:rsidP="00892C62">
      <w:pPr>
        <w:spacing w:line="360" w:lineRule="auto"/>
        <w:ind w:left="720"/>
        <w:rPr>
          <w:rFonts w:ascii="Times New Roman" w:hAnsi="Times New Roman" w:cs="Times New Roman"/>
          <w:bCs/>
          <w:sz w:val="24"/>
          <w:szCs w:val="24"/>
        </w:rPr>
      </w:pPr>
      <w:r w:rsidRPr="00B06067">
        <w:rPr>
          <w:rFonts w:ascii="Times New Roman" w:hAnsi="Times New Roman" w:cs="Times New Roman"/>
          <w:bCs/>
          <w:sz w:val="24"/>
          <w:szCs w:val="24"/>
        </w:rPr>
        <w:t>To derive neighbourhood income quintiles, we used data from the 2016 Canadian census aggregated at the dissemination area (DA) level – the smallest geographic unit at which census data are collected</w:t>
      </w:r>
      <w:r w:rsidR="00856A34">
        <w:rPr>
          <w:rFonts w:ascii="Times New Roman" w:hAnsi="Times New Roman" w:cs="Times New Roman"/>
          <w:bCs/>
          <w:sz w:val="24"/>
          <w:szCs w:val="24"/>
        </w:rPr>
        <w:t>.</w:t>
      </w:r>
      <w:r>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{"citationItems":[{"id":"ITEM-1","itemData":{"URL":"https://www12.statcan.gc.ca/census-recensement/2016/ref/dict/geo021-eng.cfm","accessed":{"date-parts":[["2022","1","28"]]},"author":[{"dropping-particle":"","family":"Statistics Canada","given":"","non-dropping-particle":"","parse-names":false,"suffix":""}],"container-title":"Dictionary, Census of Population, 2016","id":"ITEM-1","issued":{"date-parts":[["2016","11","16"]]},"title":"Dissemination area (DA)","type":"webpage"},"uris":["http://www.mendeley.com/documents/?uuid=474d02a5-3348-3868-a515-84d542d221d4"]}],"mendeley":{"formattedCitation":"&lt;sup&gt;1&lt;/sup&gt;","plainTextFormattedCitation":"1","previouslyFormattedCitation":"[1]"},"properties":{"noteIndex":0},"schema":"https://github.com/citation-style-language/schema/raw/master/csl-citation.json"}</w:instrText>
      </w:r>
      <w:r>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1</w:t>
      </w:r>
      <w:r>
        <w:rPr>
          <w:rFonts w:ascii="Times New Roman" w:hAnsi="Times New Roman" w:cs="Times New Roman"/>
          <w:bCs/>
          <w:sz w:val="24"/>
          <w:szCs w:val="24"/>
        </w:rPr>
        <w:fldChar w:fldCharType="end"/>
      </w:r>
      <w:r w:rsidRPr="00B06067">
        <w:rPr>
          <w:rFonts w:ascii="Times New Roman" w:hAnsi="Times New Roman" w:cs="Times New Roman"/>
          <w:bCs/>
          <w:sz w:val="24"/>
          <w:szCs w:val="24"/>
        </w:rPr>
        <w:t xml:space="preserve">  </w:t>
      </w:r>
      <w:r>
        <w:rPr>
          <w:rFonts w:ascii="Times New Roman" w:hAnsi="Times New Roman" w:cs="Times New Roman"/>
          <w:bCs/>
          <w:sz w:val="24"/>
          <w:szCs w:val="24"/>
        </w:rPr>
        <w:t>DAs were ranked into quintiles according to their total 2016 income (be</w:t>
      </w:r>
      <w:r w:rsidR="00856A34">
        <w:rPr>
          <w:rFonts w:ascii="Times New Roman" w:hAnsi="Times New Roman" w:cs="Times New Roman"/>
          <w:bCs/>
          <w:sz w:val="24"/>
          <w:szCs w:val="24"/>
        </w:rPr>
        <w:t>fore tax) per person equivalent</w:t>
      </w:r>
      <w:r>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{"citationItems":[{"id":"ITEM-1","itemData":{"URL":"https://www12.statcan.gc.ca/census-recensement/2016/ref/dict/pop123-eng.cfm","accessed":{"date-parts":[["2022","1","28"]]},"author":[{"dropping-particle":"","family":"Statistics Canada","given":"","non-dropping-particle":"","parse-names":false,"suffix":""}],"container-title":"Dictionary, Census of Population, 2016","id":"ITEM-1","issued":{"date-parts":[["2017","9","13"]]},"title":"Total income","type":"webpage"},"uris":["http://www.mendeley.com/documents/?uuid=596c7c5b-c2fe-3300-81a6-6e4b32d7bd51"]}],"mendeley":{"formattedCitation":"&lt;sup&gt;2&lt;/sup&gt;","plainTextFormattedCitation":"2","previouslyFormattedCitation":"[2]"},"properties":{"noteIndex":0},"schema":"https://github.com/citation-style-language/schema/raw/master/csl-citation.json"}</w:instrText>
      </w:r>
      <w:r>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relation to other DAs in the same census metropolitan area or census agglomeration unit (i.e. DAs in quintile 1 are among 20% of DAs with the lowest income in their city; DAs in quintile 5 are among 20% of DAS with the highest income in their city)</w:t>
      </w:r>
      <w:r w:rsidRPr="00B06067">
        <w:rPr>
          <w:rFonts w:ascii="Times New Roman" w:hAnsi="Times New Roman" w:cs="Times New Roman"/>
          <w:bCs/>
          <w:sz w:val="24"/>
          <w:szCs w:val="24"/>
        </w:rPr>
        <w:t xml:space="preserve">.  </w:t>
      </w:r>
      <w:r>
        <w:rPr>
          <w:rFonts w:ascii="Times New Roman" w:hAnsi="Times New Roman" w:cs="Times New Roman"/>
          <w:bCs/>
          <w:sz w:val="24"/>
          <w:szCs w:val="24"/>
        </w:rPr>
        <w:t>Quintiles were estimated per census metropolitan area or census agglomeration unit to adjust for variability in cost of living across Ontario. If a DA was missing median income, neighbouring</w:t>
      </w:r>
      <w:bookmarkStart w:id="0" w:name="_GoBack"/>
      <w:bookmarkEnd w:id="0"/>
      <w:r>
        <w:rPr>
          <w:rFonts w:ascii="Times New Roman" w:hAnsi="Times New Roman" w:cs="Times New Roman"/>
          <w:bCs/>
          <w:sz w:val="24"/>
          <w:szCs w:val="24"/>
        </w:rPr>
        <w:t xml:space="preserve"> DAs were used to estimate median income and calculate the income per person equivalent. </w:t>
      </w:r>
      <w:r w:rsidRPr="00B06067">
        <w:rPr>
          <w:rFonts w:ascii="Times New Roman" w:hAnsi="Times New Roman" w:cs="Times New Roman"/>
          <w:bCs/>
          <w:sz w:val="24"/>
          <w:szCs w:val="24"/>
        </w:rPr>
        <w:t xml:space="preserve">Patients were assigned neighbourhood income quintiles according to their </w:t>
      </w:r>
      <w:r>
        <w:rPr>
          <w:rFonts w:ascii="Times New Roman" w:hAnsi="Times New Roman" w:cs="Times New Roman"/>
          <w:bCs/>
          <w:sz w:val="24"/>
          <w:szCs w:val="24"/>
        </w:rPr>
        <w:t>postal codes</w:t>
      </w:r>
      <w:r w:rsidRPr="00B06067">
        <w:rPr>
          <w:rFonts w:ascii="Times New Roman" w:hAnsi="Times New Roman" w:cs="Times New Roman"/>
          <w:bCs/>
          <w:sz w:val="24"/>
          <w:szCs w:val="24"/>
        </w:rPr>
        <w:t xml:space="preserve"> in the regis</w:t>
      </w:r>
      <w:r w:rsidR="00856A34">
        <w:rPr>
          <w:rFonts w:ascii="Times New Roman" w:hAnsi="Times New Roman" w:cs="Times New Roman"/>
          <w:bCs/>
          <w:sz w:val="24"/>
          <w:szCs w:val="24"/>
        </w:rPr>
        <w:t xml:space="preserve">tered person’s database (RPDB). </w:t>
      </w:r>
    </w:p>
    <w:p w:rsidR="00892C62" w:rsidRPr="00B06067" w:rsidRDefault="00892C62" w:rsidP="00892C62">
      <w:pPr>
        <w:pStyle w:val="ListParagraph"/>
        <w:numPr>
          <w:ilvl w:val="0"/>
          <w:numId w:val="1"/>
        </w:numPr>
        <w:spacing w:line="360" w:lineRule="auto"/>
        <w:rPr>
          <w:rFonts w:ascii="Times New Roman" w:hAnsi="Times New Roman" w:cs="Times New Roman"/>
          <w:bCs/>
          <w:i/>
          <w:sz w:val="24"/>
          <w:szCs w:val="24"/>
        </w:rPr>
      </w:pPr>
      <w:r w:rsidRPr="00B06067">
        <w:rPr>
          <w:rFonts w:ascii="Times New Roman" w:hAnsi="Times New Roman" w:cs="Times New Roman"/>
          <w:bCs/>
          <w:i/>
          <w:sz w:val="24"/>
          <w:szCs w:val="24"/>
        </w:rPr>
        <w:t>Household size quintile:</w:t>
      </w:r>
    </w:p>
    <w:p w:rsidR="00892C62" w:rsidRPr="00B06067" w:rsidRDefault="00892C62" w:rsidP="00892C62">
      <w:pPr>
        <w:spacing w:line="360" w:lineRule="auto"/>
        <w:ind w:left="720"/>
        <w:rPr>
          <w:rFonts w:ascii="Times New Roman" w:hAnsi="Times New Roman" w:cs="Times New Roman"/>
          <w:bCs/>
          <w:sz w:val="24"/>
          <w:szCs w:val="24"/>
        </w:rPr>
      </w:pPr>
      <w:r w:rsidRPr="00B06067">
        <w:rPr>
          <w:rFonts w:ascii="Times New Roman" w:hAnsi="Times New Roman" w:cs="Times New Roman"/>
          <w:bCs/>
          <w:sz w:val="24"/>
          <w:szCs w:val="24"/>
        </w:rPr>
        <w:t>To derive average household size quintiles, we used data from the 2016 Canadian census aggregated by DA.  DAs were ranked into quintiles according to the average number of people per dwelling per DA (i.e.</w:t>
      </w:r>
      <w:r>
        <w:rPr>
          <w:rFonts w:ascii="Times New Roman" w:hAnsi="Times New Roman" w:cs="Times New Roman"/>
          <w:bCs/>
          <w:sz w:val="24"/>
          <w:szCs w:val="24"/>
        </w:rPr>
        <w:t xml:space="preserve"> quintile</w:t>
      </w:r>
      <w:r w:rsidRPr="00B06067">
        <w:rPr>
          <w:rFonts w:ascii="Times New Roman" w:hAnsi="Times New Roman" w:cs="Times New Roman"/>
          <w:bCs/>
          <w:sz w:val="24"/>
          <w:szCs w:val="24"/>
        </w:rPr>
        <w:t xml:space="preserve"> 1= 20% of </w:t>
      </w:r>
      <w:r>
        <w:rPr>
          <w:rFonts w:ascii="Times New Roman" w:hAnsi="Times New Roman" w:cs="Times New Roman"/>
          <w:bCs/>
          <w:sz w:val="24"/>
          <w:szCs w:val="24"/>
        </w:rPr>
        <w:t xml:space="preserve">Ontario </w:t>
      </w:r>
      <w:r w:rsidRPr="00B06067">
        <w:rPr>
          <w:rFonts w:ascii="Times New Roman" w:hAnsi="Times New Roman" w:cs="Times New Roman"/>
          <w:bCs/>
          <w:sz w:val="24"/>
          <w:szCs w:val="24"/>
        </w:rPr>
        <w:t>DAs with the least people per dwelling;</w:t>
      </w:r>
      <w:r>
        <w:rPr>
          <w:rFonts w:ascii="Times New Roman" w:hAnsi="Times New Roman" w:cs="Times New Roman"/>
          <w:bCs/>
          <w:sz w:val="24"/>
          <w:szCs w:val="24"/>
        </w:rPr>
        <w:t xml:space="preserve"> quintile</w:t>
      </w:r>
      <w:r w:rsidRPr="00B06067">
        <w:rPr>
          <w:rFonts w:ascii="Times New Roman" w:hAnsi="Times New Roman" w:cs="Times New Roman"/>
          <w:bCs/>
          <w:sz w:val="24"/>
          <w:szCs w:val="24"/>
        </w:rPr>
        <w:t xml:space="preserve"> 5 = 20% of </w:t>
      </w:r>
      <w:r>
        <w:rPr>
          <w:rFonts w:ascii="Times New Roman" w:hAnsi="Times New Roman" w:cs="Times New Roman"/>
          <w:bCs/>
          <w:sz w:val="24"/>
          <w:szCs w:val="24"/>
        </w:rPr>
        <w:t xml:space="preserve">Ontario </w:t>
      </w:r>
      <w:r w:rsidRPr="00B06067">
        <w:rPr>
          <w:rFonts w:ascii="Times New Roman" w:hAnsi="Times New Roman" w:cs="Times New Roman"/>
          <w:bCs/>
          <w:sz w:val="24"/>
          <w:szCs w:val="24"/>
        </w:rPr>
        <w:t>DAs with the most people per dwelling)</w:t>
      </w:r>
      <w:r w:rsidR="00856A34">
        <w:rPr>
          <w:rFonts w:ascii="Times New Roman" w:hAnsi="Times New Roman" w:cs="Times New Roman"/>
          <w:bCs/>
          <w:sz w:val="24"/>
          <w:szCs w:val="24"/>
        </w:rPr>
        <w:t>.</w:t>
      </w:r>
      <w:r>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{"citationItems":[{"id":"ITEM-1","itemData":{"URL":"https://www12.statcan.gc.ca/census-recensement/2016/ref/dict/dwelling-logements005-eng.cfm","accessed":{"date-parts":[["2022","1","28"]]},"author":[{"dropping-particle":"","family":"Statistics Canada","given":"","non-dropping-particle":"","parse-names":false,"suffix":""}],"container-title":"Dictionary, Census of Population, 2016","id":"ITEM-1","issued":{"date-parts":[["2017","2","8"]]},"title":"Private dwelling","type":"webpage"},"uris":["http://www.mendeley.com/documents/?uuid=55c53d4c-fa5a-361c-8703-191bf8729005"]}],"mendeley":{"formattedCitation":"&lt;sup&gt;3&lt;/sup&gt;","plainTextFormattedCitation":"3","previouslyFormattedCitation":"[3]"},"properties":{"noteIndex":0},"schema":"https://github.com/citation-style-language/schema/raw/master/csl-citation.json"}</w:instrText>
      </w:r>
      <w:r>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3</w:t>
      </w:r>
      <w:r>
        <w:rPr>
          <w:rFonts w:ascii="Times New Roman" w:hAnsi="Times New Roman" w:cs="Times New Roman"/>
          <w:bCs/>
          <w:sz w:val="24"/>
          <w:szCs w:val="24"/>
        </w:rPr>
        <w:fldChar w:fldCharType="end"/>
      </w:r>
      <w:r w:rsidRPr="00B06067">
        <w:rPr>
          <w:rFonts w:ascii="Times New Roman" w:hAnsi="Times New Roman" w:cs="Times New Roman"/>
          <w:bCs/>
          <w:sz w:val="24"/>
          <w:szCs w:val="24"/>
        </w:rPr>
        <w:t xml:space="preserve"> Patients were assigned household size quintiles according to their </w:t>
      </w:r>
      <w:r>
        <w:rPr>
          <w:rFonts w:ascii="Times New Roman" w:hAnsi="Times New Roman" w:cs="Times New Roman"/>
          <w:bCs/>
          <w:sz w:val="24"/>
          <w:szCs w:val="24"/>
        </w:rPr>
        <w:t>postal codes</w:t>
      </w:r>
      <w:r w:rsidRPr="00B06067">
        <w:rPr>
          <w:rFonts w:ascii="Times New Roman" w:hAnsi="Times New Roman" w:cs="Times New Roman"/>
          <w:bCs/>
          <w:sz w:val="24"/>
          <w:szCs w:val="24"/>
        </w:rPr>
        <w:t xml:space="preserve"> in the RPDB. </w:t>
      </w:r>
      <w:r w:rsidR="00856A34">
        <w:rPr>
          <w:rFonts w:ascii="Times New Roman" w:hAnsi="Times New Roman" w:cs="Times New Roman"/>
          <w:bCs/>
          <w:sz w:val="24"/>
          <w:szCs w:val="24"/>
        </w:rPr>
        <w:t>Quintile</w:t>
      </w:r>
      <w:r w:rsidR="00323C74">
        <w:rPr>
          <w:rFonts w:ascii="Times New Roman" w:hAnsi="Times New Roman" w:cs="Times New Roman"/>
          <w:bCs/>
          <w:sz w:val="24"/>
          <w:szCs w:val="24"/>
        </w:rPr>
        <w:t>s</w:t>
      </w:r>
      <w:r w:rsidR="00856A34">
        <w:rPr>
          <w:rFonts w:ascii="Times New Roman" w:hAnsi="Times New Roman" w:cs="Times New Roman"/>
          <w:bCs/>
          <w:sz w:val="24"/>
          <w:szCs w:val="24"/>
        </w:rPr>
        <w:t xml:space="preserve"> 1, 2, 3, 4, and 5 included DA’s with an average household size between: 0 to 2.1; 2.2 to 2.4; 2.5 to 2.6; 2.7 to 3.0; and 3.1 to </w:t>
      </w:r>
      <w:r w:rsidR="00323C74">
        <w:rPr>
          <w:rFonts w:ascii="Times New Roman" w:hAnsi="Times New Roman" w:cs="Times New Roman"/>
          <w:bCs/>
          <w:sz w:val="24"/>
          <w:szCs w:val="24"/>
        </w:rPr>
        <w:t>5.7</w:t>
      </w:r>
      <w:r w:rsidR="00856A34">
        <w:rPr>
          <w:rFonts w:ascii="Times New Roman" w:hAnsi="Times New Roman" w:cs="Times New Roman"/>
          <w:bCs/>
          <w:sz w:val="24"/>
          <w:szCs w:val="24"/>
        </w:rPr>
        <w:t xml:space="preserve"> persons per dwelling</w:t>
      </w:r>
      <w:r w:rsidR="00323C74">
        <w:rPr>
          <w:rFonts w:ascii="Times New Roman" w:hAnsi="Times New Roman" w:cs="Times New Roman"/>
          <w:bCs/>
          <w:sz w:val="24"/>
          <w:szCs w:val="24"/>
        </w:rPr>
        <w:t xml:space="preserve"> respectively</w:t>
      </w:r>
      <w:r w:rsidR="00856A34">
        <w:rPr>
          <w:rFonts w:ascii="Times New Roman" w:hAnsi="Times New Roman" w:cs="Times New Roman"/>
          <w:bCs/>
          <w:sz w:val="24"/>
          <w:szCs w:val="24"/>
        </w:rPr>
        <w:t xml:space="preserve">.  </w:t>
      </w:r>
    </w:p>
    <w:p w:rsidR="00892C62" w:rsidRDefault="00892C62" w:rsidP="00892C62">
      <w:pPr>
        <w:pStyle w:val="ListParagraph"/>
        <w:numPr>
          <w:ilvl w:val="0"/>
          <w:numId w:val="1"/>
        </w:numPr>
        <w:spacing w:line="360" w:lineRule="auto"/>
        <w:rPr>
          <w:rFonts w:ascii="Times New Roman" w:hAnsi="Times New Roman" w:cs="Times New Roman"/>
          <w:bCs/>
          <w:i/>
          <w:sz w:val="24"/>
          <w:szCs w:val="24"/>
        </w:rPr>
      </w:pPr>
      <w:r>
        <w:rPr>
          <w:rFonts w:ascii="Times New Roman" w:hAnsi="Times New Roman" w:cs="Times New Roman"/>
          <w:bCs/>
          <w:i/>
          <w:sz w:val="24"/>
          <w:szCs w:val="24"/>
        </w:rPr>
        <w:t>Percent</w:t>
      </w:r>
      <w:r w:rsidRPr="00B06067">
        <w:rPr>
          <w:rFonts w:ascii="Times New Roman" w:hAnsi="Times New Roman" w:cs="Times New Roman"/>
          <w:bCs/>
          <w:i/>
          <w:sz w:val="24"/>
          <w:szCs w:val="24"/>
        </w:rPr>
        <w:t xml:space="preserve"> racialized quintile:</w:t>
      </w:r>
    </w:p>
    <w:p w:rsidR="006F32C6" w:rsidRDefault="00892C62" w:rsidP="00892C62">
      <w:pPr>
        <w:spacing w:line="360" w:lineRule="auto"/>
        <w:ind w:left="720"/>
        <w:rPr>
          <w:rFonts w:ascii="Times New Roman" w:hAnsi="Times New Roman" w:cs="Times New Roman"/>
          <w:bCs/>
          <w:sz w:val="24"/>
          <w:szCs w:val="24"/>
        </w:rPr>
      </w:pPr>
      <w:r w:rsidRPr="00892C62">
        <w:rPr>
          <w:rFonts w:ascii="Times New Roman" w:hAnsi="Times New Roman" w:cs="Times New Roman"/>
          <w:bCs/>
          <w:sz w:val="24"/>
          <w:szCs w:val="24"/>
        </w:rPr>
        <w:lastRenderedPageBreak/>
        <w:t>We used Public Health Ontario’</w:t>
      </w:r>
      <w:r w:rsidR="00856A34">
        <w:rPr>
          <w:rFonts w:ascii="Times New Roman" w:hAnsi="Times New Roman" w:cs="Times New Roman"/>
          <w:bCs/>
          <w:sz w:val="24"/>
          <w:szCs w:val="24"/>
        </w:rPr>
        <w:t>s ethnic concentration quintile</w:t>
      </w:r>
      <w:r w:rsidRPr="00892C62">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{"citationItems":[{"id":"ITEM-1","itemData":{"author":[{"dropping-particle":"","family":"Matheson","given":"Flora I.","non-dropping-particle":"","parse-names":false,"suffix":""},{"dropping-particle":"","family":"Ingen","given":"Trevor","non-dropping-particle":"van","parse-names":false,"suffix":""}],"id":"ITEM-1","issued":{"date-parts":[["2018"]]},"publisher-place":"Toronto, ON","title":"2016 Ontario marginalization index: user guide","type":"report"},"uris":["http://www.mendeley.com/documents/?uuid=1df1f7a4-e15b-3c47-a5f7-353398842e2d"]}],"mendeley":{"formattedCitation":"&lt;sup&gt;4&lt;/sup&gt;","plainTextFormattedCitation":"4","previouslyFormattedCitation":"[4]"},"properties":{"noteIndex":0},"schema":"https://github.com/citation-style-language/schema/raw/master/csl-citation.json"}</w:instrText>
      </w:r>
      <w:r w:rsidRPr="00892C62">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4</w:t>
      </w:r>
      <w:r w:rsidRPr="00892C62">
        <w:rPr>
          <w:rFonts w:ascii="Times New Roman" w:hAnsi="Times New Roman" w:cs="Times New Roman"/>
          <w:bCs/>
          <w:sz w:val="24"/>
          <w:szCs w:val="24"/>
        </w:rPr>
        <w:fldChar w:fldCharType="end"/>
      </w:r>
      <w:r w:rsidRPr="00892C62">
        <w:rPr>
          <w:rFonts w:ascii="Times New Roman" w:hAnsi="Times New Roman" w:cs="Times New Roman"/>
          <w:bCs/>
          <w:sz w:val="24"/>
          <w:szCs w:val="24"/>
        </w:rPr>
        <w:t xml:space="preserve"> to categorize neighbourhoods by their concentration of individuals who are racialized.  This dimension categorizes neighbourhoods according to the proportion of the population who may experience marginalization related to racism or discrimination. Derivation of Ontario’s ethnic concentration quintiles are described elsewhere</w:t>
      </w:r>
      <w:r w:rsidRPr="00892C62">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{"citationItems":[{"id":"ITEM-1","itemData":{"author":[{"dropping-particle":"","family":"Matheson","given":"Flora I.","non-dropping-particle":"","parse-names":false,"suffix":""},{"dropping-particle":"","family":"Ingen","given":"Trevor","non-dropping-particle":"van","parse-names":false,"suffix":""}],"id":"ITEM-1","issued":{"date-parts":[["2018"]]},"publisher-place":"Toronto, ON","title":"2016 Ontario marginalization index: user guide","type":"report"},"uris":["http://www.mendeley.com/documents/?uuid=1df1f7a4-e15b-3c47-a5f7-353398842e2d"]}],"mendeley":{"formattedCitation":"&lt;sup&gt;4&lt;/sup&gt;","plainTextFormattedCitation":"4","previouslyFormattedCitation":"[4]"},"properties":{"noteIndex":0},"schema":"https://github.com/citation-style-language/schema/raw/master/csl-citation.json"}</w:instrText>
      </w:r>
      <w:r w:rsidRPr="00892C62">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4</w:t>
      </w:r>
      <w:r w:rsidRPr="00892C62">
        <w:rPr>
          <w:rFonts w:ascii="Times New Roman" w:hAnsi="Times New Roman" w:cs="Times New Roman"/>
          <w:bCs/>
          <w:sz w:val="24"/>
          <w:szCs w:val="24"/>
        </w:rPr>
        <w:fldChar w:fldCharType="end"/>
      </w:r>
      <w:r w:rsidRPr="00892C62">
        <w:rPr>
          <w:rFonts w:ascii="Times New Roman" w:hAnsi="Times New Roman" w:cs="Times New Roman"/>
          <w:bCs/>
          <w:sz w:val="24"/>
          <w:szCs w:val="24"/>
        </w:rPr>
        <w:t xml:space="preserve">.  In brief, </w:t>
      </w:r>
      <w:r w:rsidR="00323C74">
        <w:rPr>
          <w:rFonts w:ascii="Times New Roman" w:hAnsi="Times New Roman" w:cs="Times New Roman"/>
          <w:bCs/>
          <w:sz w:val="24"/>
          <w:szCs w:val="24"/>
        </w:rPr>
        <w:t xml:space="preserve">an </w:t>
      </w:r>
      <w:r w:rsidRPr="00892C62">
        <w:rPr>
          <w:rFonts w:ascii="Times New Roman" w:hAnsi="Times New Roman" w:cs="Times New Roman"/>
          <w:bCs/>
          <w:sz w:val="24"/>
          <w:szCs w:val="24"/>
        </w:rPr>
        <w:t xml:space="preserve">ethnic concentration </w:t>
      </w:r>
      <w:r w:rsidR="00323C74">
        <w:rPr>
          <w:rFonts w:ascii="Times New Roman" w:hAnsi="Times New Roman" w:cs="Times New Roman"/>
          <w:bCs/>
          <w:sz w:val="24"/>
          <w:szCs w:val="24"/>
        </w:rPr>
        <w:t xml:space="preserve">principle component score </w:t>
      </w:r>
      <w:r w:rsidRPr="00892C62">
        <w:rPr>
          <w:rFonts w:ascii="Times New Roman" w:hAnsi="Times New Roman" w:cs="Times New Roman"/>
          <w:bCs/>
          <w:sz w:val="24"/>
          <w:szCs w:val="24"/>
        </w:rPr>
        <w:t xml:space="preserve">was derived from two neighbourhood-level census variables: 1) the </w:t>
      </w:r>
      <w:r w:rsidR="00856A34">
        <w:rPr>
          <w:rFonts w:ascii="Times New Roman" w:hAnsi="Times New Roman" w:cs="Times New Roman"/>
          <w:bCs/>
          <w:sz w:val="24"/>
          <w:szCs w:val="24"/>
        </w:rPr>
        <w:t>proportion of recent immigrants</w:t>
      </w:r>
      <w:r w:rsidRPr="00892C62">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{"citationItems":[{"id":"ITEM-1","itemData":{"URL":"https://www12.statcan.gc.ca/census-recensement/2016/ref/dict/pop148-eng.cfm","accessed":{"date-parts":[["2022","1","28"]]},"author":[{"dropping-particle":"","family":"Statistics Canada","given":"","non-dropping-particle":"","parse-names":false,"suffix":""}],"container-title":"Dictionary, Census of Population, 2016","id":"ITEM-1","issued":{"date-parts":[["2017","10","25"]]},"title":"Immigrant status","type":"webpage"},"uris":["http://www.mendeley.com/documents/?uuid=9162fa4e-0d26-3ec1-9623-67f2a84f0216"]},{"id":"ITEM-2","itemData":{"URL":"https://www12.statcan.gc.ca/census-recensement/2016/ref/dict/pop109-eng.cfm","accessed":{"date-parts":[["2022","1","28"]]},"author":[{"dropping-particle":"","family":"Statistics Canada","given":"","non-dropping-particle":"","parse-names":false,"suffix":""}],"container-title":"Dictionary, Census of Population, 2016","id":"ITEM-2","issued":{"date-parts":[["2017","5","3"]]},"title":"Period of immigration","type":"webpage"},"uris":["http://www.mendeley.com/documents/?uuid=54f54511-5dd8-3aa1-aee4-36fe4f43a801"]}],"mendeley":{"formattedCitation":"&lt;sup&gt;5,6&lt;/sup&gt;","plainTextFormattedCitation":"5,6","previouslyFormattedCitation":"[5,6]"},"properties":{"noteIndex":0},"schema":"https://github.com/citation-style-language/schema/raw/master/csl-citation.json"}</w:instrText>
      </w:r>
      <w:r w:rsidRPr="00892C62">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5,6</w:t>
      </w:r>
      <w:r w:rsidRPr="00892C62">
        <w:rPr>
          <w:rFonts w:ascii="Times New Roman" w:hAnsi="Times New Roman" w:cs="Times New Roman"/>
          <w:bCs/>
          <w:sz w:val="24"/>
          <w:szCs w:val="24"/>
        </w:rPr>
        <w:fldChar w:fldCharType="end"/>
      </w:r>
      <w:r w:rsidRPr="00892C62">
        <w:rPr>
          <w:rFonts w:ascii="Times New Roman" w:hAnsi="Times New Roman" w:cs="Times New Roman"/>
          <w:bCs/>
          <w:sz w:val="24"/>
          <w:szCs w:val="24"/>
        </w:rPr>
        <w:t>; and 2) the proportion of people who self-identify as ‘visible minorities</w:t>
      </w:r>
      <w:r w:rsidR="00856A34">
        <w:rPr>
          <w:rFonts w:ascii="Times New Roman" w:hAnsi="Times New Roman" w:cs="Times New Roman"/>
          <w:bCs/>
          <w:sz w:val="24"/>
          <w:szCs w:val="24"/>
        </w:rPr>
        <w:t>.’</w:t>
      </w:r>
      <w:r w:rsidRPr="00892C62">
        <w:rPr>
          <w:rFonts w:ascii="Times New Roman" w:hAnsi="Times New Roman" w:cs="Times New Roman"/>
          <w:bCs/>
          <w:sz w:val="24"/>
          <w:szCs w:val="24"/>
        </w:rPr>
        <w:fldChar w:fldCharType="begin" w:fldLock="1"/>
      </w:r>
      <w:r w:rsidR="00856A34">
        <w:rPr>
          <w:rFonts w:ascii="Times New Roman" w:hAnsi="Times New Roman" w:cs="Times New Roman"/>
          <w:bCs/>
          <w:sz w:val="24"/>
          <w:szCs w:val="24"/>
        </w:rPr>
        <w:instrText>ADDIN CSL_CITATION {"citationItems":[{"id":"ITEM-1","itemData":{"URL":"https://www12.statcan.gc.ca/census-recensement/2016/ref/dict/pop127-eng.cfm","accessed":{"date-parts":[["2022","1","28"]]},"author":[{"dropping-particle":"","family":"Statistics Canada","given":"","non-dropping-particle":"","parse-names":false,"suffix":""}],"container-title":"Dictionary, Census of Population, 2016","id":"ITEM-1","issued":{"date-parts":[["2017","10","25"]]},"title":"Visible minority","type":"webpage"},"uris":["http://www.mendeley.com/documents/?uuid=66ec7637-da69-3c20-bed6-138d41deff1d"]}],"mendeley":{"formattedCitation":"&lt;sup&gt;7&lt;/sup&gt;","plainTextFormattedCitation":"7","previouslyFormattedCitation":"[7]"},"properties":{"noteIndex":0},"schema":"https://github.com/citation-style-language/schema/raw/master/csl-citation.json"}</w:instrText>
      </w:r>
      <w:r w:rsidRPr="00892C62">
        <w:rPr>
          <w:rFonts w:ascii="Times New Roman" w:hAnsi="Times New Roman" w:cs="Times New Roman"/>
          <w:bCs/>
          <w:sz w:val="24"/>
          <w:szCs w:val="24"/>
        </w:rPr>
        <w:fldChar w:fldCharType="separate"/>
      </w:r>
      <w:r w:rsidR="00856A34" w:rsidRPr="00856A34">
        <w:rPr>
          <w:rFonts w:ascii="Times New Roman" w:hAnsi="Times New Roman" w:cs="Times New Roman"/>
          <w:bCs/>
          <w:noProof/>
          <w:sz w:val="24"/>
          <w:szCs w:val="24"/>
          <w:vertAlign w:val="superscript"/>
        </w:rPr>
        <w:t>7</w:t>
      </w:r>
      <w:r w:rsidRPr="00892C62">
        <w:rPr>
          <w:rFonts w:ascii="Times New Roman" w:hAnsi="Times New Roman" w:cs="Times New Roman"/>
          <w:bCs/>
          <w:sz w:val="24"/>
          <w:szCs w:val="24"/>
        </w:rPr>
        <w:fldChar w:fldCharType="end"/>
      </w:r>
      <w:r w:rsidRPr="00892C62">
        <w:rPr>
          <w:rFonts w:ascii="Times New Roman" w:hAnsi="Times New Roman" w:cs="Times New Roman"/>
          <w:bCs/>
          <w:sz w:val="24"/>
          <w:szCs w:val="24"/>
        </w:rPr>
        <w:t xml:space="preserve">  Neighbourhoods were ranked i</w:t>
      </w:r>
      <w:r w:rsidR="00323C74">
        <w:rPr>
          <w:rFonts w:ascii="Times New Roman" w:hAnsi="Times New Roman" w:cs="Times New Roman"/>
          <w:bCs/>
          <w:sz w:val="24"/>
          <w:szCs w:val="24"/>
        </w:rPr>
        <w:t xml:space="preserve">nto quintiles according to the principle component score. </w:t>
      </w:r>
      <w:r w:rsidRPr="00892C62">
        <w:rPr>
          <w:rFonts w:ascii="Times New Roman" w:hAnsi="Times New Roman" w:cs="Times New Roman"/>
          <w:bCs/>
          <w:sz w:val="24"/>
          <w:szCs w:val="24"/>
        </w:rPr>
        <w:t>Patients were assigned neighbourhood ethnic concentration quintiles according to their postal codes in the RPDB.</w:t>
      </w:r>
    </w:p>
    <w:p w:rsidR="00856A34" w:rsidRDefault="00856A34">
      <w:pPr>
        <w:rPr>
          <w:rFonts w:ascii="Times New Roman" w:hAnsi="Times New Roman" w:cs="Times New Roman"/>
          <w:bCs/>
          <w:sz w:val="24"/>
          <w:szCs w:val="24"/>
        </w:rPr>
        <w:sectPr w:rsidR="00856A34" w:rsidSect="00892C62">
          <w:pgSz w:w="12240" w:h="15840"/>
          <w:pgMar w:top="1440" w:right="1440" w:bottom="1440" w:left="1440" w:header="720" w:footer="720" w:gutter="0"/>
          <w:cols w:space="720"/>
          <w:docGrid w:linePitch="360"/>
        </w:sectPr>
      </w:pPr>
    </w:p>
    <w:p w:rsidR="00AC4AB9" w:rsidRDefault="00AC4AB9" w:rsidP="00D87961">
      <w:pPr>
        <w:pStyle w:val="NormalWeb"/>
        <w:spacing w:before="0" w:beforeAutospacing="0" w:after="0" w:afterAutospacing="0"/>
        <w:rPr>
          <w:b/>
        </w:rPr>
      </w:pPr>
      <w:r>
        <w:rPr>
          <w:b/>
        </w:rPr>
        <w:lastRenderedPageBreak/>
        <w:t>SUPPLEMENTARY TABLES</w:t>
      </w:r>
    </w:p>
    <w:p w:rsidR="00AC4AB9" w:rsidRDefault="00AC4AB9" w:rsidP="00D87961">
      <w:pPr>
        <w:pStyle w:val="NormalWeb"/>
        <w:spacing w:before="0" w:beforeAutospacing="0" w:after="0" w:afterAutospacing="0"/>
        <w:rPr>
          <w:b/>
        </w:rPr>
      </w:pPr>
    </w:p>
    <w:p w:rsidR="00D87961" w:rsidRDefault="00D87961" w:rsidP="00D87961">
      <w:pPr>
        <w:pStyle w:val="NormalWeb"/>
        <w:spacing w:before="0" w:beforeAutospacing="0" w:after="0" w:afterAutospacing="0"/>
      </w:pPr>
      <w:r w:rsidRPr="00C7757F">
        <w:rPr>
          <w:b/>
        </w:rPr>
        <w:t>Supplementary Table 1.</w:t>
      </w:r>
      <w:r>
        <w:rPr>
          <w:b/>
        </w:rPr>
        <w:t xml:space="preserve"> </w:t>
      </w:r>
      <w:r>
        <w:t>Definitions of underlying medical conditions among hospitalized patients.</w:t>
      </w:r>
    </w:p>
    <w:p w:rsidR="00D87961" w:rsidRPr="00D86470" w:rsidRDefault="00D87961" w:rsidP="00D87961">
      <w:pPr>
        <w:pStyle w:val="NormalWeb"/>
        <w:spacing w:before="0" w:beforeAutospacing="0" w:after="0" w:afterAutospacing="0"/>
      </w:pPr>
    </w:p>
    <w:tbl>
      <w:tblPr>
        <w:tblStyle w:val="TableGrid"/>
        <w:tblW w:w="14035" w:type="dxa"/>
        <w:tblLook w:val="04A0" w:firstRow="1" w:lastRow="0" w:firstColumn="1" w:lastColumn="0" w:noHBand="0" w:noVBand="1"/>
      </w:tblPr>
      <w:tblGrid>
        <w:gridCol w:w="1915"/>
        <w:gridCol w:w="1320"/>
        <w:gridCol w:w="6620"/>
        <w:gridCol w:w="1683"/>
        <w:gridCol w:w="2497"/>
      </w:tblGrid>
      <w:tr w:rsidR="00D87961" w:rsidRPr="00C7757F" w:rsidTr="00856A34">
        <w:trPr>
          <w:trHeight w:val="593"/>
        </w:trPr>
        <w:tc>
          <w:tcPr>
            <w:tcW w:w="1915" w:type="dxa"/>
            <w:vAlign w:val="center"/>
          </w:tcPr>
          <w:p w:rsidR="00D87961" w:rsidRPr="00326F4F"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Medical c</w:t>
            </w:r>
            <w:r w:rsidRPr="00326F4F">
              <w:rPr>
                <w:rFonts w:ascii="Times New Roman" w:hAnsi="Times New Roman" w:cs="Times New Roman"/>
                <w:b/>
                <w:sz w:val="20"/>
                <w:szCs w:val="20"/>
              </w:rPr>
              <w:t>ondition</w:t>
            </w:r>
          </w:p>
        </w:tc>
        <w:tc>
          <w:tcPr>
            <w:tcW w:w="1320" w:type="dxa"/>
            <w:vAlign w:val="center"/>
          </w:tcPr>
          <w:p w:rsidR="00D87961" w:rsidRPr="00C7757F" w:rsidRDefault="00D87961" w:rsidP="00856A34">
            <w:pPr>
              <w:spacing w:after="10"/>
              <w:jc w:val="center"/>
              <w:rPr>
                <w:rFonts w:ascii="Times New Roman" w:hAnsi="Times New Roman" w:cs="Times New Roman"/>
                <w:b/>
                <w:sz w:val="20"/>
                <w:szCs w:val="20"/>
              </w:rPr>
            </w:pPr>
            <w:r w:rsidRPr="00C7757F">
              <w:rPr>
                <w:rFonts w:ascii="Times New Roman" w:hAnsi="Times New Roman" w:cs="Times New Roman"/>
                <w:b/>
                <w:sz w:val="20"/>
                <w:szCs w:val="20"/>
              </w:rPr>
              <w:t>Data sources</w:t>
            </w:r>
          </w:p>
        </w:tc>
        <w:tc>
          <w:tcPr>
            <w:tcW w:w="6620" w:type="dxa"/>
            <w:vAlign w:val="center"/>
          </w:tcPr>
          <w:p w:rsidR="00D87961" w:rsidRPr="00C7757F" w:rsidRDefault="00D87961" w:rsidP="00856A34">
            <w:pPr>
              <w:spacing w:after="10"/>
              <w:rPr>
                <w:rFonts w:ascii="Times New Roman" w:hAnsi="Times New Roman" w:cs="Times New Roman"/>
                <w:b/>
                <w:sz w:val="20"/>
                <w:szCs w:val="20"/>
              </w:rPr>
            </w:pPr>
            <w:r w:rsidRPr="00C7757F">
              <w:rPr>
                <w:rFonts w:ascii="Times New Roman" w:hAnsi="Times New Roman" w:cs="Times New Roman"/>
                <w:b/>
                <w:sz w:val="20"/>
                <w:szCs w:val="20"/>
              </w:rPr>
              <w:t>Definition</w:t>
            </w:r>
          </w:p>
        </w:tc>
        <w:tc>
          <w:tcPr>
            <w:tcW w:w="1683" w:type="dxa"/>
            <w:vAlign w:val="center"/>
          </w:tcPr>
          <w:p w:rsidR="00D87961" w:rsidRPr="00C7757F" w:rsidRDefault="00D87961" w:rsidP="00856A34">
            <w:pPr>
              <w:spacing w:after="10"/>
              <w:jc w:val="center"/>
              <w:rPr>
                <w:rFonts w:ascii="Times New Roman" w:hAnsi="Times New Roman" w:cs="Times New Roman"/>
                <w:b/>
                <w:sz w:val="20"/>
                <w:szCs w:val="20"/>
              </w:rPr>
            </w:pPr>
            <w:r w:rsidRPr="00C7757F">
              <w:rPr>
                <w:rFonts w:ascii="Times New Roman" w:hAnsi="Times New Roman" w:cs="Times New Roman"/>
                <w:b/>
                <w:sz w:val="20"/>
                <w:szCs w:val="20"/>
              </w:rPr>
              <w:t>Validated</w:t>
            </w:r>
          </w:p>
        </w:tc>
        <w:tc>
          <w:tcPr>
            <w:tcW w:w="2497" w:type="dxa"/>
            <w:vAlign w:val="center"/>
          </w:tcPr>
          <w:p w:rsidR="00D87961" w:rsidRPr="00C7757F"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Validity m</w:t>
            </w:r>
            <w:r w:rsidRPr="00C7757F">
              <w:rPr>
                <w:rFonts w:ascii="Times New Roman" w:hAnsi="Times New Roman" w:cs="Times New Roman"/>
                <w:b/>
                <w:sz w:val="20"/>
                <w:szCs w:val="20"/>
              </w:rPr>
              <w:t>etrics</w:t>
            </w:r>
          </w:p>
        </w:tc>
      </w:tr>
      <w:tr w:rsidR="00D87961" w:rsidRPr="00C7757F" w:rsidTr="00856A34">
        <w:trPr>
          <w:trHeight w:val="1250"/>
        </w:trPr>
        <w:tc>
          <w:tcPr>
            <w:tcW w:w="1915" w:type="dxa"/>
            <w:vAlign w:val="center"/>
          </w:tcPr>
          <w:p w:rsidR="00D87961" w:rsidRPr="00326F4F" w:rsidRDefault="00D87961" w:rsidP="00856A34">
            <w:pPr>
              <w:spacing w:after="10"/>
              <w:rPr>
                <w:rFonts w:ascii="Times New Roman" w:hAnsi="Times New Roman" w:cs="Times New Roman"/>
                <w:b/>
                <w:sz w:val="20"/>
                <w:szCs w:val="20"/>
                <w:vertAlign w:val="superscript"/>
              </w:rPr>
            </w:pPr>
            <w:r w:rsidRPr="00326F4F">
              <w:rPr>
                <w:rFonts w:ascii="Times New Roman" w:hAnsi="Times New Roman" w:cs="Times New Roman"/>
                <w:b/>
                <w:sz w:val="20"/>
                <w:szCs w:val="20"/>
              </w:rPr>
              <w:t>Advanced liver disease</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OHIP</w:t>
            </w:r>
            <w:r>
              <w:rPr>
                <w:rFonts w:ascii="Times New Roman" w:hAnsi="Times New Roman" w:cs="Times New Roman"/>
                <w:sz w:val="20"/>
                <w:szCs w:val="20"/>
              </w:rPr>
              <w:t>,</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DAD,</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NACRS,</w:t>
            </w:r>
          </w:p>
          <w:p w:rsidR="00D87961" w:rsidRPr="00C7757F"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SDS</w:t>
            </w:r>
          </w:p>
        </w:tc>
        <w:tc>
          <w:tcPr>
            <w:tcW w:w="6620" w:type="dxa"/>
            <w:vAlign w:val="center"/>
          </w:tcPr>
          <w:p w:rsidR="00455C60" w:rsidRPr="00455C60" w:rsidRDefault="00455C60" w:rsidP="00856A34">
            <w:pPr>
              <w:spacing w:after="10"/>
              <w:contextualSpacing/>
              <w:rPr>
                <w:rFonts w:ascii="Times New Roman" w:hAnsi="Times New Roman" w:cs="Times New Roman"/>
                <w:b/>
                <w:sz w:val="20"/>
                <w:szCs w:val="20"/>
              </w:rPr>
            </w:pPr>
            <w:r w:rsidRPr="00455C60">
              <w:rPr>
                <w:rFonts w:ascii="Times New Roman" w:hAnsi="Times New Roman" w:cs="Times New Roman"/>
                <w:b/>
                <w:sz w:val="20"/>
                <w:szCs w:val="20"/>
              </w:rPr>
              <w:t>Defined as patients with cirrhosis or decompensated cirrhosis.</w:t>
            </w:r>
          </w:p>
          <w:p w:rsidR="00455C60" w:rsidRDefault="00455C60" w:rsidP="00856A34">
            <w:pPr>
              <w:spacing w:after="10"/>
              <w:contextualSpacing/>
              <w:rPr>
                <w:rFonts w:ascii="Times New Roman" w:hAnsi="Times New Roman" w:cs="Times New Roman"/>
                <w:b/>
                <w:sz w:val="20"/>
                <w:szCs w:val="20"/>
              </w:rPr>
            </w:pP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b/>
                <w:sz w:val="20"/>
                <w:szCs w:val="20"/>
              </w:rPr>
              <w:t>Patients with cirrhosis</w:t>
            </w:r>
            <w:r w:rsidRPr="00C7757F">
              <w:rPr>
                <w:rFonts w:ascii="Times New Roman" w:hAnsi="Times New Roman" w:cs="Times New Roman"/>
                <w:sz w:val="20"/>
                <w:szCs w:val="20"/>
              </w:rPr>
              <w:t>, defined as those with:</w:t>
            </w: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2 or more physician visits for cirrhosis (in OHIP) or</w:t>
            </w:r>
          </w:p>
          <w:p w:rsidR="00D87961"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 xml:space="preserve">1 or more </w:t>
            </w:r>
            <w:proofErr w:type="gramStart"/>
            <w:r w:rsidRPr="00C7757F">
              <w:rPr>
                <w:rFonts w:ascii="Times New Roman" w:hAnsi="Times New Roman" w:cs="Times New Roman"/>
                <w:sz w:val="20"/>
                <w:szCs w:val="20"/>
              </w:rPr>
              <w:t>hospitalization</w:t>
            </w:r>
            <w:proofErr w:type="gramEnd"/>
            <w:r w:rsidRPr="00C7757F">
              <w:rPr>
                <w:rFonts w:ascii="Times New Roman" w:hAnsi="Times New Roman" w:cs="Times New Roman"/>
                <w:sz w:val="20"/>
                <w:szCs w:val="20"/>
              </w:rPr>
              <w:t xml:space="preserve"> for cirrhosis (in DAD, NACRS, SDS)</w:t>
            </w:r>
          </w:p>
          <w:p w:rsidR="00D87961" w:rsidRPr="00C7757F" w:rsidRDefault="00D87961" w:rsidP="00856A34">
            <w:pPr>
              <w:spacing w:after="10"/>
              <w:contextualSpacing/>
              <w:rPr>
                <w:rFonts w:ascii="Times New Roman" w:hAnsi="Times New Roman" w:cs="Times New Roman"/>
                <w:sz w:val="20"/>
                <w:szCs w:val="20"/>
              </w:rPr>
            </w:pP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According to:</w:t>
            </w:r>
          </w:p>
          <w:p w:rsidR="00D87961" w:rsidRPr="00C7757F" w:rsidRDefault="00D87961" w:rsidP="00D87961">
            <w:pPr>
              <w:pStyle w:val="ListParagraph"/>
              <w:numPr>
                <w:ilvl w:val="0"/>
                <w:numId w:val="8"/>
              </w:numPr>
              <w:spacing w:after="10"/>
              <w:rPr>
                <w:rFonts w:ascii="Times New Roman" w:hAnsi="Times New Roman" w:cs="Times New Roman"/>
                <w:sz w:val="20"/>
                <w:szCs w:val="20"/>
              </w:rPr>
            </w:pPr>
            <w:r w:rsidRPr="00C7757F">
              <w:rPr>
                <w:rFonts w:ascii="Times New Roman" w:hAnsi="Times New Roman" w:cs="Times New Roman"/>
                <w:sz w:val="20"/>
                <w:szCs w:val="20"/>
              </w:rPr>
              <w:t>OHIP diagnostic code 571</w:t>
            </w:r>
          </w:p>
          <w:p w:rsidR="00D87961" w:rsidRPr="00C7757F" w:rsidRDefault="00D87961" w:rsidP="00D87961">
            <w:pPr>
              <w:pStyle w:val="ListParagraph"/>
              <w:numPr>
                <w:ilvl w:val="0"/>
                <w:numId w:val="8"/>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codes 456.1, 571.2, or 571.5</w:t>
            </w:r>
          </w:p>
          <w:p w:rsidR="00D87961" w:rsidRDefault="00D87961" w:rsidP="00D87961">
            <w:pPr>
              <w:pStyle w:val="ListParagraph"/>
              <w:numPr>
                <w:ilvl w:val="0"/>
                <w:numId w:val="8"/>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I85.9, I98.2, K70.</w:t>
            </w:r>
            <w:proofErr w:type="gramStart"/>
            <w:r w:rsidRPr="00C7757F">
              <w:rPr>
                <w:rFonts w:ascii="Times New Roman" w:hAnsi="Times New Roman" w:cs="Times New Roman"/>
                <w:sz w:val="20"/>
                <w:szCs w:val="20"/>
              </w:rPr>
              <w:t>3,K</w:t>
            </w:r>
            <w:proofErr w:type="gramEnd"/>
            <w:r w:rsidRPr="00C7757F">
              <w:rPr>
                <w:rFonts w:ascii="Times New Roman" w:hAnsi="Times New Roman" w:cs="Times New Roman"/>
                <w:sz w:val="20"/>
                <w:szCs w:val="20"/>
              </w:rPr>
              <w:t>71.7, or K74.6</w:t>
            </w:r>
          </w:p>
          <w:p w:rsidR="00D87961" w:rsidRPr="00746011" w:rsidRDefault="00D87961" w:rsidP="00856A34">
            <w:pPr>
              <w:spacing w:after="10"/>
              <w:rPr>
                <w:rFonts w:ascii="Times New Roman" w:hAnsi="Times New Roman" w:cs="Times New Roman"/>
                <w:sz w:val="20"/>
                <w:szCs w:val="20"/>
              </w:rPr>
            </w:pPr>
          </w:p>
          <w:p w:rsidR="00D87961" w:rsidRPr="002339AC" w:rsidRDefault="00D87961" w:rsidP="00856A34">
            <w:pPr>
              <w:spacing w:after="10"/>
              <w:contextualSpacing/>
              <w:rPr>
                <w:rFonts w:ascii="Times New Roman" w:hAnsi="Times New Roman" w:cs="Times New Roman"/>
                <w:b/>
                <w:sz w:val="20"/>
                <w:szCs w:val="20"/>
              </w:rPr>
            </w:pPr>
            <w:r w:rsidRPr="002339AC">
              <w:rPr>
                <w:rFonts w:ascii="Times New Roman" w:hAnsi="Times New Roman" w:cs="Times New Roman"/>
                <w:b/>
                <w:sz w:val="20"/>
                <w:szCs w:val="20"/>
              </w:rPr>
              <w:t>OR</w:t>
            </w:r>
          </w:p>
          <w:p w:rsidR="00D87961" w:rsidRPr="00C7757F" w:rsidRDefault="00D87961" w:rsidP="00856A34">
            <w:pPr>
              <w:spacing w:after="10"/>
              <w:contextualSpacing/>
              <w:rPr>
                <w:rFonts w:ascii="Times New Roman" w:hAnsi="Times New Roman" w:cs="Times New Roman"/>
                <w:sz w:val="20"/>
                <w:szCs w:val="20"/>
              </w:rPr>
            </w:pP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b/>
                <w:sz w:val="20"/>
                <w:szCs w:val="20"/>
              </w:rPr>
              <w:t>Patients with decompensated cirrhosis</w:t>
            </w:r>
            <w:r w:rsidRPr="00C7757F">
              <w:rPr>
                <w:rFonts w:ascii="Times New Roman" w:hAnsi="Times New Roman" w:cs="Times New Roman"/>
                <w:sz w:val="20"/>
                <w:szCs w:val="20"/>
              </w:rPr>
              <w:t>, defined as those with:</w:t>
            </w: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1 or more physician visits classified as cirrhosis (in OHIP, diagnostic code 571) and</w:t>
            </w: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1 or more hospitalizations for decompensated cirrhosis (in DAD, NACRS, SDS) according to:</w:t>
            </w:r>
          </w:p>
          <w:p w:rsidR="00D87961" w:rsidRPr="00C7757F" w:rsidRDefault="00D87961" w:rsidP="00D87961">
            <w:pPr>
              <w:pStyle w:val="ListParagraph"/>
              <w:numPr>
                <w:ilvl w:val="0"/>
                <w:numId w:val="9"/>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codes 456.0, 456.2, 572.2, 572.3, 572.4, 782.4, or 789.5</w:t>
            </w:r>
          </w:p>
          <w:p w:rsidR="00D87961" w:rsidRPr="00C7757F" w:rsidRDefault="00D87961" w:rsidP="00D87961">
            <w:pPr>
              <w:pStyle w:val="ListParagraph"/>
              <w:numPr>
                <w:ilvl w:val="0"/>
                <w:numId w:val="9"/>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I85.0, I86.4, I98.20, I98.3, K721, K729, K76.6, K76.7, R17, or R18</w:t>
            </w:r>
          </w:p>
          <w:p w:rsidR="00D87961" w:rsidRPr="00C7757F" w:rsidRDefault="00D87961" w:rsidP="00D87961">
            <w:pPr>
              <w:pStyle w:val="ListParagraph"/>
              <w:numPr>
                <w:ilvl w:val="0"/>
                <w:numId w:val="9"/>
              </w:numPr>
              <w:spacing w:after="10"/>
              <w:rPr>
                <w:rFonts w:ascii="Times New Roman" w:hAnsi="Times New Roman" w:cs="Times New Roman"/>
                <w:sz w:val="20"/>
                <w:szCs w:val="20"/>
              </w:rPr>
            </w:pPr>
            <w:r w:rsidRPr="00C7757F">
              <w:rPr>
                <w:rFonts w:ascii="Times New Roman" w:hAnsi="Times New Roman" w:cs="Times New Roman"/>
                <w:sz w:val="20"/>
                <w:szCs w:val="20"/>
              </w:rPr>
              <w:t xml:space="preserve">CCI codes </w:t>
            </w:r>
            <w:proofErr w:type="gramStart"/>
            <w:r w:rsidRPr="00C7757F">
              <w:rPr>
                <w:rFonts w:ascii="Times New Roman" w:hAnsi="Times New Roman" w:cs="Times New Roman"/>
                <w:sz w:val="20"/>
                <w:szCs w:val="20"/>
              </w:rPr>
              <w:t>1.NA.13.BA</w:t>
            </w:r>
            <w:proofErr w:type="gramEnd"/>
            <w:r w:rsidRPr="00C7757F">
              <w:rPr>
                <w:rFonts w:ascii="Times New Roman" w:hAnsi="Times New Roman" w:cs="Times New Roman"/>
                <w:sz w:val="20"/>
                <w:szCs w:val="20"/>
              </w:rPr>
              <w:t>-FA, 1.NA.13.BA-X7, 1.NA.13.BA-BD, 1.KQ.76GP-NR, or 1.OT.52.HA</w:t>
            </w:r>
          </w:p>
          <w:p w:rsidR="00D87961" w:rsidRPr="00C7757F" w:rsidRDefault="00D87961" w:rsidP="00D87961">
            <w:pPr>
              <w:pStyle w:val="ListParagraph"/>
              <w:numPr>
                <w:ilvl w:val="0"/>
                <w:numId w:val="9"/>
              </w:numPr>
              <w:spacing w:after="10"/>
              <w:rPr>
                <w:rFonts w:ascii="Times New Roman" w:hAnsi="Times New Roman" w:cs="Times New Roman"/>
                <w:sz w:val="20"/>
                <w:szCs w:val="20"/>
              </w:rPr>
            </w:pPr>
            <w:r w:rsidRPr="00C7757F">
              <w:rPr>
                <w:rFonts w:ascii="Times New Roman" w:hAnsi="Times New Roman" w:cs="Times New Roman"/>
                <w:sz w:val="20"/>
                <w:szCs w:val="20"/>
              </w:rPr>
              <w:t>CCP codes 1006 or 6691</w:t>
            </w:r>
          </w:p>
          <w:p w:rsidR="00D87961" w:rsidRPr="00326F4F" w:rsidRDefault="00D87961" w:rsidP="00D87961">
            <w:pPr>
              <w:pStyle w:val="ListParagraph"/>
              <w:numPr>
                <w:ilvl w:val="0"/>
                <w:numId w:val="9"/>
              </w:numPr>
              <w:spacing w:after="10"/>
              <w:rPr>
                <w:rFonts w:ascii="Times New Roman" w:hAnsi="Times New Roman" w:cs="Times New Roman"/>
                <w:sz w:val="20"/>
                <w:szCs w:val="20"/>
              </w:rPr>
            </w:pPr>
            <w:r w:rsidRPr="00C7757F">
              <w:rPr>
                <w:rFonts w:ascii="Times New Roman" w:hAnsi="Times New Roman" w:cs="Times New Roman"/>
                <w:sz w:val="20"/>
                <w:szCs w:val="20"/>
              </w:rPr>
              <w:t>OHIP codes J057 or Z591</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{"citationItems":[{"id":"ITEM-1","itemData":{"DOI":"10.1371/JOURNAL.PONE.0201120","ISSN":"1932-6203","PMID":"30133446","abstract":"Background To evaluate screening and treatment strategies, large-scale real-world data on liver disease-related outcomes are needed. We sought to validate health administrative data for identification of cirrhosis, decompensated cirrhosis and hepatocellular carcinoma among patients with known liver disease. Methods Primary patient data were abstracted from patients of the Toronto Center for Liver Disease with viral hepatitis (2006–2014), and all patients with liver disease from the Kingston Health Sciences Centre Hepatology Clinic (2013). We linked clinical information to health administrative data and tested a range of coding algorithms against the clinical reference standard. Results A total of 6,714 patients had primary chart data abstracted. A single physician visit code for cirrhosis was sensitive (98–99%), and a single hospital diagnostic code for cirrhosis was specific (91–96%). The most sensitive algorithm for decompensated cirrhosis was one cirrhosis code with any of: a hospital diagnostic code, death code, or procedure code for decompensation (range 88–99% across groups). The most specific was one cirrhosis code and one hospital diagnostic code (range 89–98% across groups). Two physician visit codes or a single hospital diagnostic code, death code, or procedure code combined with a code for cirrhosis were sensitive and specific for hepatocellular carcinoma (sensitivity 94–96%, specificity 93–98%). Conclusion These sensitive and specific algorithms can be used to define patient cohorts or detect clinical outcomes using health administrative data. Our results will facilitate research into the adequacy of screening and treatment for patients with chronic viral hepatitis or other liver diseases.","author":[{"dropping-particle":"","family":"Lapointe-Shaw","given":"Lauren","non-dropping-particle":"","parse-names":false,"suffix":""},{"dropping-particle":"","family":"Georgie","given":"Firass","non-dropping-particle":"","parse-names":false,"suffix":""},{"dropping-particle":"","family":"Carlone","given":"David","non-dropping-particle":"","parse-names":false,"suffix":""},{"dropping-particle":"","family":"Cerocchi","given":"Orlando","non-dropping-particle":"","parse-names":false,"suffix":""},{"dropping-particle":"","family":"Chung","given":"Hannah","non-dropping-particle":"","parse-names":false,"suffix":""},{"dropping-particle":"","family":"Dewit","given":"Yvonne","non-dropping-particle":"","parse-names":false,"suffix":""},{"dropping-particle":"","family":"Feld","given":"Jordan J.","non-dropping-particle":"","parse-names":false,"suffix":""},{"dropping-particle":"","family":"Holder","given":"Laura","non-dropping-particle":"","parse-names":false,"suffix":""},{"dropping-particle":"","family":"Kwong","given":"Jeffrey C.","non-dropping-particle":"","parse-names":false,"suffix":""},{"dropping-particle":"","family":"Sander","given":"Beate","non-dropping-particle":"","parse-names":false,"suffix":""},{"dropping-particle":"","family":"Flemming","given":"Jennifer A.","non-dropping-particle":"","parse-names":false,"suffix":""}],"container-title":"PloS one","id":"ITEM-1","issue":"8","issued":{"date-parts":[["2018","8","1"]]},"publisher":"PLoS One","title":"Identifying cirrhosis, decompensated cirrhosis and hepatocellular carcinoma in health administrative data: A validation study","type":"article-journal","volume":"13"},"uris":["http://www.mendeley.com/documents/?uuid=dabfec07-f0fb-30f0-a06c-9dfc707de4fb"]}],"mendeley":{"formattedCitation":"&lt;sup&gt;8&lt;/sup&gt;","plainTextFormattedCitation":"8","previouslyFormattedCitation":"[8]"},"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8</w:t>
            </w:r>
            <w:r>
              <w:rPr>
                <w:rFonts w:ascii="Times New Roman" w:hAnsi="Times New Roman" w:cs="Times New Roman"/>
                <w:sz w:val="20"/>
                <w:szCs w:val="20"/>
              </w:rPr>
              <w:fldChar w:fldCharType="end"/>
            </w:r>
          </w:p>
        </w:tc>
        <w:tc>
          <w:tcPr>
            <w:tcW w:w="2497" w:type="dxa"/>
            <w:vAlign w:val="center"/>
          </w:tcPr>
          <w:p w:rsidR="00D87961" w:rsidRPr="00C7757F" w:rsidRDefault="00D87961" w:rsidP="00856A34">
            <w:pPr>
              <w:spacing w:after="10"/>
              <w:contextualSpacing/>
              <w:rPr>
                <w:rFonts w:ascii="Times New Roman" w:hAnsi="Times New Roman" w:cs="Times New Roman"/>
                <w:b/>
                <w:sz w:val="20"/>
                <w:szCs w:val="20"/>
              </w:rPr>
            </w:pPr>
            <w:r w:rsidRPr="00C7757F">
              <w:rPr>
                <w:rFonts w:ascii="Times New Roman" w:hAnsi="Times New Roman" w:cs="Times New Roman"/>
                <w:b/>
                <w:sz w:val="20"/>
                <w:szCs w:val="20"/>
              </w:rPr>
              <w:t>Cirrhosis:</w:t>
            </w:r>
          </w:p>
          <w:p w:rsidR="00D87961" w:rsidRPr="00C7757F"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Sensitivity =</w:t>
            </w:r>
            <w:r w:rsidRPr="00C7757F">
              <w:rPr>
                <w:rFonts w:ascii="Times New Roman" w:hAnsi="Times New Roman" w:cs="Times New Roman"/>
                <w:sz w:val="20"/>
                <w:szCs w:val="20"/>
              </w:rPr>
              <w:t xml:space="preserve"> 95%</w:t>
            </w:r>
          </w:p>
          <w:p w:rsidR="00D87961" w:rsidRPr="00C7757F"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Specificity =</w:t>
            </w:r>
            <w:r w:rsidRPr="00C7757F">
              <w:rPr>
                <w:rFonts w:ascii="Times New Roman" w:hAnsi="Times New Roman" w:cs="Times New Roman"/>
                <w:sz w:val="20"/>
                <w:szCs w:val="20"/>
              </w:rPr>
              <w:t xml:space="preserve"> 78%</w:t>
            </w:r>
          </w:p>
          <w:p w:rsidR="00D87961" w:rsidRPr="00C7757F" w:rsidRDefault="00D87961" w:rsidP="00856A34">
            <w:pPr>
              <w:spacing w:after="10"/>
              <w:contextualSpacing/>
              <w:rPr>
                <w:rFonts w:ascii="Times New Roman" w:hAnsi="Times New Roman" w:cs="Times New Roman"/>
                <w:sz w:val="20"/>
                <w:szCs w:val="20"/>
              </w:rPr>
            </w:pPr>
          </w:p>
          <w:p w:rsidR="00D87961" w:rsidRPr="00C7757F" w:rsidRDefault="00D87961" w:rsidP="00856A34">
            <w:pPr>
              <w:spacing w:after="10"/>
              <w:contextualSpacing/>
              <w:rPr>
                <w:rFonts w:ascii="Times New Roman" w:hAnsi="Times New Roman" w:cs="Times New Roman"/>
                <w:b/>
                <w:sz w:val="20"/>
                <w:szCs w:val="20"/>
              </w:rPr>
            </w:pPr>
            <w:r w:rsidRPr="00C7757F">
              <w:rPr>
                <w:rFonts w:ascii="Times New Roman" w:hAnsi="Times New Roman" w:cs="Times New Roman"/>
                <w:b/>
                <w:sz w:val="20"/>
                <w:szCs w:val="20"/>
              </w:rPr>
              <w:t>Decompensated Cirrhosis:</w:t>
            </w:r>
          </w:p>
          <w:p w:rsidR="00D87961" w:rsidRPr="00C7757F"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 xml:space="preserve">Sensitivity = </w:t>
            </w:r>
            <w:r w:rsidRPr="00C7757F">
              <w:rPr>
                <w:rFonts w:ascii="Times New Roman" w:hAnsi="Times New Roman" w:cs="Times New Roman"/>
                <w:sz w:val="20"/>
                <w:szCs w:val="20"/>
              </w:rPr>
              <w:t>99%</w:t>
            </w:r>
          </w:p>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Specificity = </w:t>
            </w:r>
            <w:r w:rsidRPr="00C7757F">
              <w:rPr>
                <w:rFonts w:ascii="Times New Roman" w:hAnsi="Times New Roman" w:cs="Times New Roman"/>
                <w:sz w:val="20"/>
                <w:szCs w:val="20"/>
              </w:rPr>
              <w:t>79%</w:t>
            </w:r>
          </w:p>
        </w:tc>
      </w:tr>
      <w:tr w:rsidR="00D87961" w:rsidRPr="00C7757F" w:rsidTr="00856A34">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t>Asthma</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S</w:t>
            </w:r>
            <w:r w:rsidRPr="00C7757F">
              <w:rPr>
                <w:rFonts w:ascii="Times New Roman" w:hAnsi="Times New Roman" w:cs="Times New Roman"/>
                <w:sz w:val="20"/>
                <w:szCs w:val="20"/>
              </w:rPr>
              <w:t xml:space="preserve">DS,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OHIP</w:t>
            </w:r>
          </w:p>
        </w:tc>
        <w:tc>
          <w:tcPr>
            <w:tcW w:w="6620" w:type="dxa"/>
            <w:vAlign w:val="center"/>
          </w:tcPr>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1 or more hospital admission</w:t>
            </w:r>
            <w:r>
              <w:rPr>
                <w:rFonts w:ascii="Times New Roman" w:hAnsi="Times New Roman" w:cs="Times New Roman"/>
                <w:sz w:val="20"/>
                <w:szCs w:val="20"/>
              </w:rPr>
              <w:t>s</w:t>
            </w:r>
            <w:r w:rsidRPr="00C7757F">
              <w:rPr>
                <w:rFonts w:ascii="Times New Roman" w:hAnsi="Times New Roman" w:cs="Times New Roman"/>
                <w:sz w:val="20"/>
                <w:szCs w:val="20"/>
              </w:rPr>
              <w:t xml:space="preserve"> (DAD, SDS) for asthma, or</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2 or more physician visits (OHIP) for asthma within 2 years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According to: </w:t>
            </w:r>
          </w:p>
          <w:p w:rsidR="00D87961" w:rsidRPr="00C7757F" w:rsidRDefault="00D87961" w:rsidP="00D87961">
            <w:pPr>
              <w:pStyle w:val="ListParagraph"/>
              <w:numPr>
                <w:ilvl w:val="0"/>
                <w:numId w:val="2"/>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 493</w:t>
            </w:r>
          </w:p>
          <w:p w:rsidR="00D87961" w:rsidRPr="00C7757F" w:rsidRDefault="00D87961" w:rsidP="00D87961">
            <w:pPr>
              <w:pStyle w:val="ListParagraph"/>
              <w:numPr>
                <w:ilvl w:val="0"/>
                <w:numId w:val="2"/>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J45 or J46</w:t>
            </w:r>
          </w:p>
          <w:p w:rsidR="00D87961" w:rsidRPr="00C7757F" w:rsidRDefault="00D87961" w:rsidP="00D87961">
            <w:pPr>
              <w:pStyle w:val="ListParagraph"/>
              <w:numPr>
                <w:ilvl w:val="0"/>
                <w:numId w:val="2"/>
              </w:numPr>
              <w:spacing w:after="10"/>
              <w:rPr>
                <w:rFonts w:ascii="Times New Roman" w:hAnsi="Times New Roman" w:cs="Times New Roman"/>
                <w:sz w:val="20"/>
                <w:szCs w:val="20"/>
              </w:rPr>
            </w:pPr>
            <w:r w:rsidRPr="00C7757F">
              <w:rPr>
                <w:rFonts w:ascii="Times New Roman" w:hAnsi="Times New Roman" w:cs="Times New Roman"/>
                <w:sz w:val="20"/>
                <w:szCs w:val="20"/>
              </w:rPr>
              <w:t>OHIP diagnostic code 493</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{"citationItems":[{"id":"ITEM-1","itemData":{"DOI":"10.1093/AJE/KWQ189","ISSN":"1476-6256","PMID":"20716702","abstract":"In the 1980s and early 1990s, asthma prevalence increased significantly in most Westernized countries. In more recent years, asthma trends have been less clear, with some studies suggesting that they are still rising and others suggesting that they have stabilized or decreased. A population-based cohort study was conducted to estimate asthma prevalence and incidence trends in one large Canadian province, Ontario. All individuals with asthma living in Ontario, a province of Canada with a multicultural population of approximately 12 million, were identified in universal, population health administrative databases by using a validated health administrative case definition of asthma. Annual asthma prevalence, incidence, and all-cause mortality rates were estimated from 1996 to 2005. During this time, the prevalence of asthma increased by 70.5%. The age- and sex-standardized asthma prevalence increased from 8.5% in 1996 to 13.3% in 2005, a relative increase of 55.1% (P &lt; 0.0001). Asthma incidence rates increased in children by 30.0% and were relatively stable in adults. Overall all-cause mortality decreased. Asthma prevalence in Ontario, Canada, has increased significantly. This is attributable, in part, to an increase in the incidence of asthma in children. Effective clinical and public health strategies are needed to prevent and manage asthma in the population.","author":[{"dropping-particle":"","family":"Gershon","given":"Andrea S.","non-dropping-particle":"","parse-names":false,"suffix":""},{"dropping-particle":"","family":"Guan","given":"Jun","non-dropping-particle":"","parse-names":false,"suffix":""},{"dropping-particle":"","family":"Wang","given":"Chengning","non-dropping-particle":"","parse-names":false,"suffix":""},{"dropping-particle":"","family":"To","given":"Teresa","non-dropping-particle":"","parse-names":false,"suffix":""}],"container-title":"American journal of epidemiology","id":"ITEM-1","issue":"6","issued":{"date-parts":[["2010","9","15"]]},"page":"728-736","publisher":"Am J Epidemiol","title":"Trends in asthma prevalence and incidence in Ontario, Canada, 1996-2005: a population study","type":"article-journal","volume":"172"},"uris":["http://www.mendeley.com/documents/?uuid=6c717d8a-76db-3d10-8969-9cc5db2db863"]},{"id":"ITEM-2","itemData":{"DOI":"10.1111/J.1399-3038.2005.00346.X","ISSN":"0905-6157","PMID":"16426258","abstract":"Asthma is an important chronic childhood illness. A population-based surveillance program could measure the burden of illness, but first, the validity of an administrative diagnosis of asthma must be confirmed. The objective was to evaluate the accuracy of population-based outpatient administrative data in identifying children with asthma for the purpose of on-going asthma surveillance and research. Twenty-one primary care physician (PCP) clinics in Ontario participated. Patients under 18 yr old were categorized into three diagnosis categories according to administrative data diagnosis codes: asthma, asthma-related, and non-asthma. In each PCP clinic, for each diagnosis category, 10 charts were randomly selected for abstraction. A panel of experts (blind to the code) reviewed the abstracted charts and identified them as asthma or non-asthma. The reviewers' diagnosis was considered the gold standard. The accuracy of the administrative data diagnosis coding was analyzed using the concepts of diagnostic test evaluation. Six hundred and thirty patient charts were abstracted and reviewed. Overall agreement between the diagnosis provided by expert chart review and the administrative data diagnosis code was 84.8% (p &lt; 0.001), and was 60.2%, 94.8% and 99.5% for the asthma, asthma-related, and non-asthma categories, respectively. Additionally, the sensitivity and specificity were 91.4% and 82.9%, respectively. Agreement between the administrative data diagnosis code and the PCP chart diagnosis was 99.4% (p &lt; 0.001). An administrative data diagnosis code of asthma is sensitive and specific for identifying asthma. By using the results of this study as a starting point, future research will create a cohort of children with asthma to be used for population-based surveillance and research. © 2006 Blackwell Munksgaard.","author":[{"dropping-particle":"","family":"To","given":"Teresa","non-dropping-particle":"","parse-names":false,"suffix":""},{"dropping-particle":"","family":"Dell","given":"Sharon","non-dropping-particle":"","parse-names":false,"suffix":""},{"dropping-particle":"","family":"Dick","given":"Paul T.","non-dropping-particle":"","parse-names":false,"suffix":""},{"dropping-particle":"","family":"Cicutto","given":"Lisa","non-dropping-particle":"","parse-names":false,"suffix":""},{"dropping-particle":"","family":"Harris","given":"Jennifer K.","non-dropping-particle":"","parse-names":false,"suffix":""},{"dropping-particle":"","family":"MacLusky","given":"Ian B.","non-dropping-particle":"","parse-names":false,"suffix":""},{"dropping-particle":"","family":"Tassoudji","given":"Marjan","non-dropping-particle":"","parse-names":false,"suffix":""}],"container-title":"Pediatric allergy and immunology : official publication of the European Society of Pediatric Allergy and Immunology","id":"ITEM-2","issue":"1","issued":{"date-parts":[["2006","2"]]},"page":"69-76","publisher":"Pediatr Allergy Immunol","title":"Case verification of children with asthma in Ontario","type":"article-journal","volume":"17"},"uris":["http://www.mendeley.com/documents/?uuid=ff411aad-66a8-3eb4-be17-af9971c61741"]},{"id":"ITEM-3","itemData":{"DOI":"10.1155/2009/963098","ISSN":"1916-7245","PMID":"20011725","abstract":"BACKGROUND: Asthma imposes a heavy and expensive burden on individuals and populations. A population-based surveillance and research program based on health administrative data could measure and study the burden of asthma; however, the validity of a health administrative data diagnosis of asthma must first be confirmed. obJeCTIVe: To evaluate the accuracy of population-based provincial health administrative data in identifying adult patients with asthma for ongoing surveillance and research. MeThodS: Patients from randomly selected primary care practices were assigned to four categories according to their previous diagnoses: asthma, chronic obstructive pulmonary disease, related respiratory conditions and nonasthma conditions. In each practice, 10 charts from each category were randomly selected, abstracted, then reviewed by a blinded expert panel who identified them as asthma or nonasthma. These reference standard diagnoses were then linked to the patients' provincial records and compared with health administrative algorithms designed to identify asthma. Analyses were performed using the concepts of diagnostic test evaluation. RESULTS: A total of 518 charts, including 160 from individuals with asthma, were reviewed. The algorithm of two or more ambulatory care visits and/or one or more hospitalization(s) for asthma in two years had a sensitivity of 83.8% (95% CI 77.1% to 89.1%) and a specificity of 76.5% (95% CI 71.8% to 80.8%). CONCLUSION: Definitions of adult asthma using health administrative data are sensitive and specific for identifying adults with asthma. Using these definitions, cohorts of adults with asthma for ongoing populationbased surveillance and research can be developed. © 2009 Pulsus Group Inc. All rights reserved.","author":[{"dropping-particle":"","family":"Gershon","given":"Andrea S.","non-dropping-particle":"","parse-names":false,"suffix":""},{"dropping-particle":"","family":"Wang","given":"Chengning","non-dropping-particle":"","parse-names":false,"suffix":""},{"dropping-particle":"","family":"Guan","given":"Jun","non-dropping-particle":"","parse-names":false,"suffix":""},{"dropping-particle":"","family":"Vasilevska-Ristovska","given":"Jovanka","non-dropping-particle":"","parse-names":false,"suffix":""},{"dropping-particle":"","family":"Cicutto","given":"Lisa","non-dropping-particle":"","parse-names":false,"suffix":""},{"dropping-particle":"","family":"To","given":"Teresa","non-dropping-particle":"","parse-names":false,"suffix":""}],"container-title":"Canadian respiratory journal","id":"ITEM-3","issue":"6","issued":{"date-parts":[["2009"]]},"page":"183-188","publisher":"Can Respir J","title":"Identifying patients with physician-diagnosed asthma in health administrative databases","type":"article-journal","volume":"16"},"uris":["http://www.mendeley.com/documents/?uuid=ebccb1a0-9c98-3008-b767-ec7b49d7613d"]}],"mendeley":{"formattedCitation":"&lt;sup&gt;9–11&lt;/sup&gt;","plainTextFormattedCitation":"9–11","previouslyFormattedCitation":"[9–11]"},"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9–11</w:t>
            </w:r>
            <w:r>
              <w:rPr>
                <w:rFonts w:ascii="Times New Roman" w:hAnsi="Times New Roman" w:cs="Times New Roman"/>
                <w:sz w:val="20"/>
                <w:szCs w:val="20"/>
              </w:rPr>
              <w:fldChar w:fldCharType="end"/>
            </w:r>
          </w:p>
        </w:tc>
        <w:tc>
          <w:tcPr>
            <w:tcW w:w="2497" w:type="dxa"/>
            <w:vAlign w:val="center"/>
          </w:tcPr>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Sensitivity = </w:t>
            </w:r>
            <w:r w:rsidRPr="00C7757F">
              <w:rPr>
                <w:rFonts w:ascii="Times New Roman" w:hAnsi="Times New Roman" w:cs="Times New Roman"/>
                <w:sz w:val="20"/>
                <w:szCs w:val="20"/>
              </w:rPr>
              <w:t>80.6%</w:t>
            </w:r>
          </w:p>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Specificity = </w:t>
            </w:r>
            <w:r w:rsidRPr="00C7757F">
              <w:rPr>
                <w:rFonts w:ascii="Times New Roman" w:hAnsi="Times New Roman" w:cs="Times New Roman"/>
                <w:sz w:val="20"/>
                <w:szCs w:val="20"/>
              </w:rPr>
              <w:t xml:space="preserve">81.4% </w:t>
            </w:r>
          </w:p>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PPV = </w:t>
            </w:r>
            <w:r w:rsidRPr="00C7757F">
              <w:rPr>
                <w:rFonts w:ascii="Times New Roman" w:hAnsi="Times New Roman" w:cs="Times New Roman"/>
                <w:sz w:val="20"/>
                <w:szCs w:val="20"/>
              </w:rPr>
              <w:t>72.5%</w:t>
            </w:r>
          </w:p>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NPV = </w:t>
            </w:r>
            <w:r w:rsidRPr="00C7757F">
              <w:rPr>
                <w:rFonts w:ascii="Times New Roman" w:hAnsi="Times New Roman" w:cs="Times New Roman"/>
                <w:sz w:val="20"/>
                <w:szCs w:val="20"/>
              </w:rPr>
              <w:t>87.3%</w:t>
            </w:r>
          </w:p>
        </w:tc>
      </w:tr>
      <w:tr w:rsidR="00D87961" w:rsidRPr="00C7757F" w:rsidTr="00856A34">
        <w:trPr>
          <w:trHeight w:val="3320"/>
        </w:trPr>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lastRenderedPageBreak/>
              <w:t>Cancer</w:t>
            </w:r>
          </w:p>
        </w:tc>
        <w:tc>
          <w:tcPr>
            <w:tcW w:w="1320"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Ontario Cancer Registry</w:t>
            </w:r>
          </w:p>
        </w:tc>
        <w:tc>
          <w:tcPr>
            <w:tcW w:w="6620" w:type="dxa"/>
            <w:vAlign w:val="center"/>
          </w:tcPr>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Patients in Ontario Cancer Registry with any cancer diagnosed in the 5 years prior to cohort start date, except for non-melanoma skin cancer (ICD-O-3 Topography = C44 and Morphology = 87xx3)</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The Ontario Cancer Registry identifies patients with cancer according to 4 major data sources: </w:t>
            </w:r>
          </w:p>
          <w:p w:rsidR="00D87961" w:rsidRPr="00C7757F" w:rsidRDefault="00D87961" w:rsidP="00D87961">
            <w:pPr>
              <w:pStyle w:val="ListParagraph"/>
              <w:numPr>
                <w:ilvl w:val="0"/>
                <w:numId w:val="5"/>
              </w:numPr>
              <w:spacing w:after="10"/>
              <w:rPr>
                <w:rFonts w:ascii="Times New Roman" w:hAnsi="Times New Roman" w:cs="Times New Roman"/>
                <w:sz w:val="20"/>
                <w:szCs w:val="20"/>
              </w:rPr>
            </w:pPr>
            <w:r w:rsidRPr="00C7757F">
              <w:rPr>
                <w:rFonts w:ascii="Times New Roman" w:hAnsi="Times New Roman" w:cs="Times New Roman"/>
                <w:sz w:val="20"/>
                <w:szCs w:val="20"/>
              </w:rPr>
              <w:t>Hospitalization admission and same day surgery data (DAD, SDS, NACRS)</w:t>
            </w:r>
          </w:p>
          <w:p w:rsidR="00D87961" w:rsidRPr="00C7757F" w:rsidRDefault="00D87961" w:rsidP="00D87961">
            <w:pPr>
              <w:pStyle w:val="ListParagraph"/>
              <w:numPr>
                <w:ilvl w:val="0"/>
                <w:numId w:val="5"/>
              </w:numPr>
              <w:spacing w:after="10"/>
              <w:rPr>
                <w:rFonts w:ascii="Times New Roman" w:hAnsi="Times New Roman" w:cs="Times New Roman"/>
                <w:sz w:val="20"/>
                <w:szCs w:val="20"/>
              </w:rPr>
            </w:pPr>
            <w:r w:rsidRPr="00C7757F">
              <w:rPr>
                <w:rFonts w:ascii="Times New Roman" w:hAnsi="Times New Roman" w:cs="Times New Roman"/>
                <w:sz w:val="20"/>
                <w:szCs w:val="20"/>
              </w:rPr>
              <w:t>Pathology reports with any mention of cancer</w:t>
            </w:r>
          </w:p>
          <w:p w:rsidR="00D87961" w:rsidRDefault="00D87961" w:rsidP="00D87961">
            <w:pPr>
              <w:pStyle w:val="ListParagraph"/>
              <w:numPr>
                <w:ilvl w:val="0"/>
                <w:numId w:val="5"/>
              </w:numPr>
              <w:spacing w:after="10"/>
              <w:rPr>
                <w:rFonts w:ascii="Times New Roman" w:hAnsi="Times New Roman" w:cs="Times New Roman"/>
                <w:sz w:val="20"/>
                <w:szCs w:val="20"/>
              </w:rPr>
            </w:pPr>
            <w:r w:rsidRPr="00C7757F">
              <w:rPr>
                <w:rFonts w:ascii="Times New Roman" w:hAnsi="Times New Roman" w:cs="Times New Roman"/>
                <w:sz w:val="20"/>
                <w:szCs w:val="20"/>
              </w:rPr>
              <w:t>Records of patients referred to Cancer Care Ontario’s eight regional cancer centers or the Princess Margaret Hospital – the specialized institutions treating cancer patients in Ontario</w:t>
            </w:r>
          </w:p>
          <w:p w:rsidR="00D87961" w:rsidRPr="00746011" w:rsidRDefault="00D87961" w:rsidP="00D87961">
            <w:pPr>
              <w:pStyle w:val="ListParagraph"/>
              <w:numPr>
                <w:ilvl w:val="0"/>
                <w:numId w:val="5"/>
              </w:numPr>
              <w:spacing w:after="10"/>
              <w:rPr>
                <w:rFonts w:ascii="Times New Roman" w:hAnsi="Times New Roman" w:cs="Times New Roman"/>
                <w:sz w:val="20"/>
                <w:szCs w:val="20"/>
              </w:rPr>
            </w:pPr>
            <w:r w:rsidRPr="00746011">
              <w:rPr>
                <w:rFonts w:ascii="Times New Roman" w:hAnsi="Times New Roman" w:cs="Times New Roman"/>
                <w:sz w:val="20"/>
                <w:szCs w:val="20"/>
              </w:rPr>
              <w:t>Death c</w:t>
            </w:r>
            <w:r>
              <w:rPr>
                <w:rFonts w:ascii="Times New Roman" w:hAnsi="Times New Roman" w:cs="Times New Roman"/>
                <w:sz w:val="20"/>
                <w:szCs w:val="20"/>
              </w:rPr>
              <w:t>ertificates with cancer recorded</w:t>
            </w:r>
            <w:r w:rsidRPr="00746011">
              <w:rPr>
                <w:rFonts w:ascii="Times New Roman" w:hAnsi="Times New Roman" w:cs="Times New Roman"/>
                <w:sz w:val="20"/>
                <w:szCs w:val="20"/>
              </w:rPr>
              <w:t xml:space="preserve"> as the underlying cause of death</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No</w:t>
            </w:r>
          </w:p>
        </w:tc>
        <w:tc>
          <w:tcPr>
            <w:tcW w:w="2497" w:type="dxa"/>
            <w:vAlign w:val="center"/>
          </w:tcPr>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N/A</w:t>
            </w:r>
          </w:p>
        </w:tc>
      </w:tr>
      <w:tr w:rsidR="00D87961" w:rsidRPr="00C7757F" w:rsidTr="00856A34">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t>Cardiac ischemic disease</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DAD,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SDS</w:t>
            </w:r>
          </w:p>
        </w:tc>
        <w:tc>
          <w:tcPr>
            <w:tcW w:w="6620" w:type="dxa"/>
            <w:vAlign w:val="center"/>
          </w:tcPr>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hospital admissions for cardiac ischemic disease (DAD) in the past 5 years (i.e. angina, chronic ischemic heart disease, or myocardial infarction), or</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procedures related to cardiac ischemic disease (DAD, SDS) in the past 20 years (i.e. coronary artery bypass grafting or percutaneous coronary interventions)</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According to: </w:t>
            </w:r>
          </w:p>
          <w:p w:rsidR="00D87961" w:rsidRDefault="00D87961" w:rsidP="00D87961">
            <w:pPr>
              <w:pStyle w:val="ListParagraph"/>
              <w:numPr>
                <w:ilvl w:val="0"/>
                <w:numId w:val="11"/>
              </w:numPr>
              <w:spacing w:after="10"/>
              <w:rPr>
                <w:rFonts w:ascii="Times New Roman" w:hAnsi="Times New Roman" w:cs="Times New Roman"/>
                <w:sz w:val="20"/>
                <w:szCs w:val="20"/>
              </w:rPr>
            </w:pPr>
            <w:r>
              <w:rPr>
                <w:rFonts w:ascii="Times New Roman" w:hAnsi="Times New Roman" w:cs="Times New Roman"/>
                <w:sz w:val="20"/>
                <w:szCs w:val="20"/>
              </w:rPr>
              <w:t>ICD-9 diagnostic codes: 413, 4140, 4148, 4149, 410, 411, 412</w:t>
            </w:r>
          </w:p>
          <w:p w:rsidR="00D87961" w:rsidRPr="006B5C58" w:rsidRDefault="00D87961" w:rsidP="00D87961">
            <w:pPr>
              <w:pStyle w:val="ListParagraph"/>
              <w:numPr>
                <w:ilvl w:val="0"/>
                <w:numId w:val="11"/>
              </w:numPr>
              <w:spacing w:after="10"/>
              <w:rPr>
                <w:rFonts w:ascii="Times New Roman" w:hAnsi="Times New Roman" w:cs="Times New Roman"/>
                <w:sz w:val="20"/>
                <w:szCs w:val="20"/>
              </w:rPr>
            </w:pPr>
            <w:r>
              <w:rPr>
                <w:rFonts w:ascii="Times New Roman" w:hAnsi="Times New Roman" w:cs="Times New Roman"/>
                <w:sz w:val="20"/>
                <w:szCs w:val="20"/>
              </w:rPr>
              <w:t xml:space="preserve">ICD-10 diagnostic </w:t>
            </w:r>
            <w:r w:rsidRPr="006B5C58">
              <w:rPr>
                <w:rFonts w:ascii="Times New Roman" w:hAnsi="Times New Roman" w:cs="Times New Roman"/>
                <w:sz w:val="20"/>
                <w:szCs w:val="20"/>
              </w:rPr>
              <w:t>codes: I20, I21, I22 or I25</w:t>
            </w:r>
          </w:p>
          <w:p w:rsidR="00D87961" w:rsidRPr="006B5C58" w:rsidRDefault="00D87961" w:rsidP="00D87961">
            <w:pPr>
              <w:pStyle w:val="ListParagraph"/>
              <w:numPr>
                <w:ilvl w:val="0"/>
                <w:numId w:val="11"/>
              </w:numPr>
              <w:spacing w:after="10"/>
              <w:rPr>
                <w:rFonts w:ascii="Times New Roman" w:hAnsi="Times New Roman" w:cs="Times New Roman"/>
                <w:sz w:val="20"/>
                <w:szCs w:val="20"/>
              </w:rPr>
            </w:pPr>
            <w:r w:rsidRPr="006B5C58">
              <w:rPr>
                <w:rFonts w:ascii="Times New Roman" w:hAnsi="Times New Roman" w:cs="Times New Roman"/>
                <w:sz w:val="20"/>
                <w:szCs w:val="20"/>
              </w:rPr>
              <w:t>CCI procedure codes: 1IJ50, 1IJ5, 1IJ57 or 1IJ76</w:t>
            </w:r>
          </w:p>
          <w:p w:rsidR="00D87961" w:rsidRPr="006B5C58" w:rsidRDefault="00D87961" w:rsidP="00D87961">
            <w:pPr>
              <w:pStyle w:val="ListParagraph"/>
              <w:numPr>
                <w:ilvl w:val="0"/>
                <w:numId w:val="11"/>
              </w:numPr>
              <w:spacing w:after="10"/>
              <w:rPr>
                <w:rFonts w:ascii="Times New Roman" w:hAnsi="Times New Roman" w:cs="Times New Roman"/>
                <w:sz w:val="20"/>
                <w:szCs w:val="20"/>
              </w:rPr>
            </w:pPr>
            <w:r w:rsidRPr="006B5C58">
              <w:rPr>
                <w:rFonts w:ascii="Times New Roman" w:hAnsi="Times New Roman" w:cs="Times New Roman"/>
                <w:sz w:val="20"/>
                <w:szCs w:val="20"/>
              </w:rPr>
              <w:t>CCP pr</w:t>
            </w:r>
            <w:r>
              <w:rPr>
                <w:rFonts w:ascii="Times New Roman" w:hAnsi="Times New Roman" w:cs="Times New Roman"/>
                <w:sz w:val="20"/>
                <w:szCs w:val="20"/>
              </w:rPr>
              <w:t>ocedure codes 481, 4802 or 4803</w:t>
            </w:r>
            <w:r w:rsidRPr="006B5C58">
              <w:rPr>
                <w:rFonts w:ascii="Times New Roman" w:hAnsi="Times New Roman" w:cs="Times New Roman"/>
              </w:rPr>
              <w:t xml:space="preserve"> </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No</w:t>
            </w:r>
          </w:p>
        </w:tc>
        <w:tc>
          <w:tcPr>
            <w:tcW w:w="2497" w:type="dxa"/>
            <w:vAlign w:val="center"/>
          </w:tcPr>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N/A</w:t>
            </w:r>
          </w:p>
        </w:tc>
      </w:tr>
      <w:tr w:rsidR="00D87961" w:rsidRPr="00C7757F" w:rsidTr="00856A34">
        <w:trPr>
          <w:trHeight w:val="2060"/>
        </w:trPr>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t>Chronic kidney disease</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DAD,</w:t>
            </w:r>
          </w:p>
          <w:p w:rsidR="00D87961" w:rsidRPr="00C7757F"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 xml:space="preserve"> </w:t>
            </w:r>
            <w:r w:rsidRPr="00C7757F">
              <w:rPr>
                <w:rFonts w:ascii="Times New Roman" w:hAnsi="Times New Roman" w:cs="Times New Roman"/>
                <w:sz w:val="20"/>
                <w:szCs w:val="20"/>
              </w:rPr>
              <w:t>NACRS, OHIP</w:t>
            </w:r>
          </w:p>
        </w:tc>
        <w:tc>
          <w:tcPr>
            <w:tcW w:w="6620" w:type="dxa"/>
            <w:vAlign w:val="center"/>
          </w:tcPr>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1 or more hospitalizations for chronic kidney disease (in DAD or NACRS) in the past 5 years or</w:t>
            </w: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1 or more physician claims for treatment of chronic kidney disease (in OHIP) in the past 5 years or</w:t>
            </w: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 xml:space="preserve">1 or more dialysis codes in each of the 3 months prior to the cohort start date </w:t>
            </w:r>
          </w:p>
          <w:p w:rsidR="00D87961" w:rsidRPr="00C7757F" w:rsidRDefault="00D87961" w:rsidP="00856A34">
            <w:pPr>
              <w:spacing w:after="10"/>
              <w:contextualSpacing/>
              <w:rPr>
                <w:rFonts w:ascii="Times New Roman" w:hAnsi="Times New Roman" w:cs="Times New Roman"/>
                <w:sz w:val="20"/>
                <w:szCs w:val="20"/>
              </w:rPr>
            </w:pPr>
          </w:p>
          <w:p w:rsidR="00D87961" w:rsidRPr="00C7757F" w:rsidRDefault="00D87961" w:rsidP="00856A34">
            <w:pPr>
              <w:spacing w:after="10"/>
              <w:contextualSpacing/>
              <w:rPr>
                <w:rFonts w:ascii="Times New Roman" w:hAnsi="Times New Roman" w:cs="Times New Roman"/>
                <w:sz w:val="20"/>
                <w:szCs w:val="20"/>
              </w:rPr>
            </w:pPr>
            <w:r w:rsidRPr="00C7757F">
              <w:rPr>
                <w:rFonts w:ascii="Times New Roman" w:hAnsi="Times New Roman" w:cs="Times New Roman"/>
                <w:sz w:val="20"/>
                <w:szCs w:val="20"/>
              </w:rPr>
              <w:t>According to:</w:t>
            </w:r>
          </w:p>
          <w:p w:rsidR="00D87961" w:rsidRPr="00C7757F" w:rsidRDefault="00D87961" w:rsidP="00D87961">
            <w:pPr>
              <w:pStyle w:val="ListParagraph"/>
              <w:numPr>
                <w:ilvl w:val="0"/>
                <w:numId w:val="6"/>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E102, E112, E132, E142, I12, I13, N08, N18, or N19</w:t>
            </w:r>
          </w:p>
          <w:p w:rsidR="00D87961" w:rsidRPr="00C7757F" w:rsidRDefault="00D87961" w:rsidP="00D87961">
            <w:pPr>
              <w:pStyle w:val="ListParagraph"/>
              <w:numPr>
                <w:ilvl w:val="0"/>
                <w:numId w:val="6"/>
              </w:numPr>
              <w:spacing w:after="10"/>
              <w:rPr>
                <w:rFonts w:ascii="Times New Roman" w:hAnsi="Times New Roman" w:cs="Times New Roman"/>
                <w:sz w:val="20"/>
                <w:szCs w:val="20"/>
              </w:rPr>
            </w:pPr>
            <w:r w:rsidRPr="00C7757F">
              <w:rPr>
                <w:rFonts w:ascii="Times New Roman" w:hAnsi="Times New Roman" w:cs="Times New Roman"/>
                <w:sz w:val="20"/>
                <w:szCs w:val="20"/>
              </w:rPr>
              <w:t>OHIP diagnostic codes 403 or 585</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b/>
                <w:sz w:val="20"/>
                <w:szCs w:val="20"/>
              </w:rPr>
            </w:pPr>
            <w:r w:rsidRPr="00C7757F">
              <w:rPr>
                <w:rFonts w:ascii="Times New Roman" w:hAnsi="Times New Roman" w:cs="Times New Roman"/>
                <w:b/>
                <w:sz w:val="20"/>
                <w:szCs w:val="20"/>
              </w:rPr>
              <w:t>OR</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sz w:val="20"/>
                <w:szCs w:val="20"/>
              </w:rPr>
            </w:pPr>
            <w:r w:rsidRPr="00F87463">
              <w:rPr>
                <w:rFonts w:ascii="Times New Roman" w:hAnsi="Times New Roman" w:cs="Times New Roman"/>
                <w:b/>
                <w:sz w:val="20"/>
                <w:szCs w:val="20"/>
              </w:rPr>
              <w:lastRenderedPageBreak/>
              <w:t>Patients on chronic dialysis</w:t>
            </w:r>
            <w:r w:rsidRPr="00C7757F">
              <w:rPr>
                <w:rFonts w:ascii="Times New Roman" w:hAnsi="Times New Roman" w:cs="Times New Roman"/>
                <w:sz w:val="20"/>
                <w:szCs w:val="20"/>
              </w:rPr>
              <w:t xml:space="preserve"> in the year before cohort start date, defined as those with at least 2 of any of the following codes in OHIP, DAD or SDS separated by at least 90 days, but less than 150 days: </w:t>
            </w:r>
          </w:p>
          <w:p w:rsidR="00D87961" w:rsidRPr="00C7757F" w:rsidRDefault="00D87961" w:rsidP="00D87961">
            <w:pPr>
              <w:pStyle w:val="ListParagraph"/>
              <w:numPr>
                <w:ilvl w:val="0"/>
                <w:numId w:val="7"/>
              </w:numPr>
              <w:spacing w:after="10"/>
              <w:rPr>
                <w:rFonts w:ascii="Times New Roman" w:hAnsi="Times New Roman" w:cs="Times New Roman"/>
                <w:lang w:val="it-IT"/>
              </w:rPr>
            </w:pPr>
            <w:r w:rsidRPr="00C7757F">
              <w:rPr>
                <w:rFonts w:ascii="Times New Roman" w:hAnsi="Times New Roman" w:cs="Times New Roman"/>
                <w:sz w:val="20"/>
                <w:szCs w:val="20"/>
              </w:rPr>
              <w:t>OHIP service codes R849, G323, G325, G326, G860, G862, G865 G863, G866, G330, G331, G332, G333, G861, G082, G083, G085, G090, G091, G092, G093, G094, G095, G096, G294, G295, G864, H540, or H740</w:t>
            </w:r>
          </w:p>
          <w:p w:rsidR="00D87961" w:rsidRPr="00326F4F" w:rsidRDefault="00D87961" w:rsidP="00D87961">
            <w:pPr>
              <w:pStyle w:val="ListParagraph"/>
              <w:numPr>
                <w:ilvl w:val="0"/>
                <w:numId w:val="7"/>
              </w:numPr>
              <w:spacing w:after="10"/>
              <w:rPr>
                <w:rFonts w:ascii="Times New Roman" w:hAnsi="Times New Roman" w:cs="Times New Roman"/>
                <w:lang w:val="it-IT"/>
              </w:rPr>
            </w:pPr>
            <w:r w:rsidRPr="00C7757F">
              <w:rPr>
                <w:rFonts w:ascii="Times New Roman" w:hAnsi="Times New Roman" w:cs="Times New Roman"/>
              </w:rPr>
              <w:t>CCI</w:t>
            </w:r>
            <w:r w:rsidRPr="00C7757F">
              <w:rPr>
                <w:rFonts w:ascii="Times New Roman" w:hAnsi="Times New Roman" w:cs="Times New Roman"/>
                <w:sz w:val="20"/>
                <w:szCs w:val="20"/>
              </w:rPr>
              <w:t xml:space="preserve"> procedure codes 5195, or 6698</w:t>
            </w:r>
          </w:p>
          <w:p w:rsidR="00D87961" w:rsidRPr="00326F4F" w:rsidRDefault="00D87961" w:rsidP="00D87961">
            <w:pPr>
              <w:pStyle w:val="ListParagraph"/>
              <w:numPr>
                <w:ilvl w:val="0"/>
                <w:numId w:val="7"/>
              </w:numPr>
              <w:spacing w:after="10"/>
              <w:rPr>
                <w:rFonts w:ascii="Times New Roman" w:hAnsi="Times New Roman" w:cs="Times New Roman"/>
                <w:lang w:val="it-IT"/>
              </w:rPr>
            </w:pPr>
            <w:r w:rsidRPr="00326F4F">
              <w:rPr>
                <w:rFonts w:ascii="Times New Roman" w:hAnsi="Times New Roman" w:cs="Times New Roman"/>
                <w:sz w:val="20"/>
                <w:szCs w:val="20"/>
              </w:rPr>
              <w:t>CCP procedure code 1PZ21</w:t>
            </w:r>
          </w:p>
        </w:tc>
        <w:tc>
          <w:tcPr>
            <w:tcW w:w="1683" w:type="dxa"/>
            <w:vAlign w:val="center"/>
          </w:tcPr>
          <w:p w:rsidR="00D87961" w:rsidRPr="0097097A" w:rsidRDefault="00856A34" w:rsidP="00856A34">
            <w:pPr>
              <w:spacing w:after="10"/>
              <w:jc w:val="center"/>
              <w:rPr>
                <w:rFonts w:ascii="Times New Roman" w:hAnsi="Times New Roman" w:cs="Times New Roman"/>
                <w:sz w:val="20"/>
                <w:szCs w:val="20"/>
              </w:rPr>
            </w:pPr>
            <w:r>
              <w:rPr>
                <w:rFonts w:ascii="Times New Roman" w:hAnsi="Times New Roman" w:cs="Times New Roman"/>
                <w:sz w:val="20"/>
                <w:szCs w:val="20"/>
              </w:rPr>
              <w:lastRenderedPageBreak/>
              <w:t>Yes</w:t>
            </w:r>
            <w:r w:rsidR="00D87961">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{"citationItems":[{"id":"ITEM-1","itemData":{"DOI":"10.1186/1471-2369-14-81","ISSN":"1471-2369","PMID":"23560464","abstract":"Background: Large, population-based administrative healthcare databases can be used to identify patients with chronic kidney disease (CKD) when serum creatinine laboratory results are unavailable. We examined the validity of algorithms that used combined hospital encounter and physician claims database codes for the detection of CKD in Ontario, Canada. Methods. We accrued 123,499 patients over the age of 65 from 2007 to 2010. All patients had a baseline serum creatinine value to estimate glomerular filtration rate (eGFR). We developed an algorithm of physician claims and hospital encounter codes to search administrative databases for the presence of CKD. We determined the sensitivity, specificity, positive and negative predictive values of this algorithm to detect our primary threshold of CKD, an eGFR &lt;45 mL/min per 1.73 m 2 (15.4% of patients). We also assessed serum creatinine and eGFR values in patients with and without CKD codes (algorithm positive and negative, respectively). Results: Our algorithm required evidence of at least one of eleven CKD codes and 7.7% of patients were algorithm positive. The sensitivity was 32.7% [95% confidence interval: (95% CI): 32.0 to 33.3%]. Sensitivity was lower in women compared to men (25.7 vs. 43.7%; p &lt;0.001) and in the oldest age category (over 80 vs. 66 to 80; 28.4 vs. 37.6 %; p &lt; 0.001). All specificities were over 94%. The positive and negative predictive values were 65.4% (95% CI: 64.4 to 66.3%) and 88.8% (95% CI: 88.6 to 89.0%), respectively. In algorithm positive patients, the median [interquartile range (IQR)] baseline serum creatinine value was 135 μmol/L (106 to 179 μmol/L) compared to 82 μmol/L (69 to 98 μmol/L) for algorithm negative patients. Corresponding eGFR values were 38 mL/min per 1.73 m2 (26 to 51 mL/min per 1.73 m2) vs. 69 mL/min per 1.73 m2 (56 to 82 mL/min per 1.73 m2), respectively. Conclusions: Patients with CKD as identified by our database algorithm had distinctly higher baseline serum creatinine values and lower eGFR values than those without such codes. However, because of limited sensitivity, the prevalence of CKD was underestimated. © 2013 Fleet et al.; licensee BioMed Central Ltd.","author":[{"dropping-particle":"","family":"Fleet","given":"Jamie L.","non-dropping-particle":"","parse-names":false,"suffix":""},{"dropping-particle":"","family":"Dixon","given":"Stephanie N.","non-dropping-particle":"","parse-names":false,"suffix":""},{"dropping-particle":"","family":"Shariff","given":"Salimah Z.","non-dropping-particle":"","parse-names":false,"suffix":""},{"dropping-particle":"","family":"Quinn","given":"Robert R.","non-dropping-particle":"","parse-names":false,"suffix":""},{"dropping-particle":"","family":"Nash","given":"Danielle M.","non-dropping-particle":"","parse-names":false,"suffix":""},{"dropping-particle":"","family":"Harel","given":"Ziv","non-dropping-particle":"","parse-names":false,"suffix":""},{"dropping-particle":"","family":"Garg","given":"Amit X.","non-dropping-particle":"","parse-names":false,"suffix":""}],"container-title":"BMC nephrology","id":"ITEM-1","issue":"1","issued":{"date-parts":[["2013"]]},"publisher":"BMC Nephrol","title":"Detecting chronic kidney disease in population-based administrative databases using an algorithm of hospital encounter and physician claim codes","type":"article-journal","volume":"14"},"uris":["http://www.mendeley.com/documents/?uuid=b29ab682-346f-324d-a152-0926d684e011"]},{"id":"ITEM-2","itemData":{"DOI":"10.1186/1471-2288-11-25","ISSN":"1471-2288","PMID":"21362182","abstract":"Background: Administrative health care databases offer an efficient and accessible, though as-yet unvalidated, approach to studying outcomes of patients with chronic kidney disease and end-stage renal disease (ESRD). The objective of this study is to determine the validity of outpatient physician billing derived algorithms for defining chronic dialysis compared to a reference standard ESRD registry. Methods. A cohort of incident dialysis patients (Jan. 1 - Dec. 31, 2008) and prevalent chronic dialysis patients (Jan 1, 2008) was selected from a geographically inclusive ESRD registry and administrative database. Four administrative data definitions were considered: at least 1 outpatient claim, at least 2 outpatient claims, at least 2 outpatient claims at least 90 days apart, and continuous outpatient claims at least 90 days apart with no gap in claims greater than 21 days. Measures of agreement of the four administrative data definitions were compared to a reference standard (ESRD registry). Basic patient characteristics are compared between all 5 patient groups. Results: 1,118,097 individuals formed the overall population and 2,227 chronic dialysis patients were included in the ESRD registry. The three definitions requiring at least 2 outpatient claims resulted in kappa statistics between 0.60-0.80 indicating \"substantial\" agreement. \"At least 1 outpatient claim\" resulted in \"excellent\" agreement with a kappa statistic of 0.81. Conclusions: Of the four definitions, the simplest (at least 1 outpatient claim) performed comparatively to other definitions. The limitations of this work are the billing codes used are developed in Canada, however, other countries use similar billing practices and thus the codes could easily be mapped to other systems. Our reference standard ESRD registry may not capture all dialysis patients resulting in some misclassification. The registry is linked to on-going care so this is likely to be minimal. The definition utilized will vary with the research objective. © 2011 Clement et al; licensee BioMed Central Ltd.","author":[{"dropping-particle":"","family":"Clement","given":"Fiona M.","non-dropping-particle":"","parse-names":false,"suffix":""},{"dropping-particle":"","family":"James","given":"Matthew T.","non-dropping-particle":"","parse-names":false,"suffix":""},{"dropping-particle":"","family":"Chin","given":"Rick","non-dropping-particle":"","parse-names":false,"suffix":""},{"dropping-particle":"","family":"Klarenbach","given":"Scott W.","non-dropping-particle":"","parse-names":false,"suffix":""},{"dropping-particle":"","family":"Manns","given":"Braden J.","non-dropping-particle":"","parse-names":false,"suffix":""},{"dropping-particle":"","family":"Quinn","given":"Robert R.","non-dropping-particle":"","parse-names":false,"suffix":""},{"dropping-particle":"","family":"Ravani","given":"Pietro","non-dropping-particle":"","parse-names":false,"suffix":""},{"dropping-particle":"","family":"Tonelli","given":"Marcello","non-dropping-particle":"","parse-names":false,"suffix":""},{"dropping-particle":"","family":"Hemmelgarn","given":"Brenda R.","non-dropping-particle":"","parse-names":false,"suffix":""}],"container-title":"BMC medical research methodology","id":"ITEM-2","issued":{"date-parts":[["2011"]]},"publisher":"BMC Med Res Methodol","title":"Validation of a case definition to define chronic dialysis using outpatient administrative data","type":"article-journal","volume":"11"},"uris":["http://www.mendeley.com/documents/?uuid=13fe9d66-cccb-3783-affa-fed3a1a5303e"]}],"mendeley":{"formattedCitation":"&lt;sup&gt;12,13&lt;/sup&gt;","plainTextFormattedCitation":"12,13","previouslyFormattedCitation":"[12,13]"},"properties":{"noteIndex":0},"schema":"https://github.com/citation-style-language/schema/raw/master/csl-citation.json"}</w:instrText>
            </w:r>
            <w:r w:rsidR="00D87961">
              <w:rPr>
                <w:rFonts w:ascii="Times New Roman" w:hAnsi="Times New Roman" w:cs="Times New Roman"/>
                <w:sz w:val="20"/>
                <w:szCs w:val="20"/>
              </w:rPr>
              <w:fldChar w:fldCharType="separate"/>
            </w:r>
            <w:r w:rsidRPr="00856A34">
              <w:rPr>
                <w:rFonts w:ascii="Times New Roman" w:hAnsi="Times New Roman" w:cs="Times New Roman"/>
                <w:noProof/>
                <w:sz w:val="20"/>
                <w:szCs w:val="20"/>
                <w:vertAlign w:val="superscript"/>
              </w:rPr>
              <w:t>12,13</w:t>
            </w:r>
            <w:r w:rsidR="00D87961">
              <w:rPr>
                <w:rFonts w:ascii="Times New Roman" w:hAnsi="Times New Roman" w:cs="Times New Roman"/>
                <w:sz w:val="20"/>
                <w:szCs w:val="20"/>
              </w:rPr>
              <w:fldChar w:fldCharType="end"/>
            </w:r>
          </w:p>
        </w:tc>
        <w:tc>
          <w:tcPr>
            <w:tcW w:w="2497" w:type="dxa"/>
            <w:vAlign w:val="center"/>
          </w:tcPr>
          <w:p w:rsidR="00D87961" w:rsidRDefault="00D87961" w:rsidP="00856A34">
            <w:pPr>
              <w:spacing w:after="10"/>
              <w:rPr>
                <w:rFonts w:ascii="Times New Roman" w:hAnsi="Times New Roman" w:cs="Times New Roman"/>
                <w:sz w:val="20"/>
                <w:szCs w:val="20"/>
              </w:rPr>
            </w:pPr>
            <w:r w:rsidRPr="00ED765B">
              <w:rPr>
                <w:rFonts w:ascii="Times New Roman" w:hAnsi="Times New Roman" w:cs="Times New Roman"/>
                <w:b/>
                <w:sz w:val="20"/>
                <w:szCs w:val="20"/>
              </w:rPr>
              <w:t>Chronic kidney disease:</w:t>
            </w:r>
            <w:r>
              <w:rPr>
                <w:rFonts w:ascii="Times New Roman" w:hAnsi="Times New Roman" w:cs="Times New Roman"/>
                <w:sz w:val="20"/>
                <w:szCs w:val="20"/>
              </w:rPr>
              <w:t xml:space="preserve"> </w:t>
            </w:r>
            <w:r>
              <w:rPr>
                <w:rFonts w:ascii="Times New Roman" w:hAnsi="Times New Roman" w:cs="Times New Roman"/>
                <w:sz w:val="20"/>
                <w:szCs w:val="20"/>
              </w:rPr>
              <w:br/>
              <w:t>Sensitivity = 32.7%</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Specificity = 96.9%</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PPV = 65.4%</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NPV = 88.8%</w:t>
            </w:r>
          </w:p>
          <w:p w:rsidR="00D87961" w:rsidRDefault="00D87961" w:rsidP="00856A34">
            <w:pPr>
              <w:spacing w:after="10"/>
              <w:rPr>
                <w:rFonts w:ascii="Times New Roman" w:hAnsi="Times New Roman" w:cs="Times New Roman"/>
                <w:sz w:val="20"/>
                <w:szCs w:val="20"/>
              </w:rPr>
            </w:pPr>
          </w:p>
          <w:p w:rsidR="00D87961" w:rsidRPr="00ED765B" w:rsidRDefault="00D87961" w:rsidP="00856A34">
            <w:pPr>
              <w:spacing w:after="10"/>
              <w:rPr>
                <w:rFonts w:ascii="Times New Roman" w:hAnsi="Times New Roman" w:cs="Times New Roman"/>
                <w:b/>
                <w:sz w:val="20"/>
                <w:szCs w:val="20"/>
              </w:rPr>
            </w:pPr>
            <w:r w:rsidRPr="00ED765B">
              <w:rPr>
                <w:rFonts w:ascii="Times New Roman" w:hAnsi="Times New Roman" w:cs="Times New Roman"/>
                <w:b/>
                <w:sz w:val="20"/>
                <w:szCs w:val="20"/>
              </w:rPr>
              <w:t xml:space="preserve">Chronic dialysis: </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Sensitivity = 78.63%</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Specificity = 99.96%</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PPV = 80.65%</w:t>
            </w:r>
          </w:p>
          <w:p w:rsidR="00D87961" w:rsidRPr="00C7757F"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NPV = 99.96%</w:t>
            </w:r>
          </w:p>
        </w:tc>
      </w:tr>
      <w:tr w:rsidR="00D87961" w:rsidRPr="00C7757F" w:rsidTr="00856A34">
        <w:trPr>
          <w:trHeight w:val="1889"/>
        </w:trPr>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t>Chronic obstructive pulmonary disease</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SDS,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OHIP</w:t>
            </w:r>
          </w:p>
        </w:tc>
        <w:tc>
          <w:tcPr>
            <w:tcW w:w="6620" w:type="dxa"/>
            <w:vAlign w:val="center"/>
          </w:tcPr>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1 or more hospital admission (DAD or SDS) for COPD or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1 or more physician visit (OHIP) for COPD</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According to: </w:t>
            </w:r>
          </w:p>
          <w:p w:rsidR="00D87961" w:rsidRPr="00C7757F" w:rsidRDefault="00D87961" w:rsidP="00D87961">
            <w:pPr>
              <w:pStyle w:val="ListParagraph"/>
              <w:numPr>
                <w:ilvl w:val="0"/>
                <w:numId w:val="3"/>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codes 491, 492 or 496;</w:t>
            </w:r>
          </w:p>
          <w:p w:rsidR="00D87961" w:rsidRPr="00C7757F" w:rsidRDefault="00D87961" w:rsidP="00D87961">
            <w:pPr>
              <w:pStyle w:val="ListParagraph"/>
              <w:numPr>
                <w:ilvl w:val="0"/>
                <w:numId w:val="3"/>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J41, J42, J43 or J44</w:t>
            </w:r>
          </w:p>
          <w:p w:rsidR="00D87961" w:rsidRPr="00C7757F" w:rsidRDefault="00D87961" w:rsidP="00D87961">
            <w:pPr>
              <w:pStyle w:val="ListParagraph"/>
              <w:numPr>
                <w:ilvl w:val="0"/>
                <w:numId w:val="3"/>
              </w:numPr>
              <w:spacing w:after="10"/>
              <w:rPr>
                <w:rFonts w:ascii="Times New Roman" w:hAnsi="Times New Roman" w:cs="Times New Roman"/>
                <w:sz w:val="20"/>
                <w:szCs w:val="20"/>
              </w:rPr>
            </w:pPr>
            <w:r w:rsidRPr="00C7757F">
              <w:rPr>
                <w:rFonts w:ascii="Times New Roman" w:hAnsi="Times New Roman" w:cs="Times New Roman"/>
                <w:sz w:val="20"/>
                <w:szCs w:val="20"/>
              </w:rPr>
              <w:t>OHIP diagnostic codes 491, 492 or 496</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{"citationItems":[{"id":"ITEM-1","itemData":{"DOI":"10.1080/15412550903140865","ISSN":"1541-2563","PMID":"19863368","abstract":"Chronic Obstructive Pulmonary Disease (COPD) is a common chronic respiratory disease responsible for significant morbidity and mortality. Population-based health administrative databases provide a powerful and unbiased way of studying COPD in the population, however, their ability to accurately identify patients with this disease must first be confirmed. The objective was to validate population-based health administrative definitions of COPD. Previously abstracted medical records of adults over the age of 35 randomly selected from primary care practices in Ontario, Canada were reviewed by an expert panel to establish if an individual did or did not have a diagnosis of COPD. These reference designations were then linked to each individual's respective health administrative database record and compared with predefine health administrative data definitions of COPD. Concepts of diagnostic test evaluation were used to calculate and compare their test characteristics. The most sensitive health administrative definition of COPD was 1 or more ambulatory claims and/or 1 or more hospitalizations for COPD that yielded a sensitivity of 85.0 (95 confidence interval 77.0 to 91.0) and a specificity of 78.4 (95 confidence interval 73.6 to 82.7). As number of ambulatory claims in the definition increased, sensitivity decreased and specificity increased. Individuals with COPD can be accurately identified in health administrative data, and therefore it may be used to create an unbiased population cohort for surveillance and research. This offers a powerful means of generating evidence to inform strategies that optimize the prevention and management of COPD. © 2009 Informa UK Ltd All rights reserved.","author":[{"dropping-particle":"","family":"Gershon","given":"A. S.","non-dropping-particle":"","parse-names":false,"suffix":""},{"dropping-particle":"","family":"Wang","given":"C.","non-dropping-particle":"","parse-names":false,"suffix":""},{"dropping-particle":"","family":"Guan","given":"J.","non-dropping-particle":"","parse-names":false,"suffix":""},{"dropping-particle":"","family":"Vasilevska-Ristovska","given":"J.","non-dropping-particle":"","parse-names":false,"suffix":""},{"dropping-particle":"","family":"Cicutto","given":"L.","non-dropping-particle":"","parse-names":false,"suffix":""},{"dropping-particle":"","family":"To","given":"T.","non-dropping-particle":"","parse-names":false,"suffix":""}],"container-title":"COPD","id":"ITEM-1","issue":"5","issued":{"date-parts":[["2009"]]},"page":"388-394","publisher":"COPD","title":"Identifying individuals with physcian diagnosed COPD in health administrative databases","type":"article-journal","volume":"6"},"uris":["http://www.mendeley.com/documents/?uuid=e222f82c-3f48-3442-90c6-bf96ea2799be"]}],"mendeley":{"formattedCitation":"&lt;sup&gt;14&lt;/sup&gt;","plainTextFormattedCitation":"14","previouslyFormattedCitation":"[14]"},"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14</w:t>
            </w:r>
            <w:r>
              <w:rPr>
                <w:rFonts w:ascii="Times New Roman" w:hAnsi="Times New Roman" w:cs="Times New Roman"/>
                <w:sz w:val="20"/>
                <w:szCs w:val="20"/>
              </w:rPr>
              <w:fldChar w:fldCharType="end"/>
            </w:r>
          </w:p>
        </w:tc>
        <w:tc>
          <w:tcPr>
            <w:tcW w:w="2497" w:type="dxa"/>
            <w:vAlign w:val="center"/>
          </w:tcPr>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Sensitivity: 85.0%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Specificity: 78.4%</w:t>
            </w:r>
          </w:p>
        </w:tc>
      </w:tr>
      <w:tr w:rsidR="00D87961" w:rsidRPr="00C7757F" w:rsidTr="00856A34">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t>Congestive heart failure</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NACRS, </w:t>
            </w:r>
          </w:p>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SDS,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OHIP</w:t>
            </w:r>
          </w:p>
        </w:tc>
        <w:tc>
          <w:tcPr>
            <w:tcW w:w="6620" w:type="dxa"/>
            <w:vAlign w:val="center"/>
          </w:tcPr>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hospital admissions (DAD, SDS) for congestive heart failure among individuals aged 40 years or older, or</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physician claim (OHIP) or emergency department record (NACRS) for congestive heart failure within one year, followed by a second record with a congestive heart failure diagnosis from any source among individuals aged 40 years or older</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According to: </w:t>
            </w:r>
          </w:p>
          <w:p w:rsidR="00D87961" w:rsidRDefault="00D87961" w:rsidP="00D87961">
            <w:pPr>
              <w:pStyle w:val="ListParagraph"/>
              <w:numPr>
                <w:ilvl w:val="0"/>
                <w:numId w:val="12"/>
              </w:numPr>
              <w:spacing w:after="10"/>
              <w:rPr>
                <w:rFonts w:ascii="Times New Roman" w:hAnsi="Times New Roman" w:cs="Times New Roman"/>
                <w:sz w:val="20"/>
                <w:szCs w:val="20"/>
              </w:rPr>
            </w:pPr>
            <w:r>
              <w:rPr>
                <w:rFonts w:ascii="Times New Roman" w:hAnsi="Times New Roman" w:cs="Times New Roman"/>
                <w:sz w:val="20"/>
                <w:szCs w:val="20"/>
              </w:rPr>
              <w:t>ICD-9 diagnosis code: 428</w:t>
            </w:r>
          </w:p>
          <w:p w:rsidR="00D87961" w:rsidRDefault="00D87961" w:rsidP="00D87961">
            <w:pPr>
              <w:pStyle w:val="ListParagraph"/>
              <w:numPr>
                <w:ilvl w:val="0"/>
                <w:numId w:val="12"/>
              </w:numPr>
              <w:spacing w:after="10"/>
              <w:rPr>
                <w:rFonts w:ascii="Times New Roman" w:hAnsi="Times New Roman" w:cs="Times New Roman"/>
                <w:sz w:val="20"/>
                <w:szCs w:val="20"/>
              </w:rPr>
            </w:pPr>
            <w:r>
              <w:rPr>
                <w:rFonts w:ascii="Times New Roman" w:hAnsi="Times New Roman" w:cs="Times New Roman"/>
                <w:sz w:val="20"/>
                <w:szCs w:val="20"/>
              </w:rPr>
              <w:t>ICD-10 diagnosis codes: I500, I501, or I509</w:t>
            </w:r>
          </w:p>
          <w:p w:rsidR="00D87961" w:rsidRPr="002339AC" w:rsidRDefault="00D87961" w:rsidP="00D87961">
            <w:pPr>
              <w:pStyle w:val="ListParagraph"/>
              <w:numPr>
                <w:ilvl w:val="0"/>
                <w:numId w:val="12"/>
              </w:numPr>
              <w:spacing w:after="10"/>
              <w:rPr>
                <w:rFonts w:ascii="Times New Roman" w:hAnsi="Times New Roman" w:cs="Times New Roman"/>
                <w:sz w:val="20"/>
                <w:szCs w:val="20"/>
              </w:rPr>
            </w:pPr>
            <w:r>
              <w:rPr>
                <w:rFonts w:ascii="Times New Roman" w:hAnsi="Times New Roman" w:cs="Times New Roman"/>
                <w:sz w:val="20"/>
                <w:szCs w:val="20"/>
              </w:rPr>
              <w:t>OHIP diagnosis code: 428</w:t>
            </w:r>
          </w:p>
        </w:tc>
        <w:tc>
          <w:tcPr>
            <w:tcW w:w="1683" w:type="dxa"/>
            <w:vAlign w:val="center"/>
          </w:tcPr>
          <w:p w:rsidR="00D87961" w:rsidRPr="00C7757F" w:rsidRDefault="00856A34" w:rsidP="00856A34">
            <w:pPr>
              <w:spacing w:after="10"/>
              <w:jc w:val="center"/>
              <w:rPr>
                <w:rFonts w:ascii="Times New Roman" w:hAnsi="Times New Roman" w:cs="Times New Roman"/>
                <w:sz w:val="20"/>
                <w:szCs w:val="20"/>
              </w:rPr>
            </w:pPr>
            <w:r>
              <w:rPr>
                <w:rFonts w:ascii="Times New Roman" w:hAnsi="Times New Roman" w:cs="Times New Roman"/>
                <w:sz w:val="20"/>
                <w:szCs w:val="20"/>
              </w:rPr>
              <w:t>Yes</w:t>
            </w:r>
            <w:r w:rsidR="00D87961">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{"citationItems":[{"id":"ITEM-1","itemData":{"DOI":"10.24095/HPCDP.33.3.06","ISSN":"02288699","PMID":"23735455","abstract":"Introduction: To determine if using a combination of hospital administrative data and ambulatory care physician billings can accurately identify patients with congestive heart failure (CHF), we tested 9 algorithms for identifying individuals with CHF from administrative data. Methods: The validation cohort against which the 9 algorithms were tested combined data from a random sample of adult patients from EMRALD, an electronic medical record database of primary care physicians in Ontario, Canada, and data collected in 2004/05 from a random sample of primary care patients for a study of hypertension. Algorithms were evaluated on sensitivity, specificity, positive predictive value, area under the curve on the ROC graph and the combination of likelihood ratio positive and negative. Results: We found that that one hospital record or one physician billing followed by a second record from either source within one year had the best result, with a sensitivity of 84.8% and a specificity of 97.0%. Conclusion: Population prevalence of CHF can be accurately measured using combined administrative data from hospitalization and ambulatory care.","author":[{"dropping-particle":"","family":"Schultz","given":"Susan E.","non-dropping-particle":"","parse-names":false,"suffix":""},{"dropping-particle":"","family":"Rothwell","given":"D. M.","non-dropping-particle":"","parse-names":false,"suffix":""},{"dropping-particle":"","family":"Chen","given":"Z.","non-dropping-particle":"","parse-names":false,"suffix":""},{"dropping-particle":"","family":"Tu","given":"K.","non-dropping-particle":"","parse-names":false,"suffix":""}],"container-title":"Chronic Diseases and Injuries in Canada","id":"ITEM-1","issue":"3","issued":{"date-parts":[["2013","6"]]},"page":"160-166","title":"Identifying cases of congestive heart failure from administrative data: A validation study using primary care patient records","type":"article-journal","volume":"33"},"uris":["http://www.mendeley.com/documents/?uuid=cfe0c0bd-9015-316c-95a2-27732e61aa74"]}],"mendeley":{"formattedCitation":"&lt;sup&gt;15&lt;/sup&gt;","plainTextFormattedCitation":"15","previouslyFormattedCitation":"[15]"},"properties":{"noteIndex":0},"schema":"https://github.com/citation-style-language/schema/raw/master/csl-citation.json"}</w:instrText>
            </w:r>
            <w:r w:rsidR="00D87961">
              <w:rPr>
                <w:rFonts w:ascii="Times New Roman" w:hAnsi="Times New Roman" w:cs="Times New Roman"/>
                <w:sz w:val="20"/>
                <w:szCs w:val="20"/>
              </w:rPr>
              <w:fldChar w:fldCharType="separate"/>
            </w:r>
            <w:r w:rsidRPr="00856A34">
              <w:rPr>
                <w:rFonts w:ascii="Times New Roman" w:hAnsi="Times New Roman" w:cs="Times New Roman"/>
                <w:noProof/>
                <w:sz w:val="20"/>
                <w:szCs w:val="20"/>
                <w:vertAlign w:val="superscript"/>
              </w:rPr>
              <w:t>15</w:t>
            </w:r>
            <w:r w:rsidR="00D87961">
              <w:rPr>
                <w:rFonts w:ascii="Times New Roman" w:hAnsi="Times New Roman" w:cs="Times New Roman"/>
                <w:sz w:val="20"/>
                <w:szCs w:val="20"/>
              </w:rPr>
              <w:fldChar w:fldCharType="end"/>
            </w:r>
          </w:p>
        </w:tc>
        <w:tc>
          <w:tcPr>
            <w:tcW w:w="2497" w:type="dxa"/>
            <w:vAlign w:val="center"/>
          </w:tcPr>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Sensitivity: 84.8%</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Specificity: 97.0%</w:t>
            </w:r>
          </w:p>
          <w:p w:rsidR="00D87961" w:rsidRPr="002339AC"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PPV: 55.6%</w:t>
            </w:r>
          </w:p>
        </w:tc>
      </w:tr>
      <w:tr w:rsidR="00D87961" w:rsidRPr="00C7757F" w:rsidTr="00856A34">
        <w:trPr>
          <w:trHeight w:val="4220"/>
        </w:trPr>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lastRenderedPageBreak/>
              <w:t>Dementia or frailty</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SDS, </w:t>
            </w:r>
          </w:p>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 xml:space="preserve">OHIP,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ODB</w:t>
            </w:r>
          </w:p>
          <w:p w:rsidR="00D87961" w:rsidRPr="00C7757F" w:rsidRDefault="00D87961" w:rsidP="00856A34">
            <w:pPr>
              <w:spacing w:after="10"/>
              <w:jc w:val="center"/>
              <w:rPr>
                <w:rFonts w:ascii="Times New Roman" w:hAnsi="Times New Roman" w:cs="Times New Roman"/>
                <w:sz w:val="20"/>
                <w:szCs w:val="20"/>
              </w:rPr>
            </w:pPr>
          </w:p>
        </w:tc>
        <w:tc>
          <w:tcPr>
            <w:tcW w:w="6620" w:type="dxa"/>
            <w:vAlign w:val="center"/>
          </w:tcPr>
          <w:p w:rsidR="00D87961" w:rsidRPr="00C7757F" w:rsidRDefault="00D87961" w:rsidP="00856A34">
            <w:pPr>
              <w:spacing w:after="10"/>
              <w:rPr>
                <w:rFonts w:ascii="Times New Roman" w:hAnsi="Times New Roman" w:cs="Times New Roman"/>
                <w:sz w:val="20"/>
                <w:szCs w:val="20"/>
              </w:rPr>
            </w:pPr>
            <w:r w:rsidRPr="00E6002C">
              <w:rPr>
                <w:rFonts w:ascii="Times New Roman" w:hAnsi="Times New Roman" w:cs="Times New Roman"/>
                <w:b/>
                <w:sz w:val="20"/>
                <w:szCs w:val="20"/>
              </w:rPr>
              <w:t xml:space="preserve">Patients with </w:t>
            </w:r>
            <w:r w:rsidRPr="00C7757F">
              <w:rPr>
                <w:rFonts w:ascii="Times New Roman" w:hAnsi="Times New Roman" w:cs="Times New Roman"/>
                <w:b/>
                <w:sz w:val="20"/>
                <w:szCs w:val="20"/>
              </w:rPr>
              <w:t>dementia</w:t>
            </w:r>
            <w:r w:rsidRPr="00C7757F">
              <w:rPr>
                <w:rFonts w:ascii="Times New Roman" w:hAnsi="Times New Roman" w:cs="Times New Roman"/>
                <w:sz w:val="20"/>
                <w:szCs w:val="20"/>
              </w:rPr>
              <w:t xml:space="preserve">, defined as those with: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3 physician visits for dementia (in OHIP), each recorded at least 30 days apart in a 2-year period or</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1 hospitalization or same day surgery for dementia (in DAD, SDS) or</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1 ODB claim for a dispensed dementia medication (cholinesterase inhibitors) </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According to: </w:t>
            </w:r>
          </w:p>
          <w:p w:rsidR="00D87961" w:rsidRPr="00C7757F" w:rsidRDefault="00D87961" w:rsidP="00D87961">
            <w:pPr>
              <w:pStyle w:val="ListParagraph"/>
              <w:numPr>
                <w:ilvl w:val="0"/>
                <w:numId w:val="10"/>
              </w:numPr>
              <w:spacing w:after="10"/>
              <w:rPr>
                <w:rFonts w:ascii="Times New Roman" w:hAnsi="Times New Roman" w:cs="Times New Roman"/>
                <w:sz w:val="20"/>
                <w:szCs w:val="20"/>
              </w:rPr>
            </w:pPr>
            <w:r w:rsidRPr="00C7757F">
              <w:rPr>
                <w:rFonts w:ascii="Times New Roman" w:hAnsi="Times New Roman" w:cs="Times New Roman"/>
                <w:sz w:val="20"/>
                <w:szCs w:val="20"/>
              </w:rPr>
              <w:t>OHIP diagnostic codes 290 or 331</w:t>
            </w:r>
          </w:p>
          <w:p w:rsidR="00D87961" w:rsidRPr="00C7757F" w:rsidRDefault="00D87961" w:rsidP="00D87961">
            <w:pPr>
              <w:pStyle w:val="ListParagraph"/>
              <w:numPr>
                <w:ilvl w:val="0"/>
                <w:numId w:val="10"/>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codes 0461, 290.0, 290.1, 290.2, 290.3, 290.4, 294, 331.0, 331.1 or 331.5</w:t>
            </w:r>
          </w:p>
          <w:p w:rsidR="00D87961" w:rsidRPr="00C7757F" w:rsidRDefault="00D87961" w:rsidP="00D87961">
            <w:pPr>
              <w:pStyle w:val="ListParagraph"/>
              <w:numPr>
                <w:ilvl w:val="0"/>
                <w:numId w:val="10"/>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F00, F01, F02, F03 or G30</w:t>
            </w:r>
          </w:p>
          <w:p w:rsidR="00D87961" w:rsidRPr="00C7757F" w:rsidRDefault="00D87961" w:rsidP="00856A34">
            <w:pPr>
              <w:spacing w:after="10"/>
              <w:rPr>
                <w:rFonts w:ascii="Times New Roman" w:hAnsi="Times New Roman" w:cs="Times New Roman"/>
                <w:sz w:val="20"/>
                <w:szCs w:val="20"/>
              </w:rPr>
            </w:pPr>
          </w:p>
          <w:p w:rsidR="00D87961" w:rsidRPr="002339AC" w:rsidRDefault="00D87961" w:rsidP="00856A34">
            <w:pPr>
              <w:spacing w:after="10"/>
              <w:rPr>
                <w:rFonts w:ascii="Times New Roman" w:hAnsi="Times New Roman" w:cs="Times New Roman"/>
                <w:b/>
                <w:sz w:val="20"/>
                <w:szCs w:val="20"/>
              </w:rPr>
            </w:pPr>
            <w:r w:rsidRPr="002339AC">
              <w:rPr>
                <w:rFonts w:ascii="Times New Roman" w:hAnsi="Times New Roman" w:cs="Times New Roman"/>
                <w:b/>
                <w:sz w:val="20"/>
                <w:szCs w:val="20"/>
              </w:rPr>
              <w:t>OR</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pStyle w:val="ListParagraph"/>
              <w:numPr>
                <w:ilvl w:val="0"/>
                <w:numId w:val="4"/>
              </w:numPr>
              <w:spacing w:after="10"/>
              <w:rPr>
                <w:rFonts w:ascii="Times New Roman" w:hAnsi="Times New Roman" w:cs="Times New Roman"/>
                <w:sz w:val="20"/>
                <w:szCs w:val="20"/>
              </w:rPr>
            </w:pPr>
            <w:r w:rsidRPr="00C7757F">
              <w:rPr>
                <w:rFonts w:ascii="Times New Roman" w:hAnsi="Times New Roman" w:cs="Times New Roman"/>
                <w:b/>
                <w:sz w:val="20"/>
                <w:szCs w:val="20"/>
              </w:rPr>
              <w:t>Frail patients</w:t>
            </w:r>
            <w:r>
              <w:rPr>
                <w:rFonts w:ascii="Times New Roman" w:hAnsi="Times New Roman" w:cs="Times New Roman"/>
                <w:b/>
                <w:sz w:val="20"/>
                <w:szCs w:val="20"/>
              </w:rPr>
              <w:t>,</w:t>
            </w:r>
            <w:r w:rsidRPr="00C7757F">
              <w:rPr>
                <w:rFonts w:ascii="Times New Roman" w:hAnsi="Times New Roman" w:cs="Times New Roman"/>
                <w:sz w:val="20"/>
                <w:szCs w:val="20"/>
              </w:rPr>
              <w:t xml:space="preserve"> defined as those with a Hospital Frailty Risk Scor</w:t>
            </w:r>
            <w:r>
              <w:rPr>
                <w:rFonts w:ascii="Times New Roman" w:hAnsi="Times New Roman" w:cs="Times New Roman"/>
                <w:sz w:val="20"/>
                <w:szCs w:val="20"/>
              </w:rPr>
              <w:t>e greater than 15 according to Gilbert</w:t>
            </w:r>
            <w:r w:rsidRPr="00C7757F">
              <w:rPr>
                <w:rFonts w:ascii="Times New Roman" w:hAnsi="Times New Roman" w:cs="Times New Roman"/>
                <w:sz w:val="20"/>
                <w:szCs w:val="20"/>
              </w:rPr>
              <w:t xml:space="preserve"> et al. algorithm</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{"citationItems":[{"id":"ITEM-1","itemData":{"DOI":"10.1016/S0140-6736(18)30668-8/ATTACHMENT/A5F78A5C-B75B-496E-ACBC-329F84A11E37/MMC1.PDF","ISSN":"1474547X","PMID":"29706364","abstract":"Background: Older people are increasing users of health care globally. We aimed to establish whether older people with characteristics of frailty and who are at risk of adverse health-care outcomes could be identified using routinely collected data. Methods: A three-step approach was used to develop and validate a Hospital Frailty Risk Score from International Statistical Classification of Diseases and Related Health Problems, Tenth Revision (ICD-10) diagnostic codes. First, we carried out a cluster analysis to identify a group of older people (≥75 years) admitted to hospital who had high resource use and diagnoses associated with frailty. Second, we created a Hospital Frailty Risk Score based on ICD-10 codes that characterised this group. Third, in separate cohorts, we tested how well the score predicted adverse outcomes and whether it identified similar groups as other frailty tools. Findings: In the development cohort (n=22 139), older people with frailty diagnoses formed a distinct group and had higher non-elective hospital use (33·6 bed-days over 2 years compared with 23·0 bed-days for the group with the next highest number of bed-days). In the national validation cohort (n=1 013 590), compared with the 429 762 (42·4%) patients with the lowest risk scores, the 202 718 (20·0%) patients with the highest Hospital Frailty Risk Scores had increased odds of 30-day mortality (odds ratio 1·71, 95% CI 1·68–1·75), long hospital stay (6·03, 5·92–6·10), and 30-day readmission (1·48, 1·46–1·50). The c statistics (ie, model discrimination) between individuals for these three outcomes were 0·60, 0·68, and 0·56, respectively. The Hospital Frailty Risk Score showed fair overlap with dichotomised Fried and Rockwood scales (kappa scores 0·22, 95% CI 0·15–0·30 and 0·30, 0·22–0·38, respectively) and moderate agreement with the Rockwood Frailty Index (Pearson's correlation coefficient 0·41, 95% CI 0·38–0·47). Interpretation: The Hospital Frailty Risk Score provides hospitals and health systems with a low-cost, systematic way to screen for frailty and identify a group of patients who are at greater risk of adverse outcomes and for whom a frailty-attuned approach might be useful. Funding: National Institute for Health Research.","author":[{"dropping-particle":"","family":"Gilbert","given":"Thomas","non-dropping-particle":"","parse-names":false,"suffix":""},{"dropping-particle":"","family":"Neuburger","given":"Jenny","non-dropping-particle":"","parse-names":false,"suffix":""},{"dropping-particle":"","family":"Kraindler","given":"Joshua","non-dropping-particle":"","parse-names":false,"suffix":""},{"dropping-particle":"","family":"Keeble","given":"Eilis","non-dropping-particle":"","parse-names":false,"suffix":""},{"dropping-particle":"","family":"Smith","given":"Paul","non-dropping-particle":"","parse-names":false,"suffix":""},{"dropping-particle":"","family":"Ariti","given":"Cono","non-dropping-particle":"","parse-names":false,"suffix":""},{"dropping-particle":"","family":"Arora","given":"Sandeepa","non-dropping-particle":"","parse-names":false,"suffix":""},{"dropping-particle":"","family":"Street","given":"Andrew","non-dropping-particle":"","parse-names":false,"suffix":""},{"dropping-particle":"","family":"Parker","given":"Stuart","non-dropping-particle":"","parse-names":false,"suffix":""},{"dropping-particle":"","family":"Roberts","given":"Helen C.","non-dropping-particle":"","parse-names":false,"suffix":""},{"dropping-particle":"","family":"Bardsley","given":"Martin","non-dropping-particle":"","parse-names":false,"suffix":""},{"dropping-particle":"","family":"Conroy","given":"Simon","non-dropping-particle":"","parse-names":false,"suffix":""}],"container-title":"The Lancet","id":"ITEM-1","issue":"10132","issued":{"date-parts":[["2018","5","5"]]},"page":"1775-1782","publisher":"Lancet Publishing Group","title":"Development and validation of a Hospital Frailty Risk Score focusing on older people in acute care settings using electronic hospital records: an observational study","type":"article-journal","volume":"391"},"uris":["http://www.mendeley.com/documents/?uuid=5995df60-5e36-3f24-9ec9-d6d6ab65cbde"]}],"mendeley":{"formattedCitation":"&lt;sup&gt;16&lt;/sup&gt;","plainTextFormattedCitation":"16","previouslyFormattedCitation":"[16]"},"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16</w:t>
            </w:r>
            <w:r>
              <w:rPr>
                <w:rFonts w:ascii="Times New Roman" w:hAnsi="Times New Roman" w:cs="Times New Roman"/>
                <w:sz w:val="20"/>
                <w:szCs w:val="20"/>
              </w:rPr>
              <w:fldChar w:fldCharType="end"/>
            </w:r>
            <w:r w:rsidRPr="00C7757F">
              <w:rPr>
                <w:rFonts w:ascii="Times New Roman" w:hAnsi="Times New Roman" w:cs="Times New Roman"/>
                <w:sz w:val="20"/>
                <w:szCs w:val="20"/>
              </w:rPr>
              <w:t xml:space="preserve"> and DAD data in the 5 years prior to cohort start date.  </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{"citationItems":[{"id":"ITEM-1","itemData":{"DOI":"10.3233/JAD-160105","ISSN":"1387-2877","PMID":"27567819","abstract":"Background: Population-based surveillance of Alzheimer's and related dementias (AD-RD) incidence and prevalence is important for chronic disease management and health system capacity planning. Algorithms based on health administrative data have been successfully developed for many chronic conditions. The increasing use of electronic medical records (EMRs) by family physicians (FPs) provides a novel reference standard by which to evaluate these algorithms as FPs are the first point of contact and providers of ongoing medical care for persons with AD-RD. Objective:We used FPEMRdata as the reference standard to evaluate the accuracy of population-based health administrative data in identifying older adults with AD-RD over time. Methods: This retrospective chart abstraction study used a random sample of EMRs for 3,404 adults over 65 years of age from 83 community-based FPs in Ontario, Canada. AD-RD patients identified in theEMRwere used as the reference standard against which algorithms identifying cases of AD-RD in administrative databases were compared. Results: The highest performing algorithm was \"one hospitalization code OR (three physician claims codes at least 30 days apart in a two year period) OR a prescription filled for an AD-RD specific medication\" with sensitivity 79.3% (confidence interval (CI) 72.9-85.8%), specificity 99.1% (CI 98.8-99.4%), positive predictive value 80.4% (CI 74.0-86.8%), and negative predictive value 99.0% (CI 98.7-99.4%). This resulted in an age-and sex-adjusted incidence of 18.1 per 1,000 persons and adjusted prevalence of 72.0 per 1,000 persons in 2010/11. Conclusion: Algorithms developed from health administrative data are sensitive and specific for identifying older adults with AD-RD.","author":[{"dropping-particle":"","family":"Liisa Jaakkimainen","given":"R.","non-dropping-particle":"","parse-names":false,"suffix":""},{"dropping-particle":"","family":"Bronskill","given":"Susan E.","non-dropping-particle":"","parse-names":false,"suffix":""},{"dropping-particle":"","family":"Tierney","given":"Mary C.","non-dropping-particle":"","parse-names":false,"suffix":""},{"dropping-particle":"","family":"Herrmann","given":"Nathan","non-dropping-particle":"","parse-names":false,"suffix":""},{"dropping-particle":"","family":"Green","given":"Diane","non-dropping-particle":"","parse-names":false,"suffix":""},{"dropping-particle":"","family":"Young","given":"Jacqueline","non-dropping-particle":"","parse-names":false,"suffix":""},{"dropping-particle":"","family":"Ivers","given":"Noah","non-dropping-particle":"","parse-names":false,"suffix":""},{"dropping-particle":"","family":"Butt","given":"Debra","non-dropping-particle":"","parse-names":false,"suffix":""},{"dropping-particle":"","family":"Widdifield","given":"Jessica","non-dropping-particle":"","parse-names":false,"suffix":""},{"dropping-particle":"","family":"Tu","given":"Karen","non-dropping-particle":"","parse-names":false,"suffix":""}],"container-title":"Journal of Alzheimer's Disease","id":"ITEM-1","issue":"1","issued":{"date-parts":[["2016","1","1"]]},"page":"337-349","publisher":"IOS Press","title":"Identification of Physician-Diagnosed Alzheimer’s Disease and Related Dementias in Population-Based Administrative Data: A Validation Study Using Family Physicians’ Electronic Medical Records","type":"article-journal","volume":"54"},"uris":["http://www.mendeley.com/documents/?uuid=533f042f-140b-373d-b670-6a1b492f9c66"]},{"id":"ITEM-2","itemData":{"DOI":"10.23889/IJPDS.V3I3.433","ISSN":"2399-4908","abstract":"Chronic diseases have a major impact on populations and healthcare systems worldwide. Administrative health data are an ideal resource for chronic disease surveillance because they are population-based and routinely collected. For multi-jurisdictional surveillance, a distributed model is advantageous because it does not require individual-level data to be shared across jurisdictional boundaries. Our objective is to describe the process, structure, benefits, and challenges of a distributed model for chronic disease surveillance across all Canadian provinces and territories (P/Ts) using linked administrative data. The Public Health Agency of Canada (PHAC) established the Canadian Chronic Disease Surveillance System (CCDSS) in 2009 to facilitate standardized, national estimates of chronic disease prevalence, incidence, and outcomes. The CCDSS primarily relies on linked health insurance registration files, physician billing claims, and hospital discharge abstracts. Standardized case definitions and common analytic protocols are applied to the data for each P/T; aggregate data are shared with PHAC and summarized for reports and open access data initiatives. Advantages of this distributed model include: it uses the rich data resources available in all P/Ts; it supports chronic disease surveillance capacity building in all P/Ts; and changes in surveillance methodology can be easily developed by PHAC and implemented by the P/Ts. However, there are challenges: heterogeneity in administrative databases across jurisdictions and changes in data quality over time threaten the production of standardized disease estimates; a limited set of databases are common to all P/Ts, which hinders potential CCDSS expansion; and there is a need to balance comprehensive reporting with P/T disclosure requirements to protect privacy. The CCDSS distributed model for chronic disease surveillance has been successfully implemented and sustained by PHAC and its P/T partners. Many lessons have been learned about national surveillance involving jurisdictions that are heterogeneous with respect to healthcare databases, expertise and analytical capacity, population characteristics, and priorities.","author":[{"dropping-particle":"","family":"Lix","given":"Lisa M.","non-dropping-particle":"","parse-names":false,"suffix":""},{"dropping-particle":"","family":"Ayles","given":"James","non-dropping-particle":"","parse-names":false,"suffix":""},{"dropping-particle":"","family":"Bartholomew","given":"Sharon","non-dropping-particle":"","parse-names":false,"suffix":""},{"dropping-particle":"","family":"Cooke","given":"Charmaine A.","non-dropping-particle":"","parse-names":false,"suffix":""},{"dropping-particle":"","family":"Ellison","given":"Joellyn","non-dropping-particle":"","parse-names":false,"suffix":""},{"dropping-particle":"","family":"Emond","given":"Valerie","non-dropping-particle":"","parse-names":false,"suffix":""},{"dropping-particle":"","family":"Hamm","given":"Naomi C.","non-dropping-particle":"","parse-names":false,"suffix":""},{"dropping-particle":"","family":"Hannah","given":"Heather","non-dropping-particle":"","parse-names":false,"suffix":""},{"dropping-particle":"","family":"Jean","given":"Sonia","non-dropping-particle":"","parse-names":false,"suffix":""},{"dropping-particle":"","family":"LeBlanc","given":"Shannon","non-dropping-particle":"","parse-names":false,"suffix":""},{"dropping-particle":"","family":"O'Donnell","given":"Siobhan","non-dropping-particle":"","parse-names":false,"suffix":""},{"dropping-particle":"","family":"Paterson","given":"J. Michael","non-dropping-particle":"","parse-names":false,"suffix":""},{"dropping-particle":"","family":"Pelletier","given":"Catherine","non-dropping-particle":"","parse-names":false,"suffix":""},{"dropping-particle":"","family":"Phillips","given":"Karen A.M.","non-dropping-particle":"","parse-names":false,"suffix":""},{"dropping-particle":"","family":"Puchtinger","given":"Rolf","non-dropping-particle":"","parse-names":false,"suffix":""},{"dropping-particle":"","family":"Reimer","given":"Kim","non-dropping-particle":"","parse-names":false,"suffix":""},{"dropping-particle":"","family":"Robitaille","given":"Cynthia","non-dropping-particle":"","parse-names":false,"suffix":""},{"dropping-particle":"","family":"Smith","given":"Mark","non-dropping-particle":"","parse-names":false,"suffix":""},{"dropping-particle":"","family":"Svenson","given":"Lawrence W.","non-dropping-particle":"","parse-names":false,"suffix":""},{"dropping-particle":"","family":"Tu","given":"Karen","non-dropping-particle":"","parse-names":false,"suffix":""},{"dropping-particle":"","family":"VanTil","given":"Linda D.","non-dropping-particle":"","parse-names":false,"suffix":""},{"dropping-particle":"","family":"Waits","given":"Sean","non-dropping-particle":"","parse-names":false,"suffix":""},{"dropping-particle":"","family":"Pelletier","given":"Louise","non-dropping-particle":"","parse-names":false,"suffix":""}],"container-title":"International Journal of Population Data Science","id":"ITEM-2","issue":"3","issued":{"date-parts":[["2018","10","5"]]},"publisher":"Swansea University","title":"The Canadian Chronic Disease Surveillance System: A model for collaborative surveillance","type":"article-journal","volume":"3"},"uris":["http://www.mendeley.com/documents/?uuid=d2ecbfd6-9225-31ad-a4d8-5d5ca2543433"]},{"id":"ITEM-3","itemData":{"DOI":"10.1016/S0140-6736(18)30668-8/ATTACHMENT/A5F78A5C-B75B-496E-ACBC-329F84A11E37/MMC1.PDF","ISSN":"1474547X","PMID":"29706364","abstract":"Background: Older people are increasing users of health care globally. We aimed to establish whether older people with characteristics of frailty and who are at risk of adverse health-care outcomes could be identified using routinely collected data. Methods: A three-step approach was used to develop and validate a Hospital Frailty Risk Score from International Statistical Classification of Diseases and Related Health Problems, Tenth Revision (ICD-10) diagnostic codes. First, we carried out a cluster analysis to identify a group of older people (≥75 years) admitted to hospital who had high resource use and diagnoses associated with frailty. Second, we created a Hospital Frailty Risk Score based on ICD-10 codes that characterised this group. Third, in separate cohorts, we tested how well the score predicted adverse outcomes and whether it identified similar groups as other frailty tools. Findings: In the development cohort (n=22 139), older people with frailty diagnoses formed a distinct group and had higher non-elective hospital use (33·6 bed-days over 2 years compared with 23·0 bed-days for the group with the next highest number of bed-days). In the national validation cohort (n=1 013 590), compared with the 429 762 (42·4%) patients with the lowest risk scores, the 202 718 (20·0%) patients with the highest Hospital Frailty Risk Scores had increased odds of 30-day mortality (odds ratio 1·71, 95% CI 1·68–1·75), long hospital stay (6·03, 5·92–6·10), and 30-day readmission (1·48, 1·46–1·50). The c statistics (ie, model discrimination) between individuals for these three outcomes were 0·60, 0·68, and 0·56, respectively. The Hospital Frailty Risk Score showed fair overlap with dichotomised Fried and Rockwood scales (kappa scores 0·22, 95% CI 0·15–0·30 and 0·30, 0·22–0·38, respectively) and moderate agreement with the Rockwood Frailty Index (Pearson's correlation coefficient 0·41, 95% CI 0·38–0·47). Interpretation: The Hospital Frailty Risk Score provides hospitals and health systems with a low-cost, systematic way to screen for frailty and identify a group of patients who are at greater risk of adverse outcomes and for whom a frailty-attuned approach might be useful. Funding: National Institute for Health Research.","author":[{"dropping-particle":"","family":"Gilbert","given":"Thomas","non-dropping-particle":"","parse-names":false,"suffix":""},{"dropping-particle":"","family":"Neuburger","given":"Jenny","non-dropping-particle":"","parse-names":false,"suffix":""},{"dropping-particle":"","family":"Kraindler","given":"Joshua","non-dropping-particle":"","parse-names":false,"suffix":""},{"dropping-particle":"","family":"Keeble","given":"Eilis","non-dropping-particle":"","parse-names":false,"suffix":""},{"dropping-particle":"","family":"Smith","given":"Paul","non-dropping-particle":"","parse-names":false,"suffix":""},{"dropping-particle":"","family":"Ariti","given":"Cono","non-dropping-particle":"","parse-names":false,"suffix":""},{"dropping-particle":"","family":"Arora","given":"Sandeepa","non-dropping-particle":"","parse-names":false,"suffix":""},{"dropping-particle":"","family":"Street","given":"Andrew","non-dropping-particle":"","parse-names":false,"suffix":""},{"dropping-particle":"","family":"Parker","given":"Stuart","non-dropping-particle":"","parse-names":false,"suffix":""},{"dropping-particle":"","family":"Roberts","given":"Helen C.","non-dropping-particle":"","parse-names":false,"suffix":""},{"dropping-particle":"","family":"Bardsley","given":"Martin","non-dropping-particle":"","parse-names":false,"suffix":""},{"dropping-particle":"","family":"Conroy","given":"Simon","non-dropping-particle":"","parse-names":false,"suffix":""}],"container-title":"The Lancet","id":"ITEM-3","issue":"10132","issued":{"date-parts":[["2018","5","5"]]},"page":"1775-1782","publisher":"Lancet Publishing Group","title":"Development and validation of a Hospital Frailty Risk Score focusing on older people in acute care settings using electronic hospital records: an observational study","type":"article-journal","volume":"391"},"uris":["http://www.mendeley.com/documents/?uuid=5995df60-5e36-3f24-9ec9-d6d6ab65cbde"]}],"mendeley":{"formattedCitation":"&lt;sup&gt;16–18&lt;/sup&gt;","plainTextFormattedCitation":"16–18","previouslyFormattedCitation":"[16–18]"},"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16–18</w:t>
            </w:r>
            <w:r>
              <w:rPr>
                <w:rFonts w:ascii="Times New Roman" w:hAnsi="Times New Roman" w:cs="Times New Roman"/>
                <w:sz w:val="20"/>
                <w:szCs w:val="20"/>
              </w:rPr>
              <w:fldChar w:fldCharType="end"/>
            </w:r>
          </w:p>
        </w:tc>
        <w:tc>
          <w:tcPr>
            <w:tcW w:w="2497" w:type="dxa"/>
            <w:vAlign w:val="center"/>
          </w:tcPr>
          <w:p w:rsidR="00D87961" w:rsidRPr="00C7757F" w:rsidRDefault="00D87961" w:rsidP="00856A34">
            <w:pPr>
              <w:spacing w:after="10"/>
              <w:rPr>
                <w:rFonts w:ascii="Times New Roman" w:hAnsi="Times New Roman" w:cs="Times New Roman"/>
                <w:b/>
                <w:sz w:val="20"/>
                <w:szCs w:val="20"/>
              </w:rPr>
            </w:pPr>
            <w:r w:rsidRPr="00C7757F">
              <w:rPr>
                <w:rFonts w:ascii="Times New Roman" w:hAnsi="Times New Roman" w:cs="Times New Roman"/>
                <w:b/>
                <w:sz w:val="20"/>
                <w:szCs w:val="20"/>
              </w:rPr>
              <w:t>Dementia</w:t>
            </w:r>
          </w:p>
          <w:p w:rsidR="00D87961" w:rsidRPr="00C7757F" w:rsidRDefault="00D87961" w:rsidP="00856A34">
            <w:pPr>
              <w:spacing w:after="10"/>
              <w:ind w:left="360" w:hanging="360"/>
              <w:rPr>
                <w:rFonts w:ascii="Times New Roman" w:hAnsi="Times New Roman" w:cs="Times New Roman"/>
                <w:sz w:val="20"/>
                <w:szCs w:val="20"/>
              </w:rPr>
            </w:pPr>
            <w:r w:rsidRPr="00C7757F">
              <w:rPr>
                <w:rFonts w:ascii="Times New Roman" w:hAnsi="Times New Roman" w:cs="Times New Roman"/>
                <w:sz w:val="20"/>
                <w:szCs w:val="20"/>
              </w:rPr>
              <w:t xml:space="preserve">Sensitivity: 79.3%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Specificity 99.1%</w:t>
            </w:r>
          </w:p>
          <w:p w:rsidR="00D87961" w:rsidRPr="00C7757F" w:rsidRDefault="00D87961" w:rsidP="00856A34">
            <w:pPr>
              <w:spacing w:after="10"/>
              <w:rPr>
                <w:rFonts w:ascii="Times New Roman" w:hAnsi="Times New Roman" w:cs="Times New Roman"/>
                <w:sz w:val="20"/>
                <w:szCs w:val="20"/>
              </w:rPr>
            </w:pPr>
            <w:proofErr w:type="gramStart"/>
            <w:r w:rsidRPr="00C7757F">
              <w:rPr>
                <w:rFonts w:ascii="Times New Roman" w:hAnsi="Times New Roman" w:cs="Times New Roman"/>
                <w:sz w:val="20"/>
                <w:szCs w:val="20"/>
              </w:rPr>
              <w:t>PPV  80.4</w:t>
            </w:r>
            <w:proofErr w:type="gramEnd"/>
            <w:r w:rsidRPr="00C7757F">
              <w:rPr>
                <w:rFonts w:ascii="Times New Roman" w:hAnsi="Times New Roman" w:cs="Times New Roman"/>
                <w:sz w:val="20"/>
                <w:szCs w:val="20"/>
              </w:rPr>
              <w:t xml:space="preserve">% </w:t>
            </w:r>
          </w:p>
          <w:p w:rsidR="00D87961" w:rsidRPr="00C7757F" w:rsidRDefault="00D87961" w:rsidP="00856A34">
            <w:pPr>
              <w:spacing w:after="10"/>
              <w:ind w:left="360" w:hanging="360"/>
              <w:rPr>
                <w:rFonts w:ascii="Times New Roman" w:hAnsi="Times New Roman" w:cs="Times New Roman"/>
                <w:sz w:val="20"/>
                <w:szCs w:val="20"/>
              </w:rPr>
            </w:pPr>
            <w:r w:rsidRPr="00C7757F">
              <w:rPr>
                <w:rFonts w:ascii="Times New Roman" w:hAnsi="Times New Roman" w:cs="Times New Roman"/>
                <w:sz w:val="20"/>
                <w:szCs w:val="20"/>
              </w:rPr>
              <w:t>NPV 99.0% </w:t>
            </w:r>
          </w:p>
          <w:p w:rsidR="00D87961" w:rsidRPr="00C7757F" w:rsidRDefault="00D87961" w:rsidP="00856A34">
            <w:pPr>
              <w:spacing w:after="10"/>
              <w:rPr>
                <w:rFonts w:ascii="Times New Roman" w:hAnsi="Times New Roman" w:cs="Times New Roman"/>
                <w:sz w:val="20"/>
                <w:szCs w:val="20"/>
              </w:rPr>
            </w:pPr>
          </w:p>
        </w:tc>
      </w:tr>
      <w:tr w:rsidR="00D87961" w:rsidRPr="00C7757F" w:rsidTr="00856A34">
        <w:trPr>
          <w:trHeight w:val="3662"/>
        </w:trPr>
        <w:tc>
          <w:tcPr>
            <w:tcW w:w="1915" w:type="dxa"/>
            <w:vAlign w:val="center"/>
          </w:tcPr>
          <w:p w:rsidR="00D87961" w:rsidRPr="00326F4F"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Diabetes (n</w:t>
            </w:r>
            <w:r w:rsidRPr="00326F4F">
              <w:rPr>
                <w:rFonts w:ascii="Times New Roman" w:hAnsi="Times New Roman" w:cs="Times New Roman"/>
                <w:b/>
                <w:sz w:val="20"/>
                <w:szCs w:val="20"/>
              </w:rPr>
              <w:t>on-gestational)</w:t>
            </w:r>
          </w:p>
        </w:tc>
        <w:tc>
          <w:tcPr>
            <w:tcW w:w="1320" w:type="dxa"/>
            <w:vAlign w:val="center"/>
          </w:tcPr>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 xml:space="preserve">SDS, </w:t>
            </w:r>
          </w:p>
          <w:p w:rsidR="00D87961" w:rsidRPr="00C7757F"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OHIP</w:t>
            </w:r>
          </w:p>
        </w:tc>
        <w:tc>
          <w:tcPr>
            <w:tcW w:w="6620" w:type="dxa"/>
            <w:vAlign w:val="center"/>
          </w:tcPr>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b/>
                <w:sz w:val="20"/>
                <w:szCs w:val="20"/>
              </w:rPr>
              <w:t>Children/youth (&lt;19):</w:t>
            </w:r>
            <w:r w:rsidRPr="00C7757F">
              <w:rPr>
                <w:rFonts w:ascii="Times New Roman" w:hAnsi="Times New Roman" w:cs="Times New Roman"/>
                <w:sz w:val="20"/>
                <w:szCs w:val="20"/>
              </w:rPr>
              <w:t xml:space="preserve">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4 or more physician visits (OHIP) for diabetes (diagnosis code 250) within 2 years or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1 physician visit (OHIP) claimed with a fee code: Q040, K029, K030, K045 and K046</w:t>
            </w:r>
            <w:r w:rsidRPr="00C7757F">
              <w:rPr>
                <w:rFonts w:ascii="Times New Roman" w:hAnsi="Times New Roman" w:cs="Times New Roman"/>
                <w:color w:val="000000"/>
                <w:sz w:val="20"/>
                <w:szCs w:val="20"/>
              </w:rPr>
              <w:t> </w:t>
            </w:r>
            <w:r w:rsidRPr="00C7757F">
              <w:rPr>
                <w:rFonts w:ascii="Times New Roman" w:hAnsi="Times New Roman" w:cs="Times New Roman"/>
                <w:sz w:val="20"/>
                <w:szCs w:val="20"/>
              </w:rPr>
              <w:t xml:space="preserve"> </w:t>
            </w:r>
          </w:p>
          <w:p w:rsidR="00D87961" w:rsidRPr="00C7757F" w:rsidRDefault="00D87961" w:rsidP="00856A34">
            <w:pPr>
              <w:spacing w:after="10"/>
              <w:rPr>
                <w:rFonts w:ascii="Times New Roman" w:hAnsi="Times New Roman" w:cs="Times New Roman"/>
                <w:b/>
                <w:sz w:val="20"/>
                <w:szCs w:val="20"/>
              </w:rPr>
            </w:pPr>
          </w:p>
          <w:p w:rsidR="00D87961" w:rsidRDefault="00D87961" w:rsidP="00856A34">
            <w:pPr>
              <w:spacing w:after="10"/>
              <w:rPr>
                <w:rFonts w:ascii="Times New Roman" w:hAnsi="Times New Roman" w:cs="Times New Roman"/>
                <w:sz w:val="20"/>
                <w:szCs w:val="20"/>
              </w:rPr>
            </w:pPr>
            <w:r w:rsidRPr="00C7757F">
              <w:rPr>
                <w:rFonts w:ascii="Times New Roman" w:hAnsi="Times New Roman" w:cs="Times New Roman"/>
                <w:b/>
                <w:sz w:val="20"/>
                <w:szCs w:val="20"/>
              </w:rPr>
              <w:t xml:space="preserve">Adults 19+: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2 or more physician visits (in OHIP) for diabetes within 1 year, or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1 hospital admission for diabetes (DAD or SDS) or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 xml:space="preserve">1 ODB drug claim for a diabetes medication </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According to:</w:t>
            </w:r>
          </w:p>
          <w:p w:rsidR="00D87961" w:rsidRPr="00C7757F" w:rsidRDefault="00D87961" w:rsidP="00D87961">
            <w:pPr>
              <w:pStyle w:val="ListParagraph"/>
              <w:numPr>
                <w:ilvl w:val="0"/>
                <w:numId w:val="4"/>
              </w:numPr>
              <w:spacing w:after="10"/>
              <w:rPr>
                <w:rFonts w:ascii="Times New Roman" w:hAnsi="Times New Roman" w:cs="Times New Roman"/>
                <w:sz w:val="20"/>
                <w:szCs w:val="20"/>
              </w:rPr>
            </w:pPr>
            <w:r w:rsidRPr="00C7757F">
              <w:rPr>
                <w:rFonts w:ascii="Times New Roman" w:hAnsi="Times New Roman" w:cs="Times New Roman"/>
                <w:sz w:val="20"/>
                <w:szCs w:val="20"/>
              </w:rPr>
              <w:t>ICD-9 diagnostic code 250</w:t>
            </w:r>
          </w:p>
          <w:p w:rsidR="00D87961" w:rsidRPr="00C7757F" w:rsidRDefault="00D87961" w:rsidP="00D87961">
            <w:pPr>
              <w:pStyle w:val="ListParagraph"/>
              <w:numPr>
                <w:ilvl w:val="0"/>
                <w:numId w:val="5"/>
              </w:numPr>
              <w:spacing w:after="10"/>
              <w:rPr>
                <w:rFonts w:ascii="Times New Roman" w:hAnsi="Times New Roman" w:cs="Times New Roman"/>
                <w:sz w:val="20"/>
                <w:szCs w:val="20"/>
              </w:rPr>
            </w:pPr>
            <w:r w:rsidRPr="00C7757F">
              <w:rPr>
                <w:rFonts w:ascii="Times New Roman" w:hAnsi="Times New Roman" w:cs="Times New Roman"/>
                <w:sz w:val="20"/>
                <w:szCs w:val="20"/>
              </w:rPr>
              <w:t>ICD-10 diagnostic codes E10, E11, E13, E14</w:t>
            </w:r>
          </w:p>
        </w:tc>
        <w:tc>
          <w:tcPr>
            <w:tcW w:w="1683" w:type="dxa"/>
            <w:vAlign w:val="center"/>
          </w:tcPr>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{"citationItems":[{"id":"ITEM-1","itemData":{"DOI":"10.1111/J.1399-5448.2009.00539.X","ISSN":"1399-5448","PMID":"19500278","abstract":"Guttmann A, Nakhla M, Henderson M, To T, Daneman D, Cauch-Dudek K, Wang X, Lam K, Hux J. Validation of a health administrative data algorithm for assessing the epidemiology of diabetes in Canadian children.Objective: To validate a case definition of pediatric diabetes using administrative health data and describe trends in incidence and prevalence over time in Ontario, Canada.Methods: We sampled hospital records of 700 children from 1994 to 2003 with a prior history of at least one outpatient or hospital record for diabetes mellitus and 300 randomly selected children with no diabetes records. We defined patients as having diabetes based on diagnoses and drug utilization from chart abstraction and compared sensitivity and specificity of a number of combinations of overall health care use using administrative data to develop a highly specific definition. We used Poisson regression to test changes in incidence over time (1994-2003).Results: Use of four physician claims and no hospital records over a 2-yr period yielded the most specific definition (83% sensitivity, 99% specificity). Using this definition overall age/sex standardized incidence per 100 000 was 32.3 [95% confidence intervals (CI) 30.4, 34.4] and prevalence 241.5 per 100 000 (95% CI 236.2-249.9) in 2003/2004. Overall incidence differs by age, (peaking in 10-14 yr olds) but not significantly by sex. The overall incidence has increased on average by 3.1% per year since 1994 (95% CI 1.02-1.04), with no difference in the rate of increase by age.Conclusions: Population-based surveillance of diabetes in children is possible using administrative data. This will facilitate further study of trends in incidence but also in use of health services and outcomes. Further work to differentiate type 1 and 2 diabetes will be important. © 2009 John Wiley &amp; Sons A/S.","author":[{"dropping-particle":"","family":"Guttmann","given":"Astrid","non-dropping-particle":"","parse-names":false,"suffix":""},{"dropping-particle":"","family":"Nakhla","given":"Meranda","non-dropping-particle":"","parse-names":false,"suffix":""},{"dropping-particle":"","family":"Henderson","given":"Melanie","non-dropping-particle":"","parse-names":false,"suffix":""},{"dropping-particle":"","family":"To","given":"Teresa","non-dropping-particle":"","parse-names":false,"suffix":""},{"dropping-particle":"","family":"Daneman","given":"Denis","non-dropping-particle":"","parse-names":false,"suffix":""},{"dropping-particle":"","family":"Cauch-Dudek","given":"Karen","non-dropping-particle":"","parse-names":false,"suffix":""},{"dropping-particle":"","family":"Wang","given":"Xuesong","non-dropping-particle":"","parse-names":false,"suffix":""},{"dropping-particle":"","family":"Lam","given":"Kelvin","non-dropping-particle":"","parse-names":false,"suffix":""},{"dropping-particle":"","family":"Hux","given":"Jan","non-dropping-particle":"","parse-names":false,"suffix":""}],"container-title":"Pediatric diabetes","id":"ITEM-1","issue":"2","issued":{"date-parts":[["2010","3"]]},"page":"122-128","publisher":"Pediatr Diabetes","title":"Validation of a health administrative data algorithm for assessing the epidemiology of diabetes in Canadian children","type":"article-journal","volume":"11"},"uris":["http://www.mendeley.com/documents/?uuid=784118db-2e44-348c-9fb3-27f12a0321cc"]},{"id":"ITEM-2","itemData":{"DOI":"10.1186/S12913-018-3148-0/TABLES/2","ISSN":"14726963","PMID":"29720153","abstract":"Background: Health care data allow for the study and surveillance of chronic diseases such as diabetes. The objective of this study was to identify and validate optimal algorithms for diabetes cases within health care administrative databases for different research purposes, populations, and data sources. Methods: We linked health care administrative databases from Ontario, Canada to a reference standard of primary care electronic medical records (EMRs). We then identified and calculated the performance characteristics of multiple adult diabetes case definitions, using combinations of data sources and time windows. Results: The best algorithm to identify diabetes cases was the presence at any time of one hospitalization or physician claim for diabetes AND either one prescription for an anti-diabetic medication or one physician claim with a diabetes-specific fee code [sensitivity 84.2%, specificity 99.2%, positive predictive value (PPV) 92.5%]. Use of physician claims alone performed almost as well: three physician claims for diabetes within one year was highly specific (sensitivity 79.9%, specificity 99.1%, PPV 91.4%) and one physician claim at any time was highly sensitive (sensitivity 93.6%, specificity 91.9%, PPV 58.5%). Conclusions: This study identifies validated algorithms to capture diabetes cases within health care administrative databases for a range of purposes, populations and data availability. These findings are useful to study trends and outcomes of diabetes using routinely-collected health care data.","author":[{"dropping-particle":"","family":"Lipscombe","given":"Lorraine L.","non-dropping-particle":"","parse-names":false,"suffix":""},{"dropping-particle":"","family":"Hwee","given":"Jeremiah","non-dropping-particle":"","parse-names":false,"suffix":""},{"dropping-particle":"","family":"Webster","given":"Lauren","non-dropping-particle":"","parse-names":false,"suffix":""},{"dropping-particle":"","family":"Shah","given":"Baiju R.","non-dropping-particle":"","parse-names":false,"suffix":""},{"dropping-particle":"","family":"Booth","given":"Gillian L.","non-dropping-particle":"","parse-names":false,"suffix":""},{"dropping-particle":"","family":"Tu","given":"Karen","non-dropping-particle":"","parse-names":false,"suffix":""}],"container-title":"BMC Health Services Research","id":"ITEM-2","issue":"1","issued":{"date-parts":[["2018","5","2"]]},"page":"1-8","publisher":"BioMed Central Ltd.","title":"Identifying diabetes cases from administrative data: A population-based validation study","type":"article-journal","volume":"18"},"uris":["http://www.mendeley.com/documents/?uuid=76303bf3-752f-3b89-94d5-bffbce403036"]},{"id":"ITEM-3","itemData":{"DOI":"10.2337/DIACARE.25.3.512","ISSN":"0149-5992","PMID":"11874939","abstract":"OBJECTIVE - Accurate information about the magnitude and distribution of diabetes can inform policy and support health care evaluation. We linked physician service claims (PSCs) and hospital discharge abstracts (HDAs) to determine diabetes prevalence and incidence. RESEARCH DESIGN AND METHODS - A retrospective cohort was constructed using administrative data from the national HDA database, PSCs for Ontario (population 11 million), and registries carrying demographics and vital statistics. All HDAs and PSCs bearing a diagnosis of diabetes (ICD9-CM 250) were selected for 1991-1999. Two previously reported algorithms for identification of diabetes were applied as follows: \"1-claim\" (any HDA or PSC showing diabetes) and \"2-claim\" (one HDA or two PSCs within 2 years showing diabetes). Incident cases were defined as individuals who met the criteria for diabetes for the first time after at least 2 years of observation. For validation, diagnostic data abstracted from primary care charts (n = 3,317) of 57 randomly selected physicians were linked to the administrative data cohort, and sensitivity and specificity were calculated. RESULTS - In 1998, 696,938 individuals met the 1-claim criteria and 528,280 met the 2-claim criteria. Sensitivity for diabetes was 90 and 86%; for the 1- and 2-claim algorithms, specificity was 92 and 97%, respectively, and positive predictive values were 61 and 80%, respectively. Using the 2-claim algorithm, the all-age prevalence increased from 3.2% in 1993 to 4.5% in 1998 (6.1% in adults). Incidence remained stable. CONCLUSIONS - Administrative data can be used to establish population-based incidence and prevalence of diabetes. Diabetes prevalence is increasing in Ontario and is considerably higher than self-reported rates.","author":[{"dropping-particle":"","family":"Hux","given":"Janet E.","non-dropping-particle":"","parse-names":false,"suffix":""},{"dropping-particle":"","family":"Ivis","given":"Frank","non-dropping-particle":"","parse-names":false,"suffix":""},{"dropping-particle":"","family":"Flintoft","given":"Virginia","non-dropping-particle":"","parse-names":false,"suffix":""},{"dropping-particle":"","family":"Bica","given":"Adina","non-dropping-particle":"","parse-names":false,"suffix":""}],"container-title":"Diabetes care","id":"ITEM-3","issue":"3","issued":{"date-parts":[["2002","3"]]},"page":"512-516","publisher":"Diabetes Care","title":"Diabetes in Ontario: determination of prevalence and incidence using a validated administrative data algorithm","type":"article-journal","volume":"25"},"uris":["http://www.mendeley.com/documents/?uuid=ba000c35-34e6-3737-9e52-ff5714f4c4df"]}],"mendeley":{"formattedCitation":"&lt;sup&gt;19–21&lt;/sup&gt;","plainTextFormattedCitation":"19–21","previouslyFormattedCitation":"[19–21]"},"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19–21</w:t>
            </w:r>
            <w:r>
              <w:rPr>
                <w:rFonts w:ascii="Times New Roman" w:hAnsi="Times New Roman" w:cs="Times New Roman"/>
                <w:sz w:val="20"/>
                <w:szCs w:val="20"/>
              </w:rPr>
              <w:fldChar w:fldCharType="end"/>
            </w:r>
          </w:p>
        </w:tc>
        <w:tc>
          <w:tcPr>
            <w:tcW w:w="2497" w:type="dxa"/>
            <w:vAlign w:val="center"/>
          </w:tcPr>
          <w:p w:rsidR="00D87961" w:rsidRPr="00C7757F" w:rsidRDefault="00D87961" w:rsidP="00856A34">
            <w:pPr>
              <w:spacing w:after="10"/>
              <w:rPr>
                <w:rFonts w:ascii="Times New Roman" w:hAnsi="Times New Roman" w:cs="Times New Roman"/>
                <w:b/>
                <w:sz w:val="20"/>
                <w:szCs w:val="20"/>
              </w:rPr>
            </w:pPr>
            <w:r w:rsidRPr="00C7757F">
              <w:rPr>
                <w:rFonts w:ascii="Times New Roman" w:hAnsi="Times New Roman" w:cs="Times New Roman"/>
                <w:b/>
                <w:sz w:val="20"/>
                <w:szCs w:val="20"/>
              </w:rPr>
              <w:t>Children/youth (&lt;19):</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Sensitivity: 82.8%</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Specificity: 98.9%</w:t>
            </w:r>
          </w:p>
          <w:p w:rsidR="00D87961" w:rsidRPr="00C7757F" w:rsidRDefault="00D87961" w:rsidP="00856A34">
            <w:pPr>
              <w:spacing w:after="10"/>
              <w:rPr>
                <w:rFonts w:ascii="Times New Roman" w:hAnsi="Times New Roman" w:cs="Times New Roman"/>
                <w:sz w:val="20"/>
                <w:szCs w:val="20"/>
              </w:rPr>
            </w:pPr>
          </w:p>
          <w:p w:rsidR="00D87961" w:rsidRPr="00C7757F" w:rsidRDefault="00D87961" w:rsidP="00856A34">
            <w:pPr>
              <w:spacing w:after="10"/>
              <w:rPr>
                <w:rFonts w:ascii="Times New Roman" w:hAnsi="Times New Roman" w:cs="Times New Roman"/>
                <w:b/>
                <w:sz w:val="20"/>
                <w:szCs w:val="20"/>
              </w:rPr>
            </w:pPr>
            <w:r w:rsidRPr="00C7757F">
              <w:rPr>
                <w:rFonts w:ascii="Times New Roman" w:hAnsi="Times New Roman" w:cs="Times New Roman"/>
                <w:b/>
                <w:sz w:val="20"/>
                <w:szCs w:val="20"/>
              </w:rPr>
              <w:t xml:space="preserve">Adults (19+): </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Sensitivity: 90.0%</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Specificity: 97.7%</w:t>
            </w:r>
          </w:p>
          <w:p w:rsidR="00D87961" w:rsidRPr="00C7757F" w:rsidRDefault="00D87961" w:rsidP="00856A34">
            <w:pPr>
              <w:spacing w:after="10"/>
              <w:rPr>
                <w:rFonts w:ascii="Times New Roman" w:hAnsi="Times New Roman" w:cs="Times New Roman"/>
                <w:sz w:val="20"/>
                <w:szCs w:val="20"/>
              </w:rPr>
            </w:pPr>
            <w:r w:rsidRPr="00C7757F">
              <w:rPr>
                <w:rFonts w:ascii="Times New Roman" w:hAnsi="Times New Roman" w:cs="Times New Roman"/>
                <w:sz w:val="20"/>
                <w:szCs w:val="20"/>
              </w:rPr>
              <w:t>PPV: 82.6%</w:t>
            </w:r>
          </w:p>
          <w:p w:rsidR="00D87961" w:rsidRPr="00C7757F" w:rsidRDefault="00D87961" w:rsidP="00856A34">
            <w:pPr>
              <w:spacing w:after="10"/>
              <w:rPr>
                <w:rFonts w:ascii="Times New Roman" w:hAnsi="Times New Roman" w:cs="Times New Roman"/>
                <w:sz w:val="20"/>
                <w:szCs w:val="20"/>
              </w:rPr>
            </w:pPr>
          </w:p>
        </w:tc>
      </w:tr>
      <w:tr w:rsidR="00D87961" w:rsidRPr="00C7757F" w:rsidTr="00856A34">
        <w:trPr>
          <w:trHeight w:val="2600"/>
        </w:trPr>
        <w:tc>
          <w:tcPr>
            <w:tcW w:w="1915" w:type="dxa"/>
            <w:vAlign w:val="center"/>
          </w:tcPr>
          <w:p w:rsidR="00D87961" w:rsidRPr="00326F4F" w:rsidRDefault="00D87961" w:rsidP="00856A34">
            <w:pPr>
              <w:spacing w:after="10"/>
              <w:rPr>
                <w:rFonts w:ascii="Times New Roman" w:hAnsi="Times New Roman" w:cs="Times New Roman"/>
                <w:b/>
                <w:sz w:val="20"/>
                <w:szCs w:val="20"/>
              </w:rPr>
            </w:pPr>
            <w:r w:rsidRPr="00326F4F">
              <w:rPr>
                <w:rFonts w:ascii="Times New Roman" w:hAnsi="Times New Roman" w:cs="Times New Roman"/>
                <w:b/>
                <w:sz w:val="20"/>
                <w:szCs w:val="20"/>
              </w:rPr>
              <w:lastRenderedPageBreak/>
              <w:t>Hypertension</w:t>
            </w:r>
          </w:p>
        </w:tc>
        <w:tc>
          <w:tcPr>
            <w:tcW w:w="1320" w:type="dxa"/>
            <w:vAlign w:val="center"/>
          </w:tcPr>
          <w:p w:rsidR="00D87961"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DAD,</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SDS,</w:t>
            </w:r>
            <w:r w:rsidRPr="00C7757F">
              <w:rPr>
                <w:rFonts w:ascii="Times New Roman" w:hAnsi="Times New Roman" w:cs="Times New Roman"/>
                <w:sz w:val="20"/>
                <w:szCs w:val="20"/>
              </w:rPr>
              <w:t xml:space="preserve"> </w:t>
            </w:r>
          </w:p>
          <w:p w:rsidR="00D87961" w:rsidRPr="00C7757F" w:rsidRDefault="00D87961" w:rsidP="00856A34">
            <w:pPr>
              <w:spacing w:after="10"/>
              <w:jc w:val="center"/>
              <w:rPr>
                <w:rFonts w:ascii="Times New Roman" w:hAnsi="Times New Roman" w:cs="Times New Roman"/>
                <w:sz w:val="20"/>
                <w:szCs w:val="20"/>
              </w:rPr>
            </w:pPr>
            <w:r w:rsidRPr="00C7757F">
              <w:rPr>
                <w:rFonts w:ascii="Times New Roman" w:hAnsi="Times New Roman" w:cs="Times New Roman"/>
                <w:sz w:val="20"/>
                <w:szCs w:val="20"/>
              </w:rPr>
              <w:t>OHIP</w:t>
            </w:r>
          </w:p>
        </w:tc>
        <w:tc>
          <w:tcPr>
            <w:tcW w:w="6620" w:type="dxa"/>
            <w:vAlign w:val="center"/>
          </w:tcPr>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hospital admission (DAD, SDS) for hypertension, or</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physician claim (OHIP) for hypertension, followed by a second OHIP claim or hospital admission for hypertension within 2 years from the first</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According to:</w:t>
            </w:r>
          </w:p>
          <w:p w:rsidR="00D87961" w:rsidRDefault="00D87961" w:rsidP="00D87961">
            <w:pPr>
              <w:pStyle w:val="ListParagraph"/>
              <w:numPr>
                <w:ilvl w:val="0"/>
                <w:numId w:val="5"/>
              </w:numPr>
              <w:spacing w:after="10"/>
              <w:rPr>
                <w:rFonts w:ascii="Times New Roman" w:hAnsi="Times New Roman" w:cs="Times New Roman"/>
                <w:sz w:val="20"/>
                <w:szCs w:val="20"/>
              </w:rPr>
            </w:pPr>
            <w:r>
              <w:rPr>
                <w:rFonts w:ascii="Times New Roman" w:hAnsi="Times New Roman" w:cs="Times New Roman"/>
                <w:sz w:val="20"/>
                <w:szCs w:val="20"/>
              </w:rPr>
              <w:t>ICD-9 diagnosis codes:</w:t>
            </w:r>
            <w:r w:rsidRPr="00C7757F">
              <w:rPr>
                <w:rFonts w:ascii="Times New Roman" w:hAnsi="Times New Roman" w:cs="Times New Roman"/>
                <w:sz w:val="20"/>
                <w:szCs w:val="20"/>
              </w:rPr>
              <w:t xml:space="preserve"> </w:t>
            </w:r>
            <w:r>
              <w:rPr>
                <w:rFonts w:ascii="Times New Roman" w:hAnsi="Times New Roman" w:cs="Times New Roman"/>
                <w:sz w:val="20"/>
                <w:szCs w:val="20"/>
              </w:rPr>
              <w:t>401x, 402x, 403x, 404x, or 405x</w:t>
            </w:r>
          </w:p>
          <w:p w:rsidR="00D87961" w:rsidRDefault="00D87961" w:rsidP="00D87961">
            <w:pPr>
              <w:pStyle w:val="ListParagraph"/>
              <w:numPr>
                <w:ilvl w:val="0"/>
                <w:numId w:val="5"/>
              </w:numPr>
              <w:spacing w:after="10"/>
              <w:rPr>
                <w:rFonts w:ascii="Times New Roman" w:hAnsi="Times New Roman" w:cs="Times New Roman"/>
                <w:sz w:val="20"/>
                <w:szCs w:val="20"/>
              </w:rPr>
            </w:pPr>
            <w:r>
              <w:rPr>
                <w:rFonts w:ascii="Times New Roman" w:hAnsi="Times New Roman" w:cs="Times New Roman"/>
                <w:sz w:val="20"/>
                <w:szCs w:val="20"/>
              </w:rPr>
              <w:t>ICD-19 diagnosis codes:</w:t>
            </w:r>
            <w:r w:rsidRPr="00C7757F">
              <w:rPr>
                <w:rFonts w:ascii="Times New Roman" w:hAnsi="Times New Roman" w:cs="Times New Roman"/>
                <w:sz w:val="20"/>
                <w:szCs w:val="20"/>
              </w:rPr>
              <w:t xml:space="preserve"> I10, I11, I12, I13 or I15</w:t>
            </w:r>
          </w:p>
          <w:p w:rsidR="00D87961" w:rsidRPr="00C77494" w:rsidRDefault="00D87961" w:rsidP="00D87961">
            <w:pPr>
              <w:pStyle w:val="ListParagraph"/>
              <w:numPr>
                <w:ilvl w:val="0"/>
                <w:numId w:val="5"/>
              </w:numPr>
              <w:spacing w:after="10"/>
              <w:rPr>
                <w:rFonts w:ascii="Times New Roman" w:hAnsi="Times New Roman" w:cs="Times New Roman"/>
                <w:sz w:val="20"/>
                <w:szCs w:val="20"/>
              </w:rPr>
            </w:pPr>
            <w:r>
              <w:rPr>
                <w:rFonts w:ascii="Times New Roman" w:hAnsi="Times New Roman" w:cs="Times New Roman"/>
                <w:sz w:val="20"/>
                <w:szCs w:val="20"/>
              </w:rPr>
              <w:t xml:space="preserve">OHIP diagnosis codes: </w:t>
            </w:r>
            <w:r w:rsidRPr="00C7757F">
              <w:rPr>
                <w:rFonts w:ascii="Times New Roman" w:hAnsi="Times New Roman" w:cs="Times New Roman"/>
                <w:sz w:val="20"/>
                <w:szCs w:val="20"/>
              </w:rPr>
              <w:t>401, 402, 403, 404 or 405.</w:t>
            </w:r>
          </w:p>
          <w:p w:rsidR="00D87961" w:rsidRDefault="00D87961" w:rsidP="00856A34">
            <w:pPr>
              <w:spacing w:after="10"/>
              <w:rPr>
                <w:rFonts w:ascii="Times New Roman" w:hAnsi="Times New Roman" w:cs="Times New Roman"/>
                <w:sz w:val="20"/>
                <w:szCs w:val="20"/>
              </w:rPr>
            </w:pPr>
          </w:p>
          <w:p w:rsidR="00D87961" w:rsidRPr="00C77494" w:rsidRDefault="00D87961" w:rsidP="00856A34">
            <w:pPr>
              <w:spacing w:after="10"/>
              <w:rPr>
                <w:rFonts w:ascii="Times New Roman" w:hAnsi="Times New Roman" w:cs="Times New Roman"/>
                <w:sz w:val="20"/>
                <w:szCs w:val="20"/>
              </w:rPr>
            </w:pPr>
            <w:r w:rsidRPr="00C77494">
              <w:rPr>
                <w:rFonts w:ascii="Times New Roman" w:hAnsi="Times New Roman" w:cs="Times New Roman"/>
                <w:sz w:val="20"/>
                <w:szCs w:val="20"/>
              </w:rPr>
              <w:t>Note: we exclude</w:t>
            </w:r>
            <w:r w:rsidR="00455C60">
              <w:rPr>
                <w:rFonts w:ascii="Times New Roman" w:hAnsi="Times New Roman" w:cs="Times New Roman"/>
                <w:sz w:val="20"/>
                <w:szCs w:val="20"/>
              </w:rPr>
              <w:t>d</w:t>
            </w:r>
            <w:r w:rsidRPr="00C77494">
              <w:rPr>
                <w:rFonts w:ascii="Times New Roman" w:hAnsi="Times New Roman" w:cs="Times New Roman"/>
                <w:sz w:val="20"/>
                <w:szCs w:val="20"/>
              </w:rPr>
              <w:t xml:space="preserve"> individuals with gestational hypertension defined as those with hypertension records between 120 days before and 180 days after a gestational admission date.</w:t>
            </w:r>
          </w:p>
        </w:tc>
        <w:tc>
          <w:tcPr>
            <w:tcW w:w="1683" w:type="dxa"/>
            <w:vAlign w:val="center"/>
          </w:tcPr>
          <w:p w:rsidR="00D87961" w:rsidRPr="00C7757F" w:rsidRDefault="00856A34" w:rsidP="00856A34">
            <w:pPr>
              <w:spacing w:after="10"/>
              <w:contextualSpacing/>
              <w:jc w:val="center"/>
              <w:rPr>
                <w:rFonts w:ascii="Times New Roman" w:hAnsi="Times New Roman" w:cs="Times New Roman"/>
                <w:sz w:val="20"/>
                <w:szCs w:val="20"/>
              </w:rPr>
            </w:pPr>
            <w:r>
              <w:rPr>
                <w:rFonts w:ascii="Times New Roman" w:hAnsi="Times New Roman" w:cs="Times New Roman"/>
                <w:sz w:val="20"/>
                <w:szCs w:val="20"/>
              </w:rPr>
              <w:t>Yes</w:t>
            </w:r>
            <w:r w:rsidR="00D87961">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{"citationItems":[{"id":"ITEM-1","itemData":{"DOI":"10.1503/CMAJ.071283","ISSN":"1488-2329","PMID":"18490638","abstract":"Background: Researchers have predicted that there will be a relative increase of 24% in the prevalence of hypertension in developed countries from 2000 to 2025. Hypertension is a leading risk factor for death, stroke, cardiovascular disease and renal disease. Thus, accurate estimates of the prevalence of hypertension in a population have important implications for public policy. We sought to assess whether the estimated increase in the prevalence of hypertension has been underestimated. Methods: We performed a population-based cohort study using linked administrative data for adults aged 20 years and older in Ontario, Canada's most populous province with more than 12 million residents. Using a validated case-definition algorithm for hypertension, we examined trends in prevalence from 1995 to 2005 and in incidence from 1997 to 2004. Results: The number of adults with hypertension more than doubled from 1995 to 2005. The age- and sex-adjusted prevalence increased from 153.1 per 1000 adults in 1995 to 244.8 per 1000 in 2005, which was a relative increase of 60.0% (p &lt; 0.001). The age- and sex-adjusted incidence of hypertension increased from 25.5 per 1000 adults in 1997 to 32.1 per 1000 in 2004, which was a relative increase of 25.7% (p &lt; 0.001). Interpretation: Our findings indicate that the rise in hypertension prevalence will likely far exceed the predicted prevalence for 2025. Public health strategies to prevent and manage hypertension and its sequelae are urgently needed. © 2008 Canadian Medical Association or its licensors.","author":[{"dropping-particle":"","family":"Tu","given":"Karen","non-dropping-particle":"","parse-names":false,"suffix":""},{"dropping-particle":"","family":"Chen","given":"Zhongliang","non-dropping-particle":"","parse-names":false,"suffix":""},{"dropping-particle":"","family":"Lipscombe","given":"Lorraine L.","non-dropping-particle":"","parse-names":false,"suffix":""}],"container-title":"CMAJ : Canadian Medical Association journal = journal de l'Association medicale canadienne","id":"ITEM-1","issue":"11","issued":{"date-parts":[["2008","5","20"]]},"page":"1429-1435","publisher":"CMAJ","title":"Prevalence and incidence of hypertension from 1995 to 2005: a population-based study","type":"article-journal","volume":"178"},"uris":["http://www.mendeley.com/documents/?uuid=ae7525c1-b097-3cef-9c2f-6b5fecaac5bd"]}],"mendeley":{"formattedCitation":"&lt;sup&gt;22&lt;/sup&gt;","plainTextFormattedCitation":"22","previouslyFormattedCitation":"[22]"},"properties":{"noteIndex":0},"schema":"https://github.com/citation-style-language/schema/raw/master/csl-citation.json"}</w:instrText>
            </w:r>
            <w:r w:rsidR="00D87961">
              <w:rPr>
                <w:rFonts w:ascii="Times New Roman" w:hAnsi="Times New Roman" w:cs="Times New Roman"/>
                <w:sz w:val="20"/>
                <w:szCs w:val="20"/>
              </w:rPr>
              <w:fldChar w:fldCharType="separate"/>
            </w:r>
            <w:r w:rsidRPr="00856A34">
              <w:rPr>
                <w:rFonts w:ascii="Times New Roman" w:hAnsi="Times New Roman" w:cs="Times New Roman"/>
                <w:noProof/>
                <w:sz w:val="20"/>
                <w:szCs w:val="20"/>
                <w:vertAlign w:val="superscript"/>
              </w:rPr>
              <w:t>22</w:t>
            </w:r>
            <w:r w:rsidR="00D87961">
              <w:rPr>
                <w:rFonts w:ascii="Times New Roman" w:hAnsi="Times New Roman" w:cs="Times New Roman"/>
                <w:sz w:val="20"/>
                <w:szCs w:val="20"/>
              </w:rPr>
              <w:fldChar w:fldCharType="end"/>
            </w:r>
          </w:p>
        </w:tc>
        <w:tc>
          <w:tcPr>
            <w:tcW w:w="2497" w:type="dxa"/>
            <w:vAlign w:val="center"/>
          </w:tcPr>
          <w:p w:rsidR="00D87961"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Sensitivity: 72%</w:t>
            </w:r>
          </w:p>
          <w:p w:rsidR="00D87961"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Specificity: 95%</w:t>
            </w:r>
          </w:p>
          <w:p w:rsidR="00D87961" w:rsidRPr="00C7757F" w:rsidRDefault="00D87961" w:rsidP="00856A34">
            <w:pPr>
              <w:spacing w:after="10"/>
              <w:contextualSpacing/>
              <w:rPr>
                <w:rFonts w:ascii="Times New Roman" w:hAnsi="Times New Roman" w:cs="Times New Roman"/>
                <w:sz w:val="20"/>
                <w:szCs w:val="20"/>
              </w:rPr>
            </w:pPr>
            <w:r>
              <w:rPr>
                <w:rFonts w:ascii="Times New Roman" w:hAnsi="Times New Roman" w:cs="Times New Roman"/>
                <w:sz w:val="20"/>
                <w:szCs w:val="20"/>
              </w:rPr>
              <w:t>PPV: 87%</w:t>
            </w:r>
          </w:p>
        </w:tc>
      </w:tr>
      <w:tr w:rsidR="00D87961" w:rsidRPr="00C7757F" w:rsidTr="00856A34">
        <w:tc>
          <w:tcPr>
            <w:tcW w:w="1915" w:type="dxa"/>
            <w:vAlign w:val="center"/>
          </w:tcPr>
          <w:p w:rsidR="00D87961" w:rsidRPr="00386707"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Immunosuppressed</w:t>
            </w:r>
          </w:p>
        </w:tc>
        <w:tc>
          <w:tcPr>
            <w:tcW w:w="1320" w:type="dxa"/>
            <w:vAlign w:val="center"/>
          </w:tcPr>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 xml:space="preserve">OHIP, </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Canadian Organ Replacement Register,</w:t>
            </w:r>
          </w:p>
          <w:p w:rsidR="00D87961" w:rsidRPr="00386707"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DAD</w:t>
            </w:r>
          </w:p>
        </w:tc>
        <w:tc>
          <w:tcPr>
            <w:tcW w:w="6620" w:type="dxa"/>
            <w:vAlign w:val="center"/>
          </w:tcPr>
          <w:p w:rsidR="00D87961" w:rsidRPr="00386707" w:rsidRDefault="00D87961" w:rsidP="00856A34">
            <w:pPr>
              <w:spacing w:after="10"/>
              <w:rPr>
                <w:rFonts w:ascii="Times New Roman" w:hAnsi="Times New Roman" w:cs="Times New Roman"/>
                <w:sz w:val="20"/>
                <w:szCs w:val="20"/>
              </w:rPr>
            </w:pPr>
            <w:r w:rsidRPr="00290DD7">
              <w:rPr>
                <w:rFonts w:ascii="Times New Roman" w:hAnsi="Times New Roman" w:cs="Times New Roman"/>
                <w:b/>
                <w:sz w:val="20"/>
                <w:szCs w:val="20"/>
              </w:rPr>
              <w:t>Patients with HIV</w:t>
            </w:r>
            <w:r w:rsidRPr="00386707">
              <w:rPr>
                <w:rFonts w:ascii="Times New Roman" w:hAnsi="Times New Roman" w:cs="Times New Roman"/>
                <w:sz w:val="20"/>
                <w:szCs w:val="20"/>
              </w:rPr>
              <w:t>, defined as:</w:t>
            </w:r>
          </w:p>
          <w:p w:rsidR="00D87961" w:rsidRPr="00386707"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3 or more physician claims (OHIP) for HIV within 3 years according to OHIP diagnosis codes: 042, 043 or 044 </w:t>
            </w:r>
          </w:p>
          <w:p w:rsidR="00D87961" w:rsidRPr="00386707" w:rsidRDefault="00D87961" w:rsidP="00856A34">
            <w:pPr>
              <w:spacing w:after="10"/>
              <w:rPr>
                <w:rFonts w:ascii="Times New Roman" w:hAnsi="Times New Roman" w:cs="Times New Roman"/>
                <w:sz w:val="20"/>
                <w:szCs w:val="20"/>
              </w:rPr>
            </w:pPr>
          </w:p>
          <w:p w:rsidR="00D87961" w:rsidRPr="00290DD7" w:rsidRDefault="00D87961" w:rsidP="00856A34">
            <w:pPr>
              <w:spacing w:after="10"/>
              <w:rPr>
                <w:rFonts w:ascii="Times New Roman" w:hAnsi="Times New Roman" w:cs="Times New Roman"/>
                <w:b/>
                <w:sz w:val="20"/>
                <w:szCs w:val="20"/>
              </w:rPr>
            </w:pPr>
            <w:r w:rsidRPr="00290DD7">
              <w:rPr>
                <w:rFonts w:ascii="Times New Roman" w:hAnsi="Times New Roman" w:cs="Times New Roman"/>
                <w:b/>
                <w:sz w:val="20"/>
                <w:szCs w:val="20"/>
              </w:rPr>
              <w:t xml:space="preserve">OR </w:t>
            </w:r>
          </w:p>
          <w:p w:rsidR="00D87961" w:rsidRPr="00386707"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sidRPr="005868BB">
              <w:rPr>
                <w:rFonts w:ascii="Times New Roman" w:hAnsi="Times New Roman" w:cs="Times New Roman"/>
                <w:b/>
                <w:sz w:val="20"/>
                <w:szCs w:val="20"/>
              </w:rPr>
              <w:t>Patients who have received an organ transplant</w:t>
            </w:r>
            <w:r w:rsidRPr="00386707">
              <w:rPr>
                <w:rFonts w:ascii="Times New Roman" w:hAnsi="Times New Roman" w:cs="Times New Roman"/>
                <w:sz w:val="20"/>
                <w:szCs w:val="20"/>
              </w:rPr>
              <w:t xml:space="preserve">, </w:t>
            </w:r>
            <w:r>
              <w:rPr>
                <w:rFonts w:ascii="Times New Roman" w:hAnsi="Times New Roman" w:cs="Times New Roman"/>
                <w:sz w:val="20"/>
                <w:szCs w:val="20"/>
              </w:rPr>
              <w:t>as documented in the Canadian Organ Replacement Register.  The Canadian Organ Replacement Register is a national information system which records the activity and outcomes of vital organ transplantation.</w:t>
            </w:r>
          </w:p>
          <w:p w:rsidR="00D87961" w:rsidRDefault="00D87961" w:rsidP="00856A34">
            <w:pPr>
              <w:spacing w:after="10"/>
              <w:rPr>
                <w:rFonts w:ascii="Times New Roman" w:hAnsi="Times New Roman" w:cs="Times New Roman"/>
                <w:sz w:val="20"/>
                <w:szCs w:val="20"/>
              </w:rPr>
            </w:pPr>
          </w:p>
          <w:p w:rsidR="00D87961" w:rsidRPr="008B5D4D" w:rsidRDefault="00D87961" w:rsidP="00856A34">
            <w:pPr>
              <w:spacing w:after="10"/>
              <w:rPr>
                <w:rFonts w:ascii="Times New Roman" w:hAnsi="Times New Roman" w:cs="Times New Roman"/>
                <w:b/>
                <w:sz w:val="20"/>
                <w:szCs w:val="20"/>
              </w:rPr>
            </w:pPr>
            <w:r w:rsidRPr="008B5D4D">
              <w:rPr>
                <w:rFonts w:ascii="Times New Roman" w:hAnsi="Times New Roman" w:cs="Times New Roman"/>
                <w:b/>
                <w:sz w:val="20"/>
                <w:szCs w:val="20"/>
              </w:rPr>
              <w:t xml:space="preserve">OR </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sidRPr="005868BB">
              <w:rPr>
                <w:rFonts w:ascii="Times New Roman" w:hAnsi="Times New Roman" w:cs="Times New Roman"/>
                <w:b/>
                <w:sz w:val="20"/>
                <w:szCs w:val="20"/>
              </w:rPr>
              <w:t>Patients who have received a</w:t>
            </w:r>
            <w:r>
              <w:rPr>
                <w:rFonts w:ascii="Times New Roman" w:hAnsi="Times New Roman" w:cs="Times New Roman"/>
                <w:b/>
                <w:sz w:val="20"/>
                <w:szCs w:val="20"/>
              </w:rPr>
              <w:t>n allogenic/autologous</w:t>
            </w:r>
            <w:r w:rsidRPr="005868BB">
              <w:rPr>
                <w:rFonts w:ascii="Times New Roman" w:hAnsi="Times New Roman" w:cs="Times New Roman"/>
                <w:b/>
                <w:sz w:val="20"/>
                <w:szCs w:val="20"/>
              </w:rPr>
              <w:t xml:space="preserve"> bone marrow transplant,</w:t>
            </w:r>
            <w:r>
              <w:rPr>
                <w:rFonts w:ascii="Times New Roman" w:hAnsi="Times New Roman" w:cs="Times New Roman"/>
                <w:sz w:val="20"/>
                <w:szCs w:val="20"/>
              </w:rPr>
              <w:t xml:space="preserve"> defined as:</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1 or more physician claims (OHIP) for an allogenic or autologous bone marrow transplant according to: </w:t>
            </w:r>
          </w:p>
          <w:p w:rsidR="00D87961" w:rsidRDefault="00D87961" w:rsidP="00D87961">
            <w:pPr>
              <w:pStyle w:val="ListParagraph"/>
              <w:numPr>
                <w:ilvl w:val="0"/>
                <w:numId w:val="16"/>
              </w:numPr>
              <w:spacing w:after="10"/>
              <w:rPr>
                <w:rFonts w:ascii="Times New Roman" w:hAnsi="Times New Roman" w:cs="Times New Roman"/>
                <w:sz w:val="20"/>
                <w:szCs w:val="20"/>
              </w:rPr>
            </w:pPr>
            <w:r>
              <w:rPr>
                <w:rFonts w:ascii="Times New Roman" w:hAnsi="Times New Roman" w:cs="Times New Roman"/>
                <w:sz w:val="20"/>
                <w:szCs w:val="20"/>
              </w:rPr>
              <w:t>CCP code: 53.0</w:t>
            </w:r>
          </w:p>
          <w:p w:rsidR="00D87961" w:rsidRDefault="00D87961" w:rsidP="00D87961">
            <w:pPr>
              <w:pStyle w:val="ListParagraph"/>
              <w:numPr>
                <w:ilvl w:val="0"/>
                <w:numId w:val="16"/>
              </w:numPr>
              <w:spacing w:after="10"/>
              <w:rPr>
                <w:rFonts w:ascii="Times New Roman" w:hAnsi="Times New Roman" w:cs="Times New Roman"/>
                <w:sz w:val="20"/>
                <w:szCs w:val="20"/>
              </w:rPr>
            </w:pPr>
            <w:r>
              <w:rPr>
                <w:rFonts w:ascii="Times New Roman" w:hAnsi="Times New Roman" w:cs="Times New Roman"/>
                <w:sz w:val="20"/>
                <w:szCs w:val="20"/>
              </w:rPr>
              <w:t>CCI codes: 1WY19, 1LZ19HHU7, or 1L19HHU8</w:t>
            </w:r>
          </w:p>
          <w:p w:rsidR="00D87961" w:rsidRPr="00140AB3" w:rsidRDefault="00D87961" w:rsidP="00D87961">
            <w:pPr>
              <w:pStyle w:val="ListParagraph"/>
              <w:numPr>
                <w:ilvl w:val="0"/>
                <w:numId w:val="16"/>
              </w:numPr>
              <w:spacing w:after="10"/>
              <w:rPr>
                <w:rFonts w:ascii="Times New Roman" w:hAnsi="Times New Roman" w:cs="Times New Roman"/>
                <w:sz w:val="20"/>
                <w:szCs w:val="20"/>
              </w:rPr>
            </w:pPr>
            <w:r>
              <w:rPr>
                <w:rFonts w:ascii="Times New Roman" w:hAnsi="Times New Roman" w:cs="Times New Roman"/>
                <w:sz w:val="20"/>
                <w:szCs w:val="20"/>
              </w:rPr>
              <w:t>OHIP fee code: Z426</w:t>
            </w:r>
          </w:p>
          <w:p w:rsidR="00D87961" w:rsidRPr="00386707" w:rsidRDefault="00D87961" w:rsidP="00856A34">
            <w:pPr>
              <w:spacing w:after="10"/>
              <w:rPr>
                <w:rFonts w:ascii="Times New Roman" w:hAnsi="Times New Roman" w:cs="Times New Roman"/>
                <w:sz w:val="20"/>
                <w:szCs w:val="20"/>
              </w:rPr>
            </w:pPr>
          </w:p>
          <w:p w:rsidR="00D87961" w:rsidRPr="008B5D4D" w:rsidRDefault="00D87961" w:rsidP="00856A34">
            <w:pPr>
              <w:spacing w:after="10"/>
              <w:rPr>
                <w:rFonts w:ascii="Times New Roman" w:hAnsi="Times New Roman" w:cs="Times New Roman"/>
                <w:b/>
                <w:sz w:val="20"/>
                <w:szCs w:val="20"/>
              </w:rPr>
            </w:pPr>
            <w:r w:rsidRPr="008B5D4D">
              <w:rPr>
                <w:rFonts w:ascii="Times New Roman" w:hAnsi="Times New Roman" w:cs="Times New Roman"/>
                <w:b/>
                <w:sz w:val="20"/>
                <w:szCs w:val="20"/>
              </w:rPr>
              <w:t xml:space="preserve">OR </w:t>
            </w:r>
          </w:p>
          <w:p w:rsidR="00D87961" w:rsidRPr="00386707"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sidRPr="008B5D4D">
              <w:rPr>
                <w:rFonts w:ascii="Times New Roman" w:hAnsi="Times New Roman" w:cs="Times New Roman"/>
                <w:b/>
                <w:sz w:val="20"/>
                <w:szCs w:val="20"/>
              </w:rPr>
              <w:t>Patients with an immunodeficient condition</w:t>
            </w:r>
            <w:r>
              <w:rPr>
                <w:rFonts w:ascii="Times New Roman" w:hAnsi="Times New Roman" w:cs="Times New Roman"/>
                <w:sz w:val="20"/>
                <w:szCs w:val="20"/>
              </w:rPr>
              <w:t xml:space="preserve"> (i.e. sickle-cell disease; hereditary immunodeficiency; neutropenia; functional disorders of </w:t>
            </w:r>
            <w:proofErr w:type="spellStart"/>
            <w:r>
              <w:rPr>
                <w:rFonts w:ascii="Times New Roman" w:hAnsi="Times New Roman" w:cs="Times New Roman"/>
                <w:sz w:val="20"/>
                <w:szCs w:val="20"/>
              </w:rPr>
              <w:t>polymorphonuclear</w:t>
            </w:r>
            <w:proofErr w:type="spellEnd"/>
            <w:r>
              <w:rPr>
                <w:rFonts w:ascii="Times New Roman" w:hAnsi="Times New Roman" w:cs="Times New Roman"/>
                <w:sz w:val="20"/>
                <w:szCs w:val="20"/>
              </w:rPr>
              <w:t xml:space="preserve"> neutrophils and anomalies of leukocytes; </w:t>
            </w:r>
            <w:proofErr w:type="spellStart"/>
            <w:r>
              <w:rPr>
                <w:rFonts w:ascii="Times New Roman" w:hAnsi="Times New Roman" w:cs="Times New Roman"/>
                <w:sz w:val="20"/>
                <w:szCs w:val="20"/>
              </w:rPr>
              <w:t>hyposplenism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hypersplenism</w:t>
            </w:r>
            <w:proofErr w:type="spellEnd"/>
            <w:r>
              <w:rPr>
                <w:rFonts w:ascii="Times New Roman" w:hAnsi="Times New Roman" w:cs="Times New Roman"/>
                <w:sz w:val="20"/>
                <w:szCs w:val="20"/>
              </w:rPr>
              <w:t xml:space="preserve"> and chronic congestive splenomegaly; </w:t>
            </w:r>
            <w:proofErr w:type="spellStart"/>
            <w:r>
              <w:rPr>
                <w:rFonts w:ascii="Times New Roman" w:hAnsi="Times New Roman" w:cs="Times New Roman"/>
                <w:sz w:val="20"/>
                <w:szCs w:val="20"/>
              </w:rPr>
              <w:t>asplenia</w:t>
            </w:r>
            <w:proofErr w:type="spellEnd"/>
            <w:r>
              <w:rPr>
                <w:rFonts w:ascii="Times New Roman" w:hAnsi="Times New Roman" w:cs="Times New Roman"/>
                <w:sz w:val="20"/>
                <w:szCs w:val="20"/>
              </w:rPr>
              <w:t xml:space="preserve">) defined as: </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lastRenderedPageBreak/>
              <w:t>1 or more hospitalization (DAD) for an immunodeficient condition</w:t>
            </w:r>
          </w:p>
          <w:p w:rsidR="00D87961" w:rsidRPr="005868BB" w:rsidRDefault="00D87961" w:rsidP="00856A34">
            <w:pPr>
              <w:spacing w:after="10"/>
              <w:rPr>
                <w:rFonts w:ascii="Times New Roman" w:hAnsi="Times New Roman" w:cs="Times New Roman"/>
                <w:sz w:val="20"/>
                <w:szCs w:val="20"/>
              </w:rPr>
            </w:pPr>
          </w:p>
          <w:p w:rsidR="00D87961" w:rsidRPr="005868BB" w:rsidRDefault="00D87961" w:rsidP="00856A34">
            <w:pPr>
              <w:spacing w:after="10"/>
              <w:rPr>
                <w:rFonts w:ascii="Times New Roman" w:hAnsi="Times New Roman" w:cs="Times New Roman"/>
                <w:sz w:val="20"/>
                <w:szCs w:val="20"/>
              </w:rPr>
            </w:pPr>
            <w:r w:rsidRPr="005868BB">
              <w:rPr>
                <w:rFonts w:ascii="Times New Roman" w:hAnsi="Times New Roman" w:cs="Times New Roman"/>
                <w:sz w:val="20"/>
                <w:szCs w:val="20"/>
              </w:rPr>
              <w:t xml:space="preserve">According to: </w:t>
            </w:r>
          </w:p>
          <w:p w:rsidR="00D87961" w:rsidRPr="005868BB" w:rsidRDefault="00D87961" w:rsidP="00D87961">
            <w:pPr>
              <w:pStyle w:val="ListParagraph"/>
              <w:numPr>
                <w:ilvl w:val="0"/>
                <w:numId w:val="15"/>
              </w:numPr>
              <w:spacing w:after="10"/>
              <w:jc w:val="both"/>
              <w:rPr>
                <w:rFonts w:ascii="Times New Roman" w:hAnsi="Times New Roman" w:cs="Times New Roman"/>
                <w:sz w:val="20"/>
                <w:szCs w:val="20"/>
              </w:rPr>
            </w:pPr>
            <w:r w:rsidRPr="005868BB">
              <w:rPr>
                <w:rFonts w:ascii="Times New Roman" w:hAnsi="Times New Roman" w:cs="Times New Roman"/>
                <w:sz w:val="20"/>
                <w:szCs w:val="20"/>
              </w:rPr>
              <w:t>ICD-9 diagnosis codes: 282.6, 279, 288.0, 288.1, 288.2, 289.4, 289.5, or 759.0</w:t>
            </w:r>
          </w:p>
          <w:p w:rsidR="00D87961" w:rsidRPr="005868BB" w:rsidRDefault="00D87961" w:rsidP="00D87961">
            <w:pPr>
              <w:pStyle w:val="ListParagraph"/>
              <w:numPr>
                <w:ilvl w:val="0"/>
                <w:numId w:val="15"/>
              </w:numPr>
              <w:spacing w:after="10"/>
              <w:jc w:val="both"/>
              <w:rPr>
                <w:rFonts w:ascii="Times New Roman" w:hAnsi="Times New Roman" w:cs="Times New Roman"/>
                <w:sz w:val="20"/>
                <w:szCs w:val="20"/>
              </w:rPr>
            </w:pPr>
            <w:r w:rsidRPr="005868BB">
              <w:rPr>
                <w:rFonts w:ascii="Times New Roman" w:hAnsi="Times New Roman" w:cs="Times New Roman"/>
                <w:sz w:val="20"/>
                <w:szCs w:val="20"/>
              </w:rPr>
              <w:t>ICD-10 diagnosis codes: D57.0 to D57.2, D57.8</w:t>
            </w:r>
            <w:r>
              <w:rPr>
                <w:rFonts w:ascii="Times New Roman" w:hAnsi="Times New Roman" w:cs="Times New Roman"/>
                <w:sz w:val="20"/>
                <w:szCs w:val="20"/>
              </w:rPr>
              <w:t>, D80 to D84, D89.8, D89.9, D70, D71 to D72, D73.0 D73.1, D73.2 or Q89.0</w:t>
            </w:r>
          </w:p>
          <w:p w:rsidR="00D87961" w:rsidRPr="00386707" w:rsidRDefault="00D87961" w:rsidP="00856A34">
            <w:pPr>
              <w:spacing w:after="10"/>
              <w:rPr>
                <w:rFonts w:ascii="Times New Roman" w:hAnsi="Times New Roman" w:cs="Times New Roman"/>
                <w:sz w:val="20"/>
                <w:szCs w:val="20"/>
              </w:rPr>
            </w:pPr>
          </w:p>
        </w:tc>
        <w:tc>
          <w:tcPr>
            <w:tcW w:w="1683" w:type="dxa"/>
            <w:vAlign w:val="center"/>
          </w:tcPr>
          <w:p w:rsidR="00D87961" w:rsidRDefault="00D87961" w:rsidP="00856A34">
            <w:pPr>
              <w:spacing w:after="10"/>
              <w:jc w:val="center"/>
              <w:rPr>
                <w:rFonts w:ascii="Times New Roman" w:hAnsi="Times New Roman" w:cs="Times New Roman"/>
                <w:sz w:val="20"/>
                <w:szCs w:val="20"/>
              </w:rPr>
            </w:pPr>
            <w:r w:rsidRPr="0097097A">
              <w:rPr>
                <w:rFonts w:ascii="Times New Roman" w:hAnsi="Times New Roman" w:cs="Times New Roman"/>
                <w:b/>
                <w:sz w:val="20"/>
                <w:szCs w:val="20"/>
              </w:rPr>
              <w:lastRenderedPageBreak/>
              <w:t>HIV:</w:t>
            </w:r>
            <w:r w:rsidR="00856A34">
              <w:rPr>
                <w:rFonts w:ascii="Times New Roman" w:hAnsi="Times New Roman" w:cs="Times New Roman"/>
                <w:sz w:val="20"/>
                <w:szCs w:val="20"/>
              </w:rPr>
              <w:t xml:space="preserve"> Yes</w:t>
            </w:r>
            <w:r>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{"citationItems":[{"id":"ITEM-1","itemData":{"DOI":"10.1371/JOURNAL.PONE.0021748","ISSN":"1932-6203","PMID":"21738786","abstract":"Objective We sought to validate a case-finding algorithm for human immunodeficiency virus (HIV) infection using administrative health databases in Ontario, Canada.   Methods We constructed 48 case-finding algorithms using combinations of physician billing claims, hospital and emergency room separations and prescription drug claims. We determined the test characteristics of each algorithm over various time frames for identifying HIV infection, using data abstracted from the charts of 2,040 randomly selected patients receiving care at two medical practices in Toronto, Ontario as the reference standard.   Results With the exception of algorithms using only a single physician claim, the specificity of all algorithms exceeded 99%. An algorithm consisting of three physician claims over a three year period had a sensitivity and specificity of 96.2% (95% CI 95.2%–97.9%) and 99.6% (95% CI 99.1%–99.8%), respectively. Application of the algorithm to the province of Ontario identified 12,179 HIV-infected patients in care for the period spanning April 1, 2007 to March 31, 2009.   Conclusions Case-finding algorithms generated from administrative data can accurately identify adults living with HIV. A relatively simple “3 claims in 3 years” definition can be used for assembling a population-based cohort and facilitating future research examining trends in health service use and outcomes among HIV-infected adults in Ontario.","author":[{"dropping-particle":"","family":"Antoniou","given":"Tony","non-dropping-particle":"","parse-names":false,"suffix":""},{"dropping-particle":"","family":"Zagorski","given":"Brandon","non-dropping-particle":"","parse-names":false,"suffix":""},{"dropping-particle":"","family":"Loutfy","given":"Mona R.","non-dropping-particle":"","parse-names":false,"suffix":""},{"dropping-particle":"","family":"Strike","given":"Carol","non-dropping-particle":"","parse-names":false,"suffix":""},{"dropping-particle":"","family":"Glazier","given":"Richard H.","non-dropping-particle":"","parse-names":false,"suffix":""}],"container-title":"PLOS ONE","id":"ITEM-1","issue":"6","issued":{"date-parts":[["2011"]]},"page":"e21748","publisher":"Public Library of Science","title":"Validation of Case-Finding Algorithms Derived from Administrative Data for Identifying Adults Living with Human Immunodeficiency Virus Infection","type":"article-journal","volume":"6"},"uris":["http://www.mendeley.com/documents/?uuid=5d0f825c-49c0-340d-ae58-fbbaaead3f17"]}],"mendeley":{"formattedCitation":"&lt;sup&gt;23&lt;/sup&gt;","plainTextFormattedCitation":"23","previouslyFormattedCitation":"[23]"},"properties":{"noteIndex":0},"schema":"https://github.com/citation-style-language/schema/raw/master/csl-citation.json"}</w:instrText>
            </w:r>
            <w:r>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23</w:t>
            </w:r>
            <w:r>
              <w:rPr>
                <w:rFonts w:ascii="Times New Roman" w:hAnsi="Times New Roman" w:cs="Times New Roman"/>
                <w:sz w:val="20"/>
                <w:szCs w:val="20"/>
              </w:rPr>
              <w:fldChar w:fldCharType="end"/>
            </w:r>
          </w:p>
          <w:p w:rsidR="00D87961" w:rsidRDefault="00D87961" w:rsidP="00856A34">
            <w:pPr>
              <w:spacing w:after="10"/>
              <w:jc w:val="center"/>
              <w:rPr>
                <w:rFonts w:ascii="Times New Roman" w:hAnsi="Times New Roman" w:cs="Times New Roman"/>
                <w:sz w:val="20"/>
                <w:szCs w:val="20"/>
              </w:rPr>
            </w:pPr>
          </w:p>
          <w:p w:rsidR="00D87961" w:rsidRDefault="00D87961" w:rsidP="00856A34">
            <w:pPr>
              <w:spacing w:after="10"/>
              <w:jc w:val="center"/>
              <w:rPr>
                <w:rFonts w:ascii="Times New Roman" w:hAnsi="Times New Roman" w:cs="Times New Roman"/>
                <w:sz w:val="20"/>
                <w:szCs w:val="20"/>
              </w:rPr>
            </w:pPr>
            <w:r w:rsidRPr="0097097A">
              <w:rPr>
                <w:rFonts w:ascii="Times New Roman" w:hAnsi="Times New Roman" w:cs="Times New Roman"/>
                <w:b/>
                <w:sz w:val="20"/>
                <w:szCs w:val="20"/>
              </w:rPr>
              <w:t>Bone marrow transplant</w:t>
            </w:r>
            <w:r>
              <w:rPr>
                <w:rFonts w:ascii="Times New Roman" w:hAnsi="Times New Roman" w:cs="Times New Roman"/>
                <w:sz w:val="20"/>
                <w:szCs w:val="20"/>
              </w:rPr>
              <w:t>: No</w:t>
            </w:r>
          </w:p>
          <w:p w:rsidR="00D87961" w:rsidRDefault="00D87961" w:rsidP="00856A34">
            <w:pPr>
              <w:spacing w:after="10"/>
              <w:jc w:val="center"/>
              <w:rPr>
                <w:rFonts w:ascii="Times New Roman" w:hAnsi="Times New Roman" w:cs="Times New Roman"/>
                <w:sz w:val="20"/>
                <w:szCs w:val="20"/>
              </w:rPr>
            </w:pPr>
          </w:p>
          <w:p w:rsidR="00D87961" w:rsidRPr="00386707" w:rsidRDefault="00D87961" w:rsidP="00856A34">
            <w:pPr>
              <w:spacing w:after="10"/>
              <w:jc w:val="center"/>
              <w:rPr>
                <w:rFonts w:ascii="Times New Roman" w:hAnsi="Times New Roman" w:cs="Times New Roman"/>
                <w:sz w:val="20"/>
                <w:szCs w:val="20"/>
              </w:rPr>
            </w:pPr>
            <w:r w:rsidRPr="0097097A">
              <w:rPr>
                <w:rFonts w:ascii="Times New Roman" w:hAnsi="Times New Roman" w:cs="Times New Roman"/>
                <w:b/>
                <w:sz w:val="20"/>
                <w:szCs w:val="20"/>
              </w:rPr>
              <w:t>Immunodeficient condition</w:t>
            </w:r>
            <w:r>
              <w:rPr>
                <w:rFonts w:ascii="Times New Roman" w:hAnsi="Times New Roman" w:cs="Times New Roman"/>
                <w:sz w:val="20"/>
                <w:szCs w:val="20"/>
              </w:rPr>
              <w:t>: No</w:t>
            </w:r>
          </w:p>
        </w:tc>
        <w:tc>
          <w:tcPr>
            <w:tcW w:w="2497" w:type="dxa"/>
            <w:vAlign w:val="center"/>
          </w:tcPr>
          <w:p w:rsidR="00D87961" w:rsidRPr="0097097A" w:rsidRDefault="00D87961" w:rsidP="00856A34">
            <w:pPr>
              <w:spacing w:after="10"/>
              <w:rPr>
                <w:rFonts w:ascii="Times New Roman" w:hAnsi="Times New Roman" w:cs="Times New Roman"/>
                <w:b/>
                <w:sz w:val="20"/>
                <w:szCs w:val="20"/>
              </w:rPr>
            </w:pPr>
            <w:r w:rsidRPr="0097097A">
              <w:rPr>
                <w:rFonts w:ascii="Times New Roman" w:hAnsi="Times New Roman" w:cs="Times New Roman"/>
                <w:b/>
                <w:sz w:val="20"/>
                <w:szCs w:val="20"/>
              </w:rPr>
              <w:t xml:space="preserve">HIV: </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Sensitivity: 96.2%</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Specificity: 99.6%</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sidRPr="0097097A">
              <w:rPr>
                <w:rFonts w:ascii="Times New Roman" w:hAnsi="Times New Roman" w:cs="Times New Roman"/>
                <w:b/>
                <w:sz w:val="20"/>
                <w:szCs w:val="20"/>
              </w:rPr>
              <w:t>Bone marrow transplant</w:t>
            </w:r>
            <w:r>
              <w:rPr>
                <w:rFonts w:ascii="Times New Roman" w:hAnsi="Times New Roman" w:cs="Times New Roman"/>
                <w:sz w:val="20"/>
                <w:szCs w:val="20"/>
              </w:rPr>
              <w:t>: N/A</w:t>
            </w:r>
          </w:p>
          <w:p w:rsidR="00D87961" w:rsidRDefault="00D87961" w:rsidP="00856A34">
            <w:pPr>
              <w:spacing w:after="10"/>
              <w:rPr>
                <w:rFonts w:ascii="Times New Roman" w:hAnsi="Times New Roman" w:cs="Times New Roman"/>
                <w:sz w:val="20"/>
                <w:szCs w:val="20"/>
              </w:rPr>
            </w:pPr>
          </w:p>
          <w:p w:rsidR="00D87961" w:rsidRPr="00386707" w:rsidRDefault="00D87961" w:rsidP="00856A34">
            <w:pPr>
              <w:spacing w:after="10"/>
              <w:rPr>
                <w:rFonts w:ascii="Times New Roman" w:hAnsi="Times New Roman" w:cs="Times New Roman"/>
                <w:sz w:val="20"/>
                <w:szCs w:val="20"/>
              </w:rPr>
            </w:pPr>
            <w:r w:rsidRPr="0097097A">
              <w:rPr>
                <w:rFonts w:ascii="Times New Roman" w:hAnsi="Times New Roman" w:cs="Times New Roman"/>
                <w:b/>
                <w:sz w:val="20"/>
                <w:szCs w:val="20"/>
              </w:rPr>
              <w:t>Immunodeficient condition</w:t>
            </w:r>
            <w:r>
              <w:rPr>
                <w:rFonts w:ascii="Times New Roman" w:hAnsi="Times New Roman" w:cs="Times New Roman"/>
                <w:sz w:val="20"/>
                <w:szCs w:val="20"/>
              </w:rPr>
              <w:t>: N/A</w:t>
            </w:r>
          </w:p>
        </w:tc>
      </w:tr>
      <w:tr w:rsidR="00D87961" w:rsidRPr="00C7757F" w:rsidTr="00856A34">
        <w:tc>
          <w:tcPr>
            <w:tcW w:w="1915" w:type="dxa"/>
            <w:vAlign w:val="center"/>
          </w:tcPr>
          <w:p w:rsidR="00D87961" w:rsidRPr="00386707"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Stroke</w:t>
            </w:r>
          </w:p>
        </w:tc>
        <w:tc>
          <w:tcPr>
            <w:tcW w:w="1320" w:type="dxa"/>
            <w:vAlign w:val="center"/>
          </w:tcPr>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 xml:space="preserve">DAD, </w:t>
            </w:r>
          </w:p>
          <w:p w:rsidR="00D87961"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NACRS,</w:t>
            </w:r>
          </w:p>
          <w:p w:rsidR="00D87961" w:rsidRPr="00386707" w:rsidRDefault="00D87961" w:rsidP="00856A34">
            <w:pPr>
              <w:spacing w:after="10"/>
              <w:jc w:val="center"/>
              <w:rPr>
                <w:rFonts w:ascii="Times New Roman" w:hAnsi="Times New Roman" w:cs="Times New Roman"/>
                <w:sz w:val="20"/>
                <w:szCs w:val="20"/>
              </w:rPr>
            </w:pPr>
          </w:p>
        </w:tc>
        <w:tc>
          <w:tcPr>
            <w:tcW w:w="6620" w:type="dxa"/>
            <w:vAlign w:val="center"/>
          </w:tcPr>
          <w:p w:rsidR="00D87961" w:rsidRDefault="00D87961" w:rsidP="00856A34">
            <w:pPr>
              <w:spacing w:after="10"/>
              <w:rPr>
                <w:rFonts w:ascii="Times New Roman" w:hAnsi="Times New Roman" w:cs="Times New Roman"/>
                <w:sz w:val="20"/>
                <w:szCs w:val="20"/>
              </w:rPr>
            </w:pPr>
            <w:r w:rsidRPr="001C44E4">
              <w:rPr>
                <w:rFonts w:ascii="Times New Roman" w:hAnsi="Times New Roman" w:cs="Times New Roman"/>
                <w:b/>
                <w:sz w:val="20"/>
                <w:szCs w:val="20"/>
              </w:rPr>
              <w:t>Patients who have had a transient ischemic attack</w:t>
            </w:r>
            <w:r>
              <w:rPr>
                <w:rFonts w:ascii="Times New Roman" w:hAnsi="Times New Roman" w:cs="Times New Roman"/>
                <w:sz w:val="20"/>
                <w:szCs w:val="20"/>
              </w:rPr>
              <w:t>, defined as:</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hospitalization (DAD), or emergency department visit (NACRS) for a transient ischemic attack according to</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According to: </w:t>
            </w:r>
          </w:p>
          <w:p w:rsidR="00D87961" w:rsidRDefault="00D87961" w:rsidP="00D87961">
            <w:pPr>
              <w:pStyle w:val="ListParagraph"/>
              <w:numPr>
                <w:ilvl w:val="0"/>
                <w:numId w:val="13"/>
              </w:numPr>
              <w:spacing w:after="10"/>
              <w:rPr>
                <w:rFonts w:ascii="Times New Roman" w:hAnsi="Times New Roman" w:cs="Times New Roman"/>
                <w:sz w:val="20"/>
                <w:szCs w:val="20"/>
              </w:rPr>
            </w:pPr>
            <w:r>
              <w:rPr>
                <w:rFonts w:ascii="Times New Roman" w:hAnsi="Times New Roman" w:cs="Times New Roman"/>
                <w:sz w:val="20"/>
                <w:szCs w:val="20"/>
              </w:rPr>
              <w:t>ICD-9 diagnosis codes: 435, 3623</w:t>
            </w:r>
          </w:p>
          <w:p w:rsidR="00D87961" w:rsidRPr="001C44E4" w:rsidRDefault="00D87961" w:rsidP="00D87961">
            <w:pPr>
              <w:pStyle w:val="ListParagraph"/>
              <w:numPr>
                <w:ilvl w:val="0"/>
                <w:numId w:val="13"/>
              </w:numPr>
              <w:spacing w:after="10"/>
              <w:rPr>
                <w:rFonts w:ascii="Times New Roman" w:hAnsi="Times New Roman" w:cs="Times New Roman"/>
                <w:sz w:val="20"/>
                <w:szCs w:val="20"/>
              </w:rPr>
            </w:pPr>
            <w:r>
              <w:rPr>
                <w:rFonts w:ascii="Times New Roman" w:hAnsi="Times New Roman" w:cs="Times New Roman"/>
                <w:sz w:val="20"/>
                <w:szCs w:val="20"/>
              </w:rPr>
              <w:t>ICD-10 diagnosis codes: G450, G451, G452, G453, G458, G459, H340</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b/>
                <w:sz w:val="20"/>
                <w:szCs w:val="20"/>
              </w:rPr>
            </w:pPr>
            <w:r>
              <w:rPr>
                <w:rFonts w:ascii="Times New Roman" w:hAnsi="Times New Roman" w:cs="Times New Roman"/>
                <w:b/>
                <w:sz w:val="20"/>
                <w:szCs w:val="20"/>
              </w:rPr>
              <w:t xml:space="preserve">OR </w:t>
            </w:r>
          </w:p>
          <w:p w:rsidR="00D87961" w:rsidRPr="001C44E4" w:rsidRDefault="00D87961" w:rsidP="00856A34">
            <w:pPr>
              <w:spacing w:after="10"/>
              <w:rPr>
                <w:rFonts w:ascii="Times New Roman" w:hAnsi="Times New Roman" w:cs="Times New Roman"/>
                <w:b/>
                <w:sz w:val="20"/>
                <w:szCs w:val="20"/>
              </w:rPr>
            </w:pPr>
          </w:p>
          <w:p w:rsidR="00D87961" w:rsidRDefault="00D87961" w:rsidP="00856A34">
            <w:pPr>
              <w:spacing w:after="10"/>
              <w:rPr>
                <w:rFonts w:ascii="Times New Roman" w:hAnsi="Times New Roman" w:cs="Times New Roman"/>
                <w:sz w:val="20"/>
                <w:szCs w:val="20"/>
              </w:rPr>
            </w:pPr>
            <w:r w:rsidRPr="001C44E4">
              <w:rPr>
                <w:rFonts w:ascii="Times New Roman" w:hAnsi="Times New Roman" w:cs="Times New Roman"/>
                <w:b/>
                <w:sz w:val="20"/>
                <w:szCs w:val="20"/>
              </w:rPr>
              <w:t>Patients who have had an acute ischemic stroke</w:t>
            </w:r>
            <w:r>
              <w:rPr>
                <w:rFonts w:ascii="Times New Roman" w:hAnsi="Times New Roman" w:cs="Times New Roman"/>
                <w:sz w:val="20"/>
                <w:szCs w:val="20"/>
              </w:rPr>
              <w:t>, defined as:</w:t>
            </w: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1 or more hospitalizations (DAD) with a main diagnosis of acute ischemic stroke</w:t>
            </w:r>
          </w:p>
          <w:p w:rsidR="00D87961" w:rsidRDefault="00D87961" w:rsidP="00856A34">
            <w:pPr>
              <w:spacing w:after="10"/>
              <w:rPr>
                <w:rFonts w:ascii="Times New Roman" w:hAnsi="Times New Roman" w:cs="Times New Roman"/>
                <w:sz w:val="20"/>
                <w:szCs w:val="20"/>
              </w:rPr>
            </w:pPr>
          </w:p>
          <w:p w:rsidR="00D87961"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 xml:space="preserve">According to: </w:t>
            </w:r>
          </w:p>
          <w:p w:rsidR="00D87961" w:rsidRDefault="00D87961" w:rsidP="00D87961">
            <w:pPr>
              <w:pStyle w:val="ListParagraph"/>
              <w:numPr>
                <w:ilvl w:val="0"/>
                <w:numId w:val="14"/>
              </w:numPr>
              <w:spacing w:after="10"/>
              <w:rPr>
                <w:rFonts w:ascii="Times New Roman" w:hAnsi="Times New Roman" w:cs="Times New Roman"/>
                <w:sz w:val="20"/>
                <w:szCs w:val="20"/>
              </w:rPr>
            </w:pPr>
            <w:r>
              <w:rPr>
                <w:rFonts w:ascii="Times New Roman" w:hAnsi="Times New Roman" w:cs="Times New Roman"/>
                <w:sz w:val="20"/>
                <w:szCs w:val="20"/>
              </w:rPr>
              <w:t>ICD-9 diagnosis codes: 43301, 43311, 43321, 43331, 43391, 434, 436</w:t>
            </w:r>
          </w:p>
          <w:p w:rsidR="00D87961" w:rsidRPr="001C44E4" w:rsidRDefault="00D87961" w:rsidP="00D87961">
            <w:pPr>
              <w:pStyle w:val="ListParagraph"/>
              <w:numPr>
                <w:ilvl w:val="0"/>
                <w:numId w:val="14"/>
              </w:numPr>
              <w:spacing w:after="10"/>
              <w:rPr>
                <w:rFonts w:ascii="Times New Roman" w:hAnsi="Times New Roman" w:cs="Times New Roman"/>
                <w:sz w:val="20"/>
                <w:szCs w:val="20"/>
              </w:rPr>
            </w:pPr>
            <w:r>
              <w:rPr>
                <w:rFonts w:ascii="Times New Roman" w:hAnsi="Times New Roman" w:cs="Times New Roman"/>
                <w:sz w:val="20"/>
                <w:szCs w:val="20"/>
              </w:rPr>
              <w:t>ICD-10 diagnosis codes: I63, I64, H34.1</w:t>
            </w:r>
          </w:p>
        </w:tc>
        <w:tc>
          <w:tcPr>
            <w:tcW w:w="1683" w:type="dxa"/>
            <w:vAlign w:val="center"/>
          </w:tcPr>
          <w:p w:rsidR="00D87961" w:rsidRPr="00386707" w:rsidRDefault="00D87961" w:rsidP="00856A34">
            <w:pPr>
              <w:spacing w:after="10"/>
              <w:jc w:val="center"/>
              <w:rPr>
                <w:rFonts w:ascii="Times New Roman" w:hAnsi="Times New Roman" w:cs="Times New Roman"/>
                <w:sz w:val="20"/>
                <w:szCs w:val="20"/>
              </w:rPr>
            </w:pPr>
            <w:r>
              <w:rPr>
                <w:rFonts w:ascii="Times New Roman" w:hAnsi="Times New Roman" w:cs="Times New Roman"/>
                <w:sz w:val="20"/>
                <w:szCs w:val="20"/>
              </w:rPr>
              <w:t>No</w:t>
            </w:r>
          </w:p>
        </w:tc>
        <w:tc>
          <w:tcPr>
            <w:tcW w:w="2497" w:type="dxa"/>
            <w:vAlign w:val="center"/>
          </w:tcPr>
          <w:p w:rsidR="00D87961" w:rsidRPr="00386707" w:rsidRDefault="00D87961" w:rsidP="00856A34">
            <w:pPr>
              <w:spacing w:after="10"/>
              <w:rPr>
                <w:rFonts w:ascii="Times New Roman" w:hAnsi="Times New Roman" w:cs="Times New Roman"/>
                <w:sz w:val="20"/>
                <w:szCs w:val="20"/>
              </w:rPr>
            </w:pPr>
            <w:r>
              <w:rPr>
                <w:rFonts w:ascii="Times New Roman" w:hAnsi="Times New Roman" w:cs="Times New Roman"/>
                <w:sz w:val="20"/>
                <w:szCs w:val="20"/>
              </w:rPr>
              <w:t>N/A</w:t>
            </w:r>
          </w:p>
        </w:tc>
      </w:tr>
    </w:tbl>
    <w:p w:rsidR="00D87961" w:rsidRPr="00455C60" w:rsidRDefault="00D87961" w:rsidP="00455C60">
      <w:pPr>
        <w:spacing w:line="240" w:lineRule="auto"/>
        <w:rPr>
          <w:rFonts w:ascii="Times New Roman" w:hAnsi="Times New Roman" w:cs="Times New Roman"/>
          <w:sz w:val="20"/>
          <w:szCs w:val="20"/>
        </w:rPr>
        <w:sectPr w:rsidR="00D87961" w:rsidRPr="00455C60" w:rsidSect="00D87961">
          <w:pgSz w:w="15840" w:h="12240" w:orient="landscape"/>
          <w:pgMar w:top="1440" w:right="1440" w:bottom="1440" w:left="1440" w:header="720" w:footer="720" w:gutter="0"/>
          <w:cols w:space="720"/>
          <w:docGrid w:linePitch="360"/>
        </w:sectPr>
      </w:pPr>
      <w:r w:rsidRPr="008411AE">
        <w:rPr>
          <w:rFonts w:ascii="Times New Roman" w:hAnsi="Times New Roman" w:cs="Times New Roman"/>
          <w:sz w:val="20"/>
          <w:szCs w:val="20"/>
        </w:rPr>
        <w:t>OHIP, Ontario health insurance plan database; DAD, Canadian Institute for Health information Discharge Abstract Database; SDS,</w:t>
      </w:r>
      <w:r>
        <w:rPr>
          <w:rFonts w:ascii="Times New Roman" w:hAnsi="Times New Roman" w:cs="Times New Roman"/>
          <w:sz w:val="20"/>
          <w:szCs w:val="20"/>
        </w:rPr>
        <w:t xml:space="preserve"> Canadian Institute for Health Information Same-Day Surgery Database</w:t>
      </w:r>
      <w:r w:rsidRPr="008411AE">
        <w:rPr>
          <w:rFonts w:ascii="Times New Roman" w:hAnsi="Times New Roman" w:cs="Times New Roman"/>
          <w:sz w:val="20"/>
          <w:szCs w:val="20"/>
        </w:rPr>
        <w:t>; NACRS</w:t>
      </w:r>
      <w:r>
        <w:rPr>
          <w:rFonts w:ascii="Times New Roman" w:hAnsi="Times New Roman" w:cs="Times New Roman"/>
          <w:sz w:val="20"/>
          <w:szCs w:val="20"/>
        </w:rPr>
        <w:t>, Canadian Institute for Health Information National Ambulatory Care Reporting System</w:t>
      </w:r>
      <w:r w:rsidRPr="008411AE">
        <w:rPr>
          <w:rFonts w:ascii="Times New Roman" w:hAnsi="Times New Roman" w:cs="Times New Roman"/>
          <w:sz w:val="20"/>
          <w:szCs w:val="20"/>
        </w:rPr>
        <w:t xml:space="preserve">; ICD-9, </w:t>
      </w:r>
      <w:r>
        <w:rPr>
          <w:rFonts w:ascii="Times New Roman" w:hAnsi="Times New Roman" w:cs="Times New Roman"/>
          <w:sz w:val="20"/>
          <w:szCs w:val="20"/>
        </w:rPr>
        <w:t>International Classification of Disease Revision 9</w:t>
      </w:r>
      <w:r w:rsidRPr="008411AE">
        <w:rPr>
          <w:rFonts w:ascii="Times New Roman" w:hAnsi="Times New Roman" w:cs="Times New Roman"/>
          <w:sz w:val="20"/>
          <w:szCs w:val="20"/>
        </w:rPr>
        <w:t>; ICD-10</w:t>
      </w:r>
      <w:r>
        <w:rPr>
          <w:rFonts w:ascii="Times New Roman" w:hAnsi="Times New Roman" w:cs="Times New Roman"/>
          <w:sz w:val="20"/>
          <w:szCs w:val="20"/>
        </w:rPr>
        <w:t>, International Classification of Disease Revision 10</w:t>
      </w:r>
      <w:r w:rsidRPr="008411AE">
        <w:rPr>
          <w:rFonts w:ascii="Times New Roman" w:hAnsi="Times New Roman" w:cs="Times New Roman"/>
          <w:sz w:val="20"/>
          <w:szCs w:val="20"/>
        </w:rPr>
        <w:t xml:space="preserve">; CCI, </w:t>
      </w:r>
      <w:r>
        <w:rPr>
          <w:rFonts w:ascii="Times New Roman" w:hAnsi="Times New Roman" w:cs="Times New Roman"/>
          <w:sz w:val="20"/>
          <w:szCs w:val="20"/>
        </w:rPr>
        <w:t>Canadian Classification of Health Interventions</w:t>
      </w:r>
      <w:r w:rsidRPr="008411AE">
        <w:rPr>
          <w:rFonts w:ascii="Times New Roman" w:hAnsi="Times New Roman" w:cs="Times New Roman"/>
          <w:sz w:val="20"/>
          <w:szCs w:val="20"/>
        </w:rPr>
        <w:t xml:space="preserve">; CCP, </w:t>
      </w:r>
      <w:r>
        <w:rPr>
          <w:rFonts w:ascii="Times New Roman" w:hAnsi="Times New Roman" w:cs="Times New Roman"/>
          <w:sz w:val="20"/>
          <w:szCs w:val="20"/>
        </w:rPr>
        <w:t>Canadian Classification of Diagnostic, Therapeutic, and Surgical Procedures</w:t>
      </w:r>
      <w:r w:rsidRPr="008411AE">
        <w:rPr>
          <w:rFonts w:ascii="Times New Roman" w:hAnsi="Times New Roman" w:cs="Times New Roman"/>
          <w:sz w:val="20"/>
          <w:szCs w:val="20"/>
        </w:rPr>
        <w:t>; ODB,</w:t>
      </w:r>
      <w:r>
        <w:rPr>
          <w:rFonts w:ascii="Times New Roman" w:hAnsi="Times New Roman" w:cs="Times New Roman"/>
          <w:sz w:val="20"/>
          <w:szCs w:val="20"/>
        </w:rPr>
        <w:t xml:space="preserve"> Ontario Drug Benefits Database; HIV, human immunodeficiency virus</w:t>
      </w:r>
      <w:r w:rsidRPr="008411AE">
        <w:rPr>
          <w:rFonts w:ascii="Times New Roman" w:hAnsi="Times New Roman" w:cs="Times New Roman"/>
          <w:sz w:val="20"/>
          <w:szCs w:val="20"/>
        </w:rPr>
        <w:t xml:space="preserve">. </w:t>
      </w:r>
    </w:p>
    <w:p w:rsidR="00D87961" w:rsidRPr="00A44D4E" w:rsidRDefault="00D87961" w:rsidP="00D87961">
      <w:pPr>
        <w:pStyle w:val="NormalWeb"/>
        <w:spacing w:before="0" w:beforeAutospacing="0" w:after="0" w:afterAutospacing="0"/>
        <w:rPr>
          <w:bCs/>
        </w:rPr>
      </w:pPr>
      <w:r w:rsidRPr="00A44D4E">
        <w:rPr>
          <w:b/>
          <w:bCs/>
        </w:rPr>
        <w:lastRenderedPageBreak/>
        <w:t xml:space="preserve">Supplementary Table 2. </w:t>
      </w:r>
      <w:r w:rsidRPr="00A44D4E">
        <w:rPr>
          <w:bCs/>
        </w:rPr>
        <w:t>Databases and claim codes to identify patients immunized against seasonal influenza.</w:t>
      </w:r>
    </w:p>
    <w:p w:rsidR="00D87961" w:rsidRPr="00A44D4E" w:rsidRDefault="00D87961" w:rsidP="00D87961">
      <w:pPr>
        <w:pStyle w:val="NormalWeb"/>
        <w:spacing w:before="0" w:beforeAutospacing="0" w:after="0" w:afterAutospacing="0" w:line="360" w:lineRule="auto"/>
        <w:rPr>
          <w:b/>
          <w:bCs/>
        </w:rPr>
      </w:pPr>
    </w:p>
    <w:tbl>
      <w:tblPr>
        <w:tblStyle w:val="TableGrid"/>
        <w:tblpPr w:leftFromText="180" w:rightFromText="180" w:vertAnchor="text" w:horzAnchor="margin" w:tblpY="48"/>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1322"/>
        <w:gridCol w:w="5310"/>
      </w:tblGrid>
      <w:tr w:rsidR="00D87961" w:rsidRPr="00A44D4E" w:rsidTr="00856A34">
        <w:tc>
          <w:tcPr>
            <w:tcW w:w="1828" w:type="dxa"/>
            <w:tcBorders>
              <w:bottom w:val="single" w:sz="4" w:space="0" w:color="auto"/>
              <w:right w:val="single" w:sz="4" w:space="0" w:color="auto"/>
            </w:tcBorders>
            <w:vAlign w:val="bottom"/>
          </w:tcPr>
          <w:p w:rsidR="00D87961" w:rsidRPr="00A44D4E" w:rsidRDefault="00D87961" w:rsidP="00856A34">
            <w:pPr>
              <w:spacing w:line="360" w:lineRule="auto"/>
              <w:jc w:val="center"/>
              <w:rPr>
                <w:rFonts w:ascii="Times New Roman" w:hAnsi="Times New Roman" w:cs="Times New Roman"/>
                <w:b/>
              </w:rPr>
            </w:pPr>
            <w:r w:rsidRPr="00A44D4E">
              <w:rPr>
                <w:rFonts w:ascii="Times New Roman" w:hAnsi="Times New Roman" w:cs="Times New Roman"/>
                <w:b/>
              </w:rPr>
              <w:t>Database</w:t>
            </w:r>
          </w:p>
        </w:tc>
        <w:tc>
          <w:tcPr>
            <w:tcW w:w="1322" w:type="dxa"/>
            <w:tcBorders>
              <w:bottom w:val="single" w:sz="4" w:space="0" w:color="auto"/>
              <w:right w:val="single" w:sz="4" w:space="0" w:color="auto"/>
            </w:tcBorders>
            <w:vAlign w:val="bottom"/>
          </w:tcPr>
          <w:p w:rsidR="00D87961" w:rsidRPr="00A44D4E" w:rsidRDefault="00D87961" w:rsidP="00856A34">
            <w:pPr>
              <w:spacing w:line="360" w:lineRule="auto"/>
              <w:jc w:val="center"/>
              <w:rPr>
                <w:rFonts w:ascii="Times New Roman" w:hAnsi="Times New Roman" w:cs="Times New Roman"/>
                <w:b/>
              </w:rPr>
            </w:pPr>
            <w:r w:rsidRPr="00A44D4E">
              <w:rPr>
                <w:rFonts w:ascii="Times New Roman" w:hAnsi="Times New Roman" w:cs="Times New Roman"/>
                <w:b/>
              </w:rPr>
              <w:t>Code / DIN</w:t>
            </w:r>
          </w:p>
        </w:tc>
        <w:tc>
          <w:tcPr>
            <w:tcW w:w="5310" w:type="dxa"/>
            <w:tcBorders>
              <w:left w:val="single" w:sz="4" w:space="0" w:color="auto"/>
              <w:bottom w:val="single" w:sz="4" w:space="0" w:color="auto"/>
            </w:tcBorders>
            <w:vAlign w:val="bottom"/>
          </w:tcPr>
          <w:p w:rsidR="00D87961" w:rsidRPr="00A44D4E" w:rsidRDefault="00D87961" w:rsidP="00856A34">
            <w:pPr>
              <w:spacing w:line="360" w:lineRule="auto"/>
              <w:rPr>
                <w:rFonts w:ascii="Times New Roman" w:hAnsi="Times New Roman" w:cs="Times New Roman"/>
                <w:b/>
              </w:rPr>
            </w:pPr>
            <w:r w:rsidRPr="00A44D4E">
              <w:rPr>
                <w:rFonts w:ascii="Times New Roman" w:hAnsi="Times New Roman" w:cs="Times New Roman"/>
                <w:b/>
              </w:rPr>
              <w:t>Code Description/Product Name</w:t>
            </w:r>
          </w:p>
        </w:tc>
      </w:tr>
      <w:tr w:rsidR="00D87961" w:rsidRPr="00A44D4E" w:rsidTr="00856A34">
        <w:tc>
          <w:tcPr>
            <w:tcW w:w="1828" w:type="dxa"/>
            <w:vMerge w:val="restart"/>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Ontario Health Insurance Plan Database</w:t>
            </w: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G590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Influenza agent</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lang w:val="it-IT"/>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G591</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Injection of an influenza agent – sole reason</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G592</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Administration of intranasal influenza vaccine</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Q130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Influenza tracking code</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Q590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Basic flu shot fee-per-visit premium FHN/FHO</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Q690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Influenza agent – with visit, each inject – N.P</w:t>
            </w:r>
          </w:p>
        </w:tc>
      </w:tr>
      <w:tr w:rsidR="00D87961" w:rsidRPr="00A44D4E" w:rsidTr="00856A34">
        <w:tc>
          <w:tcPr>
            <w:tcW w:w="1828" w:type="dxa"/>
            <w:vMerge/>
            <w:tcBorders>
              <w:bottom w:val="single" w:sz="4" w:space="0" w:color="auto"/>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bottom w:val="single" w:sz="4" w:space="0" w:color="auto"/>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Q691</w:t>
            </w:r>
          </w:p>
        </w:tc>
        <w:tc>
          <w:tcPr>
            <w:tcW w:w="5310" w:type="dxa"/>
            <w:tcBorders>
              <w:left w:val="single" w:sz="4" w:space="0" w:color="auto"/>
              <w:bottom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Influenza agent sole reason – N.P.</w:t>
            </w:r>
          </w:p>
        </w:tc>
      </w:tr>
      <w:tr w:rsidR="00D87961" w:rsidRPr="00A44D4E" w:rsidTr="00856A34">
        <w:tc>
          <w:tcPr>
            <w:tcW w:w="1828" w:type="dxa"/>
            <w:vMerge w:val="restart"/>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Ontario Drug Benefit Claims Database</w:t>
            </w: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02015986</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FLUVIRAL</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02223929</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VAXIGRIP</w:t>
            </w:r>
          </w:p>
        </w:tc>
      </w:tr>
      <w:tr w:rsidR="00D87961" w:rsidRPr="00A44D4E" w:rsidTr="00856A34">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02269562</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INFLUVAC</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bCs/>
              </w:rPr>
            </w:pPr>
            <w:r w:rsidRPr="00A44D4E">
              <w:rPr>
                <w:rFonts w:ascii="Times New Roman" w:hAnsi="Times New Roman" w:cs="Times New Roman"/>
              </w:rPr>
              <w:t>02346850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AGRIFLU</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02362384</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FLUAD</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02365936</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FLUZONE</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02420643</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FLUZONE QUADRIVALENT</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02420686</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FLUVIRAL</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02420783</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FLULAVAL TETRA</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02426544</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FLUMIST QUADRIVALENT</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02428881</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AGRIFLU</w:t>
            </w:r>
          </w:p>
        </w:tc>
      </w:tr>
      <w:tr w:rsidR="00D87961" w:rsidRPr="00A44D4E" w:rsidTr="00856A34">
        <w:trPr>
          <w:trHeight w:val="70"/>
        </w:trPr>
        <w:tc>
          <w:tcPr>
            <w:tcW w:w="1828" w:type="dxa"/>
            <w:vMerge/>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02432730</w:t>
            </w:r>
          </w:p>
        </w:tc>
        <w:tc>
          <w:tcPr>
            <w:tcW w:w="5310" w:type="dxa"/>
            <w:tcBorders>
              <w:left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FLUZONE QUADRIVALENT</w:t>
            </w:r>
          </w:p>
        </w:tc>
      </w:tr>
      <w:tr w:rsidR="00D87961" w:rsidRPr="00A44D4E" w:rsidTr="00856A34">
        <w:trPr>
          <w:trHeight w:val="70"/>
        </w:trPr>
        <w:tc>
          <w:tcPr>
            <w:tcW w:w="1828" w:type="dxa"/>
            <w:vMerge/>
            <w:tcBorders>
              <w:bottom w:val="single" w:sz="4" w:space="0" w:color="auto"/>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p>
        </w:tc>
        <w:tc>
          <w:tcPr>
            <w:tcW w:w="1322" w:type="dxa"/>
            <w:tcBorders>
              <w:bottom w:val="single" w:sz="4" w:space="0" w:color="auto"/>
              <w:right w:val="single" w:sz="4" w:space="0" w:color="auto"/>
            </w:tcBorders>
            <w:vAlign w:val="center"/>
          </w:tcPr>
          <w:p w:rsidR="00D87961" w:rsidRPr="00A44D4E" w:rsidRDefault="00D87961" w:rsidP="00856A34">
            <w:pPr>
              <w:spacing w:line="360" w:lineRule="auto"/>
              <w:jc w:val="center"/>
              <w:rPr>
                <w:rFonts w:ascii="Times New Roman" w:hAnsi="Times New Roman" w:cs="Times New Roman"/>
              </w:rPr>
            </w:pPr>
            <w:r w:rsidRPr="00A44D4E">
              <w:rPr>
                <w:rFonts w:ascii="Times New Roman" w:hAnsi="Times New Roman" w:cs="Times New Roman"/>
              </w:rPr>
              <w:t>09857501</w:t>
            </w:r>
          </w:p>
        </w:tc>
        <w:tc>
          <w:tcPr>
            <w:tcW w:w="5310" w:type="dxa"/>
            <w:tcBorders>
              <w:left w:val="single" w:sz="4" w:space="0" w:color="auto"/>
              <w:bottom w:val="single" w:sz="4" w:space="0" w:color="auto"/>
            </w:tcBorders>
            <w:vAlign w:val="center"/>
          </w:tcPr>
          <w:p w:rsidR="00D87961" w:rsidRPr="00A44D4E" w:rsidRDefault="00D87961" w:rsidP="00856A34">
            <w:pPr>
              <w:spacing w:line="360" w:lineRule="auto"/>
              <w:rPr>
                <w:rFonts w:ascii="Times New Roman" w:hAnsi="Times New Roman" w:cs="Times New Roman"/>
              </w:rPr>
            </w:pPr>
            <w:r w:rsidRPr="00A44D4E">
              <w:rPr>
                <w:rFonts w:ascii="Times New Roman" w:hAnsi="Times New Roman" w:cs="Times New Roman"/>
              </w:rPr>
              <w:t>FLUZONE</w:t>
            </w:r>
          </w:p>
        </w:tc>
      </w:tr>
    </w:tbl>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Default="00D87961" w:rsidP="00D87961">
      <w:pPr>
        <w:spacing w:line="360" w:lineRule="auto"/>
        <w:rPr>
          <w:rFonts w:ascii="Times New Roman" w:hAnsi="Times New Roman" w:cs="Times New Roman"/>
          <w:b/>
          <w:bCs/>
          <w:sz w:val="24"/>
          <w:szCs w:val="24"/>
        </w:rPr>
      </w:pPr>
    </w:p>
    <w:p w:rsidR="00D87961" w:rsidRPr="00911261" w:rsidRDefault="00D87961" w:rsidP="00D87961">
      <w:pPr>
        <w:spacing w:line="360" w:lineRule="auto"/>
        <w:rPr>
          <w:rFonts w:ascii="Times New Roman" w:hAnsi="Times New Roman" w:cs="Times New Roman"/>
          <w:b/>
          <w:bCs/>
          <w:sz w:val="24"/>
          <w:szCs w:val="24"/>
        </w:rPr>
      </w:pPr>
    </w:p>
    <w:p w:rsidR="00D87961" w:rsidRDefault="00D87961">
      <w:pPr>
        <w:rPr>
          <w:rFonts w:ascii="Times New Roman" w:hAnsi="Times New Roman" w:cs="Times New Roman"/>
          <w:bCs/>
          <w:sz w:val="24"/>
          <w:szCs w:val="24"/>
        </w:rPr>
      </w:pPr>
    </w:p>
    <w:p w:rsidR="00892C62" w:rsidRDefault="00892C62" w:rsidP="00892C62">
      <w:pPr>
        <w:spacing w:line="360" w:lineRule="auto"/>
        <w:rPr>
          <w:rFonts w:ascii="Times New Roman" w:hAnsi="Times New Roman" w:cs="Times New Roman"/>
          <w:bCs/>
          <w:sz w:val="24"/>
          <w:szCs w:val="24"/>
        </w:rPr>
      </w:pPr>
    </w:p>
    <w:p w:rsidR="00D87961" w:rsidRPr="00746011" w:rsidRDefault="00681AAF" w:rsidP="00D87961">
      <w:pPr>
        <w:spacing w:line="360" w:lineRule="auto"/>
        <w:rPr>
          <w:rFonts w:ascii="Times New Roman" w:hAnsi="Times New Roman" w:cs="Times New Roman"/>
          <w:color w:val="000000" w:themeColor="text1"/>
          <w:sz w:val="24"/>
          <w:szCs w:val="24"/>
        </w:rPr>
      </w:pPr>
      <w:r>
        <w:rPr>
          <w:rFonts w:ascii="Times New Roman" w:hAnsi="Times New Roman" w:cs="Times New Roman"/>
          <w:b/>
          <w:bCs/>
          <w:sz w:val="24"/>
          <w:szCs w:val="24"/>
        </w:rPr>
        <w:br w:type="page"/>
      </w:r>
      <w:r w:rsidR="00D87961" w:rsidRPr="00746011">
        <w:rPr>
          <w:rFonts w:ascii="Times New Roman" w:hAnsi="Times New Roman" w:cs="Times New Roman"/>
          <w:b/>
          <w:bCs/>
          <w:color w:val="000000" w:themeColor="text1"/>
          <w:sz w:val="24"/>
          <w:szCs w:val="24"/>
        </w:rPr>
        <w:lastRenderedPageBreak/>
        <w:t xml:space="preserve">Supplementary Table 3. </w:t>
      </w:r>
      <w:r w:rsidR="00D87961" w:rsidRPr="00746011">
        <w:rPr>
          <w:rFonts w:ascii="Times New Roman" w:hAnsi="Times New Roman" w:cs="Times New Roman"/>
          <w:bCs/>
          <w:color w:val="000000" w:themeColor="text1"/>
          <w:sz w:val="24"/>
          <w:szCs w:val="24"/>
        </w:rPr>
        <w:t>Unadjusted predictors of 30-day all-cause mortality among patients hospitalized with influenza, respiratory syncyt</w:t>
      </w:r>
      <w:r w:rsidR="00DE1228">
        <w:rPr>
          <w:rFonts w:ascii="Times New Roman" w:hAnsi="Times New Roman" w:cs="Times New Roman"/>
          <w:bCs/>
          <w:color w:val="000000" w:themeColor="text1"/>
          <w:sz w:val="24"/>
          <w:szCs w:val="24"/>
        </w:rPr>
        <w:t>ial virus, or SARS-CoV-2 (</w:t>
      </w:r>
      <w:r w:rsidR="00D87961" w:rsidRPr="00746011">
        <w:rPr>
          <w:rFonts w:ascii="Times New Roman" w:hAnsi="Times New Roman" w:cs="Times New Roman"/>
          <w:bCs/>
          <w:color w:val="000000" w:themeColor="text1"/>
          <w:sz w:val="24"/>
          <w:szCs w:val="24"/>
        </w:rPr>
        <w:t>2020</w:t>
      </w:r>
      <w:r w:rsidR="00DE1228">
        <w:rPr>
          <w:rFonts w:ascii="Times New Roman" w:hAnsi="Times New Roman" w:cs="Times New Roman"/>
          <w:bCs/>
          <w:color w:val="000000" w:themeColor="text1"/>
          <w:sz w:val="24"/>
          <w:szCs w:val="24"/>
        </w:rPr>
        <w:t>-03 to 2020-12</w:t>
      </w:r>
      <w:r w:rsidR="00D87961" w:rsidRPr="00746011">
        <w:rPr>
          <w:rFonts w:ascii="Times New Roman" w:hAnsi="Times New Roman" w:cs="Times New Roman"/>
          <w:bCs/>
          <w:color w:val="000000" w:themeColor="text1"/>
          <w:sz w:val="24"/>
          <w:szCs w:val="24"/>
        </w:rPr>
        <w:t xml:space="preserve">). </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930"/>
        <w:gridCol w:w="1890"/>
        <w:gridCol w:w="1980"/>
      </w:tblGrid>
      <w:tr w:rsidR="00D87961" w:rsidRPr="00746011" w:rsidTr="00856A34">
        <w:tc>
          <w:tcPr>
            <w:tcW w:w="4365" w:type="dxa"/>
            <w:vMerge w:val="restart"/>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Risk Factor</w:t>
            </w:r>
          </w:p>
        </w:tc>
        <w:tc>
          <w:tcPr>
            <w:tcW w:w="5800" w:type="dxa"/>
            <w:gridSpan w:val="3"/>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Risk ratio (95% CI)</w:t>
            </w:r>
          </w:p>
        </w:tc>
      </w:tr>
      <w:tr w:rsidR="00D87961" w:rsidRPr="00746011" w:rsidTr="00856A34">
        <w:tc>
          <w:tcPr>
            <w:tcW w:w="4365" w:type="dxa"/>
            <w:vMerge/>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themeColor="text1"/>
                <w:sz w:val="20"/>
                <w:szCs w:val="20"/>
              </w:rPr>
            </w:pPr>
          </w:p>
        </w:tc>
        <w:tc>
          <w:tcPr>
            <w:tcW w:w="193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Influenza</w:t>
            </w:r>
          </w:p>
        </w:tc>
        <w:tc>
          <w:tcPr>
            <w:tcW w:w="189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RSV</w:t>
            </w:r>
          </w:p>
        </w:tc>
        <w:tc>
          <w:tcPr>
            <w:tcW w:w="198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SARS-CoV-2</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b/>
                <w:sz w:val="20"/>
                <w:szCs w:val="20"/>
              </w:rPr>
              <w:t>Demographics</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Age group (ref: 50-64)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0-4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0.05 (0.03-0.09)</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0.02 (0.01-0.03)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NA</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5-19</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0.11 (0.06-0.20)</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0.21 (0.10-0.47)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NA</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20-49</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0.45 (0.36-0.57)</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0.77 (0.47-1.28)</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0.30 (0.21 – 0.43)</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65-74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1.40 (1.22-1.62)</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1.14 (0.82-1.57)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bCs/>
                <w:color w:val="000000"/>
                <w:sz w:val="20"/>
                <w:szCs w:val="20"/>
              </w:rPr>
              <w:t>2.40 (2.01 – 2.86)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75-84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1.77 (1.56-2.01)</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1.73 (1.30-2.30)</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3.39 (2.87 – 4.00)</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 xml:space="preserve">   ≥85</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2.99 (2.65-3.37)</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2.53 (1.93-3.32)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4.88 (4.16 – 5.72)</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Male sex</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1.05 (0.98-1.12)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0.71 (0.61-0.82)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1.07 (0.98 – 1.17)</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 xml:space="preserve">Living in rural/small </w:t>
            </w:r>
            <w:proofErr w:type="spellStart"/>
            <w:r w:rsidRPr="00746011">
              <w:rPr>
                <w:rFonts w:ascii="Times New Roman" w:hAnsi="Times New Roman" w:cs="Times New Roman"/>
                <w:sz w:val="20"/>
                <w:szCs w:val="20"/>
              </w:rPr>
              <w:t>town</w:t>
            </w:r>
            <w:r w:rsidRPr="00746011">
              <w:rPr>
                <w:rFonts w:ascii="Times New Roman" w:hAnsi="Times New Roman" w:cs="Times New Roman"/>
                <w:sz w:val="20"/>
                <w:szCs w:val="20"/>
                <w:vertAlign w:val="superscript"/>
              </w:rPr>
              <w:t>a</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0.97 (0.86-1.11)</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0.67 (0.49-0.92)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1.00 (0.76 – 1.32)</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sz w:val="20"/>
                <w:szCs w:val="20"/>
              </w:rPr>
              <w:t>Long-term care resident</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4.80 (4.47-5.16)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10.3 (8.82-12.1)</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2.77 (2.52 – 3.05)</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sz w:val="20"/>
                <w:szCs w:val="20"/>
              </w:rPr>
              <w:t>Immunized against seasonal influenza</w:t>
            </w:r>
          </w:p>
        </w:tc>
        <w:tc>
          <w:tcPr>
            <w:tcW w:w="193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1.09 (1.01-1.17)</w:t>
            </w:r>
          </w:p>
        </w:tc>
        <w:tc>
          <w:tcPr>
            <w:tcW w:w="189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3.44 (2.97-3.99)</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1.12 (1.02 – 1.23)</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sz w:val="20"/>
                <w:szCs w:val="20"/>
              </w:rPr>
            </w:pPr>
            <w:r w:rsidRPr="00746011">
              <w:rPr>
                <w:rFonts w:ascii="Times New Roman" w:hAnsi="Times New Roman" w:cs="Times New Roman"/>
                <w:b/>
                <w:color w:val="000000" w:themeColor="text1"/>
                <w:sz w:val="20"/>
                <w:szCs w:val="20"/>
              </w:rPr>
              <w:t>Underlying health conditions</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Asthma</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0.80 (0.74-0.87)</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1.02 (0.86-1.20)</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0.91 (0.81 – 1.03)</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COPD</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1.68 (1.57-1.80)</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5.39 (4.65-6.25)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1.60 (1.42 – 1.80)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Cardiac ischemic disease</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1.90 (1.77-2.04)</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6.16 (5.29-7.17)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1.65 (1.47 – 1.86)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Congestive heart </w:t>
            </w:r>
            <w:proofErr w:type="spellStart"/>
            <w:r w:rsidRPr="00746011">
              <w:rPr>
                <w:rFonts w:ascii="Times New Roman" w:hAnsi="Times New Roman" w:cs="Times New Roman"/>
                <w:color w:val="000000"/>
                <w:sz w:val="20"/>
                <w:szCs w:val="20"/>
              </w:rPr>
              <w:t>failure</w:t>
            </w:r>
            <w:r w:rsidRPr="00746011">
              <w:rPr>
                <w:rFonts w:ascii="Times New Roman" w:hAnsi="Times New Roman" w:cs="Times New Roman"/>
                <w:color w:val="000000"/>
                <w:sz w:val="20"/>
                <w:szCs w:val="20"/>
                <w:vertAlign w:val="superscript"/>
              </w:rPr>
              <w:t>b</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2.45 (2.29-2.62)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7.82 (6.77-9.03)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1.85 (1.67 – 2.04)</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Hypertension</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2.85 (2.60-3.12)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17.4 (14.3-21.2)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2.85 (2.52 – 3.23)</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Diabetes</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1.39 (1.30-1.49)</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5.50 (4.75-6.36)</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1.54 (1.41 – 1.69)</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Dementia or </w:t>
            </w:r>
            <w:proofErr w:type="spellStart"/>
            <w:r w:rsidRPr="00746011">
              <w:rPr>
                <w:rFonts w:ascii="Times New Roman" w:hAnsi="Times New Roman" w:cs="Times New Roman"/>
                <w:color w:val="000000"/>
                <w:sz w:val="20"/>
                <w:szCs w:val="20"/>
              </w:rPr>
              <w:t>frailty</w:t>
            </w:r>
            <w:r w:rsidRPr="00746011">
              <w:rPr>
                <w:rFonts w:ascii="Times New Roman" w:hAnsi="Times New Roman" w:cs="Times New Roman"/>
                <w:color w:val="000000"/>
                <w:sz w:val="20"/>
                <w:szCs w:val="20"/>
                <w:vertAlign w:val="superscript"/>
              </w:rPr>
              <w:t>c</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2.96 (2.77-3.16)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9.91 (8.59-11.4)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2.45 (2.24 – 2.68)</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Stroke</w:t>
            </w:r>
            <w:r w:rsidRPr="00746011">
              <w:rPr>
                <w:rFonts w:ascii="Times New Roman" w:hAnsi="Times New Roman" w:cs="Times New Roman"/>
                <w:color w:val="000000"/>
                <w:sz w:val="20"/>
                <w:szCs w:val="20"/>
                <w:vertAlign w:val="superscript"/>
              </w:rPr>
              <w:t>d</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1.69 (1.53-1.86)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5.29 (4.33-6.47)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1.66 (1.44 – 1.90)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Chronic kidney </w:t>
            </w:r>
            <w:proofErr w:type="spellStart"/>
            <w:r w:rsidRPr="00746011">
              <w:rPr>
                <w:rFonts w:ascii="Times New Roman" w:hAnsi="Times New Roman" w:cs="Times New Roman"/>
                <w:color w:val="000000"/>
                <w:sz w:val="20"/>
                <w:szCs w:val="20"/>
              </w:rPr>
              <w:t>disease</w:t>
            </w:r>
            <w:r w:rsidRPr="00746011">
              <w:rPr>
                <w:rFonts w:ascii="Times New Roman" w:hAnsi="Times New Roman" w:cs="Times New Roman"/>
                <w:color w:val="000000"/>
                <w:sz w:val="20"/>
                <w:szCs w:val="20"/>
                <w:vertAlign w:val="superscript"/>
              </w:rPr>
              <w:t>e</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1.93 (1.80-2.07)</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6.10 (5.26-7.09)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1.97 (1.80 – 2.16)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proofErr w:type="spellStart"/>
            <w:r w:rsidRPr="00746011">
              <w:rPr>
                <w:rFonts w:ascii="Times New Roman" w:hAnsi="Times New Roman" w:cs="Times New Roman"/>
                <w:color w:val="000000"/>
                <w:sz w:val="20"/>
                <w:szCs w:val="20"/>
              </w:rPr>
              <w:t>Immunosuppression</w:t>
            </w:r>
            <w:r w:rsidRPr="00746011">
              <w:rPr>
                <w:rFonts w:ascii="Times New Roman" w:hAnsi="Times New Roman" w:cs="Times New Roman"/>
                <w:color w:val="000000"/>
                <w:sz w:val="20"/>
                <w:szCs w:val="20"/>
                <w:vertAlign w:val="superscript"/>
              </w:rPr>
              <w:t>f</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1.17 (1.08-1.28)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3.86 (3.27-4.55)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Cs/>
                <w:color w:val="000000"/>
                <w:sz w:val="20"/>
                <w:szCs w:val="20"/>
              </w:rPr>
              <w:t>1.17 (0.99 – 1.39)</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color w:val="000000"/>
                <w:sz w:val="20"/>
                <w:szCs w:val="20"/>
              </w:rPr>
              <w:t xml:space="preserve">   Advanced liver disease</w:t>
            </w:r>
          </w:p>
        </w:tc>
        <w:tc>
          <w:tcPr>
            <w:tcW w:w="193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1.25 (1.05-1.50)</w:t>
            </w:r>
          </w:p>
        </w:tc>
        <w:tc>
          <w:tcPr>
            <w:tcW w:w="189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3.84 (2.65-5.57)</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0.89 (0.67 – 1.19)</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 xml:space="preserve">Neighbourhood social determinants of </w:t>
            </w:r>
            <w:proofErr w:type="spellStart"/>
            <w:r w:rsidRPr="00746011">
              <w:rPr>
                <w:rFonts w:ascii="Times New Roman" w:hAnsi="Times New Roman" w:cs="Times New Roman"/>
                <w:b/>
                <w:color w:val="000000"/>
                <w:sz w:val="20"/>
                <w:szCs w:val="20"/>
              </w:rPr>
              <w:t>health</w:t>
            </w:r>
            <w:r w:rsidRPr="00746011">
              <w:rPr>
                <w:rFonts w:ascii="Times New Roman" w:hAnsi="Times New Roman" w:cs="Times New Roman"/>
                <w:b/>
                <w:color w:val="000000"/>
                <w:sz w:val="20"/>
                <w:szCs w:val="20"/>
                <w:vertAlign w:val="superscript"/>
              </w:rPr>
              <w:t>g</w:t>
            </w:r>
            <w:proofErr w:type="spellEnd"/>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Income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r w:rsidRPr="00746011">
              <w:rPr>
                <w:rFonts w:ascii="Times New Roman" w:hAnsi="Times New Roman" w:cs="Times New Roman"/>
                <w:sz w:val="20"/>
                <w:szCs w:val="20"/>
                <w:vertAlign w:val="superscript"/>
              </w:rPr>
              <w:t>h</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2</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1.23 (1.11-1.35)</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0.91 (0.75-1.12)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1.12 (0.99 – 1.27)</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3</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1.06 (0.95-1.18)</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0.68 (0.54-0.85)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1.07 (0.94 – 1.22)</w:t>
            </w:r>
          </w:p>
        </w:tc>
      </w:tr>
      <w:tr w:rsidR="00D87961" w:rsidRPr="00746011" w:rsidTr="00856A34">
        <w:trPr>
          <w:trHeight w:val="405"/>
        </w:trPr>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1.01 (0.90-1.13)</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0.71 (0.56-0.89)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0.88 (0.75 – 1.02)</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(highest income per person)</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1.21 (1.08-1.34)</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0.79 (0.63-1.00)</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0.91 (0.77 – 1.07)</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Household size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proofErr w:type="spellStart"/>
            <w:r w:rsidRPr="00746011">
              <w:rPr>
                <w:rFonts w:ascii="Times New Roman" w:hAnsi="Times New Roman" w:cs="Times New Roman"/>
                <w:sz w:val="20"/>
                <w:szCs w:val="20"/>
                <w:vertAlign w:val="superscript"/>
              </w:rPr>
              <w:t>i</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i/>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i/>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 xml:space="preserve">2 </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1.01 (0.91-1.11)</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0.66 (0.53-0.81)</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0.91 (0.78 – 1.07)</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lastRenderedPageBreak/>
              <w:t>3</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0.95 (0.86-1.06)</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0.68 (0.54-0.86)</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0.96 (0.81 – 1.13)</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0.91 (0.83-1.00)</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0.61 (0.50-0.75)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0.89 (0.78 – 1.02)</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(largest household size)</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0.71 (0.64-0.79)</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0.40 (0.32-0.51)</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0.76 (0.67 – 0.86)</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Percent racialized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r w:rsidRPr="00746011">
              <w:rPr>
                <w:rFonts w:ascii="Times New Roman" w:hAnsi="Times New Roman" w:cs="Times New Roman"/>
                <w:sz w:val="20"/>
                <w:szCs w:val="20"/>
                <w:vertAlign w:val="superscript"/>
              </w:rPr>
              <w:t>j</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2</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0.99 (0.88-1.11)</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1.00 (0.75-1.33)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bCs/>
                <w:color w:val="000000"/>
                <w:sz w:val="20"/>
                <w:szCs w:val="20"/>
              </w:rPr>
              <w:t>1.27 (1.01 – 1.59)</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3</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1.01 (0.90-1.13)</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1.26 (0.96-1.64)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bCs/>
                <w:color w:val="000000"/>
                <w:sz w:val="20"/>
                <w:szCs w:val="20"/>
              </w:rPr>
              <w:t>1.26 (1.02 – 1.56)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1.06 (0.95-1.18)</w:t>
            </w:r>
          </w:p>
        </w:tc>
        <w:tc>
          <w:tcPr>
            <w:tcW w:w="1890" w:type="dxa"/>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1.46 (1.13-1.88)</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1.00 (0.81 – 1.23)</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(greatest percent racialized)</w:t>
            </w:r>
          </w:p>
        </w:tc>
        <w:tc>
          <w:tcPr>
            <w:tcW w:w="1930" w:type="dxa"/>
            <w:tcBorders>
              <w:bottom w:val="single" w:sz="4" w:space="0" w:color="auto"/>
            </w:tcBorders>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0.81 (0.73-0.90)</w:t>
            </w:r>
          </w:p>
        </w:tc>
        <w:tc>
          <w:tcPr>
            <w:tcW w:w="1890" w:type="dxa"/>
            <w:tcBorders>
              <w:bottom w:val="single" w:sz="4" w:space="0" w:color="auto"/>
            </w:tcBorders>
            <w:shd w:val="clear" w:color="auto" w:fill="auto"/>
            <w:vAlign w:val="bottom"/>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1.23 (0.96-1.58)</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r w:rsidRPr="00746011">
              <w:rPr>
                <w:rFonts w:ascii="Times New Roman" w:hAnsi="Times New Roman" w:cs="Times New Roman"/>
                <w:color w:val="000000"/>
                <w:sz w:val="20"/>
                <w:szCs w:val="20"/>
              </w:rPr>
              <w:t>0.98 (0.80 – 1.19)</w:t>
            </w:r>
          </w:p>
        </w:tc>
      </w:tr>
    </w:tbl>
    <w:p w:rsidR="00D87961" w:rsidRPr="00746011" w:rsidRDefault="00D87961" w:rsidP="00D87961">
      <w:pPr>
        <w:spacing w:after="0" w:line="360" w:lineRule="auto"/>
        <w:rPr>
          <w:rFonts w:ascii="Times New Roman" w:hAnsi="Times New Roman" w:cs="Times New Roman"/>
          <w:sz w:val="20"/>
          <w:szCs w:val="20"/>
        </w:rPr>
      </w:pPr>
      <w:r w:rsidRPr="00746011">
        <w:rPr>
          <w:rFonts w:ascii="Times New Roman" w:hAnsi="Times New Roman" w:cs="Times New Roman"/>
          <w:sz w:val="20"/>
          <w:szCs w:val="20"/>
        </w:rPr>
        <w:t xml:space="preserve">Modified </w:t>
      </w:r>
      <w:proofErr w:type="spellStart"/>
      <w:r w:rsidRPr="00746011">
        <w:rPr>
          <w:rFonts w:ascii="Times New Roman" w:hAnsi="Times New Roman" w:cs="Times New Roman"/>
          <w:sz w:val="20"/>
          <w:szCs w:val="20"/>
        </w:rPr>
        <w:t>poisson</w:t>
      </w:r>
      <w:proofErr w:type="spellEnd"/>
      <w:r w:rsidRPr="00746011">
        <w:rPr>
          <w:rFonts w:ascii="Times New Roman" w:hAnsi="Times New Roman" w:cs="Times New Roman"/>
          <w:sz w:val="20"/>
          <w:szCs w:val="20"/>
        </w:rPr>
        <w:t xml:space="preserve"> regression was used to calculate associations between predictors and 30-day all-cause mortality.  Associations are presented as risk ratios and 95% confidence intervals.  Values in bold indicate significant 95% confidence intervals across all three hospitalization cohorts. RSV, respiratory syncytial virus; SARS-CoV-2, severe acute respiratory syndrome coronavirus 2; COPD, chronic obstructive pulmonary disease. </w:t>
      </w:r>
    </w:p>
    <w:p w:rsidR="00D87961" w:rsidRPr="00746011" w:rsidRDefault="00D87961" w:rsidP="00D87961">
      <w:pPr>
        <w:spacing w:after="0" w:line="360" w:lineRule="auto"/>
        <w:rPr>
          <w:rFonts w:ascii="Times New Roman" w:hAnsi="Times New Roman" w:cs="Times New Roman"/>
          <w:sz w:val="20"/>
          <w:szCs w:val="20"/>
        </w:rPr>
      </w:pP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a</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a city or town with a population of less than 10,000.</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b</w:t>
      </w:r>
      <w:r w:rsidRPr="00746011">
        <w:rPr>
          <w:rFonts w:ascii="Times New Roman" w:hAnsi="Times New Roman" w:cs="Times New Roman"/>
          <w:sz w:val="20"/>
          <w:szCs w:val="20"/>
        </w:rPr>
        <w:t>Among</w:t>
      </w:r>
      <w:proofErr w:type="spellEnd"/>
      <w:r w:rsidRPr="00746011">
        <w:rPr>
          <w:rFonts w:ascii="Times New Roman" w:hAnsi="Times New Roman" w:cs="Times New Roman"/>
          <w:sz w:val="20"/>
          <w:szCs w:val="20"/>
        </w:rPr>
        <w:t xml:space="preserve"> patients aged 40 years or older.</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c</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w:t>
      </w:r>
      <w:r w:rsidR="00856A34">
        <w:rPr>
          <w:rFonts w:ascii="Times New Roman" w:hAnsi="Times New Roman" w:cs="Times New Roman"/>
          <w:sz w:val="20"/>
          <w:szCs w:val="20"/>
        </w:rPr>
        <w:t>s a Hospital Frailty Risk Score</w:t>
      </w:r>
      <w:r w:rsidRPr="00746011">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{"citationItems":[{"id":"ITEM-1","itemData":{"DOI":"10.1016/S0140-6736(18)30668-8/ATTACHMENT/A5F78A5C-B75B-496E-ACBC-329F84A11E37/MMC1.PDF","ISSN":"1474547X","PMID":"29706364","abstract":"Background: Older people are increasing users of health care globally. We aimed to establish whether older people with characteristics of frailty and who are at risk of adverse health-care outcomes could be identified using routinely collected data. Methods: A three-step approach was used to develop and validate a Hospital Frailty Risk Score from International Statistical Classification of Diseases and Related Health Problems, Tenth Revision (ICD-10) diagnostic codes. First, we carried out a cluster analysis to identify a group of older people (≥75 years) admitted to hospital who had high resource use and diagnoses associated with frailty. Second, we created a Hospital Frailty Risk Score based on ICD-10 codes that characterised this group. Third, in separate cohorts, we tested how well the score predicted adverse outcomes and whether it identified similar groups as other frailty tools. Findings: In the development cohort (n=22 139), older people with frailty diagnoses formed a distinct group and had higher non-elective hospital use (33·6 bed-days over 2 years compared with 23·0 bed-days for the group with the next highest number of bed-days). In the national validation cohort (n=1 013 590), compared with the 429 762 (42·4%) patients with the lowest risk scores, the 202 718 (20·0%) patients with the highest Hospital Frailty Risk Scores had increased odds of 30-day mortality (odds ratio 1·71, 95% CI 1·68–1·75), long hospital stay (6·03, 5·92–6·10), and 30-day readmission (1·48, 1·46–1·50). The c statistics (ie, model discrimination) between individuals for these three outcomes were 0·60, 0·68, and 0·56, respectively. The Hospital Frailty Risk Score showed fair overlap with dichotomised Fried and Rockwood scales (kappa scores 0·22, 95% CI 0·15–0·30 and 0·30, 0·22–0·38, respectively) and moderate agreement with the Rockwood Frailty Index (Pearson's correlation coefficient 0·41, 95% CI 0·38–0·47). Interpretation: The Hospital Frailty Risk Score provides hospitals and health systems with a low-cost, systematic way to screen for frailty and identify a group of patients who are at greater risk of adverse outcomes and for whom a frailty-attuned approach might be useful. Funding: National Institute for Health Research.","author":[{"dropping-particle":"","family":"Gilbert","given":"Thomas","non-dropping-particle":"","parse-names":false,"suffix":""},{"dropping-particle":"","family":"Neuburger","given":"Jenny","non-dropping-particle":"","parse-names":false,"suffix":""},{"dropping-particle":"","family":"Kraindler","given":"Joshua","non-dropping-particle":"","parse-names":false,"suffix":""},{"dropping-particle":"","family":"Keeble","given":"Eilis","non-dropping-particle":"","parse-names":false,"suffix":""},{"dropping-particle":"","family":"Smith","given":"Paul","non-dropping-particle":"","parse-names":false,"suffix":""},{"dropping-particle":"","family":"Ariti","given":"Cono","non-dropping-particle":"","parse-names":false,"suffix":""},{"dropping-particle":"","family":"Arora","given":"Sandeepa","non-dropping-particle":"","parse-names":false,"suffix":""},{"dropping-particle":"","family":"Street","given":"Andrew","non-dropping-particle":"","parse-names":false,"suffix":""},{"dropping-particle":"","family":"Parker","given":"Stuart","non-dropping-particle":"","parse-names":false,"suffix":""},{"dropping-particle":"","family":"Roberts","given":"Helen C.","non-dropping-particle":"","parse-names":false,"suffix":""},{"dropping-particle":"","family":"Bardsley","given":"Martin","non-dropping-particle":"","parse-names":false,"suffix":""},{"dropping-particle":"","family":"Conroy","given":"Simon","non-dropping-particle":"","parse-names":false,"suffix":""}],"container-title":"The Lancet","id":"ITEM-1","issue":"10132","issued":{"date-parts":[["2018","5","5"]]},"page":"1775-1782","publisher":"Lancet Publishing Group","title":"Development and validation of a Hospital Frailty Risk Score focusing on older people in acute care settings using electronic hospital records: an observational study","type":"article-journal","volume":"391"},"uris":["http://www.mendeley.com/documents/?uuid=5995df60-5e36-3f24-9ec9-d6d6ab65cbde"]}],"mendeley":{"formattedCitation":"&lt;sup&gt;16&lt;/sup&gt;","plainTextFormattedCitation":"16","previouslyFormattedCitation":"[16]"},"properties":{"noteIndex":0},"schema":"https://github.com/citation-style-language/schema/raw/master/csl-citation.json"}</w:instrText>
      </w:r>
      <w:r w:rsidRPr="00746011">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16</w:t>
      </w:r>
      <w:r w:rsidRPr="00746011">
        <w:rPr>
          <w:rFonts w:ascii="Times New Roman" w:hAnsi="Times New Roman" w:cs="Times New Roman"/>
          <w:sz w:val="20"/>
          <w:szCs w:val="20"/>
        </w:rPr>
        <w:fldChar w:fldCharType="end"/>
      </w:r>
      <w:r w:rsidRPr="00746011">
        <w:rPr>
          <w:rFonts w:ascii="Times New Roman" w:hAnsi="Times New Roman" w:cs="Times New Roman"/>
          <w:sz w:val="20"/>
          <w:szCs w:val="20"/>
        </w:rPr>
        <w:t xml:space="preserve"> greater than 15.</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d</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history of a transient ischemic attack or an acute ischemic stroke.</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e</w:t>
      </w:r>
      <w:r w:rsidRPr="00746011">
        <w:rPr>
          <w:rFonts w:ascii="Times New Roman" w:hAnsi="Times New Roman" w:cs="Times New Roman"/>
          <w:sz w:val="20"/>
          <w:szCs w:val="20"/>
        </w:rPr>
        <w:t>Within</w:t>
      </w:r>
      <w:proofErr w:type="spellEnd"/>
      <w:r w:rsidRPr="00746011">
        <w:rPr>
          <w:rFonts w:ascii="Times New Roman" w:hAnsi="Times New Roman" w:cs="Times New Roman"/>
          <w:sz w:val="20"/>
          <w:szCs w:val="20"/>
        </w:rPr>
        <w:t xml:space="preserve"> the past 5 years.</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f</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patients with a cancer diagnosis in the past 5 years, who were HIV positive, who had an organ or bone marrow transplant, or who had another immunodeficiency condition.</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g</w:t>
      </w:r>
      <w:r w:rsidRPr="00746011">
        <w:rPr>
          <w:rFonts w:ascii="Times New Roman" w:hAnsi="Times New Roman" w:cs="Times New Roman"/>
          <w:sz w:val="20"/>
          <w:szCs w:val="20"/>
        </w:rPr>
        <w:t>Social</w:t>
      </w:r>
      <w:proofErr w:type="spellEnd"/>
      <w:r w:rsidRPr="00746011">
        <w:rPr>
          <w:rFonts w:ascii="Times New Roman" w:hAnsi="Times New Roman" w:cs="Times New Roman"/>
          <w:sz w:val="20"/>
          <w:szCs w:val="20"/>
        </w:rPr>
        <w:t xml:space="preserve"> determinants of health were captured at the level of the Canadian census dissemination area. </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h</w:t>
      </w:r>
      <w:r w:rsidRPr="00746011">
        <w:rPr>
          <w:rFonts w:ascii="Times New Roman" w:hAnsi="Times New Roman" w:cs="Times New Roman"/>
          <w:sz w:val="20"/>
          <w:szCs w:val="20"/>
        </w:rPr>
        <w:t>Income</w:t>
      </w:r>
      <w:proofErr w:type="spellEnd"/>
      <w:r w:rsidRPr="00746011">
        <w:rPr>
          <w:rFonts w:ascii="Times New Roman" w:hAnsi="Times New Roman" w:cs="Times New Roman"/>
          <w:sz w:val="20"/>
          <w:szCs w:val="20"/>
        </w:rPr>
        <w:t xml:space="preserve"> was measured as a per-person equivalent. Quintiles were generated per census agglomeration unit or census metropolitan area to adjust for variability in cost of living across the province. Quintile ranges vary across the province.</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i</w:t>
      </w:r>
      <w:r w:rsidRPr="00746011">
        <w:rPr>
          <w:rFonts w:ascii="Times New Roman" w:hAnsi="Times New Roman" w:cs="Times New Roman"/>
          <w:sz w:val="20"/>
          <w:szCs w:val="20"/>
        </w:rPr>
        <w:t>Range</w:t>
      </w:r>
      <w:proofErr w:type="spellEnd"/>
      <w:r w:rsidRPr="00746011">
        <w:rPr>
          <w:rFonts w:ascii="Times New Roman" w:hAnsi="Times New Roman" w:cs="Times New Roman"/>
          <w:sz w:val="20"/>
          <w:szCs w:val="20"/>
        </w:rPr>
        <w:t xml:space="preserve"> household size quintile 1 = 0 - 2.1 persons per dwelling; quintile 2 = 2.2 – 2.4 persons per dwelling; quintile 3 = 2.5 – 2.6 persons per dwelling; quintile 4 = 2.7 – 3 persons per dwelling; quintile 5 = 3.1-5.7 persons per dwelling.</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j</w:t>
      </w:r>
      <w:r w:rsidRPr="00746011">
        <w:rPr>
          <w:rFonts w:ascii="Times New Roman" w:hAnsi="Times New Roman" w:cs="Times New Roman"/>
          <w:sz w:val="20"/>
          <w:szCs w:val="20"/>
        </w:rPr>
        <w:t>As</w:t>
      </w:r>
      <w:proofErr w:type="spellEnd"/>
      <w:r w:rsidRPr="00746011">
        <w:rPr>
          <w:rFonts w:ascii="Times New Roman" w:hAnsi="Times New Roman" w:cs="Times New Roman"/>
          <w:sz w:val="20"/>
          <w:szCs w:val="20"/>
        </w:rPr>
        <w:t xml:space="preserve"> defined by the “ethnic concentration quintile” from the Ontario Marginalization Index</w:t>
      </w:r>
      <w:r w:rsidR="00856A34">
        <w:rPr>
          <w:rFonts w:ascii="Times New Roman" w:hAnsi="Times New Roman" w:cs="Times New Roman"/>
          <w:sz w:val="20"/>
          <w:szCs w:val="20"/>
        </w:rPr>
        <w:t>.</w:t>
      </w:r>
      <w:r w:rsidRPr="00746011">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{"citationItems":[{"id":"ITEM-1","itemData":{"author":[{"dropping-particle":"","family":"Matheson","given":"Flora I.","non-dropping-particle":"","parse-names":false,"suffix":""},{"dropping-particle":"","family":"Ingen","given":"Trevor","non-dropping-particle":"van","parse-names":false,"suffix":""}],"id":"ITEM-1","issued":{"date-parts":[["2018"]]},"publisher-place":"Toronto, ON","title":"2016 Ontario marginalization index: user guide","type":"report"},"uris":["http://www.mendeley.com/documents/?uuid=1df1f7a4-e15b-3c47-a5f7-353398842e2d"]}],"mendeley":{"formattedCitation":"&lt;sup&gt;4&lt;/sup&gt;","plainTextFormattedCitation":"4","previouslyFormattedCitation":"[4]"},"properties":{"noteIndex":0},"schema":"https://github.com/citation-style-language/schema/raw/master/csl-citation.json"}</w:instrText>
      </w:r>
      <w:r w:rsidRPr="00746011">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4</w:t>
      </w:r>
      <w:r w:rsidRPr="00746011">
        <w:rPr>
          <w:rFonts w:ascii="Times New Roman" w:hAnsi="Times New Roman" w:cs="Times New Roman"/>
          <w:sz w:val="20"/>
          <w:szCs w:val="20"/>
        </w:rPr>
        <w:fldChar w:fldCharType="end"/>
      </w:r>
      <w:r w:rsidRPr="00746011">
        <w:rPr>
          <w:rFonts w:ascii="Times New Roman" w:hAnsi="Times New Roman" w:cs="Times New Roman"/>
          <w:sz w:val="20"/>
          <w:szCs w:val="20"/>
        </w:rPr>
        <w:t xml:space="preserve">  Quintiles were created by ranking dissemination areas on a principle component score; thus, quintile ranges are uninterpretable. </w:t>
      </w:r>
    </w:p>
    <w:p w:rsidR="00D87961" w:rsidRDefault="00D87961">
      <w:pPr>
        <w:rPr>
          <w:rFonts w:ascii="Times New Roman" w:hAnsi="Times New Roman" w:cs="Times New Roman"/>
          <w:b/>
          <w:bCs/>
          <w:sz w:val="24"/>
          <w:szCs w:val="24"/>
        </w:rPr>
      </w:pPr>
      <w:r>
        <w:rPr>
          <w:rFonts w:ascii="Times New Roman" w:hAnsi="Times New Roman" w:cs="Times New Roman"/>
          <w:b/>
          <w:bCs/>
          <w:sz w:val="24"/>
          <w:szCs w:val="24"/>
        </w:rPr>
        <w:br w:type="page"/>
      </w:r>
    </w:p>
    <w:p w:rsidR="00D87961" w:rsidRPr="00746011" w:rsidRDefault="00D87961" w:rsidP="00D87961">
      <w:pPr>
        <w:spacing w:line="360" w:lineRule="auto"/>
        <w:rPr>
          <w:rFonts w:ascii="Times New Roman" w:hAnsi="Times New Roman" w:cs="Times New Roman"/>
          <w:color w:val="000000" w:themeColor="text1"/>
          <w:sz w:val="24"/>
          <w:szCs w:val="24"/>
        </w:rPr>
      </w:pPr>
      <w:r w:rsidRPr="00746011">
        <w:rPr>
          <w:rFonts w:ascii="Times New Roman" w:hAnsi="Times New Roman" w:cs="Times New Roman"/>
          <w:b/>
          <w:bCs/>
          <w:color w:val="000000" w:themeColor="text1"/>
          <w:sz w:val="24"/>
          <w:szCs w:val="24"/>
        </w:rPr>
        <w:lastRenderedPageBreak/>
        <w:t xml:space="preserve">Supplementary Table 4. </w:t>
      </w:r>
      <w:r w:rsidRPr="00746011">
        <w:rPr>
          <w:rFonts w:ascii="Times New Roman" w:hAnsi="Times New Roman" w:cs="Times New Roman"/>
          <w:bCs/>
          <w:color w:val="000000" w:themeColor="text1"/>
          <w:sz w:val="24"/>
          <w:szCs w:val="24"/>
        </w:rPr>
        <w:t xml:space="preserve">Adjusted predictors of 30-day all-cause mortality among patients hospitalized with influenza, respiratory syncytial virus, or SARS-CoV-2 </w:t>
      </w:r>
      <w:r w:rsidR="00DE1228">
        <w:rPr>
          <w:rFonts w:ascii="Times New Roman" w:hAnsi="Times New Roman" w:cs="Times New Roman"/>
          <w:bCs/>
          <w:color w:val="000000" w:themeColor="text1"/>
          <w:sz w:val="24"/>
          <w:szCs w:val="24"/>
        </w:rPr>
        <w:t>(</w:t>
      </w:r>
      <w:r w:rsidR="00DE1228" w:rsidRPr="00746011">
        <w:rPr>
          <w:rFonts w:ascii="Times New Roman" w:hAnsi="Times New Roman" w:cs="Times New Roman"/>
          <w:bCs/>
          <w:color w:val="000000" w:themeColor="text1"/>
          <w:sz w:val="24"/>
          <w:szCs w:val="24"/>
        </w:rPr>
        <w:t>2020</w:t>
      </w:r>
      <w:r w:rsidR="00DE1228">
        <w:rPr>
          <w:rFonts w:ascii="Times New Roman" w:hAnsi="Times New Roman" w:cs="Times New Roman"/>
          <w:bCs/>
          <w:color w:val="000000" w:themeColor="text1"/>
          <w:sz w:val="24"/>
          <w:szCs w:val="24"/>
        </w:rPr>
        <w:t>-03 to 2020-12)</w:t>
      </w:r>
      <w:r w:rsidRPr="00746011">
        <w:rPr>
          <w:rFonts w:ascii="Times New Roman" w:hAnsi="Times New Roman" w:cs="Times New Roman"/>
          <w:bCs/>
          <w:color w:val="000000" w:themeColor="text1"/>
          <w:sz w:val="24"/>
          <w:szCs w:val="24"/>
        </w:rPr>
        <w:t xml:space="preserve">. </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930"/>
        <w:gridCol w:w="1890"/>
        <w:gridCol w:w="1980"/>
      </w:tblGrid>
      <w:tr w:rsidR="00D87961" w:rsidRPr="00746011" w:rsidTr="00856A34">
        <w:tc>
          <w:tcPr>
            <w:tcW w:w="4365" w:type="dxa"/>
            <w:vMerge w:val="restart"/>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Risk Factor</w:t>
            </w:r>
          </w:p>
        </w:tc>
        <w:tc>
          <w:tcPr>
            <w:tcW w:w="5800" w:type="dxa"/>
            <w:gridSpan w:val="3"/>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Risk ratio (95% CI)</w:t>
            </w:r>
          </w:p>
        </w:tc>
      </w:tr>
      <w:tr w:rsidR="00D87961" w:rsidRPr="00746011" w:rsidTr="00856A34">
        <w:tc>
          <w:tcPr>
            <w:tcW w:w="4365" w:type="dxa"/>
            <w:vMerge/>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themeColor="text1"/>
                <w:sz w:val="20"/>
                <w:szCs w:val="20"/>
              </w:rPr>
            </w:pPr>
          </w:p>
        </w:tc>
        <w:tc>
          <w:tcPr>
            <w:tcW w:w="193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Influenza</w:t>
            </w:r>
          </w:p>
        </w:tc>
        <w:tc>
          <w:tcPr>
            <w:tcW w:w="189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RSV</w:t>
            </w:r>
          </w:p>
        </w:tc>
        <w:tc>
          <w:tcPr>
            <w:tcW w:w="1980" w:type="dxa"/>
            <w:tcBorders>
              <w:top w:val="single" w:sz="4" w:space="0" w:color="auto"/>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SARS-CoV-2</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b/>
                <w:sz w:val="20"/>
                <w:szCs w:val="20"/>
              </w:rPr>
              <w:t>Demographics</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Age group (ref: 50-64)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0-4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0.06 (0.03-0.11)</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0.03 (0.01-0.05)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NA</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5-19</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0.13 (0.07-0.23)</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0.27 (0.12-0.59)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NA</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20-49</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0.54 (0.42-0.68)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0.81 (0.48-1.36)</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0.36 (0.25 – 0.51)</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65-74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1.28 (1.11-1.48)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(0.75-1.46)</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bCs/>
                <w:color w:val="000000" w:themeColor="text1"/>
                <w:sz w:val="20"/>
                <w:szCs w:val="20"/>
              </w:rPr>
              <w:t>2.02 (1.71 – 2.40)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75-84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1.49 (1.30-1.70)</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1.52 (1.12-2.05)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bCs/>
                <w:color w:val="000000" w:themeColor="text1"/>
                <w:sz w:val="20"/>
                <w:szCs w:val="20"/>
              </w:rPr>
              <w:t>2.64 (2.23 – 3.12)</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 xml:space="preserve">   ≥85</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2.18 (1.91-2.48)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2.16 (1.60-2.92)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bCs/>
                <w:color w:val="000000" w:themeColor="text1"/>
                <w:sz w:val="20"/>
                <w:szCs w:val="20"/>
              </w:rPr>
              <w:t>3.64 (3.08 – 4.30)</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Male sex</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1.17 (1.10-1.25)</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1.16 (1.01-1.35)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bCs/>
                <w:color w:val="000000" w:themeColor="text1"/>
                <w:sz w:val="20"/>
                <w:szCs w:val="20"/>
              </w:rPr>
              <w:t>1.25 (1.15 – 1.35)</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sz w:val="20"/>
                <w:szCs w:val="20"/>
              </w:rPr>
            </w:pPr>
            <w:r w:rsidRPr="00746011">
              <w:rPr>
                <w:rFonts w:ascii="Times New Roman" w:hAnsi="Times New Roman" w:cs="Times New Roman"/>
                <w:sz w:val="20"/>
                <w:szCs w:val="20"/>
              </w:rPr>
              <w:t xml:space="preserve">Living in rural/small </w:t>
            </w:r>
            <w:proofErr w:type="spellStart"/>
            <w:r w:rsidRPr="00746011">
              <w:rPr>
                <w:rFonts w:ascii="Times New Roman" w:hAnsi="Times New Roman" w:cs="Times New Roman"/>
                <w:sz w:val="20"/>
                <w:szCs w:val="20"/>
              </w:rPr>
              <w:t>town</w:t>
            </w:r>
            <w:r w:rsidRPr="00746011">
              <w:rPr>
                <w:rFonts w:ascii="Times New Roman" w:hAnsi="Times New Roman" w:cs="Times New Roman"/>
                <w:sz w:val="20"/>
                <w:szCs w:val="20"/>
                <w:vertAlign w:val="superscript"/>
              </w:rPr>
              <w:t>a</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1.00 (0.87-1.14)</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1.52 (1.09-2.12)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bCs/>
                <w:color w:val="000000" w:themeColor="text1"/>
                <w:sz w:val="20"/>
                <w:szCs w:val="20"/>
              </w:rPr>
              <w:t>1.27 (1.01 – 1.61)</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sz w:val="20"/>
                <w:szCs w:val="20"/>
              </w:rPr>
              <w:t>Long-term care resident</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2.62 (2.40-2.86)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2.00 (1.64-2.43)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bCs/>
                <w:color w:val="000000" w:themeColor="text1"/>
                <w:sz w:val="20"/>
                <w:szCs w:val="20"/>
              </w:rPr>
              <w:t>1.76 (1.59 – 1.94)</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sz w:val="20"/>
                <w:szCs w:val="20"/>
              </w:rPr>
              <w:t>Immunized against seasonal influenza</w:t>
            </w:r>
          </w:p>
        </w:tc>
        <w:tc>
          <w:tcPr>
            <w:tcW w:w="193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0.89 (0.83-0.96)</w:t>
            </w:r>
          </w:p>
        </w:tc>
        <w:tc>
          <w:tcPr>
            <w:tcW w:w="189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1.09 (0.93-1.28)</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1.04 (0.95 – 1.13)</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sz w:val="20"/>
                <w:szCs w:val="20"/>
              </w:rPr>
            </w:pPr>
            <w:r w:rsidRPr="00746011">
              <w:rPr>
                <w:rFonts w:ascii="Times New Roman" w:hAnsi="Times New Roman" w:cs="Times New Roman"/>
                <w:b/>
                <w:color w:val="000000" w:themeColor="text1"/>
                <w:sz w:val="20"/>
                <w:szCs w:val="20"/>
              </w:rPr>
              <w:t>Underlying health conditions</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Asthma</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0.82 (0.76-0.89)</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0.80 (0.68-0.94)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0.90 (0.82 – 1.00)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sz w:val="20"/>
                <w:szCs w:val="20"/>
              </w:rPr>
            </w:pPr>
            <w:r w:rsidRPr="00746011">
              <w:rPr>
                <w:rFonts w:ascii="Times New Roman" w:hAnsi="Times New Roman" w:cs="Times New Roman"/>
                <w:sz w:val="20"/>
                <w:szCs w:val="20"/>
              </w:rPr>
              <w:t>COPD</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1.22 (1.13-1.31)</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1.14 (0.97-1.33)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1.09 (0.98 – 1.21)</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Cardiac ischemic disease</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1.12 (1.04-1.21)</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1.18 (1.01-1.39)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0.99 (0.90 – 1.10)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Congestive heart </w:t>
            </w:r>
            <w:proofErr w:type="spellStart"/>
            <w:r w:rsidRPr="00746011">
              <w:rPr>
                <w:rFonts w:ascii="Times New Roman" w:hAnsi="Times New Roman" w:cs="Times New Roman"/>
                <w:color w:val="000000"/>
                <w:sz w:val="20"/>
                <w:szCs w:val="20"/>
              </w:rPr>
              <w:t>failure</w:t>
            </w:r>
            <w:r w:rsidRPr="00746011">
              <w:rPr>
                <w:rFonts w:ascii="Times New Roman" w:hAnsi="Times New Roman" w:cs="Times New Roman"/>
                <w:color w:val="000000"/>
                <w:sz w:val="20"/>
                <w:szCs w:val="20"/>
                <w:vertAlign w:val="superscript"/>
              </w:rPr>
              <w:t>b</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1.36 (1.26-1.46)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1.23 (1.05-1.44)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1.07 (0.98 – 1.17)</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Hypertension</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0.89 (0.80-0.98)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0.91 (0.72-1.15)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bCs/>
                <w:color w:val="000000" w:themeColor="text1"/>
                <w:sz w:val="20"/>
                <w:szCs w:val="20"/>
              </w:rPr>
              <w:t>1.16 (1.02 – 1.31)</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r w:rsidRPr="00746011">
              <w:rPr>
                <w:rFonts w:ascii="Times New Roman" w:hAnsi="Times New Roman" w:cs="Times New Roman"/>
                <w:color w:val="000000"/>
                <w:sz w:val="20"/>
                <w:szCs w:val="20"/>
              </w:rPr>
              <w:t>Diabetes</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0.90 (0.84-0.96)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0.92 (0.79-1.07)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1.08 (0.99 – 1.17)</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Dementia or </w:t>
            </w:r>
            <w:proofErr w:type="spellStart"/>
            <w:r w:rsidRPr="00746011">
              <w:rPr>
                <w:rFonts w:ascii="Times New Roman" w:hAnsi="Times New Roman" w:cs="Times New Roman"/>
                <w:color w:val="000000"/>
                <w:sz w:val="20"/>
                <w:szCs w:val="20"/>
              </w:rPr>
              <w:t>frailty</w:t>
            </w:r>
            <w:r w:rsidRPr="00746011">
              <w:rPr>
                <w:rFonts w:ascii="Times New Roman" w:hAnsi="Times New Roman" w:cs="Times New Roman"/>
                <w:color w:val="000000"/>
                <w:sz w:val="20"/>
                <w:szCs w:val="20"/>
                <w:vertAlign w:val="superscript"/>
              </w:rPr>
              <w:t>c</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1.34 (1.24-1.45)</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1.63 (1.38-1.94)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(0.96 – 1.16)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Stroke</w:t>
            </w:r>
            <w:r w:rsidRPr="00746011">
              <w:rPr>
                <w:rFonts w:ascii="Times New Roman" w:hAnsi="Times New Roman" w:cs="Times New Roman"/>
                <w:color w:val="000000"/>
                <w:sz w:val="20"/>
                <w:szCs w:val="20"/>
                <w:vertAlign w:val="superscript"/>
              </w:rPr>
              <w:t>d</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0.93 (0.85-1.02)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(0.86-1.29)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0.96 (0.86 – 1.08)</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vertAlign w:val="superscript"/>
              </w:rPr>
            </w:pPr>
            <w:r w:rsidRPr="00746011">
              <w:rPr>
                <w:rFonts w:ascii="Times New Roman" w:hAnsi="Times New Roman" w:cs="Times New Roman"/>
                <w:color w:val="000000"/>
                <w:sz w:val="20"/>
                <w:szCs w:val="20"/>
              </w:rPr>
              <w:t xml:space="preserve">Chronic kidney </w:t>
            </w:r>
            <w:proofErr w:type="spellStart"/>
            <w:r w:rsidRPr="00746011">
              <w:rPr>
                <w:rFonts w:ascii="Times New Roman" w:hAnsi="Times New Roman" w:cs="Times New Roman"/>
                <w:color w:val="000000"/>
                <w:sz w:val="20"/>
                <w:szCs w:val="20"/>
              </w:rPr>
              <w:t>disease</w:t>
            </w:r>
            <w:r w:rsidRPr="00746011">
              <w:rPr>
                <w:rFonts w:ascii="Times New Roman" w:hAnsi="Times New Roman" w:cs="Times New Roman"/>
                <w:color w:val="000000"/>
                <w:sz w:val="20"/>
                <w:szCs w:val="20"/>
                <w:vertAlign w:val="superscript"/>
              </w:rPr>
              <w:t>e</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1.27 (1.18-1.37)</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1.22 (1.03-1.43)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
                <w:color w:val="000000" w:themeColor="text1"/>
                <w:sz w:val="20"/>
                <w:szCs w:val="20"/>
              </w:rPr>
              <w:t>1.28 (1.18 – 1.40)</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162"/>
              <w:rPr>
                <w:rFonts w:ascii="Times New Roman" w:hAnsi="Times New Roman" w:cs="Times New Roman"/>
                <w:color w:val="000000"/>
                <w:sz w:val="20"/>
                <w:szCs w:val="20"/>
              </w:rPr>
            </w:pPr>
            <w:proofErr w:type="spellStart"/>
            <w:r w:rsidRPr="00746011">
              <w:rPr>
                <w:rFonts w:ascii="Times New Roman" w:hAnsi="Times New Roman" w:cs="Times New Roman"/>
                <w:color w:val="000000"/>
                <w:sz w:val="20"/>
                <w:szCs w:val="20"/>
              </w:rPr>
              <w:t>Immunosuppression</w:t>
            </w:r>
            <w:r w:rsidRPr="00746011">
              <w:rPr>
                <w:rFonts w:ascii="Times New Roman" w:hAnsi="Times New Roman" w:cs="Times New Roman"/>
                <w:color w:val="000000"/>
                <w:sz w:val="20"/>
                <w:szCs w:val="20"/>
                <w:vertAlign w:val="superscript"/>
              </w:rPr>
              <w:t>f</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1.32 (1.21-1.44)</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1.82 (1.54-2.16)</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b/>
                <w:color w:val="000000" w:themeColor="text1"/>
                <w:sz w:val="20"/>
                <w:szCs w:val="20"/>
              </w:rPr>
            </w:pPr>
            <w:r w:rsidRPr="00746011">
              <w:rPr>
                <w:rFonts w:ascii="Times New Roman" w:hAnsi="Times New Roman" w:cs="Times New Roman"/>
                <w:bCs/>
                <w:color w:val="000000" w:themeColor="text1"/>
                <w:sz w:val="20"/>
                <w:szCs w:val="20"/>
              </w:rPr>
              <w:t>1.13 (0.98 – 1.31)</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rPr>
            </w:pPr>
            <w:r w:rsidRPr="00746011">
              <w:rPr>
                <w:rFonts w:ascii="Times New Roman" w:hAnsi="Times New Roman" w:cs="Times New Roman"/>
                <w:color w:val="000000"/>
                <w:sz w:val="20"/>
                <w:szCs w:val="20"/>
              </w:rPr>
              <w:t xml:space="preserve">   Advanced liver disease</w:t>
            </w:r>
          </w:p>
        </w:tc>
        <w:tc>
          <w:tcPr>
            <w:tcW w:w="193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1.23 (1.03-1.47)</w:t>
            </w:r>
          </w:p>
        </w:tc>
        <w:tc>
          <w:tcPr>
            <w:tcW w:w="189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1.29 (0.91-1.82)</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0.84 (0.65 – 1.10)</w:t>
            </w:r>
          </w:p>
        </w:tc>
      </w:tr>
      <w:tr w:rsidR="00D87961" w:rsidRPr="00746011" w:rsidTr="00856A34">
        <w:tc>
          <w:tcPr>
            <w:tcW w:w="10165" w:type="dxa"/>
            <w:gridSpan w:val="4"/>
            <w:tcBorders>
              <w:top w:val="single" w:sz="4" w:space="0" w:color="auto"/>
            </w:tcBorders>
            <w:shd w:val="clear" w:color="auto" w:fill="auto"/>
            <w:vAlign w:val="center"/>
          </w:tcPr>
          <w:p w:rsidR="00D87961" w:rsidRPr="00746011" w:rsidRDefault="00D87961" w:rsidP="00856A34">
            <w:pPr>
              <w:spacing w:line="360" w:lineRule="auto"/>
              <w:rPr>
                <w:rFonts w:ascii="Times New Roman" w:hAnsi="Times New Roman" w:cs="Times New Roman"/>
                <w:b/>
                <w:color w:val="000000"/>
                <w:sz w:val="20"/>
                <w:szCs w:val="20"/>
              </w:rPr>
            </w:pPr>
            <w:r w:rsidRPr="00746011">
              <w:rPr>
                <w:rFonts w:ascii="Times New Roman" w:hAnsi="Times New Roman" w:cs="Times New Roman"/>
                <w:b/>
                <w:color w:val="000000"/>
                <w:sz w:val="20"/>
                <w:szCs w:val="20"/>
              </w:rPr>
              <w:t xml:space="preserve">Neighbourhood social determinants of </w:t>
            </w:r>
            <w:proofErr w:type="spellStart"/>
            <w:r w:rsidRPr="00746011">
              <w:rPr>
                <w:rFonts w:ascii="Times New Roman" w:hAnsi="Times New Roman" w:cs="Times New Roman"/>
                <w:b/>
                <w:color w:val="000000"/>
                <w:sz w:val="20"/>
                <w:szCs w:val="20"/>
              </w:rPr>
              <w:t>health</w:t>
            </w:r>
            <w:r w:rsidRPr="00746011">
              <w:rPr>
                <w:rFonts w:ascii="Times New Roman" w:hAnsi="Times New Roman" w:cs="Times New Roman"/>
                <w:b/>
                <w:color w:val="000000"/>
                <w:sz w:val="20"/>
                <w:szCs w:val="20"/>
                <w:vertAlign w:val="superscript"/>
              </w:rPr>
              <w:t>g</w:t>
            </w:r>
            <w:proofErr w:type="spellEnd"/>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Income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r w:rsidRPr="00746011">
              <w:rPr>
                <w:rFonts w:ascii="Times New Roman" w:hAnsi="Times New Roman" w:cs="Times New Roman"/>
                <w:sz w:val="20"/>
                <w:szCs w:val="20"/>
                <w:vertAlign w:val="superscript"/>
              </w:rPr>
              <w:t>h</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2</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1.23 (1.12-1.35)</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1.01 (0.82-1.23)</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(0.95 – 1.17)</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3</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1.10 (0.98-1.23)</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0.85 (0.67-1.08)</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1.02 (0.91 – 1.16)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1.08 (0.96-1.22)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1.01 (0.78-1.30)</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0.96 (0.82 – 1.11)</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(highest income per person)</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1.22 (1.08-1.38)</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0.97 (0.74-1.27)</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0.89 (0.75 – 1.04)</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Household size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proofErr w:type="spellStart"/>
            <w:r w:rsidRPr="00746011">
              <w:rPr>
                <w:rFonts w:ascii="Times New Roman" w:hAnsi="Times New Roman" w:cs="Times New Roman"/>
                <w:sz w:val="20"/>
                <w:szCs w:val="20"/>
                <w:vertAlign w:val="superscript"/>
              </w:rPr>
              <w:t>i</w:t>
            </w:r>
            <w:proofErr w:type="spellEnd"/>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i/>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i/>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2</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1.11 (1.01-1.22)</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1.12 (0.91-1.38)</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0.98 (0.86 – 1.12)</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lastRenderedPageBreak/>
              <w:t>3</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1.08 (0.96-1.20)</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1.22 (0.96-1.54)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(0.91 – 1.21)</w:t>
            </w:r>
          </w:p>
        </w:tc>
      </w:tr>
      <w:tr w:rsidR="00D87961" w:rsidRPr="00746011" w:rsidTr="00856A34">
        <w:trPr>
          <w:trHeight w:val="80"/>
        </w:trPr>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1.02 (0.92-1.14)</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0.98 (0.79-1.22)</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1.03 (0.92 – 1.16)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(largest household size)</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1.00 (0.88-1.13)</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0.83 (0.63-1.09)</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1.04 (0.91 – 1.19)</w:t>
            </w:r>
          </w:p>
        </w:tc>
      </w:tr>
      <w:tr w:rsidR="00D87961" w:rsidRPr="00746011" w:rsidTr="00856A34">
        <w:tc>
          <w:tcPr>
            <w:tcW w:w="4365" w:type="dxa"/>
            <w:shd w:val="clear" w:color="auto" w:fill="auto"/>
            <w:vAlign w:val="center"/>
          </w:tcPr>
          <w:p w:rsidR="00D87961" w:rsidRPr="00746011" w:rsidRDefault="00D87961" w:rsidP="00856A34">
            <w:pPr>
              <w:spacing w:line="360" w:lineRule="auto"/>
              <w:rPr>
                <w:rFonts w:ascii="Times New Roman" w:hAnsi="Times New Roman" w:cs="Times New Roman"/>
                <w:color w:val="000000"/>
                <w:sz w:val="20"/>
                <w:szCs w:val="20"/>
                <w:vertAlign w:val="superscript"/>
              </w:rPr>
            </w:pPr>
            <w:r w:rsidRPr="00746011">
              <w:rPr>
                <w:rFonts w:ascii="Times New Roman" w:hAnsi="Times New Roman" w:cs="Times New Roman"/>
                <w:sz w:val="20"/>
                <w:szCs w:val="20"/>
              </w:rPr>
              <w:t>Percent racialized (quintile, ref: 1</w:t>
            </w:r>
            <w:r w:rsidRPr="00746011">
              <w:rPr>
                <w:rFonts w:ascii="Times New Roman" w:hAnsi="Times New Roman" w:cs="Times New Roman"/>
                <w:sz w:val="20"/>
                <w:szCs w:val="20"/>
                <w:vertAlign w:val="superscript"/>
              </w:rPr>
              <w:t>st</w:t>
            </w:r>
            <w:r w:rsidRPr="00746011">
              <w:rPr>
                <w:rFonts w:ascii="Times New Roman" w:hAnsi="Times New Roman" w:cs="Times New Roman"/>
                <w:sz w:val="20"/>
                <w:szCs w:val="20"/>
              </w:rPr>
              <w:t xml:space="preserve"> quintile)</w:t>
            </w:r>
            <w:r w:rsidRPr="00746011">
              <w:rPr>
                <w:rFonts w:ascii="Times New Roman" w:hAnsi="Times New Roman" w:cs="Times New Roman"/>
                <w:sz w:val="20"/>
                <w:szCs w:val="20"/>
                <w:vertAlign w:val="superscript"/>
              </w:rPr>
              <w:t>j</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sz w:val="20"/>
                <w:szCs w:val="20"/>
              </w:rPr>
            </w:pP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2</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0.94 (0.83-1.06)</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0.94 (0.71-1.25)</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bCs/>
                <w:color w:val="000000" w:themeColor="text1"/>
                <w:sz w:val="20"/>
                <w:szCs w:val="20"/>
              </w:rPr>
              <w:t>1.24 (1.02 – 1.51)</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4"/>
              <w:rPr>
                <w:rFonts w:ascii="Times New Roman" w:hAnsi="Times New Roman" w:cs="Times New Roman"/>
                <w:sz w:val="20"/>
                <w:szCs w:val="20"/>
              </w:rPr>
            </w:pPr>
            <w:r w:rsidRPr="00746011">
              <w:rPr>
                <w:rFonts w:ascii="Times New Roman" w:hAnsi="Times New Roman" w:cs="Times New Roman"/>
                <w:sz w:val="20"/>
                <w:szCs w:val="20"/>
              </w:rPr>
              <w:t>3</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0.97 (0.86-1.09)</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1.09 (0.83-1.44)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bCs/>
                <w:color w:val="000000" w:themeColor="text1"/>
                <w:sz w:val="20"/>
                <w:szCs w:val="20"/>
              </w:rPr>
              <w:t>1.21 (1.00 – 1.46)</w:t>
            </w:r>
          </w:p>
        </w:tc>
      </w:tr>
      <w:tr w:rsidR="00D87961" w:rsidRPr="00746011" w:rsidTr="00856A34">
        <w:tc>
          <w:tcPr>
            <w:tcW w:w="4365" w:type="dxa"/>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4</w:t>
            </w:r>
          </w:p>
        </w:tc>
        <w:tc>
          <w:tcPr>
            <w:tcW w:w="193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1.04 (0.92-1.17)</w:t>
            </w:r>
          </w:p>
        </w:tc>
        <w:tc>
          <w:tcPr>
            <w:tcW w:w="189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1.24 (0.94-1.64)</w:t>
            </w:r>
          </w:p>
        </w:tc>
        <w:tc>
          <w:tcPr>
            <w:tcW w:w="1980" w:type="dxa"/>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1.05 (0.87 – 1.28)</w:t>
            </w:r>
          </w:p>
        </w:tc>
      </w:tr>
      <w:tr w:rsidR="00D87961" w:rsidRPr="00746011" w:rsidTr="00856A34">
        <w:tc>
          <w:tcPr>
            <w:tcW w:w="4365" w:type="dxa"/>
            <w:tcBorders>
              <w:bottom w:val="single" w:sz="4" w:space="0" w:color="auto"/>
            </w:tcBorders>
            <w:shd w:val="clear" w:color="auto" w:fill="auto"/>
            <w:vAlign w:val="center"/>
          </w:tcPr>
          <w:p w:rsidR="00D87961" w:rsidRPr="00746011" w:rsidRDefault="00D87961" w:rsidP="00856A34">
            <w:pPr>
              <w:spacing w:line="360" w:lineRule="auto"/>
              <w:ind w:left="306"/>
              <w:rPr>
                <w:rFonts w:ascii="Times New Roman" w:hAnsi="Times New Roman" w:cs="Times New Roman"/>
                <w:sz w:val="20"/>
                <w:szCs w:val="20"/>
              </w:rPr>
            </w:pPr>
            <w:r w:rsidRPr="00746011">
              <w:rPr>
                <w:rFonts w:ascii="Times New Roman" w:hAnsi="Times New Roman" w:cs="Times New Roman"/>
                <w:sz w:val="20"/>
                <w:szCs w:val="20"/>
              </w:rPr>
              <w:t>5 (greatest percent racialized)</w:t>
            </w:r>
          </w:p>
        </w:tc>
        <w:tc>
          <w:tcPr>
            <w:tcW w:w="193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0.96 (0.84-1.10)</w:t>
            </w:r>
          </w:p>
        </w:tc>
        <w:tc>
          <w:tcPr>
            <w:tcW w:w="189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1.28 (0.96-1.72)</w:t>
            </w:r>
          </w:p>
        </w:tc>
        <w:tc>
          <w:tcPr>
            <w:tcW w:w="1980" w:type="dxa"/>
            <w:tcBorders>
              <w:bottom w:val="single" w:sz="4" w:space="0" w:color="auto"/>
            </w:tcBorders>
            <w:shd w:val="clear" w:color="auto" w:fill="auto"/>
            <w:vAlign w:val="center"/>
          </w:tcPr>
          <w:p w:rsidR="00D87961" w:rsidRPr="00746011" w:rsidRDefault="00D87961" w:rsidP="00856A34">
            <w:pPr>
              <w:spacing w:line="360" w:lineRule="auto"/>
              <w:jc w:val="center"/>
              <w:rPr>
                <w:rFonts w:ascii="Times New Roman" w:hAnsi="Times New Roman" w:cs="Times New Roman"/>
                <w:color w:val="000000" w:themeColor="text1"/>
                <w:sz w:val="20"/>
                <w:szCs w:val="20"/>
              </w:rPr>
            </w:pPr>
            <w:r w:rsidRPr="00746011">
              <w:rPr>
                <w:rFonts w:ascii="Times New Roman" w:hAnsi="Times New Roman" w:cs="Times New Roman"/>
                <w:color w:val="000000" w:themeColor="text1"/>
                <w:sz w:val="20"/>
                <w:szCs w:val="20"/>
              </w:rPr>
              <w:t>1.16 (0.95 – 1.41)</w:t>
            </w:r>
          </w:p>
        </w:tc>
      </w:tr>
    </w:tbl>
    <w:p w:rsidR="00D87961" w:rsidRPr="00746011" w:rsidRDefault="00D87961" w:rsidP="00D87961">
      <w:pPr>
        <w:spacing w:after="0" w:line="360" w:lineRule="auto"/>
        <w:rPr>
          <w:rFonts w:ascii="Times New Roman" w:hAnsi="Times New Roman" w:cs="Times New Roman"/>
          <w:sz w:val="20"/>
          <w:szCs w:val="20"/>
        </w:rPr>
      </w:pPr>
      <w:r w:rsidRPr="00746011">
        <w:rPr>
          <w:rFonts w:ascii="Times New Roman" w:hAnsi="Times New Roman" w:cs="Times New Roman"/>
          <w:sz w:val="20"/>
          <w:szCs w:val="20"/>
        </w:rPr>
        <w:t xml:space="preserve">Modified </w:t>
      </w:r>
      <w:proofErr w:type="spellStart"/>
      <w:r w:rsidRPr="00746011">
        <w:rPr>
          <w:rFonts w:ascii="Times New Roman" w:hAnsi="Times New Roman" w:cs="Times New Roman"/>
          <w:sz w:val="20"/>
          <w:szCs w:val="20"/>
        </w:rPr>
        <w:t>poisson</w:t>
      </w:r>
      <w:proofErr w:type="spellEnd"/>
      <w:r w:rsidRPr="00746011">
        <w:rPr>
          <w:rFonts w:ascii="Times New Roman" w:hAnsi="Times New Roman" w:cs="Times New Roman"/>
          <w:sz w:val="20"/>
          <w:szCs w:val="20"/>
        </w:rPr>
        <w:t xml:space="preserve"> regression was used to calculate adjusted associations between predictors and 30-day all-cause mortality. Models were adjusted for all risk factors presented.  Influenza and RSV models were additionally adjusted for season of hospital admission.  Associations are presented as risk ratios and 95% confidence intervals.  Values in bold indicate significant 95% confidence intervals across all three hospitalization cohorts. RSV, respiratory syncytial virus; SARS-CoV-2, severe acute respiratory virus syndrome coronavirus 2; COPD, chronic obstructive pulmonary disease. </w:t>
      </w:r>
    </w:p>
    <w:p w:rsidR="00D87961" w:rsidRPr="00746011" w:rsidRDefault="00D87961" w:rsidP="00D87961">
      <w:pPr>
        <w:spacing w:after="0" w:line="360" w:lineRule="auto"/>
        <w:rPr>
          <w:rFonts w:ascii="Times New Roman" w:hAnsi="Times New Roman" w:cs="Times New Roman"/>
          <w:sz w:val="20"/>
          <w:szCs w:val="20"/>
        </w:rPr>
      </w:pP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a</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a city or town with a population of less than 10,000.</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b</w:t>
      </w:r>
      <w:r w:rsidRPr="00746011">
        <w:rPr>
          <w:rFonts w:ascii="Times New Roman" w:hAnsi="Times New Roman" w:cs="Times New Roman"/>
          <w:sz w:val="20"/>
          <w:szCs w:val="20"/>
        </w:rPr>
        <w:t>Among</w:t>
      </w:r>
      <w:proofErr w:type="spellEnd"/>
      <w:r w:rsidRPr="00746011">
        <w:rPr>
          <w:rFonts w:ascii="Times New Roman" w:hAnsi="Times New Roman" w:cs="Times New Roman"/>
          <w:sz w:val="20"/>
          <w:szCs w:val="20"/>
        </w:rPr>
        <w:t xml:space="preserve"> patients aged 40 years or older.</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c</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w:t>
      </w:r>
      <w:r w:rsidR="00856A34">
        <w:rPr>
          <w:rFonts w:ascii="Times New Roman" w:hAnsi="Times New Roman" w:cs="Times New Roman"/>
          <w:sz w:val="20"/>
          <w:szCs w:val="20"/>
        </w:rPr>
        <w:t>s a Hospital Frailty Risk Score</w:t>
      </w:r>
      <w:r w:rsidRPr="00746011">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{"citationItems":[{"id":"ITEM-1","itemData":{"DOI":"10.1016/S0140-6736(18)30668-8/ATTACHMENT/A5F78A5C-B75B-496E-ACBC-329F84A11E37/MMC1.PDF","ISSN":"1474547X","PMID":"29706364","abstract":"Background: Older people are increasing users of health care globally. We aimed to establish whether older people with characteristics of frailty and who are at risk of adverse health-care outcomes could be identified using routinely collected data. Methods: A three-step approach was used to develop and validate a Hospital Frailty Risk Score from International Statistical Classification of Diseases and Related Health Problems, Tenth Revision (ICD-10) diagnostic codes. First, we carried out a cluster analysis to identify a group of older people (≥75 years) admitted to hospital who had high resource use and diagnoses associated with frailty. Second, we created a Hospital Frailty Risk Score based on ICD-10 codes that characterised this group. Third, in separate cohorts, we tested how well the score predicted adverse outcomes and whether it identified similar groups as other frailty tools. Findings: In the development cohort (n=22 139), older people with frailty diagnoses formed a distinct group and had higher non-elective hospital use (33·6 bed-days over 2 years compared with 23·0 bed-days for the group with the next highest number of bed-days). In the national validation cohort (n=1 013 590), compared with the 429 762 (42·4%) patients with the lowest risk scores, the 202 718 (20·0%) patients with the highest Hospital Frailty Risk Scores had increased odds of 30-day mortality (odds ratio 1·71, 95% CI 1·68–1·75), long hospital stay (6·03, 5·92–6·10), and 30-day readmission (1·48, 1·46–1·50). The c statistics (ie, model discrimination) between individuals for these three outcomes were 0·60, 0·68, and 0·56, respectively. The Hospital Frailty Risk Score showed fair overlap with dichotomised Fried and Rockwood scales (kappa scores 0·22, 95% CI 0·15–0·30 and 0·30, 0·22–0·38, respectively) and moderate agreement with the Rockwood Frailty Index (Pearson's correlation coefficient 0·41, 95% CI 0·38–0·47). Interpretation: The Hospital Frailty Risk Score provides hospitals and health systems with a low-cost, systematic way to screen for frailty and identify a group of patients who are at greater risk of adverse outcomes and for whom a frailty-attuned approach might be useful. Funding: National Institute for Health Research.","author":[{"dropping-particle":"","family":"Gilbert","given":"Thomas","non-dropping-particle":"","parse-names":false,"suffix":""},{"dropping-particle":"","family":"Neuburger","given":"Jenny","non-dropping-particle":"","parse-names":false,"suffix":""},{"dropping-particle":"","family":"Kraindler","given":"Joshua","non-dropping-particle":"","parse-names":false,"suffix":""},{"dropping-particle":"","family":"Keeble","given":"Eilis","non-dropping-particle":"","parse-names":false,"suffix":""},{"dropping-particle":"","family":"Smith","given":"Paul","non-dropping-particle":"","parse-names":false,"suffix":""},{"dropping-particle":"","family":"Ariti","given":"Cono","non-dropping-particle":"","parse-names":false,"suffix":""},{"dropping-particle":"","family":"Arora","given":"Sandeepa","non-dropping-particle":"","parse-names":false,"suffix":""},{"dropping-particle":"","family":"Street","given":"Andrew","non-dropping-particle":"","parse-names":false,"suffix":""},{"dropping-particle":"","family":"Parker","given":"Stuart","non-dropping-particle":"","parse-names":false,"suffix":""},{"dropping-particle":"","family":"Roberts","given":"Helen C.","non-dropping-particle":"","parse-names":false,"suffix":""},{"dropping-particle":"","family":"Bardsley","given":"Martin","non-dropping-particle":"","parse-names":false,"suffix":""},{"dropping-particle":"","family":"Conroy","given":"Simon","non-dropping-particle":"","parse-names":false,"suffix":""}],"container-title":"The Lancet","id":"ITEM-1","issue":"10132","issued":{"date-parts":[["2018","5","5"]]},"page":"1775-1782","publisher":"Lancet Publishing Group","title":"Development and validation of a Hospital Frailty Risk Score focusing on older people in acute care settings using electronic hospital records: an observational study","type":"article-journal","volume":"391"},"uris":["http://www.mendeley.com/documents/?uuid=5995df60-5e36-3f24-9ec9-d6d6ab65cbde"]}],"mendeley":{"formattedCitation":"&lt;sup&gt;16&lt;/sup&gt;","plainTextFormattedCitation":"16","previouslyFormattedCitation":"[16]"},"properties":{"noteIndex":0},"schema":"https://github.com/citation-style-language/schema/raw/master/csl-citation.json"}</w:instrText>
      </w:r>
      <w:r w:rsidRPr="00746011">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16</w:t>
      </w:r>
      <w:r w:rsidRPr="00746011">
        <w:rPr>
          <w:rFonts w:ascii="Times New Roman" w:hAnsi="Times New Roman" w:cs="Times New Roman"/>
          <w:sz w:val="20"/>
          <w:szCs w:val="20"/>
        </w:rPr>
        <w:fldChar w:fldCharType="end"/>
      </w:r>
      <w:r w:rsidRPr="00746011">
        <w:rPr>
          <w:rFonts w:ascii="Times New Roman" w:hAnsi="Times New Roman" w:cs="Times New Roman"/>
          <w:sz w:val="20"/>
          <w:szCs w:val="20"/>
        </w:rPr>
        <w:t xml:space="preserve"> greater than 15.</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d</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history of a transient ischemic attack or an acute ischemic stroke.</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e</w:t>
      </w:r>
      <w:r w:rsidRPr="00746011">
        <w:rPr>
          <w:rFonts w:ascii="Times New Roman" w:hAnsi="Times New Roman" w:cs="Times New Roman"/>
          <w:sz w:val="20"/>
          <w:szCs w:val="20"/>
        </w:rPr>
        <w:t>Within</w:t>
      </w:r>
      <w:proofErr w:type="spellEnd"/>
      <w:r w:rsidRPr="00746011">
        <w:rPr>
          <w:rFonts w:ascii="Times New Roman" w:hAnsi="Times New Roman" w:cs="Times New Roman"/>
          <w:sz w:val="20"/>
          <w:szCs w:val="20"/>
        </w:rPr>
        <w:t xml:space="preserve"> the past 5 years.</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f</w:t>
      </w:r>
      <w:r w:rsidRPr="00746011">
        <w:rPr>
          <w:rFonts w:ascii="Times New Roman" w:hAnsi="Times New Roman" w:cs="Times New Roman"/>
          <w:sz w:val="20"/>
          <w:szCs w:val="20"/>
        </w:rPr>
        <w:t>Defined</w:t>
      </w:r>
      <w:proofErr w:type="spellEnd"/>
      <w:r w:rsidRPr="00746011">
        <w:rPr>
          <w:rFonts w:ascii="Times New Roman" w:hAnsi="Times New Roman" w:cs="Times New Roman"/>
          <w:sz w:val="20"/>
          <w:szCs w:val="20"/>
        </w:rPr>
        <w:t xml:space="preserve"> as patients with a cancer diagnosis in the past 5 years, who were HIV positive, who had an organ or bone marrow transplant, or who had another immunodeficiency condition.</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g</w:t>
      </w:r>
      <w:r w:rsidRPr="00746011">
        <w:rPr>
          <w:rFonts w:ascii="Times New Roman" w:hAnsi="Times New Roman" w:cs="Times New Roman"/>
          <w:sz w:val="20"/>
          <w:szCs w:val="20"/>
        </w:rPr>
        <w:t>Social</w:t>
      </w:r>
      <w:proofErr w:type="spellEnd"/>
      <w:r w:rsidRPr="00746011">
        <w:rPr>
          <w:rFonts w:ascii="Times New Roman" w:hAnsi="Times New Roman" w:cs="Times New Roman"/>
          <w:sz w:val="20"/>
          <w:szCs w:val="20"/>
        </w:rPr>
        <w:t xml:space="preserve"> determinants of health were captured at the level of the Canadian census dissemination area. </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h</w:t>
      </w:r>
      <w:r w:rsidRPr="00746011">
        <w:rPr>
          <w:rFonts w:ascii="Times New Roman" w:hAnsi="Times New Roman" w:cs="Times New Roman"/>
          <w:sz w:val="20"/>
          <w:szCs w:val="20"/>
        </w:rPr>
        <w:t>Income</w:t>
      </w:r>
      <w:proofErr w:type="spellEnd"/>
      <w:r w:rsidRPr="00746011">
        <w:rPr>
          <w:rFonts w:ascii="Times New Roman" w:hAnsi="Times New Roman" w:cs="Times New Roman"/>
          <w:sz w:val="20"/>
          <w:szCs w:val="20"/>
        </w:rPr>
        <w:t xml:space="preserve"> was measured as a per-person equivalent. Quintiles were generated per census agglomeration unit or census metropolitan area to adjust for variability in cost of living across the province. Quintile ranges vary across the province.</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i</w:t>
      </w:r>
      <w:r w:rsidRPr="00746011">
        <w:rPr>
          <w:rFonts w:ascii="Times New Roman" w:hAnsi="Times New Roman" w:cs="Times New Roman"/>
          <w:sz w:val="20"/>
          <w:szCs w:val="20"/>
        </w:rPr>
        <w:t>Range</w:t>
      </w:r>
      <w:proofErr w:type="spellEnd"/>
      <w:r w:rsidRPr="00746011">
        <w:rPr>
          <w:rFonts w:ascii="Times New Roman" w:hAnsi="Times New Roman" w:cs="Times New Roman"/>
          <w:sz w:val="20"/>
          <w:szCs w:val="20"/>
        </w:rPr>
        <w:t xml:space="preserve"> household size quintile 1 = 0 - 2.1 persons per dwelling; quintile 2 = 2.2 – 2.4 persons per dwelling; quintile 3 = 2.5 – 2.6 persons per dwelling; quintile 4 = 2.7 – 3 persons per dwelling; quintile 5 = 3.1-5.7 persons per dwelling.</w:t>
      </w:r>
    </w:p>
    <w:p w:rsidR="00D87961" w:rsidRPr="00746011" w:rsidRDefault="00D87961" w:rsidP="00D87961">
      <w:pPr>
        <w:spacing w:after="0" w:line="360" w:lineRule="auto"/>
        <w:rPr>
          <w:rFonts w:ascii="Times New Roman" w:hAnsi="Times New Roman" w:cs="Times New Roman"/>
          <w:sz w:val="20"/>
          <w:szCs w:val="20"/>
        </w:rPr>
      </w:pPr>
      <w:proofErr w:type="spellStart"/>
      <w:r w:rsidRPr="00746011">
        <w:rPr>
          <w:rFonts w:ascii="Times New Roman" w:hAnsi="Times New Roman" w:cs="Times New Roman"/>
          <w:sz w:val="20"/>
          <w:szCs w:val="20"/>
          <w:vertAlign w:val="superscript"/>
        </w:rPr>
        <w:t>j</w:t>
      </w:r>
      <w:r w:rsidRPr="00746011">
        <w:rPr>
          <w:rFonts w:ascii="Times New Roman" w:hAnsi="Times New Roman" w:cs="Times New Roman"/>
          <w:sz w:val="20"/>
          <w:szCs w:val="20"/>
        </w:rPr>
        <w:t>As</w:t>
      </w:r>
      <w:proofErr w:type="spellEnd"/>
      <w:r w:rsidRPr="00746011">
        <w:rPr>
          <w:rFonts w:ascii="Times New Roman" w:hAnsi="Times New Roman" w:cs="Times New Roman"/>
          <w:sz w:val="20"/>
          <w:szCs w:val="20"/>
        </w:rPr>
        <w:t xml:space="preserve"> defined by the “ethnic concentration quintile” from the Ontario Marginalization Index</w:t>
      </w:r>
      <w:r w:rsidR="00856A34">
        <w:rPr>
          <w:rFonts w:ascii="Times New Roman" w:hAnsi="Times New Roman" w:cs="Times New Roman"/>
          <w:sz w:val="20"/>
          <w:szCs w:val="20"/>
        </w:rPr>
        <w:t>.</w:t>
      </w:r>
      <w:r w:rsidRPr="00746011">
        <w:rPr>
          <w:rFonts w:ascii="Times New Roman" w:hAnsi="Times New Roman" w:cs="Times New Roman"/>
          <w:sz w:val="20"/>
          <w:szCs w:val="20"/>
        </w:rPr>
        <w:fldChar w:fldCharType="begin" w:fldLock="1"/>
      </w:r>
      <w:r w:rsidR="00856A34">
        <w:rPr>
          <w:rFonts w:ascii="Times New Roman" w:hAnsi="Times New Roman" w:cs="Times New Roman"/>
          <w:sz w:val="20"/>
          <w:szCs w:val="20"/>
        </w:rPr>
        <w:instrText>ADDIN CSL_CITATION {"citationItems":[{"id":"ITEM-1","itemData":{"author":[{"dropping-particle":"","family":"Matheson","given":"Flora I.","non-dropping-particle":"","parse-names":false,"suffix":""},{"dropping-particle":"","family":"Ingen","given":"Trevor","non-dropping-particle":"van","parse-names":false,"suffix":""}],"id":"ITEM-1","issued":{"date-parts":[["2018"]]},"publisher-place":"Toronto, ON","title":"2016 Ontario marginalization index: user guide","type":"report"},"uris":["http://www.mendeley.com/documents/?uuid=1df1f7a4-e15b-3c47-a5f7-353398842e2d"]}],"mendeley":{"formattedCitation":"&lt;sup&gt;4&lt;/sup&gt;","plainTextFormattedCitation":"4","previouslyFormattedCitation":"[4]"},"properties":{"noteIndex":0},"schema":"https://github.com/citation-style-language/schema/raw/master/csl-citation.json"}</w:instrText>
      </w:r>
      <w:r w:rsidRPr="00746011">
        <w:rPr>
          <w:rFonts w:ascii="Times New Roman" w:hAnsi="Times New Roman" w:cs="Times New Roman"/>
          <w:sz w:val="20"/>
          <w:szCs w:val="20"/>
        </w:rPr>
        <w:fldChar w:fldCharType="separate"/>
      </w:r>
      <w:r w:rsidR="00856A34" w:rsidRPr="00856A34">
        <w:rPr>
          <w:rFonts w:ascii="Times New Roman" w:hAnsi="Times New Roman" w:cs="Times New Roman"/>
          <w:noProof/>
          <w:sz w:val="20"/>
          <w:szCs w:val="20"/>
          <w:vertAlign w:val="superscript"/>
        </w:rPr>
        <w:t>4</w:t>
      </w:r>
      <w:r w:rsidRPr="00746011">
        <w:rPr>
          <w:rFonts w:ascii="Times New Roman" w:hAnsi="Times New Roman" w:cs="Times New Roman"/>
          <w:sz w:val="20"/>
          <w:szCs w:val="20"/>
        </w:rPr>
        <w:fldChar w:fldCharType="end"/>
      </w:r>
      <w:r w:rsidRPr="00746011">
        <w:rPr>
          <w:rFonts w:ascii="Times New Roman" w:hAnsi="Times New Roman" w:cs="Times New Roman"/>
          <w:sz w:val="20"/>
          <w:szCs w:val="20"/>
        </w:rPr>
        <w:t xml:space="preserve">  Quintiles were created by ranking dissemination areas on a principle component score; thus, quintile ranges are uninterpretable. </w:t>
      </w:r>
    </w:p>
    <w:p w:rsidR="00D87961" w:rsidRDefault="00D87961">
      <w:pPr>
        <w:rPr>
          <w:rFonts w:ascii="Times New Roman" w:hAnsi="Times New Roman" w:cs="Times New Roman"/>
          <w:b/>
          <w:bCs/>
          <w:sz w:val="24"/>
          <w:szCs w:val="24"/>
        </w:rPr>
      </w:pPr>
      <w:r>
        <w:rPr>
          <w:rFonts w:ascii="Times New Roman" w:hAnsi="Times New Roman" w:cs="Times New Roman"/>
          <w:b/>
          <w:bCs/>
          <w:sz w:val="24"/>
          <w:szCs w:val="24"/>
        </w:rPr>
        <w:br w:type="page"/>
      </w:r>
    </w:p>
    <w:p w:rsidR="00681AAF" w:rsidRDefault="00681AAF">
      <w:pPr>
        <w:rPr>
          <w:rFonts w:ascii="Times New Roman" w:hAnsi="Times New Roman" w:cs="Times New Roman"/>
          <w:b/>
          <w:bCs/>
          <w:sz w:val="24"/>
          <w:szCs w:val="24"/>
        </w:rPr>
      </w:pPr>
    </w:p>
    <w:p w:rsidR="00892C62" w:rsidRDefault="00D412E4" w:rsidP="00892C6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892C62" w:rsidRPr="00892C62">
        <w:rPr>
          <w:rFonts w:ascii="Times New Roman" w:hAnsi="Times New Roman" w:cs="Times New Roman"/>
          <w:b/>
          <w:bCs/>
          <w:sz w:val="24"/>
          <w:szCs w:val="24"/>
        </w:rPr>
        <w:t>REFERENCES</w:t>
      </w:r>
    </w:p>
    <w:p w:rsidR="00856A34" w:rsidRPr="00856A34" w:rsidRDefault="00892C62"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Cs/>
          <w:i/>
          <w:sz w:val="24"/>
          <w:szCs w:val="24"/>
        </w:rPr>
        <w:fldChar w:fldCharType="begin" w:fldLock="1"/>
      </w:r>
      <w:r>
        <w:rPr>
          <w:rFonts w:ascii="Times New Roman" w:hAnsi="Times New Roman" w:cs="Times New Roman"/>
          <w:bCs/>
          <w:i/>
          <w:sz w:val="24"/>
          <w:szCs w:val="24"/>
        </w:rPr>
        <w:instrText xml:space="preserve">ADDIN Mendeley Bibliography CSL_BIBLIOGRAPHY </w:instrText>
      </w:r>
      <w:r>
        <w:rPr>
          <w:rFonts w:ascii="Times New Roman" w:hAnsi="Times New Roman" w:cs="Times New Roman"/>
          <w:bCs/>
          <w:i/>
          <w:sz w:val="24"/>
          <w:szCs w:val="24"/>
        </w:rPr>
        <w:fldChar w:fldCharType="separate"/>
      </w:r>
      <w:r w:rsidR="00856A34" w:rsidRPr="00856A34">
        <w:rPr>
          <w:rFonts w:ascii="Times New Roman" w:hAnsi="Times New Roman" w:cs="Times New Roman"/>
          <w:noProof/>
          <w:sz w:val="24"/>
          <w:szCs w:val="24"/>
        </w:rPr>
        <w:t xml:space="preserve">1. </w:t>
      </w:r>
      <w:r w:rsidR="00856A34" w:rsidRPr="00856A34">
        <w:rPr>
          <w:rFonts w:ascii="Times New Roman" w:hAnsi="Times New Roman" w:cs="Times New Roman"/>
          <w:noProof/>
          <w:sz w:val="24"/>
          <w:szCs w:val="24"/>
        </w:rPr>
        <w:tab/>
        <w:t>Statistics Canada. Dissemination area (DA). Dictionary, Census of Population, 2016. https://www12.statcan.gc.ca/census-recensement/2016/ref/dict/geo021-eng.cfm</w:t>
      </w:r>
      <w:r w:rsidR="00856A34">
        <w:rPr>
          <w:rFonts w:ascii="Times New Roman" w:hAnsi="Times New Roman" w:cs="Times New Roman"/>
          <w:noProof/>
          <w:sz w:val="24"/>
          <w:szCs w:val="24"/>
        </w:rPr>
        <w:t xml:space="preserve"> 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2. </w:t>
      </w:r>
      <w:r w:rsidRPr="00856A34">
        <w:rPr>
          <w:rFonts w:ascii="Times New Roman" w:hAnsi="Times New Roman" w:cs="Times New Roman"/>
          <w:noProof/>
          <w:sz w:val="24"/>
          <w:szCs w:val="24"/>
        </w:rPr>
        <w:tab/>
        <w:t xml:space="preserve">Statistics Canada. Total income. Dictionary, Census of Population, 2016. https://www12.statcan.gc.ca/census-recensement/2016/ref/dict/pop123-eng.cfm </w:t>
      </w:r>
      <w:r>
        <w:rPr>
          <w:rFonts w:ascii="Times New Roman" w:hAnsi="Times New Roman" w:cs="Times New Roman"/>
          <w:noProof/>
          <w:sz w:val="24"/>
          <w:szCs w:val="24"/>
        </w:rPr>
        <w:t>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3. </w:t>
      </w:r>
      <w:r w:rsidRPr="00856A34">
        <w:rPr>
          <w:rFonts w:ascii="Times New Roman" w:hAnsi="Times New Roman" w:cs="Times New Roman"/>
          <w:noProof/>
          <w:sz w:val="24"/>
          <w:szCs w:val="24"/>
        </w:rPr>
        <w:tab/>
        <w:t>Statistics Canada. Private dwelling. Dictionary, Census of Population, 2016. https://www12.statcan.gc.ca/census-recensement/2016/ref/dict/dwelling-logements005-eng.cfm</w:t>
      </w:r>
      <w:r>
        <w:rPr>
          <w:rFonts w:ascii="Times New Roman" w:hAnsi="Times New Roman" w:cs="Times New Roman"/>
          <w:noProof/>
          <w:sz w:val="24"/>
          <w:szCs w:val="24"/>
        </w:rPr>
        <w:t xml:space="preserve"> 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4. </w:t>
      </w:r>
      <w:r w:rsidRPr="00856A34">
        <w:rPr>
          <w:rFonts w:ascii="Times New Roman" w:hAnsi="Times New Roman" w:cs="Times New Roman"/>
          <w:noProof/>
          <w:sz w:val="24"/>
          <w:szCs w:val="24"/>
        </w:rPr>
        <w:tab/>
        <w:t xml:space="preserve">Matheson FI, van Ingen T. </w:t>
      </w:r>
      <w:r w:rsidRPr="00856A34">
        <w:rPr>
          <w:rFonts w:ascii="Times New Roman" w:hAnsi="Times New Roman" w:cs="Times New Roman"/>
          <w:i/>
          <w:iCs/>
          <w:noProof/>
          <w:sz w:val="24"/>
          <w:szCs w:val="24"/>
        </w:rPr>
        <w:t>2016 Ontario Marginalization Index: User Guide</w:t>
      </w:r>
      <w:r>
        <w:rPr>
          <w:rFonts w:ascii="Times New Roman" w:hAnsi="Times New Roman" w:cs="Times New Roman"/>
          <w:noProof/>
          <w:sz w:val="24"/>
          <w:szCs w:val="24"/>
        </w:rPr>
        <w:t>.</w:t>
      </w:r>
      <w:r w:rsidRPr="00856A34">
        <w:rPr>
          <w:rFonts w:ascii="Times New Roman" w:hAnsi="Times New Roman" w:cs="Times New Roman"/>
          <w:noProof/>
          <w:sz w:val="24"/>
          <w:szCs w:val="24"/>
        </w:rPr>
        <w:t xml:space="preserve"> 2018.</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5. </w:t>
      </w:r>
      <w:r w:rsidRPr="00856A34">
        <w:rPr>
          <w:rFonts w:ascii="Times New Roman" w:hAnsi="Times New Roman" w:cs="Times New Roman"/>
          <w:noProof/>
          <w:sz w:val="24"/>
          <w:szCs w:val="24"/>
        </w:rPr>
        <w:tab/>
        <w:t>Statistics Canada. Immigrant status. Dictionary, Census of Population, 2016. https://www12.statcan.gc.ca/census-recensement/2016/ref/dict/pop148-eng.cfm</w:t>
      </w:r>
      <w:r>
        <w:rPr>
          <w:rFonts w:ascii="Times New Roman" w:hAnsi="Times New Roman" w:cs="Times New Roman"/>
          <w:noProof/>
          <w:sz w:val="24"/>
          <w:szCs w:val="24"/>
        </w:rPr>
        <w:t xml:space="preserve"> 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6. </w:t>
      </w:r>
      <w:r w:rsidRPr="00856A34">
        <w:rPr>
          <w:rFonts w:ascii="Times New Roman" w:hAnsi="Times New Roman" w:cs="Times New Roman"/>
          <w:noProof/>
          <w:sz w:val="24"/>
          <w:szCs w:val="24"/>
        </w:rPr>
        <w:tab/>
        <w:t>Statistics Canada. Period of immigration. Diction</w:t>
      </w:r>
      <w:r>
        <w:rPr>
          <w:rFonts w:ascii="Times New Roman" w:hAnsi="Times New Roman" w:cs="Times New Roman"/>
          <w:noProof/>
          <w:sz w:val="24"/>
          <w:szCs w:val="24"/>
        </w:rPr>
        <w:t>ary, Census of Population, 2016</w:t>
      </w:r>
      <w:r w:rsidRPr="00856A34">
        <w:rPr>
          <w:rFonts w:ascii="Times New Roman" w:hAnsi="Times New Roman" w:cs="Times New Roman"/>
          <w:noProof/>
          <w:sz w:val="24"/>
          <w:szCs w:val="24"/>
        </w:rPr>
        <w:t>. https://www12.statcan.gc.ca/census-recensement/2016/ref/dict/pop109-eng.cfm</w:t>
      </w:r>
      <w:r>
        <w:rPr>
          <w:rFonts w:ascii="Times New Roman" w:hAnsi="Times New Roman" w:cs="Times New Roman"/>
          <w:noProof/>
          <w:sz w:val="24"/>
          <w:szCs w:val="24"/>
        </w:rPr>
        <w:t xml:space="preserve"> </w:t>
      </w:r>
      <w:r w:rsidRPr="00856A34">
        <w:rPr>
          <w:rFonts w:ascii="Times New Roman" w:hAnsi="Times New Roman" w:cs="Times New Roman"/>
          <w:noProof/>
          <w:sz w:val="24"/>
          <w:szCs w:val="24"/>
        </w:rPr>
        <w:t>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7. </w:t>
      </w:r>
      <w:r w:rsidRPr="00856A34">
        <w:rPr>
          <w:rFonts w:ascii="Times New Roman" w:hAnsi="Times New Roman" w:cs="Times New Roman"/>
          <w:noProof/>
          <w:sz w:val="24"/>
          <w:szCs w:val="24"/>
        </w:rPr>
        <w:tab/>
        <w:t>Statistics Canada. Visible minority. Dictionary, Census of Population, 2016. https://www12.statcan.gc.ca/census-recensement/2016/ref/dict/pop127-eng.cfm</w:t>
      </w:r>
      <w:r>
        <w:rPr>
          <w:rFonts w:ascii="Times New Roman" w:hAnsi="Times New Roman" w:cs="Times New Roman"/>
          <w:noProof/>
          <w:sz w:val="24"/>
          <w:szCs w:val="24"/>
        </w:rPr>
        <w:t xml:space="preserve"> Accessed January 28, 2022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8. </w:t>
      </w:r>
      <w:r w:rsidRPr="00856A34">
        <w:rPr>
          <w:rFonts w:ascii="Times New Roman" w:hAnsi="Times New Roman" w:cs="Times New Roman"/>
          <w:noProof/>
          <w:sz w:val="24"/>
          <w:szCs w:val="24"/>
        </w:rPr>
        <w:tab/>
        <w:t xml:space="preserve">Lapointe-Shaw L, Georgie F, Carlone D, et al. Identifying cirrhosis, decompensated cirrhosis and hepatocellular carcinoma in health administrative data: A validation study. </w:t>
      </w:r>
      <w:r w:rsidRPr="00856A34">
        <w:rPr>
          <w:rFonts w:ascii="Times New Roman" w:hAnsi="Times New Roman" w:cs="Times New Roman"/>
          <w:i/>
          <w:iCs/>
          <w:noProof/>
          <w:sz w:val="24"/>
          <w:szCs w:val="24"/>
        </w:rPr>
        <w:t>PLoS One</w:t>
      </w:r>
      <w:r w:rsidRPr="00856A34">
        <w:rPr>
          <w:rFonts w:ascii="Times New Roman" w:hAnsi="Times New Roman" w:cs="Times New Roman"/>
          <w:noProof/>
          <w:sz w:val="24"/>
          <w:szCs w:val="24"/>
        </w:rPr>
        <w:t>. 2018;13(8). doi:10.1371/JOURNAL.PONE.0201120</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9. </w:t>
      </w:r>
      <w:r w:rsidRPr="00856A34">
        <w:rPr>
          <w:rFonts w:ascii="Times New Roman" w:hAnsi="Times New Roman" w:cs="Times New Roman"/>
          <w:noProof/>
          <w:sz w:val="24"/>
          <w:szCs w:val="24"/>
        </w:rPr>
        <w:tab/>
        <w:t xml:space="preserve">Gershon AS, Guan J, Wang C, To T. Trends in asthma prevalence and incidence in Ontario, Canada, 1996-2005: a population study. </w:t>
      </w:r>
      <w:r w:rsidRPr="00856A34">
        <w:rPr>
          <w:rFonts w:ascii="Times New Roman" w:hAnsi="Times New Roman" w:cs="Times New Roman"/>
          <w:i/>
          <w:iCs/>
          <w:noProof/>
          <w:sz w:val="24"/>
          <w:szCs w:val="24"/>
        </w:rPr>
        <w:t>Am J Epidemiol</w:t>
      </w:r>
      <w:r w:rsidRPr="00856A34">
        <w:rPr>
          <w:rFonts w:ascii="Times New Roman" w:hAnsi="Times New Roman" w:cs="Times New Roman"/>
          <w:noProof/>
          <w:sz w:val="24"/>
          <w:szCs w:val="24"/>
        </w:rPr>
        <w:t>. 2010;172(6):728-736. doi:10.1093/AJE/KWQ189</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10. </w:t>
      </w:r>
      <w:r w:rsidRPr="00856A34">
        <w:rPr>
          <w:rFonts w:ascii="Times New Roman" w:hAnsi="Times New Roman" w:cs="Times New Roman"/>
          <w:noProof/>
          <w:sz w:val="24"/>
          <w:szCs w:val="24"/>
        </w:rPr>
        <w:tab/>
        <w:t xml:space="preserve">To T, Dell S, Dick PT, et al. Case verification of children with asthma in Ontario. </w:t>
      </w:r>
      <w:r w:rsidRPr="00856A34">
        <w:rPr>
          <w:rFonts w:ascii="Times New Roman" w:hAnsi="Times New Roman" w:cs="Times New Roman"/>
          <w:i/>
          <w:iCs/>
          <w:noProof/>
          <w:sz w:val="24"/>
          <w:szCs w:val="24"/>
        </w:rPr>
        <w:t>Pediatr Allergy Immunol</w:t>
      </w:r>
      <w:r w:rsidRPr="00856A34">
        <w:rPr>
          <w:rFonts w:ascii="Times New Roman" w:hAnsi="Times New Roman" w:cs="Times New Roman"/>
          <w:noProof/>
          <w:sz w:val="24"/>
          <w:szCs w:val="24"/>
        </w:rPr>
        <w:t>. 2006;17(1):69-76. doi:10.1111/J.1399-3038.2005.00346.X</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11. </w:t>
      </w:r>
      <w:r w:rsidRPr="00856A34">
        <w:rPr>
          <w:rFonts w:ascii="Times New Roman" w:hAnsi="Times New Roman" w:cs="Times New Roman"/>
          <w:noProof/>
          <w:sz w:val="24"/>
          <w:szCs w:val="24"/>
        </w:rPr>
        <w:tab/>
        <w:t xml:space="preserve">Gershon AS, Wang C, Guan J, Vasilevska-Ristovska J, Cicutto L, To T. Identifying patients with physician-diagnosed asthma in health administrative databases. </w:t>
      </w:r>
      <w:r w:rsidRPr="00856A34">
        <w:rPr>
          <w:rFonts w:ascii="Times New Roman" w:hAnsi="Times New Roman" w:cs="Times New Roman"/>
          <w:i/>
          <w:iCs/>
          <w:noProof/>
          <w:sz w:val="24"/>
          <w:szCs w:val="24"/>
        </w:rPr>
        <w:t>Can Respir J</w:t>
      </w:r>
      <w:r w:rsidRPr="00856A34">
        <w:rPr>
          <w:rFonts w:ascii="Times New Roman" w:hAnsi="Times New Roman" w:cs="Times New Roman"/>
          <w:noProof/>
          <w:sz w:val="24"/>
          <w:szCs w:val="24"/>
        </w:rPr>
        <w:t>. 2009;16(6):183-188. doi:10.1155/2009/963098</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12. </w:t>
      </w:r>
      <w:r w:rsidRPr="00856A34">
        <w:rPr>
          <w:rFonts w:ascii="Times New Roman" w:hAnsi="Times New Roman" w:cs="Times New Roman"/>
          <w:noProof/>
          <w:sz w:val="24"/>
          <w:szCs w:val="24"/>
        </w:rPr>
        <w:tab/>
        <w:t xml:space="preserve">Fleet JL, Dixon SN, Shariff SZ, et al. Detecting chronic kidney disease in population-based administrative databases using an algorithm of hospital encounter and physician claim codes. </w:t>
      </w:r>
      <w:r w:rsidRPr="00856A34">
        <w:rPr>
          <w:rFonts w:ascii="Times New Roman" w:hAnsi="Times New Roman" w:cs="Times New Roman"/>
          <w:i/>
          <w:iCs/>
          <w:noProof/>
          <w:sz w:val="24"/>
          <w:szCs w:val="24"/>
        </w:rPr>
        <w:t>BMC Nephrol</w:t>
      </w:r>
      <w:r w:rsidRPr="00856A34">
        <w:rPr>
          <w:rFonts w:ascii="Times New Roman" w:hAnsi="Times New Roman" w:cs="Times New Roman"/>
          <w:noProof/>
          <w:sz w:val="24"/>
          <w:szCs w:val="24"/>
        </w:rPr>
        <w:t>. 2013;14(1). doi:10.1186/1471-2369-14-81</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13. </w:t>
      </w:r>
      <w:r w:rsidRPr="00856A34">
        <w:rPr>
          <w:rFonts w:ascii="Times New Roman" w:hAnsi="Times New Roman" w:cs="Times New Roman"/>
          <w:noProof/>
          <w:sz w:val="24"/>
          <w:szCs w:val="24"/>
        </w:rPr>
        <w:tab/>
        <w:t xml:space="preserve">Clement FM, James MT, Chin R, et al. Validation of a case definition to define chronic dialysis using outpatient administrative data. </w:t>
      </w:r>
      <w:r w:rsidRPr="00856A34">
        <w:rPr>
          <w:rFonts w:ascii="Times New Roman" w:hAnsi="Times New Roman" w:cs="Times New Roman"/>
          <w:i/>
          <w:iCs/>
          <w:noProof/>
          <w:sz w:val="24"/>
          <w:szCs w:val="24"/>
        </w:rPr>
        <w:t>BMC Med Res Methodol</w:t>
      </w:r>
      <w:r w:rsidRPr="00856A34">
        <w:rPr>
          <w:rFonts w:ascii="Times New Roman" w:hAnsi="Times New Roman" w:cs="Times New Roman"/>
          <w:noProof/>
          <w:sz w:val="24"/>
          <w:szCs w:val="24"/>
        </w:rPr>
        <w:t>. 2011;11. doi:10.1186/1471-2288-11-25</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14. </w:t>
      </w:r>
      <w:r w:rsidRPr="00856A34">
        <w:rPr>
          <w:rFonts w:ascii="Times New Roman" w:hAnsi="Times New Roman" w:cs="Times New Roman"/>
          <w:noProof/>
          <w:sz w:val="24"/>
          <w:szCs w:val="24"/>
        </w:rPr>
        <w:tab/>
        <w:t xml:space="preserve">Gershon AS, Wang C, Guan J, Vasilevska-Ristovska J, Cicutto L, To T. Identifying individuals with physcian diagnosed COPD in health administrative databases. </w:t>
      </w:r>
      <w:r w:rsidRPr="00856A34">
        <w:rPr>
          <w:rFonts w:ascii="Times New Roman" w:hAnsi="Times New Roman" w:cs="Times New Roman"/>
          <w:i/>
          <w:iCs/>
          <w:noProof/>
          <w:sz w:val="24"/>
          <w:szCs w:val="24"/>
        </w:rPr>
        <w:t>COPD</w:t>
      </w:r>
      <w:r w:rsidRPr="00856A34">
        <w:rPr>
          <w:rFonts w:ascii="Times New Roman" w:hAnsi="Times New Roman" w:cs="Times New Roman"/>
          <w:noProof/>
          <w:sz w:val="24"/>
          <w:szCs w:val="24"/>
        </w:rPr>
        <w:t>. 2009;6(5):388-394. doi:10.1080/15412550903140865</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15. </w:t>
      </w:r>
      <w:r w:rsidRPr="00856A34">
        <w:rPr>
          <w:rFonts w:ascii="Times New Roman" w:hAnsi="Times New Roman" w:cs="Times New Roman"/>
          <w:noProof/>
          <w:sz w:val="24"/>
          <w:szCs w:val="24"/>
        </w:rPr>
        <w:tab/>
        <w:t xml:space="preserve">Schultz SE, Rothwell DM, Chen Z, Tu K. Identifying cases of congestive heart failure from administrative data: A validation study using primary care patient records. </w:t>
      </w:r>
      <w:r w:rsidRPr="00856A34">
        <w:rPr>
          <w:rFonts w:ascii="Times New Roman" w:hAnsi="Times New Roman" w:cs="Times New Roman"/>
          <w:i/>
          <w:iCs/>
          <w:noProof/>
          <w:sz w:val="24"/>
          <w:szCs w:val="24"/>
        </w:rPr>
        <w:t>Chronic Dis Inj Can</w:t>
      </w:r>
      <w:r w:rsidRPr="00856A34">
        <w:rPr>
          <w:rFonts w:ascii="Times New Roman" w:hAnsi="Times New Roman" w:cs="Times New Roman"/>
          <w:noProof/>
          <w:sz w:val="24"/>
          <w:szCs w:val="24"/>
        </w:rPr>
        <w:t>. 2013;33(3):160-166. doi:10.24095/HPCDP.33.3.06</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16. </w:t>
      </w:r>
      <w:r w:rsidRPr="00856A34">
        <w:rPr>
          <w:rFonts w:ascii="Times New Roman" w:hAnsi="Times New Roman" w:cs="Times New Roman"/>
          <w:noProof/>
          <w:sz w:val="24"/>
          <w:szCs w:val="24"/>
        </w:rPr>
        <w:tab/>
        <w:t xml:space="preserve">Gilbert T, Neuburger J, Kraindler J, et al. Development and validation of a Hospital Frailty Risk Score focusing on older people in acute care settings using electronic hospital records: an observational study. </w:t>
      </w:r>
      <w:r w:rsidRPr="00856A34">
        <w:rPr>
          <w:rFonts w:ascii="Times New Roman" w:hAnsi="Times New Roman" w:cs="Times New Roman"/>
          <w:i/>
          <w:iCs/>
          <w:noProof/>
          <w:sz w:val="24"/>
          <w:szCs w:val="24"/>
        </w:rPr>
        <w:t>Lancet</w:t>
      </w:r>
      <w:r w:rsidRPr="00856A34">
        <w:rPr>
          <w:rFonts w:ascii="Times New Roman" w:hAnsi="Times New Roman" w:cs="Times New Roman"/>
          <w:noProof/>
          <w:sz w:val="24"/>
          <w:szCs w:val="24"/>
        </w:rPr>
        <w:t xml:space="preserve">. 2018;391(10132):1775-1782. </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17. </w:t>
      </w:r>
      <w:r w:rsidRPr="00856A34">
        <w:rPr>
          <w:rFonts w:ascii="Times New Roman" w:hAnsi="Times New Roman" w:cs="Times New Roman"/>
          <w:noProof/>
          <w:sz w:val="24"/>
          <w:szCs w:val="24"/>
        </w:rPr>
        <w:tab/>
        <w:t xml:space="preserve">Liisa Jaakkimainen R, Bronskill SE, Tierney MC, et al. Identification of Physician-Diagnosed Alzheimer’s Disease and Related Dementias in Population-Based Administrative Data: A Validation Study Using Family Physicians’ Electronic Medical Records. </w:t>
      </w:r>
      <w:r w:rsidRPr="00856A34">
        <w:rPr>
          <w:rFonts w:ascii="Times New Roman" w:hAnsi="Times New Roman" w:cs="Times New Roman"/>
          <w:i/>
          <w:iCs/>
          <w:noProof/>
          <w:sz w:val="24"/>
          <w:szCs w:val="24"/>
        </w:rPr>
        <w:t>J Alzheimer’s Dis</w:t>
      </w:r>
      <w:r w:rsidRPr="00856A34">
        <w:rPr>
          <w:rFonts w:ascii="Times New Roman" w:hAnsi="Times New Roman" w:cs="Times New Roman"/>
          <w:noProof/>
          <w:sz w:val="24"/>
          <w:szCs w:val="24"/>
        </w:rPr>
        <w:t>. 2016;54(1):337-349. doi:10.3233/JAD-160105</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18. </w:t>
      </w:r>
      <w:r w:rsidRPr="00856A34">
        <w:rPr>
          <w:rFonts w:ascii="Times New Roman" w:hAnsi="Times New Roman" w:cs="Times New Roman"/>
          <w:noProof/>
          <w:sz w:val="24"/>
          <w:szCs w:val="24"/>
        </w:rPr>
        <w:tab/>
        <w:t xml:space="preserve">Lix LM, Ayles J, Bartholomew S, et al. The Canadian Chronic Disease Surveillance System: A model for collaborative surveillance. </w:t>
      </w:r>
      <w:r w:rsidRPr="00856A34">
        <w:rPr>
          <w:rFonts w:ascii="Times New Roman" w:hAnsi="Times New Roman" w:cs="Times New Roman"/>
          <w:i/>
          <w:iCs/>
          <w:noProof/>
          <w:sz w:val="24"/>
          <w:szCs w:val="24"/>
        </w:rPr>
        <w:t>Int J Popul Data Sci</w:t>
      </w:r>
      <w:r w:rsidRPr="00856A34">
        <w:rPr>
          <w:rFonts w:ascii="Times New Roman" w:hAnsi="Times New Roman" w:cs="Times New Roman"/>
          <w:noProof/>
          <w:sz w:val="24"/>
          <w:szCs w:val="24"/>
        </w:rPr>
        <w:t>. 2018;3(3). doi:10.23889/IJPDS.V3I3.433</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19. </w:t>
      </w:r>
      <w:r w:rsidRPr="00856A34">
        <w:rPr>
          <w:rFonts w:ascii="Times New Roman" w:hAnsi="Times New Roman" w:cs="Times New Roman"/>
          <w:noProof/>
          <w:sz w:val="24"/>
          <w:szCs w:val="24"/>
        </w:rPr>
        <w:tab/>
        <w:t xml:space="preserve">Guttmann A, Nakhla M, Henderson M, et al. Validation of a health administrative data algorithm for assessing the epidemiology of diabetes in Canadian children. </w:t>
      </w:r>
      <w:r w:rsidRPr="00856A34">
        <w:rPr>
          <w:rFonts w:ascii="Times New Roman" w:hAnsi="Times New Roman" w:cs="Times New Roman"/>
          <w:i/>
          <w:iCs/>
          <w:noProof/>
          <w:sz w:val="24"/>
          <w:szCs w:val="24"/>
        </w:rPr>
        <w:t>Pediatr Diabetes</w:t>
      </w:r>
      <w:r w:rsidRPr="00856A34">
        <w:rPr>
          <w:rFonts w:ascii="Times New Roman" w:hAnsi="Times New Roman" w:cs="Times New Roman"/>
          <w:noProof/>
          <w:sz w:val="24"/>
          <w:szCs w:val="24"/>
        </w:rPr>
        <w:t>. 2010;11(2):122-128. doi:10.1111/J.1399-5448.2009.00539.X</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20. </w:t>
      </w:r>
      <w:r w:rsidRPr="00856A34">
        <w:rPr>
          <w:rFonts w:ascii="Times New Roman" w:hAnsi="Times New Roman" w:cs="Times New Roman"/>
          <w:noProof/>
          <w:sz w:val="24"/>
          <w:szCs w:val="24"/>
        </w:rPr>
        <w:tab/>
        <w:t xml:space="preserve">Lipscombe LL, Hwee J, Webster L, Shah BR, Booth GL, Tu K. Identifying diabetes cases from administrative data: A population-based validation study. </w:t>
      </w:r>
      <w:r w:rsidRPr="00856A34">
        <w:rPr>
          <w:rFonts w:ascii="Times New Roman" w:hAnsi="Times New Roman" w:cs="Times New Roman"/>
          <w:i/>
          <w:iCs/>
          <w:noProof/>
          <w:sz w:val="24"/>
          <w:szCs w:val="24"/>
        </w:rPr>
        <w:t>BMC Health Serv Res</w:t>
      </w:r>
      <w:r w:rsidRPr="00856A34">
        <w:rPr>
          <w:rFonts w:ascii="Times New Roman" w:hAnsi="Times New Roman" w:cs="Times New Roman"/>
          <w:noProof/>
          <w:sz w:val="24"/>
          <w:szCs w:val="24"/>
        </w:rPr>
        <w:t>. 2018;18(1):1-8.</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21. </w:t>
      </w:r>
      <w:r w:rsidRPr="00856A34">
        <w:rPr>
          <w:rFonts w:ascii="Times New Roman" w:hAnsi="Times New Roman" w:cs="Times New Roman"/>
          <w:noProof/>
          <w:sz w:val="24"/>
          <w:szCs w:val="24"/>
        </w:rPr>
        <w:tab/>
        <w:t xml:space="preserve">Hux JE, Ivis F, Flintoft V, Bica A. Diabetes in Ontario: determination of prevalence and incidence using a validated administrative data algorithm. </w:t>
      </w:r>
      <w:r w:rsidRPr="00856A34">
        <w:rPr>
          <w:rFonts w:ascii="Times New Roman" w:hAnsi="Times New Roman" w:cs="Times New Roman"/>
          <w:i/>
          <w:iCs/>
          <w:noProof/>
          <w:sz w:val="24"/>
          <w:szCs w:val="24"/>
        </w:rPr>
        <w:t>Diabetes Care</w:t>
      </w:r>
      <w:r w:rsidRPr="00856A34">
        <w:rPr>
          <w:rFonts w:ascii="Times New Roman" w:hAnsi="Times New Roman" w:cs="Times New Roman"/>
          <w:noProof/>
          <w:sz w:val="24"/>
          <w:szCs w:val="24"/>
        </w:rPr>
        <w:t>. 2002;25(3):512-516. doi:10.2337/DIACARE.25.3.512</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szCs w:val="24"/>
        </w:rPr>
      </w:pPr>
      <w:r w:rsidRPr="00856A34">
        <w:rPr>
          <w:rFonts w:ascii="Times New Roman" w:hAnsi="Times New Roman" w:cs="Times New Roman"/>
          <w:noProof/>
          <w:sz w:val="24"/>
          <w:szCs w:val="24"/>
        </w:rPr>
        <w:t xml:space="preserve">22. </w:t>
      </w:r>
      <w:r w:rsidRPr="00856A34">
        <w:rPr>
          <w:rFonts w:ascii="Times New Roman" w:hAnsi="Times New Roman" w:cs="Times New Roman"/>
          <w:noProof/>
          <w:sz w:val="24"/>
          <w:szCs w:val="24"/>
        </w:rPr>
        <w:tab/>
        <w:t xml:space="preserve">Tu K, Chen Z, Lipscombe LL. Prevalence and incidence of hypertension from 1995 to 2005: a population-based study. </w:t>
      </w:r>
      <w:r w:rsidRPr="00856A34">
        <w:rPr>
          <w:rFonts w:ascii="Times New Roman" w:hAnsi="Times New Roman" w:cs="Times New Roman"/>
          <w:i/>
          <w:iCs/>
          <w:noProof/>
          <w:sz w:val="24"/>
          <w:szCs w:val="24"/>
        </w:rPr>
        <w:t>CMAJ</w:t>
      </w:r>
      <w:r w:rsidRPr="00856A34">
        <w:rPr>
          <w:rFonts w:ascii="Times New Roman" w:hAnsi="Times New Roman" w:cs="Times New Roman"/>
          <w:noProof/>
          <w:sz w:val="24"/>
          <w:szCs w:val="24"/>
        </w:rPr>
        <w:t>. 2008;178(11):1429-1435. doi:10.1503/CMAJ.071283</w:t>
      </w:r>
    </w:p>
    <w:p w:rsidR="00856A34" w:rsidRPr="00856A34" w:rsidRDefault="00856A34" w:rsidP="00856A34">
      <w:pPr>
        <w:widowControl w:val="0"/>
        <w:autoSpaceDE w:val="0"/>
        <w:autoSpaceDN w:val="0"/>
        <w:adjustRightInd w:val="0"/>
        <w:spacing w:line="360" w:lineRule="auto"/>
        <w:ind w:left="640" w:hanging="640"/>
        <w:rPr>
          <w:rFonts w:ascii="Times New Roman" w:hAnsi="Times New Roman" w:cs="Times New Roman"/>
          <w:noProof/>
          <w:sz w:val="24"/>
        </w:rPr>
      </w:pPr>
      <w:r w:rsidRPr="00856A34">
        <w:rPr>
          <w:rFonts w:ascii="Times New Roman" w:hAnsi="Times New Roman" w:cs="Times New Roman"/>
          <w:noProof/>
          <w:sz w:val="24"/>
          <w:szCs w:val="24"/>
        </w:rPr>
        <w:t xml:space="preserve">23. </w:t>
      </w:r>
      <w:r w:rsidRPr="00856A34">
        <w:rPr>
          <w:rFonts w:ascii="Times New Roman" w:hAnsi="Times New Roman" w:cs="Times New Roman"/>
          <w:noProof/>
          <w:sz w:val="24"/>
          <w:szCs w:val="24"/>
        </w:rPr>
        <w:tab/>
        <w:t xml:space="preserve">Antoniou T, Zagorski B, Loutfy MR, Strike C, Glazier RH. Validation of Case-Finding Algorithms Derived from Administrative Data for Identifying Adults Living with Human Immunodeficiency Virus Infection. </w:t>
      </w:r>
      <w:r w:rsidRPr="00856A34">
        <w:rPr>
          <w:rFonts w:ascii="Times New Roman" w:hAnsi="Times New Roman" w:cs="Times New Roman"/>
          <w:i/>
          <w:iCs/>
          <w:noProof/>
          <w:sz w:val="24"/>
          <w:szCs w:val="24"/>
        </w:rPr>
        <w:t>PLoS One</w:t>
      </w:r>
      <w:r w:rsidRPr="00856A34">
        <w:rPr>
          <w:rFonts w:ascii="Times New Roman" w:hAnsi="Times New Roman" w:cs="Times New Roman"/>
          <w:noProof/>
          <w:sz w:val="24"/>
          <w:szCs w:val="24"/>
        </w:rPr>
        <w:t>. 2011;6(6):e21748. doi:10.1371/JOURNAL.PONE.0021748</w:t>
      </w:r>
    </w:p>
    <w:p w:rsidR="00892C62" w:rsidRPr="00892C62" w:rsidRDefault="00892C62" w:rsidP="00892C62">
      <w:pPr>
        <w:spacing w:line="360" w:lineRule="auto"/>
        <w:rPr>
          <w:rFonts w:ascii="Times New Roman" w:hAnsi="Times New Roman" w:cs="Times New Roman"/>
          <w:bCs/>
          <w:i/>
          <w:sz w:val="24"/>
          <w:szCs w:val="24"/>
        </w:rPr>
      </w:pPr>
      <w:r>
        <w:rPr>
          <w:rFonts w:ascii="Times New Roman" w:hAnsi="Times New Roman" w:cs="Times New Roman"/>
          <w:bCs/>
          <w:i/>
          <w:sz w:val="24"/>
          <w:szCs w:val="24"/>
        </w:rPr>
        <w:fldChar w:fldCharType="end"/>
      </w:r>
    </w:p>
    <w:sectPr w:rsidR="00892C62" w:rsidRPr="00892C62" w:rsidSect="00D87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7A3"/>
    <w:multiLevelType w:val="hybridMultilevel"/>
    <w:tmpl w:val="05B8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6C74"/>
    <w:multiLevelType w:val="hybridMultilevel"/>
    <w:tmpl w:val="F14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C0D"/>
    <w:multiLevelType w:val="hybridMultilevel"/>
    <w:tmpl w:val="F586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D3B31"/>
    <w:multiLevelType w:val="hybridMultilevel"/>
    <w:tmpl w:val="023E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7066"/>
    <w:multiLevelType w:val="hybridMultilevel"/>
    <w:tmpl w:val="A5E0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F5C4B"/>
    <w:multiLevelType w:val="hybridMultilevel"/>
    <w:tmpl w:val="094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B2768"/>
    <w:multiLevelType w:val="hybridMultilevel"/>
    <w:tmpl w:val="18B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91161"/>
    <w:multiLevelType w:val="hybridMultilevel"/>
    <w:tmpl w:val="D8D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30A9"/>
    <w:multiLevelType w:val="hybridMultilevel"/>
    <w:tmpl w:val="E3B4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5667B"/>
    <w:multiLevelType w:val="hybridMultilevel"/>
    <w:tmpl w:val="CB94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668D2"/>
    <w:multiLevelType w:val="hybridMultilevel"/>
    <w:tmpl w:val="FDCC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01252"/>
    <w:multiLevelType w:val="hybridMultilevel"/>
    <w:tmpl w:val="0952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B0141"/>
    <w:multiLevelType w:val="hybridMultilevel"/>
    <w:tmpl w:val="822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C6F81"/>
    <w:multiLevelType w:val="hybridMultilevel"/>
    <w:tmpl w:val="0B5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E012C"/>
    <w:multiLevelType w:val="hybridMultilevel"/>
    <w:tmpl w:val="3248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67FD4"/>
    <w:multiLevelType w:val="hybridMultilevel"/>
    <w:tmpl w:val="71C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2"/>
  </w:num>
  <w:num w:numId="5">
    <w:abstractNumId w:val="4"/>
  </w:num>
  <w:num w:numId="6">
    <w:abstractNumId w:val="1"/>
  </w:num>
  <w:num w:numId="7">
    <w:abstractNumId w:val="0"/>
  </w:num>
  <w:num w:numId="8">
    <w:abstractNumId w:val="14"/>
  </w:num>
  <w:num w:numId="9">
    <w:abstractNumId w:val="11"/>
  </w:num>
  <w:num w:numId="10">
    <w:abstractNumId w:val="10"/>
  </w:num>
  <w:num w:numId="11">
    <w:abstractNumId w:val="7"/>
  </w:num>
  <w:num w:numId="12">
    <w:abstractNumId w:val="8"/>
  </w:num>
  <w:num w:numId="13">
    <w:abstractNumId w:val="5"/>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62"/>
    <w:rsid w:val="00323C74"/>
    <w:rsid w:val="00455C60"/>
    <w:rsid w:val="00681AAF"/>
    <w:rsid w:val="006F32C6"/>
    <w:rsid w:val="007C15BE"/>
    <w:rsid w:val="00856A34"/>
    <w:rsid w:val="00892C62"/>
    <w:rsid w:val="008B2E62"/>
    <w:rsid w:val="00A36D25"/>
    <w:rsid w:val="00AC4AB9"/>
    <w:rsid w:val="00D412E4"/>
    <w:rsid w:val="00D87961"/>
    <w:rsid w:val="00DC15E1"/>
    <w:rsid w:val="00DE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0C58"/>
  <w15:chartTrackingRefBased/>
  <w15:docId w15:val="{0EDBEBF0-2469-454B-8CE8-3FDEA93F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62"/>
    <w:pPr>
      <w:ind w:left="720"/>
      <w:contextualSpacing/>
    </w:pPr>
  </w:style>
  <w:style w:type="table" w:styleId="TableGrid">
    <w:name w:val="Table Grid"/>
    <w:basedOn w:val="TableNormal"/>
    <w:uiPriority w:val="39"/>
    <w:rsid w:val="00D8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8796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9198-A5D8-46E9-BA21-E2E36A5B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15425</Words>
  <Characters>87929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103148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Hamilton</dc:creator>
  <cp:keywords/>
  <dc:description/>
  <cp:lastModifiedBy>Mackenzie Hamilton</cp:lastModifiedBy>
  <cp:revision>11</cp:revision>
  <dcterms:created xsi:type="dcterms:W3CDTF">2022-03-23T19:47:00Z</dcterms:created>
  <dcterms:modified xsi:type="dcterms:W3CDTF">2022-04-06T17:33:00Z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90acefd6-0ecf-3afd-82d6-2405c713aa2f</vt:lpwstr>
  </property>
  <property fmtid="{D5CDD505-2E9C-101B-9397-08002B2CF9AE}" pid="24" name="Mendeley Citation Style_1">
    <vt:lpwstr>http://www.zotero.org/styles/american-medical-association</vt:lpwstr>
  </property>
</Properties>
</file>