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BE94" w14:textId="31BDB84D" w:rsidR="00BB538E" w:rsidRPr="00941787" w:rsidRDefault="00093BF0">
      <w:pPr>
        <w:rPr>
          <w:rFonts w:ascii="Times New Roman" w:hAnsi="Times New Roman" w:cs="Times New Roman"/>
          <w:b/>
          <w:bCs/>
          <w:szCs w:val="24"/>
        </w:rPr>
      </w:pPr>
      <w:bookmarkStart w:id="0" w:name="_Hlk94883503"/>
      <w:r w:rsidRPr="00941787">
        <w:rPr>
          <w:rFonts w:ascii="Times New Roman" w:hAnsi="Times New Roman" w:cs="Times New Roman"/>
          <w:b/>
          <w:bCs/>
          <w:szCs w:val="24"/>
        </w:rPr>
        <w:t xml:space="preserve">Supplementary </w:t>
      </w:r>
      <w:r w:rsidR="00396228" w:rsidRPr="00941787">
        <w:rPr>
          <w:rFonts w:ascii="Times New Roman" w:hAnsi="Times New Roman" w:cs="Times New Roman"/>
          <w:b/>
          <w:bCs/>
          <w:szCs w:val="24"/>
        </w:rPr>
        <w:t>Material</w:t>
      </w:r>
    </w:p>
    <w:p w14:paraId="5962B2E4" w14:textId="77777777" w:rsidR="00941787" w:rsidRPr="00941787" w:rsidRDefault="00941787" w:rsidP="00941787">
      <w:pPr>
        <w:pStyle w:val="Style2"/>
        <w:rPr>
          <w:rFonts w:ascii="Times New Roman" w:hAnsi="Times New Roman" w:cs="Times New Roman"/>
          <w:sz w:val="24"/>
          <w:szCs w:val="24"/>
        </w:rPr>
      </w:pPr>
      <w:bookmarkStart w:id="1" w:name="_Toc225483274"/>
      <w:bookmarkStart w:id="2" w:name="_Toc225483415"/>
      <w:bookmarkStart w:id="3" w:name="_Toc80819632"/>
      <w:r w:rsidRPr="00941787">
        <w:rPr>
          <w:rFonts w:ascii="Times New Roman" w:hAnsi="Times New Roman" w:cs="Times New Roman"/>
          <w:sz w:val="24"/>
          <w:szCs w:val="24"/>
        </w:rPr>
        <w:t>Subject Eligibility</w:t>
      </w:r>
      <w:bookmarkEnd w:id="1"/>
      <w:bookmarkEnd w:id="2"/>
      <w:bookmarkEnd w:id="3"/>
    </w:p>
    <w:p w14:paraId="3A75BDF4" w14:textId="77777777" w:rsidR="00941787" w:rsidRPr="00941787" w:rsidRDefault="00941787" w:rsidP="00941787">
      <w:pPr>
        <w:jc w:val="both"/>
        <w:rPr>
          <w:rFonts w:ascii="Times New Roman" w:hAnsi="Times New Roman" w:cs="Times New Roman"/>
          <w:szCs w:val="24"/>
        </w:rPr>
      </w:pPr>
      <w:r w:rsidRPr="00941787">
        <w:rPr>
          <w:rFonts w:ascii="Times New Roman" w:hAnsi="Times New Roman" w:cs="Times New Roman"/>
          <w:szCs w:val="24"/>
        </w:rPr>
        <w:t>Only those subjects who fulfil ALL the inclusion and exclusion criteria will be enrolled into the study.</w:t>
      </w:r>
    </w:p>
    <w:p w14:paraId="52050D69" w14:textId="77777777" w:rsidR="00941787" w:rsidRPr="00941787" w:rsidRDefault="00941787" w:rsidP="00941787">
      <w:pPr>
        <w:pStyle w:val="Heading3"/>
        <w:keepLines w:val="0"/>
        <w:spacing w:before="240" w:after="60" w:line="240" w:lineRule="auto"/>
        <w:rPr>
          <w:rFonts w:ascii="Times New Roman" w:hAnsi="Times New Roman" w:cs="Times New Roman"/>
          <w:b/>
          <w:color w:val="auto"/>
        </w:rPr>
      </w:pPr>
      <w:bookmarkStart w:id="4" w:name="_Toc225483275"/>
      <w:bookmarkStart w:id="5" w:name="_Toc225483416"/>
      <w:bookmarkStart w:id="6" w:name="_Toc80819633"/>
      <w:r w:rsidRPr="00941787">
        <w:rPr>
          <w:rFonts w:ascii="Times New Roman" w:hAnsi="Times New Roman" w:cs="Times New Roman"/>
          <w:b/>
          <w:color w:val="auto"/>
        </w:rPr>
        <w:t>Inclusion Criteria</w:t>
      </w:r>
      <w:bookmarkEnd w:id="4"/>
      <w:bookmarkEnd w:id="5"/>
      <w:bookmarkEnd w:id="6"/>
    </w:p>
    <w:p w14:paraId="26E051D5" w14:textId="77777777" w:rsidR="00941787" w:rsidRPr="00941787" w:rsidRDefault="00941787" w:rsidP="00941787">
      <w:pPr>
        <w:spacing w:after="120"/>
        <w:jc w:val="both"/>
        <w:rPr>
          <w:rFonts w:ascii="Times New Roman" w:hAnsi="Times New Roman" w:cs="Times New Roman"/>
          <w:szCs w:val="24"/>
        </w:rPr>
      </w:pPr>
      <w:bookmarkStart w:id="7" w:name="_Toc225483276"/>
      <w:bookmarkStart w:id="8" w:name="_Toc225483417"/>
      <w:r w:rsidRPr="00941787">
        <w:rPr>
          <w:rFonts w:ascii="Times New Roman" w:hAnsi="Times New Roman" w:cs="Times New Roman"/>
          <w:szCs w:val="24"/>
        </w:rPr>
        <w:t>Deviations from inclusion and exclusion criteria are not allowed because they can potentially jeopardize the scientific integrity of the study, regulatory acceptability or subject safety. Therefore, adherence to the criteria as specified in the protocol is essential.</w:t>
      </w:r>
    </w:p>
    <w:p w14:paraId="06B0264F" w14:textId="77777777" w:rsidR="00941787" w:rsidRPr="00941787" w:rsidRDefault="00941787" w:rsidP="00941787">
      <w:pPr>
        <w:spacing w:before="120" w:after="120"/>
        <w:rPr>
          <w:rFonts w:ascii="Times New Roman" w:hAnsi="Times New Roman" w:cs="Times New Roman"/>
          <w:szCs w:val="24"/>
        </w:rPr>
      </w:pPr>
      <w:r w:rsidRPr="00941787">
        <w:rPr>
          <w:rFonts w:ascii="Times New Roman" w:hAnsi="Times New Roman" w:cs="Times New Roman"/>
          <w:szCs w:val="24"/>
        </w:rPr>
        <w:t>Each subject must satisfy ALL of the following criteria at study entry:</w:t>
      </w:r>
    </w:p>
    <w:p w14:paraId="2EBA5494" w14:textId="77777777" w:rsidR="00941787" w:rsidRPr="00941787" w:rsidRDefault="00941787" w:rsidP="00941787">
      <w:pPr>
        <w:pStyle w:val="listbull"/>
        <w:numPr>
          <w:ilvl w:val="0"/>
          <w:numId w:val="3"/>
        </w:numPr>
        <w:spacing w:after="240"/>
        <w:jc w:val="both"/>
        <w:rPr>
          <w:rFonts w:cs="Times New Roman"/>
        </w:rPr>
      </w:pPr>
      <w:r w:rsidRPr="00941787">
        <w:rPr>
          <w:rFonts w:cs="Times New Roman"/>
        </w:rPr>
        <w:t xml:space="preserve">Ability to provide written informed consent (by the parents or legally acceptable/authorized representative (LAR) and assent by the children aged between ≥7 to &lt;18 years. </w:t>
      </w:r>
    </w:p>
    <w:p w14:paraId="3D4B8E3A" w14:textId="77777777" w:rsidR="00941787" w:rsidRPr="00941787" w:rsidRDefault="00941787" w:rsidP="00941787">
      <w:pPr>
        <w:pStyle w:val="listbull"/>
        <w:numPr>
          <w:ilvl w:val="0"/>
          <w:numId w:val="3"/>
        </w:numPr>
        <w:spacing w:after="240"/>
        <w:jc w:val="both"/>
        <w:rPr>
          <w:rFonts w:cs="Times New Roman"/>
        </w:rPr>
      </w:pPr>
      <w:r w:rsidRPr="00941787">
        <w:rPr>
          <w:rFonts w:cs="Times New Roman"/>
        </w:rPr>
        <w:t xml:space="preserve">Subject, in the opinion of the investigator, has ability to communicate and willingness to comply with the requirements of the protocol. </w:t>
      </w:r>
    </w:p>
    <w:p w14:paraId="169C2675" w14:textId="77777777" w:rsidR="00941787" w:rsidRPr="00941787" w:rsidRDefault="00941787" w:rsidP="00941787">
      <w:pPr>
        <w:pStyle w:val="listbull"/>
        <w:numPr>
          <w:ilvl w:val="0"/>
          <w:numId w:val="3"/>
        </w:numPr>
        <w:spacing w:after="240"/>
        <w:jc w:val="both"/>
        <w:rPr>
          <w:rFonts w:cs="Times New Roman"/>
        </w:rPr>
      </w:pPr>
      <w:r w:rsidRPr="00941787">
        <w:rPr>
          <w:rFonts w:cs="Times New Roman"/>
        </w:rPr>
        <w:t>Participants of either gender of age between &lt;18years to ≥5 (Participant should be &lt;18 years at the time of Screening of the study).</w:t>
      </w:r>
    </w:p>
    <w:p w14:paraId="7F7C12BE" w14:textId="77777777" w:rsidR="00941787" w:rsidRPr="00941787" w:rsidRDefault="00941787" w:rsidP="00941787">
      <w:pPr>
        <w:pStyle w:val="listbull"/>
        <w:numPr>
          <w:ilvl w:val="0"/>
          <w:numId w:val="3"/>
        </w:numPr>
        <w:spacing w:after="240"/>
        <w:jc w:val="both"/>
        <w:rPr>
          <w:rFonts w:cs="Times New Roman"/>
        </w:rPr>
      </w:pPr>
      <w:r w:rsidRPr="00941787">
        <w:rPr>
          <w:rFonts w:cs="Times New Roman"/>
        </w:rPr>
        <w:t xml:space="preserve">Participants </w:t>
      </w:r>
      <w:proofErr w:type="spellStart"/>
      <w:r w:rsidRPr="00941787">
        <w:rPr>
          <w:rFonts w:cs="Times New Roman"/>
        </w:rPr>
        <w:t>virologically</w:t>
      </w:r>
      <w:proofErr w:type="spellEnd"/>
      <w:r w:rsidRPr="00941787">
        <w:rPr>
          <w:rFonts w:cs="Times New Roman"/>
        </w:rPr>
        <w:t xml:space="preserve"> seronegative to SARS-CoV-2 infection by RT-PCR and anti-SARS-CoV-2 antibody prior to enrolment.</w:t>
      </w:r>
    </w:p>
    <w:p w14:paraId="55E804B9" w14:textId="77777777" w:rsidR="00941787" w:rsidRPr="00941787" w:rsidRDefault="00941787" w:rsidP="00941787">
      <w:pPr>
        <w:pStyle w:val="listbull"/>
        <w:numPr>
          <w:ilvl w:val="0"/>
          <w:numId w:val="3"/>
        </w:numPr>
        <w:spacing w:after="240"/>
        <w:jc w:val="both"/>
        <w:rPr>
          <w:rFonts w:cs="Times New Roman"/>
          <w:i/>
        </w:rPr>
      </w:pPr>
      <w:r w:rsidRPr="00941787">
        <w:rPr>
          <w:rFonts w:cs="Times New Roman"/>
        </w:rPr>
        <w:t xml:space="preserve">Participants considered of stable health as judged by the investigator, determined by medical history and physical examination with normal vital signs as defined in the protocol. </w:t>
      </w:r>
      <w:r w:rsidRPr="00941787">
        <w:rPr>
          <w:rFonts w:cs="Times New Roman"/>
          <w:i/>
        </w:rPr>
        <w:t>[Normal vital sign defined as body temperature &lt;100.4ºF prior to enrolment].</w:t>
      </w:r>
    </w:p>
    <w:p w14:paraId="410A173B" w14:textId="77777777" w:rsidR="00941787" w:rsidRPr="00941787" w:rsidRDefault="00941787" w:rsidP="00941787">
      <w:pPr>
        <w:pStyle w:val="listbull"/>
        <w:numPr>
          <w:ilvl w:val="0"/>
          <w:numId w:val="3"/>
        </w:numPr>
        <w:spacing w:after="240"/>
        <w:jc w:val="both"/>
        <w:rPr>
          <w:rFonts w:cs="Times New Roman"/>
        </w:rPr>
      </w:pPr>
      <w:r w:rsidRPr="00941787">
        <w:rPr>
          <w:rFonts w:cs="Times New Roman"/>
        </w:rPr>
        <w:t>Agrees not to participate in another clinical trial at any time during the total study period.</w:t>
      </w:r>
    </w:p>
    <w:p w14:paraId="3B2A0D19" w14:textId="77777777" w:rsidR="00941787" w:rsidRPr="00941787" w:rsidRDefault="00941787" w:rsidP="00941787">
      <w:pPr>
        <w:pStyle w:val="listbull"/>
        <w:numPr>
          <w:ilvl w:val="0"/>
          <w:numId w:val="3"/>
        </w:numPr>
        <w:spacing w:after="240"/>
        <w:jc w:val="both"/>
        <w:rPr>
          <w:rFonts w:cs="Times New Roman"/>
        </w:rPr>
      </w:pPr>
      <w:r w:rsidRPr="00941787">
        <w:rPr>
          <w:rFonts w:cs="Times New Roman"/>
        </w:rPr>
        <w:t xml:space="preserve">Agrees to remain in the town where the study centre is located, for the entire duration of the study. </w:t>
      </w:r>
    </w:p>
    <w:p w14:paraId="574549AE" w14:textId="77777777" w:rsidR="00941787" w:rsidRPr="00941787" w:rsidRDefault="00941787" w:rsidP="00941787">
      <w:pPr>
        <w:pStyle w:val="listbull"/>
        <w:numPr>
          <w:ilvl w:val="0"/>
          <w:numId w:val="3"/>
        </w:numPr>
        <w:spacing w:after="240"/>
        <w:jc w:val="both"/>
        <w:rPr>
          <w:rFonts w:cs="Times New Roman"/>
        </w:rPr>
      </w:pPr>
      <w:r w:rsidRPr="00941787">
        <w:rPr>
          <w:rFonts w:cs="Times New Roman"/>
        </w:rPr>
        <w:t>Willing to allow storage and future use of collected biological samples for future research in an anonymised form.</w:t>
      </w:r>
    </w:p>
    <w:p w14:paraId="18286AA3" w14:textId="77777777" w:rsidR="00941787" w:rsidRPr="00941787" w:rsidRDefault="00941787" w:rsidP="00941787">
      <w:pPr>
        <w:pStyle w:val="Heading3"/>
        <w:keepLines w:val="0"/>
        <w:spacing w:before="240" w:after="60" w:line="240" w:lineRule="auto"/>
        <w:rPr>
          <w:rFonts w:ascii="Times New Roman" w:hAnsi="Times New Roman" w:cs="Times New Roman"/>
          <w:b/>
          <w:color w:val="auto"/>
        </w:rPr>
      </w:pPr>
      <w:bookmarkStart w:id="9" w:name="_Toc80819634"/>
      <w:r w:rsidRPr="00941787">
        <w:rPr>
          <w:rFonts w:ascii="Times New Roman" w:hAnsi="Times New Roman" w:cs="Times New Roman"/>
          <w:b/>
          <w:color w:val="auto"/>
        </w:rPr>
        <w:t>Exclusion Criteria</w:t>
      </w:r>
      <w:bookmarkEnd w:id="7"/>
      <w:bookmarkEnd w:id="8"/>
      <w:bookmarkEnd w:id="9"/>
    </w:p>
    <w:p w14:paraId="618F9B32" w14:textId="77777777" w:rsidR="00941787" w:rsidRPr="00941787" w:rsidRDefault="00941787" w:rsidP="00941787">
      <w:pPr>
        <w:spacing w:after="120"/>
        <w:jc w:val="both"/>
        <w:rPr>
          <w:rFonts w:ascii="Times New Roman" w:hAnsi="Times New Roman" w:cs="Times New Roman"/>
          <w:szCs w:val="24"/>
        </w:rPr>
      </w:pPr>
      <w:bookmarkStart w:id="10" w:name="_Toc520647008"/>
      <w:bookmarkEnd w:id="10"/>
      <w:r w:rsidRPr="00941787">
        <w:rPr>
          <w:rFonts w:ascii="Times New Roman" w:hAnsi="Times New Roman" w:cs="Times New Roman"/>
          <w:szCs w:val="24"/>
        </w:rPr>
        <w:t>The following criteria should be checked at the time of study entry. If ANY exclusion criterion applies, the subject must not be included in the study:</w:t>
      </w:r>
    </w:p>
    <w:p w14:paraId="5D41BEE7" w14:textId="77777777" w:rsidR="00941787" w:rsidRPr="00941787" w:rsidRDefault="00941787" w:rsidP="00941787">
      <w:pPr>
        <w:pStyle w:val="listbull"/>
        <w:numPr>
          <w:ilvl w:val="0"/>
          <w:numId w:val="2"/>
        </w:numPr>
        <w:spacing w:after="240"/>
        <w:jc w:val="both"/>
        <w:rPr>
          <w:rFonts w:cs="Times New Roman"/>
        </w:rPr>
      </w:pPr>
      <w:r w:rsidRPr="00941787">
        <w:rPr>
          <w:rFonts w:cs="Times New Roman"/>
        </w:rPr>
        <w:t>History of vaccination with any investigational vaccine against COVID-19 disease;</w:t>
      </w:r>
    </w:p>
    <w:p w14:paraId="3E4599C8" w14:textId="77777777" w:rsidR="00941787" w:rsidRPr="00941787" w:rsidRDefault="00941787" w:rsidP="00941787">
      <w:pPr>
        <w:pStyle w:val="listbull"/>
        <w:numPr>
          <w:ilvl w:val="0"/>
          <w:numId w:val="2"/>
        </w:numPr>
        <w:spacing w:after="240"/>
        <w:jc w:val="both"/>
        <w:rPr>
          <w:rFonts w:cs="Times New Roman"/>
        </w:rPr>
      </w:pPr>
      <w:r w:rsidRPr="00941787">
        <w:rPr>
          <w:rFonts w:cs="Times New Roman"/>
        </w:rPr>
        <w:t>Seropositive to IgG antibodies against SARS CoV-2</w:t>
      </w:r>
    </w:p>
    <w:p w14:paraId="0F295CC9" w14:textId="77777777" w:rsidR="00941787" w:rsidRPr="00941787" w:rsidRDefault="00941787" w:rsidP="00941787">
      <w:pPr>
        <w:pStyle w:val="listbull"/>
        <w:numPr>
          <w:ilvl w:val="0"/>
          <w:numId w:val="2"/>
        </w:numPr>
        <w:spacing w:after="240"/>
        <w:jc w:val="both"/>
        <w:rPr>
          <w:rFonts w:cs="Times New Roman"/>
        </w:rPr>
      </w:pPr>
      <w:r w:rsidRPr="00941787">
        <w:rPr>
          <w:rFonts w:cs="Times New Roman"/>
        </w:rPr>
        <w:t xml:space="preserve">Living in the same household of any COVID-19 positive person; </w:t>
      </w:r>
    </w:p>
    <w:p w14:paraId="40D9374D" w14:textId="77777777" w:rsidR="00941787" w:rsidRPr="00941787" w:rsidRDefault="00941787" w:rsidP="00941787">
      <w:pPr>
        <w:pStyle w:val="listbull"/>
        <w:numPr>
          <w:ilvl w:val="0"/>
          <w:numId w:val="2"/>
        </w:numPr>
        <w:spacing w:after="240"/>
        <w:jc w:val="both"/>
        <w:rPr>
          <w:rFonts w:cs="Times New Roman"/>
        </w:rPr>
      </w:pPr>
      <w:r w:rsidRPr="00941787">
        <w:rPr>
          <w:rFonts w:cs="Times New Roman"/>
        </w:rPr>
        <w:lastRenderedPageBreak/>
        <w:t>Use of any investigational or non-registered product other than the study vaccine during the trial period or 3 months prior to enrolment;</w:t>
      </w:r>
    </w:p>
    <w:p w14:paraId="682B6C39" w14:textId="77777777" w:rsidR="00941787" w:rsidRPr="00941787" w:rsidRDefault="00941787" w:rsidP="00941787">
      <w:pPr>
        <w:pStyle w:val="listbull"/>
        <w:numPr>
          <w:ilvl w:val="0"/>
          <w:numId w:val="2"/>
        </w:numPr>
        <w:spacing w:after="240"/>
        <w:jc w:val="both"/>
        <w:rPr>
          <w:rFonts w:cs="Times New Roman"/>
        </w:rPr>
      </w:pPr>
      <w:r w:rsidRPr="00941787">
        <w:rPr>
          <w:rFonts w:cs="Times New Roman"/>
        </w:rPr>
        <w:t>History of receipt of any licensed vaccine within 1 month prior to screening, likely to impact on interpretation of the trial data (e.g., influenza vaccines);</w:t>
      </w:r>
    </w:p>
    <w:p w14:paraId="64E3AC15" w14:textId="77777777" w:rsidR="00941787" w:rsidRPr="00941787" w:rsidRDefault="00941787" w:rsidP="00941787">
      <w:pPr>
        <w:pStyle w:val="listbull"/>
        <w:numPr>
          <w:ilvl w:val="0"/>
          <w:numId w:val="2"/>
        </w:numPr>
        <w:spacing w:after="240"/>
        <w:jc w:val="both"/>
        <w:rPr>
          <w:rFonts w:cs="Times New Roman"/>
        </w:rPr>
      </w:pPr>
      <w:r w:rsidRPr="00941787">
        <w:rPr>
          <w:rFonts w:cs="Times New Roman"/>
        </w:rPr>
        <w:t>Current or planned participation in prophylactic drug trials for the duration of the study.</w:t>
      </w:r>
    </w:p>
    <w:p w14:paraId="0D4D989E" w14:textId="77777777" w:rsidR="00941787" w:rsidRPr="00941787" w:rsidRDefault="00941787" w:rsidP="00941787">
      <w:pPr>
        <w:pStyle w:val="listbull"/>
        <w:numPr>
          <w:ilvl w:val="0"/>
          <w:numId w:val="2"/>
        </w:numPr>
        <w:spacing w:after="240"/>
        <w:jc w:val="both"/>
        <w:rPr>
          <w:rFonts w:cs="Times New Roman"/>
        </w:rPr>
      </w:pPr>
      <w:r w:rsidRPr="00941787">
        <w:rPr>
          <w:rFonts w:cs="Times New Roman"/>
        </w:rPr>
        <w:t xml:space="preserve">Known history of HIV 1 &amp; 2, HBV and HCV infection in participants prior to enrolment.; </w:t>
      </w:r>
    </w:p>
    <w:p w14:paraId="74E4A9F4" w14:textId="77777777" w:rsidR="00941787" w:rsidRPr="00941787" w:rsidRDefault="00941787" w:rsidP="00941787">
      <w:pPr>
        <w:pStyle w:val="listbull"/>
        <w:numPr>
          <w:ilvl w:val="0"/>
          <w:numId w:val="2"/>
        </w:numPr>
        <w:spacing w:after="240"/>
        <w:jc w:val="both"/>
        <w:rPr>
          <w:rFonts w:cs="Times New Roman"/>
        </w:rPr>
      </w:pPr>
      <w:r w:rsidRPr="00941787">
        <w:rPr>
          <w:rFonts w:cs="Times New Roman"/>
        </w:rPr>
        <w:t>Body temperature of ≥100.4°F (&gt;38.0°C) or symptoms of an acute illness at the time of screening or prior to vaccination;</w:t>
      </w:r>
    </w:p>
    <w:p w14:paraId="0358FD91" w14:textId="77777777" w:rsidR="00941787" w:rsidRPr="00941787" w:rsidRDefault="00941787" w:rsidP="00941787">
      <w:pPr>
        <w:pStyle w:val="listbull"/>
        <w:numPr>
          <w:ilvl w:val="0"/>
          <w:numId w:val="2"/>
        </w:numPr>
        <w:spacing w:after="240"/>
        <w:jc w:val="both"/>
        <w:rPr>
          <w:rFonts w:cs="Times New Roman"/>
        </w:rPr>
      </w:pPr>
      <w:r w:rsidRPr="00941787">
        <w:rPr>
          <w:rFonts w:cs="Times New Roman"/>
        </w:rPr>
        <w:t>History of severe psychiatric conditions likely to affect participation in the study;</w:t>
      </w:r>
    </w:p>
    <w:p w14:paraId="080443F9" w14:textId="77777777" w:rsidR="00941787" w:rsidRPr="00941787" w:rsidRDefault="00941787" w:rsidP="00941787">
      <w:pPr>
        <w:pStyle w:val="listbull"/>
        <w:numPr>
          <w:ilvl w:val="0"/>
          <w:numId w:val="2"/>
        </w:numPr>
        <w:spacing w:after="240"/>
        <w:jc w:val="both"/>
        <w:rPr>
          <w:rFonts w:cs="Times New Roman"/>
        </w:rPr>
      </w:pPr>
      <w:r w:rsidRPr="00941787">
        <w:rPr>
          <w:rFonts w:cs="Times New Roman"/>
        </w:rPr>
        <w:t>History of any bleeding disorder (e.g. factor deficiency, coagulopathy or platelet disorder);</w:t>
      </w:r>
    </w:p>
    <w:p w14:paraId="26B065F3" w14:textId="77777777" w:rsidR="00941787" w:rsidRPr="00941787" w:rsidRDefault="00941787" w:rsidP="00941787">
      <w:pPr>
        <w:pStyle w:val="listbull"/>
        <w:numPr>
          <w:ilvl w:val="0"/>
          <w:numId w:val="2"/>
        </w:numPr>
        <w:spacing w:after="240"/>
        <w:jc w:val="both"/>
        <w:rPr>
          <w:rFonts w:cs="Times New Roman"/>
        </w:rPr>
      </w:pPr>
      <w:r w:rsidRPr="00941787">
        <w:rPr>
          <w:rFonts w:cs="Times New Roman"/>
        </w:rPr>
        <w:t>History of allergic disease or reactions likely to be exacerbated by any component of the Biological E’s CORBEVAX vaccine formulations;</w:t>
      </w:r>
    </w:p>
    <w:p w14:paraId="5843E17C" w14:textId="77777777" w:rsidR="00941787" w:rsidRPr="00941787" w:rsidRDefault="00941787" w:rsidP="00941787">
      <w:pPr>
        <w:pStyle w:val="listbull"/>
        <w:numPr>
          <w:ilvl w:val="0"/>
          <w:numId w:val="2"/>
        </w:numPr>
        <w:spacing w:after="240"/>
        <w:jc w:val="both"/>
        <w:rPr>
          <w:rFonts w:cs="Times New Roman"/>
        </w:rPr>
      </w:pPr>
      <w:r w:rsidRPr="00941787">
        <w:rPr>
          <w:rFonts w:cs="Times New Roman"/>
        </w:rPr>
        <w:t xml:space="preserve">Chronic respiratory disease, including asthma; </w:t>
      </w:r>
    </w:p>
    <w:p w14:paraId="3F2E3374" w14:textId="77777777" w:rsidR="00941787" w:rsidRPr="00941787" w:rsidRDefault="00941787" w:rsidP="00941787">
      <w:pPr>
        <w:pStyle w:val="listbull"/>
        <w:numPr>
          <w:ilvl w:val="0"/>
          <w:numId w:val="2"/>
        </w:numPr>
        <w:spacing w:after="240"/>
        <w:jc w:val="both"/>
        <w:rPr>
          <w:rFonts w:cs="Times New Roman"/>
        </w:rPr>
      </w:pPr>
      <w:r w:rsidRPr="00941787">
        <w:rPr>
          <w:rFonts w:cs="Times New Roman"/>
        </w:rPr>
        <w:t xml:space="preserve">Chronic cardiovascular disease, gastrointestinal disease, liver disease, renal disease, endocrine disorder and neurological illness; </w:t>
      </w:r>
    </w:p>
    <w:p w14:paraId="6A78C813" w14:textId="77777777" w:rsidR="00941787" w:rsidRPr="00941787" w:rsidRDefault="00941787" w:rsidP="00941787">
      <w:pPr>
        <w:pStyle w:val="listbull"/>
        <w:numPr>
          <w:ilvl w:val="0"/>
          <w:numId w:val="2"/>
        </w:numPr>
        <w:spacing w:after="240"/>
        <w:jc w:val="both"/>
        <w:rPr>
          <w:rFonts w:cs="Times New Roman"/>
        </w:rPr>
      </w:pPr>
      <w:r w:rsidRPr="00941787">
        <w:rPr>
          <w:rFonts w:cs="Times New Roman"/>
        </w:rPr>
        <w:t xml:space="preserve">Any other serious chronic illness requiring hospital specialist supervision; </w:t>
      </w:r>
    </w:p>
    <w:p w14:paraId="36A06010" w14:textId="77777777" w:rsidR="00941787" w:rsidRPr="00941787" w:rsidRDefault="00941787" w:rsidP="00941787">
      <w:pPr>
        <w:pStyle w:val="listbull"/>
        <w:numPr>
          <w:ilvl w:val="0"/>
          <w:numId w:val="2"/>
        </w:numPr>
        <w:spacing w:after="240"/>
        <w:jc w:val="both"/>
        <w:rPr>
          <w:rFonts w:cs="Times New Roman"/>
        </w:rPr>
      </w:pPr>
      <w:r w:rsidRPr="00941787">
        <w:rPr>
          <w:rFonts w:cs="Times New Roman"/>
        </w:rPr>
        <w:t xml:space="preserve">Chronic administration (defined as more than 14 days in total) of immunosuppressant (e.g. corticosteroids, cytotoxic drugs or antimetabolites, etc.) or other immune-modifying drugs (e.g. interferons) during the period starting six months prior to the first vaccine dose including use of any blood products. For corticosteroids, this will mean prednisolone ≥0.5 mg/kg/day, or equivalent. Inhaled and topical steroids are allowed; </w:t>
      </w:r>
    </w:p>
    <w:p w14:paraId="41921383" w14:textId="77777777" w:rsidR="00941787" w:rsidRPr="00941787" w:rsidRDefault="00941787" w:rsidP="00941787">
      <w:pPr>
        <w:pStyle w:val="listbull"/>
        <w:numPr>
          <w:ilvl w:val="0"/>
          <w:numId w:val="2"/>
        </w:numPr>
        <w:spacing w:after="240"/>
        <w:jc w:val="both"/>
        <w:rPr>
          <w:rFonts w:cs="Times New Roman"/>
        </w:rPr>
      </w:pPr>
      <w:r w:rsidRPr="00941787">
        <w:rPr>
          <w:rFonts w:cs="Times New Roman"/>
        </w:rPr>
        <w:t xml:space="preserve">Any confirmed or suspected immunosuppressive or </w:t>
      </w:r>
      <w:proofErr w:type="spellStart"/>
      <w:r w:rsidRPr="00941787">
        <w:rPr>
          <w:rFonts w:cs="Times New Roman"/>
        </w:rPr>
        <w:t>immunodeficient</w:t>
      </w:r>
      <w:proofErr w:type="spellEnd"/>
      <w:r w:rsidRPr="00941787">
        <w:rPr>
          <w:rFonts w:cs="Times New Roman"/>
        </w:rPr>
        <w:t xml:space="preserve"> condition, based on medical history and physical examination (no laboratory testing required);</w:t>
      </w:r>
    </w:p>
    <w:p w14:paraId="1C03704B" w14:textId="77777777" w:rsidR="00941787" w:rsidRPr="00941787" w:rsidRDefault="00941787" w:rsidP="00941787">
      <w:pPr>
        <w:pStyle w:val="listbull"/>
        <w:numPr>
          <w:ilvl w:val="0"/>
          <w:numId w:val="2"/>
        </w:numPr>
        <w:spacing w:after="240"/>
        <w:jc w:val="both"/>
        <w:rPr>
          <w:rFonts w:cs="Times New Roman"/>
        </w:rPr>
      </w:pPr>
      <w:r w:rsidRPr="00941787">
        <w:rPr>
          <w:rFonts w:cs="Times New Roman"/>
        </w:rPr>
        <w:t>Any medical condition that in the judgment of the investigator would make study participation unsafe.</w:t>
      </w:r>
    </w:p>
    <w:p w14:paraId="4AF7AFB5" w14:textId="77777777" w:rsidR="00941787" w:rsidRPr="00941787" w:rsidRDefault="00941787" w:rsidP="00941787">
      <w:pPr>
        <w:pStyle w:val="listbull"/>
        <w:numPr>
          <w:ilvl w:val="0"/>
          <w:numId w:val="2"/>
        </w:numPr>
        <w:spacing w:after="240"/>
        <w:jc w:val="both"/>
        <w:rPr>
          <w:rFonts w:cs="Times New Roman"/>
        </w:rPr>
      </w:pPr>
      <w:r w:rsidRPr="00941787">
        <w:rPr>
          <w:rFonts w:cs="Times New Roman"/>
        </w:rPr>
        <w:t>Individuals who are part of the study team or close family members of individuals conducting the study.</w:t>
      </w:r>
    </w:p>
    <w:p w14:paraId="1B1C9104" w14:textId="77777777" w:rsidR="00941787" w:rsidRPr="00941787" w:rsidRDefault="00941787" w:rsidP="00941787">
      <w:pPr>
        <w:pStyle w:val="listbull"/>
        <w:numPr>
          <w:ilvl w:val="0"/>
          <w:numId w:val="2"/>
        </w:numPr>
        <w:spacing w:after="240"/>
        <w:jc w:val="both"/>
        <w:rPr>
          <w:rFonts w:cs="Times New Roman"/>
        </w:rPr>
      </w:pPr>
      <w:r w:rsidRPr="00941787">
        <w:rPr>
          <w:rFonts w:cs="Times New Roman"/>
        </w:rPr>
        <w:t>Anaphylactic reaction following administration of the investigational vaccine.</w:t>
      </w:r>
    </w:p>
    <w:p w14:paraId="57B6D032" w14:textId="77777777" w:rsidR="00A868BF" w:rsidRPr="00941787" w:rsidRDefault="00A868BF" w:rsidP="005425E7">
      <w:pPr>
        <w:spacing w:line="480" w:lineRule="auto"/>
        <w:rPr>
          <w:rFonts w:ascii="Times New Roman" w:hAnsi="Times New Roman" w:cs="Times New Roman"/>
          <w:b/>
          <w:bCs/>
          <w:szCs w:val="24"/>
        </w:rPr>
      </w:pPr>
    </w:p>
    <w:p w14:paraId="641E8A6B" w14:textId="209845CF" w:rsidR="003D0824" w:rsidRPr="00941787" w:rsidRDefault="003D0824" w:rsidP="005425E7">
      <w:pPr>
        <w:spacing w:line="480" w:lineRule="auto"/>
        <w:rPr>
          <w:rFonts w:ascii="Times New Roman" w:hAnsi="Times New Roman" w:cs="Times New Roman"/>
          <w:b/>
          <w:bCs/>
          <w:szCs w:val="24"/>
        </w:rPr>
      </w:pPr>
      <w:r w:rsidRPr="00941787">
        <w:rPr>
          <w:rFonts w:ascii="Times New Roman" w:hAnsi="Times New Roman" w:cs="Times New Roman"/>
          <w:b/>
          <w:bCs/>
          <w:szCs w:val="24"/>
        </w:rPr>
        <w:br w:type="page"/>
      </w:r>
    </w:p>
    <w:p w14:paraId="0CBACF73" w14:textId="77777777" w:rsidR="00A868BF" w:rsidRPr="00C16278" w:rsidRDefault="00A868BF" w:rsidP="00C16278">
      <w:pPr>
        <w:spacing w:line="480" w:lineRule="auto"/>
        <w:rPr>
          <w:rFonts w:ascii="Times New Roman" w:hAnsi="Times New Roman" w:cs="Times New Roman"/>
          <w:b/>
          <w:bCs/>
          <w:szCs w:val="24"/>
        </w:rPr>
      </w:pPr>
    </w:p>
    <w:p w14:paraId="6343BD77" w14:textId="589EE276" w:rsidR="00093BF0" w:rsidRPr="00C16278" w:rsidRDefault="00093BF0" w:rsidP="00C16278">
      <w:pPr>
        <w:spacing w:line="480" w:lineRule="auto"/>
        <w:rPr>
          <w:rFonts w:ascii="Times New Roman" w:hAnsi="Times New Roman" w:cs="Times New Roman"/>
          <w:b/>
          <w:bCs/>
          <w:szCs w:val="24"/>
        </w:rPr>
      </w:pPr>
      <w:r w:rsidRPr="00C16278">
        <w:rPr>
          <w:rFonts w:ascii="Times New Roman" w:hAnsi="Times New Roman" w:cs="Times New Roman"/>
          <w:b/>
          <w:bCs/>
          <w:szCs w:val="24"/>
        </w:rPr>
        <w:t>Methodology</w:t>
      </w:r>
    </w:p>
    <w:p w14:paraId="6CDF3049" w14:textId="30AA88ED" w:rsidR="00B874F8" w:rsidRPr="00C16278" w:rsidRDefault="00B874F8" w:rsidP="00C16278">
      <w:pPr>
        <w:spacing w:line="480" w:lineRule="auto"/>
        <w:ind w:firstLine="720"/>
        <w:jc w:val="both"/>
        <w:rPr>
          <w:rFonts w:ascii="Times New Roman" w:hAnsi="Times New Roman" w:cs="Times New Roman"/>
          <w:color w:val="000000"/>
          <w:szCs w:val="24"/>
          <w:lang w:val="en-GB"/>
        </w:rPr>
      </w:pPr>
      <w:r w:rsidRPr="00C16278">
        <w:rPr>
          <w:rFonts w:ascii="Times New Roman" w:hAnsi="Times New Roman" w:cs="Times New Roman"/>
          <w:color w:val="000000"/>
          <w:szCs w:val="24"/>
          <w:lang w:val="en-GB"/>
        </w:rPr>
        <w:t>As per the kit manufacturer, subjects with antibody concentrations below 12 Antibody Units/mL were designated as sero</w:t>
      </w:r>
      <w:r w:rsidR="00AA2EF8" w:rsidRPr="00C16278">
        <w:rPr>
          <w:rFonts w:ascii="Times New Roman" w:hAnsi="Times New Roman" w:cs="Times New Roman"/>
          <w:color w:val="000000"/>
          <w:szCs w:val="24"/>
          <w:lang w:val="en-GB"/>
        </w:rPr>
        <w:t>-negative</w:t>
      </w:r>
      <w:r w:rsidRPr="00C16278">
        <w:rPr>
          <w:rFonts w:ascii="Times New Roman" w:hAnsi="Times New Roman" w:cs="Times New Roman"/>
          <w:color w:val="000000"/>
          <w:szCs w:val="24"/>
          <w:lang w:val="en-GB"/>
        </w:rPr>
        <w:t xml:space="preserve"> and were selected in the trial (</w:t>
      </w:r>
      <w:proofErr w:type="spellStart"/>
      <w:r w:rsidR="002D3801" w:rsidRPr="00C16278">
        <w:rPr>
          <w:rFonts w:ascii="Times New Roman" w:hAnsi="Times New Roman" w:cs="Times New Roman"/>
          <w:bCs/>
          <w:color w:val="000000"/>
          <w:szCs w:val="24"/>
          <w:lang w:val="en-GB"/>
        </w:rPr>
        <w:t>Diasorin</w:t>
      </w:r>
      <w:proofErr w:type="spellEnd"/>
      <w:r w:rsidR="002D3801" w:rsidRPr="00C16278">
        <w:rPr>
          <w:rFonts w:ascii="Times New Roman" w:hAnsi="Times New Roman" w:cs="Times New Roman"/>
          <w:bCs/>
          <w:color w:val="000000"/>
          <w:szCs w:val="24"/>
          <w:lang w:val="en-GB"/>
        </w:rPr>
        <w:t xml:space="preserve"> kit</w:t>
      </w:r>
      <w:r w:rsidRPr="00C16278">
        <w:rPr>
          <w:rFonts w:ascii="Times New Roman" w:hAnsi="Times New Roman" w:cs="Times New Roman"/>
          <w:color w:val="000000"/>
          <w:szCs w:val="24"/>
          <w:lang w:val="en-GB"/>
        </w:rPr>
        <w:t xml:space="preserve">). </w:t>
      </w:r>
      <w:r w:rsidRPr="00C16278">
        <w:rPr>
          <w:rFonts w:ascii="Times New Roman" w:hAnsi="Times New Roman" w:cs="Times New Roman"/>
          <w:color w:val="000000"/>
          <w:szCs w:val="24"/>
        </w:rPr>
        <w:t xml:space="preserve">Health status assessed during the screening period was based on medical history and clinical laboratory findings, vital signs, and physical examination. </w:t>
      </w:r>
    </w:p>
    <w:p w14:paraId="6A29CA9C" w14:textId="77777777" w:rsidR="009A4754" w:rsidRPr="00C16278" w:rsidRDefault="00F71314" w:rsidP="00C16278">
      <w:pPr>
        <w:spacing w:after="240" w:line="480" w:lineRule="auto"/>
        <w:jc w:val="both"/>
        <w:rPr>
          <w:rFonts w:ascii="Times New Roman" w:hAnsi="Times New Roman" w:cs="Times New Roman"/>
          <w:b/>
          <w:bCs/>
          <w:szCs w:val="24"/>
        </w:rPr>
      </w:pPr>
      <w:r w:rsidRPr="00C16278">
        <w:rPr>
          <w:rFonts w:ascii="Times New Roman" w:hAnsi="Times New Roman" w:cs="Times New Roman"/>
          <w:b/>
          <w:bCs/>
          <w:szCs w:val="24"/>
        </w:rPr>
        <w:t>Procedure</w:t>
      </w:r>
      <w:bookmarkStart w:id="11" w:name="_Toc133211463"/>
      <w:bookmarkStart w:id="12" w:name="_Toc136426768"/>
      <w:bookmarkStart w:id="13" w:name="_Toc136764042"/>
      <w:bookmarkStart w:id="14" w:name="_Toc142806509"/>
      <w:bookmarkStart w:id="15" w:name="_Toc200951486"/>
      <w:bookmarkStart w:id="16" w:name="_Toc225483282"/>
      <w:bookmarkStart w:id="17" w:name="_Toc225483423"/>
      <w:bookmarkStart w:id="18" w:name="_Toc80819637"/>
    </w:p>
    <w:p w14:paraId="31CF3C52" w14:textId="77777777" w:rsidR="009A4754" w:rsidRPr="00C16278" w:rsidRDefault="009A4754" w:rsidP="00C16278">
      <w:pPr>
        <w:spacing w:after="240" w:line="480" w:lineRule="auto"/>
        <w:jc w:val="both"/>
        <w:rPr>
          <w:rFonts w:ascii="Times New Roman" w:hAnsi="Times New Roman" w:cs="Times New Roman"/>
          <w:b/>
          <w:szCs w:val="24"/>
        </w:rPr>
      </w:pPr>
      <w:r w:rsidRPr="00C16278">
        <w:rPr>
          <w:rFonts w:ascii="Times New Roman" w:hAnsi="Times New Roman" w:cs="Times New Roman"/>
          <w:b/>
          <w:szCs w:val="24"/>
        </w:rPr>
        <w:t>Assessment of Reporting of Adverse events</w:t>
      </w:r>
      <w:bookmarkEnd w:id="11"/>
      <w:bookmarkEnd w:id="12"/>
      <w:bookmarkEnd w:id="13"/>
      <w:bookmarkEnd w:id="14"/>
      <w:bookmarkEnd w:id="15"/>
      <w:bookmarkEnd w:id="16"/>
      <w:bookmarkEnd w:id="17"/>
      <w:bookmarkEnd w:id="18"/>
    </w:p>
    <w:p w14:paraId="3801CA3E" w14:textId="39A51EAB" w:rsidR="009A4754" w:rsidRPr="00C16278" w:rsidRDefault="009A4754" w:rsidP="00C16278">
      <w:pPr>
        <w:spacing w:after="240" w:line="480" w:lineRule="auto"/>
        <w:jc w:val="both"/>
        <w:rPr>
          <w:rFonts w:ascii="Times New Roman" w:hAnsi="Times New Roman" w:cs="Times New Roman"/>
          <w:szCs w:val="24"/>
        </w:rPr>
      </w:pPr>
      <w:r w:rsidRPr="00C16278">
        <w:rPr>
          <w:rFonts w:ascii="Times New Roman" w:hAnsi="Times New Roman" w:cs="Times New Roman"/>
          <w:szCs w:val="24"/>
        </w:rPr>
        <w:t xml:space="preserve">The period of observation for adverse events starts from the time the subject receives the single vaccination dose. All study subjects were observed at site for at least 60 minutes after vaccination for evidence of immediate reactions and in particular for symptoms of allergic phenomena (such as rashes or other allergic manifestations). Each subject’s parent / </w:t>
      </w:r>
      <w:r w:rsidR="00FC2E5C" w:rsidRPr="00C16278">
        <w:rPr>
          <w:rFonts w:ascii="Times New Roman" w:hAnsi="Times New Roman" w:cs="Times New Roman"/>
          <w:szCs w:val="24"/>
        </w:rPr>
        <w:t>LAR was</w:t>
      </w:r>
      <w:r w:rsidRPr="00C16278">
        <w:rPr>
          <w:rFonts w:ascii="Times New Roman" w:hAnsi="Times New Roman" w:cs="Times New Roman"/>
          <w:szCs w:val="24"/>
        </w:rPr>
        <w:t xml:space="preserve"> instructed to complete a diary card for 7 consequent days (Day 0 to Day 6) following first dose of vaccination, to record local and</w:t>
      </w:r>
      <w:r w:rsidR="006E59FB" w:rsidRPr="00C16278">
        <w:rPr>
          <w:rFonts w:ascii="Times New Roman" w:hAnsi="Times New Roman" w:cs="Times New Roman"/>
          <w:szCs w:val="24"/>
        </w:rPr>
        <w:t xml:space="preserve"> systemic symptoms. The diary was</w:t>
      </w:r>
      <w:r w:rsidRPr="00C16278">
        <w:rPr>
          <w:rFonts w:ascii="Times New Roman" w:hAnsi="Times New Roman" w:cs="Times New Roman"/>
          <w:szCs w:val="24"/>
        </w:rPr>
        <w:t xml:space="preserve"> handed over to the PI at</w:t>
      </w:r>
      <w:r w:rsidR="006E59FB" w:rsidRPr="00C16278">
        <w:rPr>
          <w:rFonts w:ascii="Times New Roman" w:hAnsi="Times New Roman" w:cs="Times New Roman"/>
          <w:szCs w:val="24"/>
        </w:rPr>
        <w:t xml:space="preserve"> visit 3. Another diary was</w:t>
      </w:r>
      <w:r w:rsidRPr="00C16278">
        <w:rPr>
          <w:rFonts w:ascii="Times New Roman" w:hAnsi="Times New Roman" w:cs="Times New Roman"/>
          <w:szCs w:val="24"/>
        </w:rPr>
        <w:t xml:space="preserve"> issued after 2</w:t>
      </w:r>
      <w:r w:rsidRPr="00C16278">
        <w:rPr>
          <w:rFonts w:ascii="Times New Roman" w:hAnsi="Times New Roman" w:cs="Times New Roman"/>
          <w:szCs w:val="24"/>
          <w:vertAlign w:val="superscript"/>
        </w:rPr>
        <w:t>nd</w:t>
      </w:r>
      <w:r w:rsidRPr="00C16278">
        <w:rPr>
          <w:rFonts w:ascii="Times New Roman" w:hAnsi="Times New Roman" w:cs="Times New Roman"/>
          <w:szCs w:val="24"/>
        </w:rPr>
        <w:t xml:space="preserve"> dose of vaccination at Day 28 and the subject’s parent / </w:t>
      </w:r>
      <w:r w:rsidR="006E59FB" w:rsidRPr="00C16278">
        <w:rPr>
          <w:rFonts w:ascii="Times New Roman" w:hAnsi="Times New Roman" w:cs="Times New Roman"/>
          <w:szCs w:val="24"/>
        </w:rPr>
        <w:t>LAR was</w:t>
      </w:r>
      <w:r w:rsidRPr="00C16278">
        <w:rPr>
          <w:rFonts w:ascii="Times New Roman" w:hAnsi="Times New Roman" w:cs="Times New Roman"/>
          <w:szCs w:val="24"/>
        </w:rPr>
        <w:t xml:space="preserve"> instructed to complete a diary card for 7 consequent days and for any other AE. All Serious Adverse Events (SAEs) and medica</w:t>
      </w:r>
      <w:r w:rsidR="006E59FB" w:rsidRPr="00C16278">
        <w:rPr>
          <w:rFonts w:ascii="Times New Roman" w:hAnsi="Times New Roman" w:cs="Times New Roman"/>
          <w:szCs w:val="24"/>
        </w:rPr>
        <w:t>lly attended AEs if any, were</w:t>
      </w:r>
      <w:r w:rsidRPr="00C16278">
        <w:rPr>
          <w:rFonts w:ascii="Times New Roman" w:hAnsi="Times New Roman" w:cs="Times New Roman"/>
          <w:szCs w:val="24"/>
        </w:rPr>
        <w:t xml:space="preserve"> collected and documented until the end of the study.</w:t>
      </w:r>
    </w:p>
    <w:p w14:paraId="37B89174" w14:textId="597EF5F4" w:rsidR="009A4754" w:rsidRPr="00C16278" w:rsidRDefault="009A4754" w:rsidP="00C16278">
      <w:pPr>
        <w:shd w:val="clear" w:color="auto" w:fill="FFFFFF"/>
        <w:spacing w:before="240" w:after="120" w:line="480" w:lineRule="auto"/>
        <w:jc w:val="both"/>
        <w:rPr>
          <w:rFonts w:ascii="Times New Roman" w:hAnsi="Times New Roman" w:cs="Times New Roman"/>
          <w:szCs w:val="24"/>
        </w:rPr>
      </w:pPr>
      <w:r w:rsidRPr="00C16278">
        <w:rPr>
          <w:rFonts w:ascii="Times New Roman" w:hAnsi="Times New Roman" w:cs="Times New Roman"/>
          <w:szCs w:val="24"/>
        </w:rPr>
        <w:t>Al</w:t>
      </w:r>
      <w:r w:rsidR="006E59FB" w:rsidRPr="00C16278">
        <w:rPr>
          <w:rFonts w:ascii="Times New Roman" w:hAnsi="Times New Roman" w:cs="Times New Roman"/>
          <w:szCs w:val="24"/>
        </w:rPr>
        <w:t>l adverse events occurred</w:t>
      </w:r>
      <w:r w:rsidRPr="00C16278">
        <w:rPr>
          <w:rFonts w:ascii="Times New Roman" w:hAnsi="Times New Roman" w:cs="Times New Roman"/>
          <w:szCs w:val="24"/>
        </w:rPr>
        <w:t xml:space="preserve"> within the study period, </w:t>
      </w:r>
      <w:r w:rsidR="006E59FB" w:rsidRPr="00C16278">
        <w:rPr>
          <w:rFonts w:ascii="Times New Roman" w:hAnsi="Times New Roman" w:cs="Times New Roman"/>
          <w:szCs w:val="24"/>
        </w:rPr>
        <w:t xml:space="preserve">regardless of severity, were </w:t>
      </w:r>
      <w:r w:rsidRPr="00C16278">
        <w:rPr>
          <w:rFonts w:ascii="Times New Roman" w:hAnsi="Times New Roman" w:cs="Times New Roman"/>
          <w:szCs w:val="24"/>
        </w:rPr>
        <w:t>monitored and medically managed by the investigator until resolution. All subjects experiencing adverse events - whether considered associated with the use of the study vac</w:t>
      </w:r>
      <w:r w:rsidR="00575A0E" w:rsidRPr="00C16278">
        <w:rPr>
          <w:rFonts w:ascii="Times New Roman" w:hAnsi="Times New Roman" w:cs="Times New Roman"/>
          <w:szCs w:val="24"/>
        </w:rPr>
        <w:t>cine or not were</w:t>
      </w:r>
      <w:r w:rsidRPr="00C16278">
        <w:rPr>
          <w:rFonts w:ascii="Times New Roman" w:hAnsi="Times New Roman" w:cs="Times New Roman"/>
          <w:szCs w:val="24"/>
        </w:rPr>
        <w:t xml:space="preserve"> monitored until </w:t>
      </w:r>
      <w:r w:rsidRPr="00C16278">
        <w:rPr>
          <w:rFonts w:ascii="Times New Roman" w:hAnsi="Times New Roman" w:cs="Times New Roman"/>
          <w:szCs w:val="24"/>
        </w:rPr>
        <w:lastRenderedPageBreak/>
        <w:t xml:space="preserve">symptoms subside and any clinically significant abnormal laboratory values if identified, have returned to baseline, or until there is a satisfactory explanation for the changes observed, or until death, in which case a full pathologist’s report should be supplied, if possible. All findings </w:t>
      </w:r>
      <w:r w:rsidR="000C6D94" w:rsidRPr="00C16278">
        <w:rPr>
          <w:rFonts w:ascii="Times New Roman" w:hAnsi="Times New Roman" w:cs="Times New Roman"/>
          <w:szCs w:val="24"/>
        </w:rPr>
        <w:t>were</w:t>
      </w:r>
      <w:r w:rsidRPr="00C16278">
        <w:rPr>
          <w:rFonts w:ascii="Times New Roman" w:hAnsi="Times New Roman" w:cs="Times New Roman"/>
          <w:szCs w:val="24"/>
        </w:rPr>
        <w:t xml:space="preserve"> reported on an “Adverse Events” </w:t>
      </w:r>
      <w:proofErr w:type="spellStart"/>
      <w:r w:rsidRPr="00C16278">
        <w:rPr>
          <w:rFonts w:ascii="Times New Roman" w:hAnsi="Times New Roman" w:cs="Times New Roman"/>
          <w:szCs w:val="24"/>
        </w:rPr>
        <w:t>eCRF</w:t>
      </w:r>
      <w:proofErr w:type="spellEnd"/>
      <w:r w:rsidRPr="00C16278">
        <w:rPr>
          <w:rFonts w:ascii="Times New Roman" w:hAnsi="Times New Roman" w:cs="Times New Roman"/>
          <w:szCs w:val="24"/>
        </w:rPr>
        <w:t xml:space="preserve"> page and on the “Serious Adverse Event” form as applicable, where necessary. All findings in subjects exp</w:t>
      </w:r>
      <w:r w:rsidR="000C6D94" w:rsidRPr="00C16278">
        <w:rPr>
          <w:rFonts w:ascii="Times New Roman" w:hAnsi="Times New Roman" w:cs="Times New Roman"/>
          <w:szCs w:val="24"/>
        </w:rPr>
        <w:t>eriencing adverse events were</w:t>
      </w:r>
      <w:r w:rsidRPr="00C16278">
        <w:rPr>
          <w:rFonts w:ascii="Times New Roman" w:hAnsi="Times New Roman" w:cs="Times New Roman"/>
          <w:szCs w:val="24"/>
        </w:rPr>
        <w:t xml:space="preserve"> reported also in the subject's medical records.</w:t>
      </w:r>
    </w:p>
    <w:p w14:paraId="2200ECB7" w14:textId="095CF2C5" w:rsidR="009A4754" w:rsidRPr="00C16278" w:rsidRDefault="000C6D94" w:rsidP="00C16278">
      <w:pPr>
        <w:shd w:val="clear" w:color="auto" w:fill="FFFFFF"/>
        <w:spacing w:before="240" w:after="120" w:line="480" w:lineRule="auto"/>
        <w:jc w:val="both"/>
        <w:rPr>
          <w:rFonts w:ascii="Times New Roman" w:hAnsi="Times New Roman" w:cs="Times New Roman"/>
          <w:szCs w:val="24"/>
        </w:rPr>
      </w:pPr>
      <w:r w:rsidRPr="00C16278">
        <w:rPr>
          <w:rFonts w:ascii="Times New Roman" w:hAnsi="Times New Roman" w:cs="Times New Roman"/>
          <w:szCs w:val="24"/>
        </w:rPr>
        <w:t>If a</w:t>
      </w:r>
      <w:r w:rsidR="009A4754" w:rsidRPr="00C16278">
        <w:rPr>
          <w:rFonts w:ascii="Times New Roman" w:hAnsi="Times New Roman" w:cs="Times New Roman"/>
          <w:szCs w:val="24"/>
        </w:rPr>
        <w:t>ny seriou</w:t>
      </w:r>
      <w:r w:rsidRPr="00C16278">
        <w:rPr>
          <w:rFonts w:ascii="Times New Roman" w:hAnsi="Times New Roman" w:cs="Times New Roman"/>
          <w:szCs w:val="24"/>
        </w:rPr>
        <w:t>s adverse event (SAE) occurred</w:t>
      </w:r>
      <w:r w:rsidR="009A4754" w:rsidRPr="00C16278">
        <w:rPr>
          <w:rFonts w:ascii="Times New Roman" w:hAnsi="Times New Roman" w:cs="Times New Roman"/>
          <w:szCs w:val="24"/>
        </w:rPr>
        <w:t xml:space="preserve"> after the single dose vac</w:t>
      </w:r>
      <w:r w:rsidRPr="00C16278">
        <w:rPr>
          <w:rFonts w:ascii="Times New Roman" w:hAnsi="Times New Roman" w:cs="Times New Roman"/>
          <w:szCs w:val="24"/>
        </w:rPr>
        <w:t>cination until study end were</w:t>
      </w:r>
      <w:r w:rsidR="009A4754" w:rsidRPr="00C16278">
        <w:rPr>
          <w:rFonts w:ascii="Times New Roman" w:hAnsi="Times New Roman" w:cs="Times New Roman"/>
          <w:szCs w:val="24"/>
        </w:rPr>
        <w:t xml:space="preserve"> reported to the Sponsor, Institutional Ethics committee (EC) and the </w:t>
      </w:r>
      <w:proofErr w:type="spellStart"/>
      <w:r w:rsidR="009A4754" w:rsidRPr="00C16278">
        <w:rPr>
          <w:rFonts w:ascii="Times New Roman" w:hAnsi="Times New Roman" w:cs="Times New Roman"/>
          <w:szCs w:val="24"/>
        </w:rPr>
        <w:t>licencing</w:t>
      </w:r>
      <w:proofErr w:type="spellEnd"/>
      <w:r w:rsidR="009A4754" w:rsidRPr="00C16278">
        <w:rPr>
          <w:rFonts w:ascii="Times New Roman" w:hAnsi="Times New Roman" w:cs="Times New Roman"/>
          <w:szCs w:val="24"/>
        </w:rPr>
        <w:t xml:space="preserve"> authority within 24 </w:t>
      </w:r>
      <w:proofErr w:type="spellStart"/>
      <w:r w:rsidR="009A4754" w:rsidRPr="00C16278">
        <w:rPr>
          <w:rFonts w:ascii="Times New Roman" w:hAnsi="Times New Roman" w:cs="Times New Roman"/>
          <w:szCs w:val="24"/>
        </w:rPr>
        <w:t>hrs</w:t>
      </w:r>
      <w:proofErr w:type="spellEnd"/>
      <w:r w:rsidR="009A4754" w:rsidRPr="00C16278">
        <w:rPr>
          <w:rFonts w:ascii="Times New Roman" w:hAnsi="Times New Roman" w:cs="Times New Roman"/>
          <w:szCs w:val="24"/>
        </w:rPr>
        <w:t xml:space="preserve"> of the occurrence of the SAE. The Sponsor and investigator after due analysis are responsible for the reporting of any unexpected or serious AEs to the Ethics committee (EC), Head of the Institute and the </w:t>
      </w:r>
      <w:proofErr w:type="spellStart"/>
      <w:r w:rsidR="009A4754" w:rsidRPr="00C16278">
        <w:rPr>
          <w:rFonts w:ascii="Times New Roman" w:hAnsi="Times New Roman" w:cs="Times New Roman"/>
          <w:szCs w:val="24"/>
        </w:rPr>
        <w:t>licencing</w:t>
      </w:r>
      <w:proofErr w:type="spellEnd"/>
      <w:r w:rsidR="009A4754" w:rsidRPr="00C16278">
        <w:rPr>
          <w:rFonts w:ascii="Times New Roman" w:hAnsi="Times New Roman" w:cs="Times New Roman"/>
          <w:szCs w:val="24"/>
        </w:rPr>
        <w:t xml:space="preserve"> authority within 14 </w:t>
      </w:r>
      <w:r w:rsidR="00C16278" w:rsidRPr="00C16278">
        <w:rPr>
          <w:rFonts w:ascii="Times New Roman" w:hAnsi="Times New Roman" w:cs="Times New Roman"/>
          <w:szCs w:val="24"/>
        </w:rPr>
        <w:t>days. All adverse events were</w:t>
      </w:r>
      <w:r w:rsidR="009A4754" w:rsidRPr="00C16278">
        <w:rPr>
          <w:rFonts w:ascii="Times New Roman" w:hAnsi="Times New Roman" w:cs="Times New Roman"/>
          <w:szCs w:val="24"/>
        </w:rPr>
        <w:t xml:space="preserve"> followed up until resolution or until the end of the study whichever is earlier. The site investigator </w:t>
      </w:r>
      <w:r w:rsidR="00C16278" w:rsidRPr="00C16278">
        <w:rPr>
          <w:rFonts w:ascii="Times New Roman" w:hAnsi="Times New Roman" w:cs="Times New Roman"/>
          <w:szCs w:val="24"/>
        </w:rPr>
        <w:t>assessed the</w:t>
      </w:r>
      <w:r w:rsidR="009A4754" w:rsidRPr="00C16278">
        <w:rPr>
          <w:rFonts w:ascii="Times New Roman" w:hAnsi="Times New Roman" w:cs="Times New Roman"/>
          <w:szCs w:val="24"/>
        </w:rPr>
        <w:t xml:space="preserve"> severity </w:t>
      </w:r>
      <w:r w:rsidR="00C16278" w:rsidRPr="00C16278">
        <w:rPr>
          <w:rFonts w:ascii="Times New Roman" w:hAnsi="Times New Roman" w:cs="Times New Roman"/>
          <w:szCs w:val="24"/>
        </w:rPr>
        <w:t>and causality of the event.</w:t>
      </w:r>
    </w:p>
    <w:p w14:paraId="1885E16E" w14:textId="134DF141" w:rsidR="009A4754" w:rsidRPr="00C16278" w:rsidRDefault="009A4754" w:rsidP="00C16278">
      <w:pPr>
        <w:shd w:val="clear" w:color="auto" w:fill="FFFFFF"/>
        <w:spacing w:before="240" w:after="120" w:line="480" w:lineRule="auto"/>
        <w:jc w:val="both"/>
        <w:rPr>
          <w:rFonts w:ascii="Times New Roman" w:hAnsi="Times New Roman" w:cs="Times New Roman"/>
          <w:bCs/>
          <w:szCs w:val="24"/>
        </w:rPr>
      </w:pPr>
      <w:r w:rsidRPr="00C16278">
        <w:rPr>
          <w:rFonts w:ascii="Times New Roman" w:hAnsi="Times New Roman" w:cs="Times New Roman"/>
          <w:bCs/>
          <w:szCs w:val="24"/>
        </w:rPr>
        <w:t>Sa</w:t>
      </w:r>
      <w:r w:rsidR="00C16278" w:rsidRPr="00C16278">
        <w:rPr>
          <w:rFonts w:ascii="Times New Roman" w:hAnsi="Times New Roman" w:cs="Times New Roman"/>
          <w:bCs/>
          <w:szCs w:val="24"/>
        </w:rPr>
        <w:t xml:space="preserve">fety and data monitoring </w:t>
      </w:r>
      <w:proofErr w:type="spellStart"/>
      <w:r w:rsidR="00C16278" w:rsidRPr="00C16278">
        <w:rPr>
          <w:rFonts w:ascii="Times New Roman" w:hAnsi="Times New Roman" w:cs="Times New Roman"/>
          <w:bCs/>
          <w:szCs w:val="24"/>
        </w:rPr>
        <w:t>wias</w:t>
      </w:r>
      <w:proofErr w:type="spellEnd"/>
      <w:r w:rsidRPr="00C16278">
        <w:rPr>
          <w:rFonts w:ascii="Times New Roman" w:hAnsi="Times New Roman" w:cs="Times New Roman"/>
          <w:bCs/>
          <w:szCs w:val="24"/>
        </w:rPr>
        <w:t xml:space="preserve"> carried out as per current ICH GCP, Indian GCP guidelines and G.S.R. 227(E), as applicable.</w:t>
      </w:r>
      <w:r w:rsidR="00C16278" w:rsidRPr="00C16278">
        <w:rPr>
          <w:rFonts w:ascii="Times New Roman" w:hAnsi="Times New Roman" w:cs="Times New Roman"/>
          <w:bCs/>
          <w:szCs w:val="24"/>
        </w:rPr>
        <w:t xml:space="preserve"> The principal investigator </w:t>
      </w:r>
      <w:r w:rsidRPr="00C16278">
        <w:rPr>
          <w:rFonts w:ascii="Times New Roman" w:hAnsi="Times New Roman" w:cs="Times New Roman"/>
          <w:bCs/>
          <w:szCs w:val="24"/>
        </w:rPr>
        <w:t>report</w:t>
      </w:r>
      <w:r w:rsidR="00C16278" w:rsidRPr="00C16278">
        <w:rPr>
          <w:rFonts w:ascii="Times New Roman" w:hAnsi="Times New Roman" w:cs="Times New Roman"/>
          <w:bCs/>
          <w:szCs w:val="24"/>
        </w:rPr>
        <w:t xml:space="preserve">ed/ will report </w:t>
      </w:r>
      <w:r w:rsidRPr="00C16278">
        <w:rPr>
          <w:rFonts w:ascii="Times New Roman" w:hAnsi="Times New Roman" w:cs="Times New Roman"/>
          <w:bCs/>
          <w:szCs w:val="24"/>
        </w:rPr>
        <w:t>safety issues to IEC and the sponsor periodically and as per regulatory requirement, until follow up visit of last subject.</w:t>
      </w:r>
    </w:p>
    <w:p w14:paraId="2CD555F4" w14:textId="75B5198F" w:rsidR="003D0824" w:rsidRPr="00941787" w:rsidRDefault="003D0824">
      <w:pPr>
        <w:rPr>
          <w:rFonts w:ascii="Times New Roman" w:hAnsi="Times New Roman" w:cs="Times New Roman"/>
          <w:szCs w:val="24"/>
        </w:rPr>
      </w:pPr>
      <w:r w:rsidRPr="00941787">
        <w:rPr>
          <w:rFonts w:ascii="Times New Roman" w:hAnsi="Times New Roman" w:cs="Times New Roman"/>
          <w:szCs w:val="24"/>
        </w:rPr>
        <w:br w:type="page"/>
      </w:r>
    </w:p>
    <w:p w14:paraId="3FA2784A" w14:textId="77777777" w:rsidR="008A740C" w:rsidRPr="00941787" w:rsidRDefault="008A740C">
      <w:pPr>
        <w:rPr>
          <w:rFonts w:ascii="Times New Roman" w:hAnsi="Times New Roman" w:cs="Times New Roman"/>
          <w:szCs w:val="24"/>
        </w:rPr>
      </w:pPr>
    </w:p>
    <w:p w14:paraId="05F5E545" w14:textId="77777777" w:rsidR="00F71314" w:rsidRPr="00941787" w:rsidRDefault="00F71314" w:rsidP="00F71314">
      <w:pPr>
        <w:spacing w:line="480" w:lineRule="auto"/>
        <w:rPr>
          <w:rFonts w:ascii="Times New Roman" w:hAnsi="Times New Roman" w:cs="Times New Roman"/>
          <w:b/>
          <w:bCs/>
          <w:szCs w:val="24"/>
          <w:lang w:val="en-GB"/>
        </w:rPr>
      </w:pPr>
      <w:r w:rsidRPr="00941787">
        <w:rPr>
          <w:rFonts w:ascii="Times New Roman" w:hAnsi="Times New Roman" w:cs="Times New Roman"/>
          <w:b/>
          <w:bCs/>
          <w:szCs w:val="24"/>
          <w:lang w:val="en-GB"/>
        </w:rPr>
        <w:t>Immunogenicity Analysis</w:t>
      </w:r>
    </w:p>
    <w:p w14:paraId="6FCD6254" w14:textId="53AF44F9" w:rsidR="00F71314" w:rsidRPr="00941787" w:rsidRDefault="00F71314" w:rsidP="00F71314">
      <w:pPr>
        <w:spacing w:line="480" w:lineRule="auto"/>
        <w:rPr>
          <w:rFonts w:ascii="Times New Roman" w:hAnsi="Times New Roman" w:cs="Times New Roman"/>
          <w:b/>
          <w:bCs/>
          <w:szCs w:val="24"/>
          <w:lang w:val="en-GB"/>
        </w:rPr>
      </w:pPr>
      <w:r w:rsidRPr="00941787">
        <w:rPr>
          <w:rFonts w:ascii="Times New Roman" w:hAnsi="Times New Roman" w:cs="Times New Roman"/>
          <w:szCs w:val="24"/>
          <w:lang w:val="en-GB"/>
        </w:rPr>
        <w:t>Humoral immune responses were evaluated by following methods:</w:t>
      </w:r>
    </w:p>
    <w:p w14:paraId="35421BF7" w14:textId="5F5D5D44" w:rsidR="00F71314" w:rsidRPr="00941787" w:rsidRDefault="00F71314" w:rsidP="00F71314">
      <w:pPr>
        <w:pStyle w:val="BodyText12"/>
        <w:numPr>
          <w:ilvl w:val="0"/>
          <w:numId w:val="1"/>
        </w:numPr>
        <w:spacing w:line="480" w:lineRule="auto"/>
        <w:rPr>
          <w:szCs w:val="24"/>
          <w:lang w:val="en-GB"/>
        </w:rPr>
      </w:pPr>
      <w:r w:rsidRPr="00941787">
        <w:rPr>
          <w:szCs w:val="24"/>
          <w:lang w:val="en-GB"/>
        </w:rPr>
        <w:t xml:space="preserve">Anti-RBD Antibody response: Anti-RBD IgG concentration in the subject sera samples were measured at pre-vaccination (Day-0), post first dose (Day-28) and at multiple time-points post second dose (Day-42, Day-56, Day-208) using a validated </w:t>
      </w:r>
      <w:r w:rsidR="00D529A1" w:rsidRPr="00941787">
        <w:rPr>
          <w:szCs w:val="24"/>
          <w:lang w:val="en-GB"/>
        </w:rPr>
        <w:t>enzyme linked immunosorbent assay (</w:t>
      </w:r>
      <w:r w:rsidRPr="00941787">
        <w:rPr>
          <w:szCs w:val="24"/>
          <w:lang w:val="en-GB"/>
        </w:rPr>
        <w:t>ELISA</w:t>
      </w:r>
      <w:r w:rsidR="00D529A1" w:rsidRPr="00941787">
        <w:rPr>
          <w:szCs w:val="24"/>
          <w:lang w:val="en-GB"/>
        </w:rPr>
        <w:t>)</w:t>
      </w:r>
      <w:r w:rsidRPr="00941787">
        <w:rPr>
          <w:szCs w:val="24"/>
          <w:lang w:val="en-GB"/>
        </w:rPr>
        <w:t xml:space="preserve"> method executed at </w:t>
      </w:r>
      <w:proofErr w:type="spellStart"/>
      <w:r w:rsidRPr="00941787">
        <w:rPr>
          <w:szCs w:val="24"/>
          <w:lang w:val="en-GB"/>
        </w:rPr>
        <w:t>Dang’s</w:t>
      </w:r>
      <w:proofErr w:type="spellEnd"/>
      <w:r w:rsidRPr="00941787">
        <w:rPr>
          <w:szCs w:val="24"/>
          <w:lang w:val="en-GB"/>
        </w:rPr>
        <w:t xml:space="preserve"> Lab, New Delhi, India. A monoclonal antibody, CR-3022 supplied by Lake Pharma Inc, CA, USA, that binds specifically to the RBD protein was used to generate standard curve of ELISA OD response vs. antibody concentrations. ELISA concentration equivalent to 1 ng/mL of CR-3022 antibody binding concentration was assigned concentration of </w:t>
      </w:r>
      <w:r w:rsidR="006B1CCA" w:rsidRPr="00941787">
        <w:rPr>
          <w:szCs w:val="24"/>
          <w:lang w:val="en-GB"/>
        </w:rPr>
        <w:t>1</w:t>
      </w:r>
      <w:r w:rsidRPr="00941787">
        <w:rPr>
          <w:szCs w:val="24"/>
          <w:lang w:val="en-GB"/>
        </w:rPr>
        <w:t xml:space="preserve"> anti-RBD ELISA Unit/mL and thus anti-RBD IgG concentration in the sera samples were reported in EU/mL. </w:t>
      </w:r>
      <w:r w:rsidR="00227195" w:rsidRPr="00941787">
        <w:rPr>
          <w:szCs w:val="24"/>
          <w:lang w:val="en-GB"/>
        </w:rPr>
        <w:t xml:space="preserve">The </w:t>
      </w:r>
      <w:r w:rsidR="001A3451" w:rsidRPr="00941787">
        <w:rPr>
          <w:szCs w:val="24"/>
        </w:rPr>
        <w:t xml:space="preserve">National Institute for Biological Standards and Control, UK </w:t>
      </w:r>
      <w:r w:rsidRPr="00941787">
        <w:rPr>
          <w:szCs w:val="24"/>
          <w:lang w:val="en-GB"/>
        </w:rPr>
        <w:t>plasma reference standard 20/130 was used as a positive control on all the plates with a control range of (</w:t>
      </w:r>
      <w:r w:rsidR="00227195" w:rsidRPr="00941787">
        <w:rPr>
          <w:b/>
          <w:bCs/>
          <w:szCs w:val="24"/>
          <w:lang w:val="en-IN"/>
        </w:rPr>
        <w:t>8151</w:t>
      </w:r>
      <w:r w:rsidR="00227195" w:rsidRPr="00941787">
        <w:rPr>
          <w:szCs w:val="24"/>
          <w:lang w:val="en-IN"/>
        </w:rPr>
        <w:t xml:space="preserve"> to </w:t>
      </w:r>
      <w:r w:rsidR="00227195" w:rsidRPr="00941787">
        <w:rPr>
          <w:b/>
          <w:bCs/>
          <w:szCs w:val="24"/>
          <w:lang w:val="en-IN"/>
        </w:rPr>
        <w:t>15137</w:t>
      </w:r>
      <w:r w:rsidR="00227195" w:rsidRPr="00941787">
        <w:rPr>
          <w:szCs w:val="24"/>
          <w:lang w:val="en-IN"/>
        </w:rPr>
        <w:t xml:space="preserve"> </w:t>
      </w:r>
      <w:r w:rsidRPr="00941787">
        <w:rPr>
          <w:szCs w:val="24"/>
          <w:lang w:val="en-GB"/>
        </w:rPr>
        <w:t>EU/mL) for validity consideration</w:t>
      </w:r>
      <w:r w:rsidR="001A3451" w:rsidRPr="00941787">
        <w:rPr>
          <w:szCs w:val="24"/>
          <w:lang w:val="en-GB"/>
        </w:rPr>
        <w:fldChar w:fldCharType="begin"/>
      </w:r>
      <w:r w:rsidR="00112728" w:rsidRPr="00941787">
        <w:rPr>
          <w:szCs w:val="24"/>
          <w:lang w:val="en-GB"/>
        </w:rPr>
        <w:instrText xml:space="preserve"> ADDIN EN.CITE &lt;EndNote&gt;&lt;Cite&gt;&lt;Author&gt;NIBSC&lt;/Author&gt;&lt;RecNum&gt;5446&lt;/RecNum&gt;&lt;DisplayText&gt;&lt;style face="superscript"&gt;1&lt;/style&gt;&lt;/DisplayText&gt;&lt;record&gt;&lt;rec-number&gt;5446&lt;/rec-number&gt;&lt;foreign-keys&gt;&lt;key app="EN" db-id="xf55vvz2df590tepzscvfsr10exf5pvww2zz" timestamp="1643964534" guid="eae69788-0c68-4dd8-b1bd-c1e3d388e107"&gt;5446&lt;/key&gt;&lt;/foreign-keys&gt;&lt;ref-type name="Pamphlet"&gt;24&lt;/ref-type&gt;&lt;contributors&gt;&lt;authors&gt;&lt;author&gt;NIBSC&lt;/author&gt;&lt;/authors&gt;&lt;/contributors&gt;&lt;titles&gt;&lt;title&gt;Data Sheet -Research reagent for anti-SARS-CoV-2 Ab NIBSC code 20/130&lt;/title&gt;&lt;/titles&gt;&lt;dates&gt;&lt;/dates&gt;&lt;urls&gt;&lt;related-urls&gt;&lt;url&gt;https://www.nibsc.org/documents/ifu/20-130.pdf&lt;/url&gt;&lt;/related-urls&gt;&lt;/urls&gt;&lt;/record&gt;&lt;/Cite&gt;&lt;/EndNote&gt;</w:instrText>
      </w:r>
      <w:r w:rsidR="001A3451" w:rsidRPr="00941787">
        <w:rPr>
          <w:szCs w:val="24"/>
          <w:lang w:val="en-GB"/>
        </w:rPr>
        <w:fldChar w:fldCharType="separate"/>
      </w:r>
      <w:r w:rsidR="00112728" w:rsidRPr="00941787">
        <w:rPr>
          <w:noProof/>
          <w:szCs w:val="24"/>
          <w:vertAlign w:val="superscript"/>
          <w:lang w:val="en-GB"/>
        </w:rPr>
        <w:t>1</w:t>
      </w:r>
      <w:r w:rsidR="001A3451" w:rsidRPr="00941787">
        <w:rPr>
          <w:szCs w:val="24"/>
          <w:lang w:val="en-GB"/>
        </w:rPr>
        <w:fldChar w:fldCharType="end"/>
      </w:r>
      <w:r w:rsidRPr="00941787">
        <w:rPr>
          <w:szCs w:val="24"/>
          <w:lang w:val="en-GB"/>
        </w:rPr>
        <w:t>. Geometric means were calculated for various subject cohorts at specific time-points and fold</w:t>
      </w:r>
      <w:r w:rsidR="00656560" w:rsidRPr="00941787">
        <w:rPr>
          <w:szCs w:val="24"/>
          <w:lang w:val="en-GB"/>
        </w:rPr>
        <w:t xml:space="preserve"> rise</w:t>
      </w:r>
      <w:r w:rsidRPr="00941787">
        <w:rPr>
          <w:szCs w:val="24"/>
          <w:lang w:val="en-GB"/>
        </w:rPr>
        <w:t xml:space="preserve"> in anti-RBD concentrations for all time-points post start of vaccination were calculated in relation to the pre-vaccination concentrations and then </w:t>
      </w:r>
      <w:r w:rsidR="009A543D" w:rsidRPr="00941787">
        <w:rPr>
          <w:szCs w:val="24"/>
          <w:lang w:val="en-GB"/>
        </w:rPr>
        <w:t>geometric mean fold rise</w:t>
      </w:r>
      <w:r w:rsidRPr="00941787">
        <w:rPr>
          <w:szCs w:val="24"/>
          <w:lang w:val="en-GB"/>
        </w:rPr>
        <w:t xml:space="preserve"> (GMFR) were calculated for each cohort. </w:t>
      </w:r>
    </w:p>
    <w:p w14:paraId="4437987D" w14:textId="5BC53FEF" w:rsidR="00F71314" w:rsidRPr="00941787" w:rsidRDefault="00F71314" w:rsidP="00F71314">
      <w:pPr>
        <w:pStyle w:val="BodyText12"/>
        <w:numPr>
          <w:ilvl w:val="0"/>
          <w:numId w:val="1"/>
        </w:numPr>
        <w:spacing w:line="480" w:lineRule="auto"/>
        <w:rPr>
          <w:szCs w:val="24"/>
          <w:lang w:val="en-GB"/>
        </w:rPr>
      </w:pPr>
      <w:r w:rsidRPr="00941787">
        <w:rPr>
          <w:szCs w:val="24"/>
          <w:lang w:val="en-GB"/>
        </w:rPr>
        <w:t xml:space="preserve">Anti-RBD IgG subclass response: Anti-RBD IgG1 and IgG4 subclass </w:t>
      </w:r>
      <w:proofErr w:type="spellStart"/>
      <w:r w:rsidRPr="00941787">
        <w:rPr>
          <w:szCs w:val="24"/>
          <w:lang w:val="en-GB"/>
        </w:rPr>
        <w:t>titers</w:t>
      </w:r>
      <w:proofErr w:type="spellEnd"/>
      <w:r w:rsidRPr="00941787">
        <w:rPr>
          <w:szCs w:val="24"/>
          <w:lang w:val="en-GB"/>
        </w:rPr>
        <w:t xml:space="preserve"> were measured in the sera samples at pre-vaccination (Day-0), post first dose (Day-28) and at multiple time-points post second dose (Day-42, Day-56) using a validated ELISA method executed at </w:t>
      </w:r>
      <w:proofErr w:type="spellStart"/>
      <w:r w:rsidRPr="00941787">
        <w:rPr>
          <w:szCs w:val="24"/>
          <w:lang w:val="en-GB"/>
        </w:rPr>
        <w:t>Dang’s</w:t>
      </w:r>
      <w:proofErr w:type="spellEnd"/>
      <w:r w:rsidRPr="00941787">
        <w:rPr>
          <w:szCs w:val="24"/>
          <w:lang w:val="en-GB"/>
        </w:rPr>
        <w:t xml:space="preserve"> Lab, New Delhi, India. A pool of sera was prepared with very low anti-RBD IgG concentration from pre-vaccination samples and the threshold ELISA OD for assignment </w:t>
      </w:r>
      <w:r w:rsidRPr="00941787">
        <w:rPr>
          <w:szCs w:val="24"/>
          <w:lang w:val="en-GB"/>
        </w:rPr>
        <w:lastRenderedPageBreak/>
        <w:t>of tit</w:t>
      </w:r>
      <w:r w:rsidR="00AA2EF8" w:rsidRPr="00941787">
        <w:rPr>
          <w:szCs w:val="24"/>
          <w:lang w:val="en-GB"/>
        </w:rPr>
        <w:t>er</w:t>
      </w:r>
      <w:r w:rsidRPr="00941787">
        <w:rPr>
          <w:szCs w:val="24"/>
          <w:lang w:val="en-GB"/>
        </w:rPr>
        <w:t xml:space="preserve"> was calculated as </w:t>
      </w:r>
      <w:r w:rsidR="009A543D" w:rsidRPr="00941787">
        <w:rPr>
          <w:szCs w:val="24"/>
          <w:lang w:val="en-GB"/>
        </w:rPr>
        <w:t>threshold OD</w:t>
      </w:r>
      <w:r w:rsidRPr="00941787">
        <w:rPr>
          <w:szCs w:val="24"/>
          <w:lang w:val="en-GB"/>
        </w:rPr>
        <w:t xml:space="preserve"> = Average of blank pool OD + 5.56*standard deviation. Each sera sample was tested as a series of two-fold dilutions (starting from 50-Fold) and the dilution that resulted in OD higher than the threshold OD was assigned as the IgG1 or IgG4 titer. Geometric means were calculated for various subject cohorts at specific time-points and fold</w:t>
      </w:r>
      <w:r w:rsidR="00656560" w:rsidRPr="00941787">
        <w:rPr>
          <w:szCs w:val="24"/>
          <w:lang w:val="en-GB"/>
        </w:rPr>
        <w:t xml:space="preserve"> rise</w:t>
      </w:r>
      <w:r w:rsidRPr="00941787">
        <w:rPr>
          <w:szCs w:val="24"/>
          <w:lang w:val="en-GB"/>
        </w:rPr>
        <w:t xml:space="preserve"> and GMFR in anti-RBD IgG1 and IgG4 </w:t>
      </w:r>
      <w:proofErr w:type="spellStart"/>
      <w:r w:rsidRPr="00941787">
        <w:rPr>
          <w:szCs w:val="24"/>
          <w:lang w:val="en-GB"/>
        </w:rPr>
        <w:t>titers</w:t>
      </w:r>
      <w:proofErr w:type="spellEnd"/>
      <w:r w:rsidRPr="00941787">
        <w:rPr>
          <w:szCs w:val="24"/>
          <w:lang w:val="en-GB"/>
        </w:rPr>
        <w:t xml:space="preserve"> for all time-points post vaccination were calculated in relation to the pre-vaccination </w:t>
      </w:r>
      <w:proofErr w:type="spellStart"/>
      <w:r w:rsidRPr="00941787">
        <w:rPr>
          <w:szCs w:val="24"/>
          <w:lang w:val="en-GB"/>
        </w:rPr>
        <w:t>titers</w:t>
      </w:r>
      <w:proofErr w:type="spellEnd"/>
      <w:r w:rsidRPr="00941787">
        <w:rPr>
          <w:szCs w:val="24"/>
          <w:lang w:val="en-GB"/>
        </w:rPr>
        <w:t xml:space="preserve">. </w:t>
      </w:r>
    </w:p>
    <w:p w14:paraId="70C927B3" w14:textId="77777777" w:rsidR="00674F5C" w:rsidRPr="00941787" w:rsidRDefault="00F71314" w:rsidP="00680B0D">
      <w:pPr>
        <w:pStyle w:val="BodyText12"/>
        <w:numPr>
          <w:ilvl w:val="0"/>
          <w:numId w:val="1"/>
        </w:numPr>
        <w:spacing w:line="480" w:lineRule="auto"/>
        <w:rPr>
          <w:szCs w:val="24"/>
        </w:rPr>
      </w:pPr>
      <w:r w:rsidRPr="00941787">
        <w:rPr>
          <w:szCs w:val="24"/>
          <w:lang w:val="en-GB"/>
        </w:rPr>
        <w:t xml:space="preserve">SARS-COV-2 Virus Neutralization: SARS-COV-2 neutralizing antibody </w:t>
      </w:r>
      <w:proofErr w:type="spellStart"/>
      <w:r w:rsidRPr="00941787">
        <w:rPr>
          <w:szCs w:val="24"/>
          <w:lang w:val="en-GB"/>
        </w:rPr>
        <w:t>titers</w:t>
      </w:r>
      <w:proofErr w:type="spellEnd"/>
      <w:r w:rsidRPr="00941787">
        <w:rPr>
          <w:szCs w:val="24"/>
          <w:lang w:val="en-GB"/>
        </w:rPr>
        <w:t xml:space="preserve"> (</w:t>
      </w:r>
      <w:proofErr w:type="spellStart"/>
      <w:r w:rsidRPr="00941787">
        <w:rPr>
          <w:szCs w:val="24"/>
          <w:lang w:val="en-GB"/>
        </w:rPr>
        <w:t>nAb</w:t>
      </w:r>
      <w:proofErr w:type="spellEnd"/>
      <w:r w:rsidRPr="00941787">
        <w:rPr>
          <w:szCs w:val="24"/>
          <w:lang w:val="en-GB"/>
        </w:rPr>
        <w:t xml:space="preserve"> </w:t>
      </w:r>
      <w:proofErr w:type="spellStart"/>
      <w:r w:rsidRPr="00941787">
        <w:rPr>
          <w:szCs w:val="24"/>
          <w:lang w:val="en-GB"/>
        </w:rPr>
        <w:t>titers</w:t>
      </w:r>
      <w:proofErr w:type="spellEnd"/>
      <w:r w:rsidRPr="00941787">
        <w:rPr>
          <w:szCs w:val="24"/>
          <w:lang w:val="en-GB"/>
        </w:rPr>
        <w:t xml:space="preserve">) were measured via </w:t>
      </w:r>
      <w:r w:rsidR="006B1CCA" w:rsidRPr="00941787">
        <w:rPr>
          <w:szCs w:val="24"/>
          <w:lang w:val="en-GB"/>
        </w:rPr>
        <w:t>2</w:t>
      </w:r>
      <w:r w:rsidRPr="00941787">
        <w:rPr>
          <w:szCs w:val="24"/>
          <w:lang w:val="en-GB"/>
        </w:rPr>
        <w:t xml:space="preserve"> different methods</w:t>
      </w:r>
      <w:r w:rsidR="00D40189" w:rsidRPr="00941787">
        <w:rPr>
          <w:szCs w:val="24"/>
          <w:lang w:val="en-GB"/>
        </w:rPr>
        <w:fldChar w:fldCharType="begin"/>
      </w:r>
      <w:r w:rsidR="00D40189" w:rsidRPr="00941787">
        <w:rPr>
          <w:szCs w:val="24"/>
          <w:lang w:val="en-GB"/>
        </w:rPr>
        <w:instrText xml:space="preserve"> ADDIN EN.CITE &lt;EndNote&gt;&lt;Cite&gt;&lt;Author&gt;Bewley&lt;/Author&gt;&lt;Year&gt;2021&lt;/Year&gt;&lt;RecNum&gt;2537&lt;/RecNum&gt;&lt;DisplayText&gt;&lt;style face="superscript"&gt;2&lt;/style&gt;&lt;/DisplayText&gt;&lt;record&gt;&lt;rec-number&gt;2537&lt;/rec-number&gt;&lt;foreign-keys&gt;&lt;key app="EN" db-id="xf55vvz2df590tepzscvfsr10exf5pvww2zz" timestamp="1643093774" guid="57a8f45f-56bd-4b92-99b3-ef138950bdda"&gt;2537&lt;/key&gt;&lt;/foreign-keys&gt;&lt;ref-type name="Journal Article"&gt;17&lt;/ref-type&gt;&lt;contributors&gt;&lt;authors&gt;&lt;author&gt;Bewley, Kevin R.&lt;/author&gt;&lt;author&gt;Coombes, Naomi S.&lt;/author&gt;&lt;author&gt;Gagnon, Luc&lt;/author&gt;&lt;author&gt;McInroy, Lorna&lt;/author&gt;&lt;author&gt;Baker, Natalie&lt;/author&gt;&lt;author&gt;Shaik, Imam&lt;/author&gt;&lt;author&gt;St-Jean, Julien R.&lt;/author&gt;&lt;author&gt;St-Amant, Natalie&lt;/author&gt;&lt;author&gt;Buttigieg, Karen R.&lt;/author&gt;&lt;author&gt;Humphries, Holly E.&lt;/author&gt;&lt;author&gt;Godwin, Kerry J.&lt;/author&gt;&lt;author&gt;Brunt, Emily&lt;/author&gt;&lt;author&gt;Allen, Lauren&lt;/author&gt;&lt;author&gt;Leung, Stephanie&lt;/author&gt;&lt;author&gt;Brown, Phillip J.&lt;/author&gt;&lt;author&gt;Penn, Elizabeth J.&lt;/author&gt;&lt;author&gt;Thomas, Kelly&lt;/author&gt;&lt;author&gt;Kulnis, Greg&lt;/author&gt;&lt;author&gt;Hallis, Bassam&lt;/author&gt;&lt;author&gt;Carroll, Miles&lt;/author&gt;&lt;author&gt;Funnell, Simon&lt;/author&gt;&lt;author&gt;Charlton, Sue&lt;/author&gt;&lt;/authors&gt;&lt;/contributors&gt;&lt;titles&gt;&lt;title&gt;Quantification of SARS-CoV-2 neutralizing antibody by wild-type plaque reduction neutralization, microneutralization and pseudotyped virus neutralization assays&lt;/title&gt;&lt;secondary-title&gt;Nature Protocols&lt;/secondary-title&gt;&lt;/titles&gt;&lt;periodical&gt;&lt;full-title&gt;Nature Protocols&lt;/full-title&gt;&lt;abbr-1&gt;Nat. Protoc.&lt;/abbr-1&gt;&lt;abbr-2&gt;Nat Protoc&lt;/abbr-2&gt;&lt;/periodical&gt;&lt;pages&gt;3114-3140&lt;/pages&gt;&lt;volume&gt;16&lt;/volume&gt;&lt;number&gt;6&lt;/number&gt;&lt;dates&gt;&lt;year&gt;2021&lt;/year&gt;&lt;pub-dates&gt;&lt;date&gt;2021/06/01&lt;/date&gt;&lt;/pub-dates&gt;&lt;/dates&gt;&lt;isbn&gt;1750-2799&lt;/isbn&gt;&lt;urls&gt;&lt;related-urls&gt;&lt;url&gt;https://doi.org/10.1038/s41596-021-00536-y&lt;/url&gt;&lt;/related-urls&gt;&lt;/urls&gt;&lt;electronic-resource-num&gt;10.1038/s41596-021-00536-y&lt;/electronic-resource-num&gt;&lt;/record&gt;&lt;/Cite&gt;&lt;/EndNote&gt;</w:instrText>
      </w:r>
      <w:r w:rsidR="00D40189" w:rsidRPr="00941787">
        <w:rPr>
          <w:szCs w:val="24"/>
          <w:lang w:val="en-GB"/>
        </w:rPr>
        <w:fldChar w:fldCharType="separate"/>
      </w:r>
      <w:r w:rsidR="00D40189" w:rsidRPr="00941787">
        <w:rPr>
          <w:noProof/>
          <w:szCs w:val="24"/>
          <w:vertAlign w:val="superscript"/>
          <w:lang w:val="en-GB"/>
        </w:rPr>
        <w:t>2</w:t>
      </w:r>
      <w:r w:rsidR="00D40189" w:rsidRPr="00941787">
        <w:rPr>
          <w:szCs w:val="24"/>
          <w:lang w:val="en-GB"/>
        </w:rPr>
        <w:fldChar w:fldCharType="end"/>
      </w:r>
      <w:r w:rsidRPr="00941787">
        <w:rPr>
          <w:szCs w:val="24"/>
          <w:lang w:val="en-GB"/>
        </w:rPr>
        <w:t xml:space="preserve">. </w:t>
      </w:r>
      <w:r w:rsidR="00BD1B9E" w:rsidRPr="00941787">
        <w:rPr>
          <w:szCs w:val="24"/>
          <w:lang w:val="en-GB"/>
        </w:rPr>
        <w:t>Microneutralization Assay (MNA)</w:t>
      </w:r>
      <w:r w:rsidRPr="00941787">
        <w:rPr>
          <w:szCs w:val="24"/>
          <w:lang w:val="en-GB"/>
        </w:rPr>
        <w:t xml:space="preserve"> was employed using Wild-Type SARS-COV-2 strain (Victoria isolate 01/2020). Pseudo virus Neutralization Assay was employed using Vascular </w:t>
      </w:r>
      <w:proofErr w:type="spellStart"/>
      <w:r w:rsidRPr="00941787">
        <w:rPr>
          <w:szCs w:val="24"/>
          <w:lang w:val="en-GB"/>
        </w:rPr>
        <w:t>Stomatis</w:t>
      </w:r>
      <w:proofErr w:type="spellEnd"/>
      <w:r w:rsidRPr="00941787">
        <w:rPr>
          <w:szCs w:val="24"/>
          <w:lang w:val="en-GB"/>
        </w:rPr>
        <w:t xml:space="preserve"> Virus expressing the SARS-COV-2 Spike protein and reporter gene Luciferase. The MNA was conducted at </w:t>
      </w:r>
      <w:r w:rsidR="00BD1B9E" w:rsidRPr="00941787">
        <w:rPr>
          <w:szCs w:val="24"/>
        </w:rPr>
        <w:t>Translational Health Science and Technology Institute (</w:t>
      </w:r>
      <w:r w:rsidRPr="00941787">
        <w:rPr>
          <w:szCs w:val="24"/>
          <w:lang w:val="en-GB"/>
        </w:rPr>
        <w:t>THSTI</w:t>
      </w:r>
      <w:r w:rsidR="00BD1B9E" w:rsidRPr="00941787">
        <w:rPr>
          <w:szCs w:val="24"/>
          <w:lang w:val="en-GB"/>
        </w:rPr>
        <w:t>)</w:t>
      </w:r>
      <w:r w:rsidRPr="00941787">
        <w:rPr>
          <w:szCs w:val="24"/>
          <w:lang w:val="en-GB"/>
        </w:rPr>
        <w:t xml:space="preserve">, Faridabad, India and PNA was conducted at </w:t>
      </w:r>
      <w:r w:rsidR="00870D10" w:rsidRPr="00941787">
        <w:rPr>
          <w:szCs w:val="24"/>
          <w:lang w:val="en-GB"/>
        </w:rPr>
        <w:t>NEXELIS</w:t>
      </w:r>
      <w:r w:rsidRPr="00941787">
        <w:rPr>
          <w:szCs w:val="24"/>
          <w:lang w:val="en-GB"/>
        </w:rPr>
        <w:t xml:space="preserve">, Quebec, Canada; both are </w:t>
      </w:r>
      <w:r w:rsidR="00152E29" w:rsidRPr="00941787">
        <w:rPr>
          <w:szCs w:val="24"/>
        </w:rPr>
        <w:t>Coalition for Epidemic Preparedness Innovation</w:t>
      </w:r>
      <w:r w:rsidR="00152E29" w:rsidRPr="00941787">
        <w:rPr>
          <w:szCs w:val="24"/>
          <w:lang w:val="en-GB"/>
        </w:rPr>
        <w:t xml:space="preserve"> (</w:t>
      </w:r>
      <w:r w:rsidRPr="00941787">
        <w:rPr>
          <w:szCs w:val="24"/>
          <w:lang w:val="en-GB"/>
        </w:rPr>
        <w:t>CEPI-network</w:t>
      </w:r>
      <w:r w:rsidR="00152E29" w:rsidRPr="00941787">
        <w:rPr>
          <w:szCs w:val="24"/>
          <w:lang w:val="en-GB"/>
        </w:rPr>
        <w:t>)</w:t>
      </w:r>
      <w:r w:rsidRPr="00941787">
        <w:rPr>
          <w:szCs w:val="24"/>
          <w:lang w:val="en-GB"/>
        </w:rPr>
        <w:t xml:space="preserve"> labs. The nAb testing was conducted as per methods described previously</w:t>
      </w:r>
      <w:r w:rsidR="00165FA5" w:rsidRPr="00941787">
        <w:rPr>
          <w:szCs w:val="24"/>
          <w:lang w:val="en-GB"/>
        </w:rPr>
        <w:fldChar w:fldCharType="begin"/>
      </w:r>
      <w:r w:rsidR="00165FA5" w:rsidRPr="00941787">
        <w:rPr>
          <w:szCs w:val="24"/>
          <w:lang w:val="en-GB"/>
        </w:rPr>
        <w:instrText xml:space="preserve"> ADDIN EN.CITE &lt;EndNote&gt;&lt;Cite&gt;&lt;Author&gt;Bewley&lt;/Author&gt;&lt;Year&gt;2021&lt;/Year&gt;&lt;RecNum&gt;2537&lt;/RecNum&gt;&lt;DisplayText&gt;&lt;style face="superscript"&gt;2&lt;/style&gt;&lt;/DisplayText&gt;&lt;record&gt;&lt;rec-number&gt;2537&lt;/rec-number&gt;&lt;foreign-keys&gt;&lt;key app="EN" db-id="xf55vvz2df590tepzscvfsr10exf5pvww2zz" timestamp="1643093774" guid="57a8f45f-56bd-4b92-99b3-ef138950bdda"&gt;2537&lt;/key&gt;&lt;/foreign-keys&gt;&lt;ref-type name="Journal Article"&gt;17&lt;/ref-type&gt;&lt;contributors&gt;&lt;authors&gt;&lt;author&gt;Bewley, Kevin R.&lt;/author&gt;&lt;author&gt;Coombes, Naomi S.&lt;/author&gt;&lt;author&gt;Gagnon, Luc&lt;/author&gt;&lt;author&gt;McInroy, Lorna&lt;/author&gt;&lt;author&gt;Baker, Natalie&lt;/author&gt;&lt;author&gt;Shaik, Imam&lt;/author&gt;&lt;author&gt;St-Jean, Julien R.&lt;/author&gt;&lt;author&gt;St-Amant, Natalie&lt;/author&gt;&lt;author&gt;Buttigieg, Karen R.&lt;/author&gt;&lt;author&gt;Humphries, Holly E.&lt;/author&gt;&lt;author&gt;Godwin, Kerry J.&lt;/author&gt;&lt;author&gt;Brunt, Emily&lt;/author&gt;&lt;author&gt;Allen, Lauren&lt;/author&gt;&lt;author&gt;Leung, Stephanie&lt;/author&gt;&lt;author&gt;Brown, Phillip J.&lt;/author&gt;&lt;author&gt;Penn, Elizabeth J.&lt;/author&gt;&lt;author&gt;Thomas, Kelly&lt;/author&gt;&lt;author&gt;Kulnis, Greg&lt;/author&gt;&lt;author&gt;Hallis, Bassam&lt;/author&gt;&lt;author&gt;Carroll, Miles&lt;/author&gt;&lt;author&gt;Funnell, Simon&lt;/author&gt;&lt;author&gt;Charlton, Sue&lt;/author&gt;&lt;/authors&gt;&lt;/contributors&gt;&lt;titles&gt;&lt;title&gt;Quantification of SARS-CoV-2 neutralizing antibody by wild-type plaque reduction neutralization, microneutralization and pseudotyped virus neutralization assays&lt;/title&gt;&lt;secondary-title&gt;Nature Protocols&lt;/secondary-title&gt;&lt;/titles&gt;&lt;periodical&gt;&lt;full-title&gt;Nature Protocols&lt;/full-title&gt;&lt;abbr-1&gt;Nat. Protoc.&lt;/abbr-1&gt;&lt;abbr-2&gt;Nat Protoc&lt;/abbr-2&gt;&lt;/periodical&gt;&lt;pages&gt;3114-3140&lt;/pages&gt;&lt;volume&gt;16&lt;/volume&gt;&lt;number&gt;6&lt;/number&gt;&lt;dates&gt;&lt;year&gt;2021&lt;/year&gt;&lt;pub-dates&gt;&lt;date&gt;2021/06/01&lt;/date&gt;&lt;/pub-dates&gt;&lt;/dates&gt;&lt;isbn&gt;1750-2799&lt;/isbn&gt;&lt;urls&gt;&lt;related-urls&gt;&lt;url&gt;https://doi.org/10.1038/s41596-021-00536-y&lt;/url&gt;&lt;/related-urls&gt;&lt;/urls&gt;&lt;electronic-resource-num&gt;10.1038/s41596-021-00536-y&lt;/electronic-resource-num&gt;&lt;/record&gt;&lt;/Cite&gt;&lt;/EndNote&gt;</w:instrText>
      </w:r>
      <w:r w:rsidR="00165FA5" w:rsidRPr="00941787">
        <w:rPr>
          <w:szCs w:val="24"/>
          <w:lang w:val="en-GB"/>
        </w:rPr>
        <w:fldChar w:fldCharType="separate"/>
      </w:r>
      <w:r w:rsidR="00165FA5" w:rsidRPr="00941787">
        <w:rPr>
          <w:noProof/>
          <w:szCs w:val="24"/>
          <w:vertAlign w:val="superscript"/>
          <w:lang w:val="en-GB"/>
        </w:rPr>
        <w:t>2</w:t>
      </w:r>
      <w:r w:rsidR="00165FA5" w:rsidRPr="00941787">
        <w:rPr>
          <w:szCs w:val="24"/>
          <w:lang w:val="en-GB"/>
        </w:rPr>
        <w:fldChar w:fldCharType="end"/>
      </w:r>
      <w:r w:rsidRPr="00941787">
        <w:rPr>
          <w:szCs w:val="24"/>
          <w:lang w:val="en-GB"/>
        </w:rPr>
        <w:t>. Conversion factors have been established by both the laboratories to enable conversion of the Neutralization Titer (NT</w:t>
      </w:r>
      <w:r w:rsidRPr="00941787">
        <w:rPr>
          <w:szCs w:val="24"/>
          <w:vertAlign w:val="subscript"/>
          <w:lang w:val="en-GB"/>
        </w:rPr>
        <w:t>50</w:t>
      </w:r>
      <w:r w:rsidRPr="00941787">
        <w:rPr>
          <w:szCs w:val="24"/>
          <w:lang w:val="en-GB"/>
        </w:rPr>
        <w:t>) values to WHO-International Standard (NIBSC-20/136) and report the (NT</w:t>
      </w:r>
      <w:r w:rsidRPr="00941787">
        <w:rPr>
          <w:szCs w:val="24"/>
          <w:vertAlign w:val="subscript"/>
          <w:lang w:val="en-GB"/>
        </w:rPr>
        <w:t>50</w:t>
      </w:r>
      <w:r w:rsidRPr="00941787">
        <w:rPr>
          <w:szCs w:val="24"/>
          <w:lang w:val="en-GB"/>
        </w:rPr>
        <w:t xml:space="preserve"> values in International Units/mL</w:t>
      </w:r>
      <w:r w:rsidR="00FF6539" w:rsidRPr="00941787">
        <w:rPr>
          <w:szCs w:val="24"/>
          <w:lang w:val="en-GB"/>
        </w:rPr>
        <w:fldChar w:fldCharType="begin"/>
      </w:r>
      <w:r w:rsidR="00FF6539" w:rsidRPr="00941787">
        <w:rPr>
          <w:szCs w:val="24"/>
          <w:lang w:val="en-GB"/>
        </w:rPr>
        <w:instrText xml:space="preserve"> ADDIN EN.CITE &lt;EndNote&gt;&lt;Cite&gt;&lt;Author&gt;Mattiuzzo&lt;/Author&gt;&lt;Year&gt;2020&lt;/Year&gt;&lt;RecNum&gt;5986&lt;/RecNum&gt;&lt;DisplayText&gt;&lt;style face="superscript"&gt;3&lt;/style&gt;&lt;/DisplayText&gt;&lt;record&gt;&lt;rec-number&gt;5986&lt;/rec-number&gt;&lt;foreign-keys&gt;&lt;key app="EN" db-id="xf55vvz2df590tepzscvfsr10exf5pvww2zz" timestamp="1643970882" guid="aa547a55-5bb7-4a9b-9cfd-9fc9374cd39e"&gt;5986&lt;/key&gt;&lt;/foreign-keys&gt;&lt;ref-type name="Journal Article"&gt;17&lt;/ref-type&gt;&lt;contributors&gt;&lt;authors&gt;&lt;author&gt;Mattiuzzo, Giada&lt;/author&gt;&lt;author&gt;Bentley, Emma M.&lt;/author&gt;&lt;author&gt;Hassall, Mark&lt;/author&gt;&lt;author&gt;Routley, Stephanie&lt;/author&gt;&lt;author&gt;Richardson, S.&lt;/author&gt;&lt;author&gt;Bernasconi, V.&lt;/author&gt;&lt;author&gt;Kristiansen, P.&lt;/author&gt;&lt;author&gt;Harvala, H.&lt;/author&gt;&lt;author&gt;Roberts, D.&lt;/author&gt;&lt;author&gt;Semple, M. G.&lt;/author&gt;&lt;author&gt;Others,&lt;/author&gt;&lt;/authors&gt;&lt;/contributors&gt;&lt;titles&gt;&lt;title&gt;Establishment of the WHO International Standard and Reference Panel for anti-SARS-CoV-2 antibody&lt;/title&gt;&lt;secondary-title&gt;World Health Organization&lt;/secondary-title&gt;&lt;/titles&gt;&lt;periodical&gt;&lt;full-title&gt;World Health Organization&lt;/full-title&gt;&lt;/periodical&gt;&lt;volume&gt;60&lt;/volume&gt;&lt;dates&gt;&lt;year&gt;2020&lt;/year&gt;&lt;pub-dates&gt;&lt;date&gt;2020&lt;/date&gt;&lt;/pub-dates&gt;&lt;/dates&gt;&lt;urls&gt;&lt;related-urls&gt;&lt;url&gt;https://cdn.who.int/media/docs/default-source/biologicals/ecbs/bs-2020-2403-sars-cov-2-ab-ik-17-nov-2020_4ef4fdae-e1ce-4ba7-b21a-d725c68b152b.pdf?sfvrsn=662b46ae_8&amp;amp;download=true&lt;/url&gt;&lt;/related-urls&gt;&lt;/urls&gt;&lt;/record&gt;&lt;/Cite&gt;&lt;/EndNote&gt;</w:instrText>
      </w:r>
      <w:r w:rsidR="00FF6539" w:rsidRPr="00941787">
        <w:rPr>
          <w:szCs w:val="24"/>
          <w:lang w:val="en-GB"/>
        </w:rPr>
        <w:fldChar w:fldCharType="separate"/>
      </w:r>
      <w:r w:rsidR="00FF6539" w:rsidRPr="00941787">
        <w:rPr>
          <w:noProof/>
          <w:szCs w:val="24"/>
          <w:vertAlign w:val="superscript"/>
          <w:lang w:val="en-GB"/>
        </w:rPr>
        <w:t>3</w:t>
      </w:r>
      <w:r w:rsidR="00FF6539" w:rsidRPr="00941787">
        <w:rPr>
          <w:szCs w:val="24"/>
          <w:lang w:val="en-GB"/>
        </w:rPr>
        <w:fldChar w:fldCharType="end"/>
      </w:r>
      <w:r w:rsidRPr="00941787">
        <w:rPr>
          <w:szCs w:val="24"/>
          <w:lang w:val="en-GB"/>
        </w:rPr>
        <w:t xml:space="preserve">. MNA values were divided by 4.064 and PNA values were divided by 1.875 to obtain the </w:t>
      </w:r>
      <w:proofErr w:type="spellStart"/>
      <w:r w:rsidRPr="00941787">
        <w:rPr>
          <w:szCs w:val="24"/>
          <w:lang w:val="en-GB"/>
        </w:rPr>
        <w:t>tit</w:t>
      </w:r>
      <w:r w:rsidR="00AA2EF8" w:rsidRPr="00941787">
        <w:rPr>
          <w:szCs w:val="24"/>
          <w:lang w:val="en-GB"/>
        </w:rPr>
        <w:t>ers</w:t>
      </w:r>
      <w:proofErr w:type="spellEnd"/>
      <w:r w:rsidRPr="00941787">
        <w:rPr>
          <w:szCs w:val="24"/>
          <w:lang w:val="en-GB"/>
        </w:rPr>
        <w:t xml:space="preserve"> in IU/mL when required for comparison. Geometric mean </w:t>
      </w:r>
      <w:proofErr w:type="spellStart"/>
      <w:r w:rsidRPr="00941787">
        <w:rPr>
          <w:szCs w:val="24"/>
          <w:lang w:val="en-GB"/>
        </w:rPr>
        <w:t>tit</w:t>
      </w:r>
      <w:r w:rsidR="00002EDB" w:rsidRPr="00941787">
        <w:rPr>
          <w:szCs w:val="24"/>
          <w:lang w:val="en-GB"/>
        </w:rPr>
        <w:t>ers</w:t>
      </w:r>
      <w:proofErr w:type="spellEnd"/>
      <w:r w:rsidRPr="00941787">
        <w:rPr>
          <w:szCs w:val="24"/>
          <w:lang w:val="en-GB"/>
        </w:rPr>
        <w:t xml:space="preserve"> were calculated at scheduled time</w:t>
      </w:r>
      <w:r w:rsidR="00AA2EF8" w:rsidRPr="00941787">
        <w:rPr>
          <w:szCs w:val="24"/>
          <w:lang w:val="en-GB"/>
        </w:rPr>
        <w:t>-points</w:t>
      </w:r>
      <w:r w:rsidRPr="00941787">
        <w:rPr>
          <w:szCs w:val="24"/>
          <w:lang w:val="en-GB"/>
        </w:rPr>
        <w:t xml:space="preserve"> and </w:t>
      </w:r>
      <w:r w:rsidR="009A543D" w:rsidRPr="00941787">
        <w:rPr>
          <w:szCs w:val="24"/>
          <w:lang w:val="en-GB"/>
        </w:rPr>
        <w:t xml:space="preserve">fold </w:t>
      </w:r>
      <w:r w:rsidR="00656560" w:rsidRPr="00941787">
        <w:rPr>
          <w:szCs w:val="24"/>
          <w:lang w:val="en-GB"/>
        </w:rPr>
        <w:t>Rise</w:t>
      </w:r>
      <w:r w:rsidRPr="00941787">
        <w:rPr>
          <w:szCs w:val="24"/>
          <w:lang w:val="en-GB"/>
        </w:rPr>
        <w:t xml:space="preserve"> from the pre-vaccination values were calculated along with G</w:t>
      </w:r>
      <w:r w:rsidR="00DD3543" w:rsidRPr="00941787">
        <w:rPr>
          <w:szCs w:val="24"/>
          <w:lang w:val="en-GB"/>
        </w:rPr>
        <w:t>MFR</w:t>
      </w:r>
      <w:r w:rsidRPr="00941787">
        <w:rPr>
          <w:szCs w:val="24"/>
          <w:lang w:val="en-GB"/>
        </w:rPr>
        <w:t xml:space="preserve">. Sera samples that did not demonstrate minimum 50% neutralization of the virus at the initial dilution i.e. the of the assay, </w:t>
      </w:r>
      <w:proofErr w:type="spellStart"/>
      <w:r w:rsidRPr="00941787">
        <w:rPr>
          <w:szCs w:val="24"/>
          <w:lang w:val="en-GB"/>
        </w:rPr>
        <w:t>tit</w:t>
      </w:r>
      <w:r w:rsidR="00002EDB" w:rsidRPr="00941787">
        <w:rPr>
          <w:szCs w:val="24"/>
          <w:lang w:val="en-GB"/>
        </w:rPr>
        <w:t>ers</w:t>
      </w:r>
      <w:proofErr w:type="spellEnd"/>
      <w:r w:rsidRPr="00941787">
        <w:rPr>
          <w:szCs w:val="24"/>
          <w:lang w:val="en-GB"/>
        </w:rPr>
        <w:t xml:space="preserve"> were assigned as LLOQ/2. For key GMT/GMC values, 95% Confidence Intervals (95%CI) were also </w:t>
      </w:r>
      <w:r w:rsidRPr="00941787">
        <w:rPr>
          <w:szCs w:val="24"/>
          <w:lang w:val="en-GB"/>
        </w:rPr>
        <w:lastRenderedPageBreak/>
        <w:t>calculated</w:t>
      </w:r>
      <w:r w:rsidRPr="00941787">
        <w:rPr>
          <w:szCs w:val="24"/>
        </w:rPr>
        <w:t>. All the subject sera samples were tested for nAb titers using PNA method in Phase I/II and Phase II study. The subjects that had PNA titers below the LLOQ were considered as sero-negative for analysis while subjects with PNA titers above LLOQ were considered as sero-positive for analysis. Seroconversion rate for anti-RBD IgG concentration and nAb titers were calculated as follows: For sero-negative subjects, ≥4</w:t>
      </w:r>
      <w:r w:rsidRPr="00941787">
        <w:rPr>
          <w:szCs w:val="24"/>
        </w:rPr>
        <w:noBreakHyphen/>
        <w:t>fold</w:t>
      </w:r>
      <w:r w:rsidR="00656560" w:rsidRPr="00941787">
        <w:rPr>
          <w:szCs w:val="24"/>
        </w:rPr>
        <w:t xml:space="preserve"> rise</w:t>
      </w:r>
      <w:r w:rsidRPr="00941787">
        <w:rPr>
          <w:szCs w:val="24"/>
        </w:rPr>
        <w:t xml:space="preserve"> in IgG or nAb titers was considered to be seroconverted while for sero-positive subjects, ≥2</w:t>
      </w:r>
      <w:r w:rsidRPr="00941787">
        <w:rPr>
          <w:szCs w:val="24"/>
        </w:rPr>
        <w:noBreakHyphen/>
        <w:t xml:space="preserve">fold rise in IgG or nAb titers was considered to be seroconverted. </w:t>
      </w:r>
    </w:p>
    <w:p w14:paraId="2929FAD0" w14:textId="039B757E" w:rsidR="00F71314" w:rsidRDefault="00F71314" w:rsidP="00680B0D">
      <w:pPr>
        <w:pStyle w:val="BodyText12"/>
        <w:numPr>
          <w:ilvl w:val="0"/>
          <w:numId w:val="1"/>
        </w:numPr>
        <w:spacing w:line="480" w:lineRule="auto"/>
        <w:rPr>
          <w:szCs w:val="24"/>
        </w:rPr>
      </w:pPr>
      <w:r w:rsidRPr="00941787">
        <w:rPr>
          <w:szCs w:val="24"/>
        </w:rPr>
        <w:t>Cellular immune responses were assessed in a subset of subjects in terms of cytokine secretion in TrueCulture</w:t>
      </w:r>
      <w:r w:rsidRPr="00941787">
        <w:rPr>
          <w:szCs w:val="24"/>
          <w:vertAlign w:val="superscript"/>
        </w:rPr>
        <w:t>®</w:t>
      </w:r>
      <w:r w:rsidRPr="00941787">
        <w:rPr>
          <w:szCs w:val="24"/>
        </w:rPr>
        <w:t xml:space="preserve"> tubes</w:t>
      </w:r>
      <w:r w:rsidR="00662788" w:rsidRPr="00941787">
        <w:rPr>
          <w:szCs w:val="24"/>
        </w:rPr>
        <w:fldChar w:fldCharType="begin"/>
      </w:r>
      <w:r w:rsidR="00FF6539" w:rsidRPr="00941787">
        <w:rPr>
          <w:szCs w:val="24"/>
        </w:rPr>
        <w:instrText xml:space="preserve"> ADDIN EN.CITE &lt;EndNote&gt;&lt;Cite&gt;&lt;Author&gt;Petrovsky&lt;/Author&gt;&lt;Year&gt;1995&lt;/Year&gt;&lt;RecNum&gt;5739&lt;/RecNum&gt;&lt;DisplayText&gt;&lt;style face="superscript"&gt;4&lt;/style&gt;&lt;/DisplayText&gt;&lt;record&gt;&lt;rec-number&gt;5739&lt;/rec-number&gt;&lt;foreign-keys&gt;&lt;key app="EN" db-id="xf55vvz2df590tepzscvfsr10exf5pvww2zz" timestamp="1643966725" guid="04822f30-6bc5-4c95-8e19-4939c634c834"&gt;5739&lt;/key&gt;&lt;/foreign-keys&gt;&lt;ref-type name="Journal Article"&gt;17&lt;/ref-type&gt;&lt;contributors&gt;&lt;authors&gt;&lt;author&gt;Petrovsky, N.&lt;/author&gt;&lt;author&gt;Harrison, L. C.&lt;/author&gt;&lt;/authors&gt;&lt;/contributors&gt;&lt;auth-address&gt;Burnet Clinical Research Unit, Walter and Eliza Hall Institute of Medical Research, Royal Melbourne Hospital, Parkville, Australia.&lt;/auth-address&gt;&lt;titles&gt;&lt;title&gt;Cytokine-based human whole blood assay for the detection of antigen-reactive T cells&lt;/title&gt;&lt;secondary-title&gt;J Immunol Methods&lt;/secondary-title&gt;&lt;/titles&gt;&lt;periodical&gt;&lt;full-title&gt;Journal of Immunological Methods&lt;/full-title&gt;&lt;abbr-1&gt;J. Immunol. Methods&lt;/abbr-1&gt;&lt;abbr-2&gt;J Immunol Methods&lt;/abbr-2&gt;&lt;/periodical&gt;&lt;pages&gt;37-46&lt;/pages&gt;&lt;volume&gt;186&lt;/volume&gt;&lt;number&gt;1&lt;/number&gt;&lt;keywords&gt;&lt;keyword&gt;Blood Preservation&lt;/keyword&gt;&lt;keyword&gt;Circadian Rhythm&lt;/keyword&gt;&lt;keyword&gt;Cytokines/*biosynthesis&lt;/keyword&gt;&lt;keyword&gt;Dose-Response Relationship, Immunologic&lt;/keyword&gt;&lt;keyword&gt;Humans&lt;/keyword&gt;&lt;keyword&gt;Immunity, Cellular&lt;/keyword&gt;&lt;keyword&gt;*Immunologic Techniques&lt;/keyword&gt;&lt;keyword&gt;In Vitro Techniques&lt;/keyword&gt;&lt;keyword&gt;Interferon-gamma/biosynthesis&lt;/keyword&gt;&lt;keyword&gt;Lymphocyte Activation&lt;/keyword&gt;&lt;keyword&gt;T-Lymphocytes/*immunology&lt;/keyword&gt;&lt;keyword&gt;Tetanus Toxoid/immunology&lt;/keyword&gt;&lt;/keywords&gt;&lt;dates&gt;&lt;year&gt;1995&lt;/year&gt;&lt;pub-dates&gt;&lt;date&gt;Oct 12&lt;/date&gt;&lt;/pub-dates&gt;&lt;/dates&gt;&lt;isbn&gt;0022-1759 (Print)&amp;#xD;0022-1759&lt;/isbn&gt;&lt;accession-num&gt;7561146&lt;/accession-num&gt;&lt;urls&gt;&lt;/urls&gt;&lt;electronic-resource-num&gt;10.1016/0022-1759(95)00127-v&lt;/electronic-resource-num&gt;&lt;remote-database-provider&gt;NLM&lt;/remote-database-provider&gt;&lt;language&gt;eng&lt;/language&gt;&lt;/record&gt;&lt;/Cite&gt;&lt;/EndNote&gt;</w:instrText>
      </w:r>
      <w:r w:rsidR="00662788" w:rsidRPr="00941787">
        <w:rPr>
          <w:szCs w:val="24"/>
        </w:rPr>
        <w:fldChar w:fldCharType="separate"/>
      </w:r>
      <w:r w:rsidR="00FF6539" w:rsidRPr="00941787">
        <w:rPr>
          <w:noProof/>
          <w:szCs w:val="24"/>
          <w:vertAlign w:val="superscript"/>
        </w:rPr>
        <w:t>4</w:t>
      </w:r>
      <w:r w:rsidR="00662788" w:rsidRPr="00941787">
        <w:rPr>
          <w:szCs w:val="24"/>
        </w:rPr>
        <w:fldChar w:fldCharType="end"/>
      </w:r>
      <w:r w:rsidRPr="00941787">
        <w:rPr>
          <w:szCs w:val="24"/>
        </w:rPr>
        <w:t>. Whole blood samples from the subjects were incubated in growth medium in TrueCulture</w:t>
      </w:r>
      <w:r w:rsidRPr="00941787">
        <w:rPr>
          <w:szCs w:val="24"/>
          <w:vertAlign w:val="superscript"/>
        </w:rPr>
        <w:t>®</w:t>
      </w:r>
      <w:r w:rsidRPr="00941787">
        <w:rPr>
          <w:szCs w:val="24"/>
        </w:rPr>
        <w:t xml:space="preserve"> tubes coated with SARS-COV-2 Peptides (supplied by Myriad Inc, Texas, USA). The Peripheral Blood Mononuclear Cells present in the blood are stimulated by the peptides that resemble the vaccine antigen and in response to the stimulation the cells produce various cytokines. The culture supernatants were recovered and </w:t>
      </w:r>
      <w:r w:rsidR="006B1CCA" w:rsidRPr="00941787">
        <w:rPr>
          <w:szCs w:val="24"/>
        </w:rPr>
        <w:t>2</w:t>
      </w:r>
      <w:r w:rsidRPr="00941787">
        <w:rPr>
          <w:szCs w:val="24"/>
        </w:rPr>
        <w:t xml:space="preserve"> cytokines; Interferon-gamma and Interlukin-4, secreted in the supernatant were measured by standard ELISA kits supplied by Becton Dickinson, USA. The whole blood stimulation was done at the clinical trial sites and the cytokine ELISA was conducted at </w:t>
      </w:r>
      <w:proofErr w:type="spellStart"/>
      <w:r w:rsidRPr="00941787">
        <w:rPr>
          <w:szCs w:val="24"/>
        </w:rPr>
        <w:t>Dang’s</w:t>
      </w:r>
      <w:proofErr w:type="spellEnd"/>
      <w:r w:rsidRPr="00941787">
        <w:rPr>
          <w:szCs w:val="24"/>
        </w:rPr>
        <w:t xml:space="preserve"> Lab. Cytokine values in pictogram/mL were reported for the sera samples and arithmetic averages were calculated for each cohort</w:t>
      </w:r>
      <w:r w:rsidR="00035AF1" w:rsidRPr="00941787">
        <w:rPr>
          <w:szCs w:val="24"/>
        </w:rPr>
        <w:t>.</w:t>
      </w:r>
    </w:p>
    <w:p w14:paraId="7DF7107A" w14:textId="0A4010E2" w:rsidR="00E532CE" w:rsidRDefault="00E532CE" w:rsidP="00E532CE">
      <w:pPr>
        <w:pStyle w:val="BodyText12"/>
        <w:spacing w:line="480" w:lineRule="auto"/>
        <w:rPr>
          <w:szCs w:val="24"/>
        </w:rPr>
      </w:pPr>
    </w:p>
    <w:p w14:paraId="56D46B9E" w14:textId="2E316B1C" w:rsidR="00E532CE" w:rsidRDefault="00E532CE" w:rsidP="00E532CE">
      <w:pPr>
        <w:pStyle w:val="BodyText12"/>
        <w:spacing w:line="480" w:lineRule="auto"/>
        <w:rPr>
          <w:szCs w:val="24"/>
        </w:rPr>
      </w:pPr>
    </w:p>
    <w:p w14:paraId="38E6DB6D" w14:textId="77777777" w:rsidR="00E532CE" w:rsidRDefault="00E532CE" w:rsidP="00E532CE">
      <w:pPr>
        <w:pStyle w:val="BodyText12"/>
        <w:spacing w:line="480" w:lineRule="auto"/>
        <w:rPr>
          <w:szCs w:val="24"/>
        </w:rPr>
      </w:pPr>
    </w:p>
    <w:p w14:paraId="24F0B57A" w14:textId="33D34971" w:rsidR="008E179B" w:rsidRPr="00941787" w:rsidRDefault="008E179B" w:rsidP="008E179B">
      <w:pPr>
        <w:pStyle w:val="ListParagraph"/>
        <w:numPr>
          <w:ilvl w:val="0"/>
          <w:numId w:val="1"/>
        </w:numPr>
        <w:rPr>
          <w:rFonts w:ascii="Times New Roman" w:eastAsia="Times New Roman" w:hAnsi="Times New Roman" w:cs="Times New Roman"/>
          <w:b/>
          <w:szCs w:val="24"/>
        </w:rPr>
      </w:pPr>
      <w:r w:rsidRPr="00941787">
        <w:rPr>
          <w:rFonts w:ascii="Times New Roman" w:eastAsia="Times New Roman" w:hAnsi="Times New Roman" w:cs="Times New Roman"/>
          <w:b/>
          <w:szCs w:val="24"/>
        </w:rPr>
        <w:lastRenderedPageBreak/>
        <w:t xml:space="preserve">Institutional Ethics Committees (IECs) of </w:t>
      </w:r>
      <w:r w:rsidR="002F56D9">
        <w:rPr>
          <w:rFonts w:ascii="Times New Roman" w:eastAsia="Times New Roman" w:hAnsi="Times New Roman" w:cs="Times New Roman"/>
          <w:b/>
          <w:szCs w:val="24"/>
        </w:rPr>
        <w:t>2</w:t>
      </w:r>
      <w:r w:rsidRPr="00941787">
        <w:rPr>
          <w:rFonts w:ascii="Times New Roman" w:eastAsia="Times New Roman" w:hAnsi="Times New Roman" w:cs="Times New Roman"/>
          <w:b/>
          <w:szCs w:val="24"/>
        </w:rPr>
        <w:t xml:space="preserve">5 study sites for </w:t>
      </w:r>
      <w:r w:rsidR="002F56D9">
        <w:rPr>
          <w:rFonts w:ascii="Times New Roman" w:eastAsia="Times New Roman" w:hAnsi="Times New Roman" w:cs="Times New Roman"/>
          <w:b/>
          <w:szCs w:val="24"/>
        </w:rPr>
        <w:t>phase-2/3</w:t>
      </w:r>
      <w:r w:rsidR="00BD4941" w:rsidRPr="00941787">
        <w:rPr>
          <w:rFonts w:ascii="Times New Roman" w:eastAsia="Times New Roman" w:hAnsi="Times New Roman" w:cs="Times New Roman"/>
          <w:b/>
          <w:szCs w:val="24"/>
        </w:rPr>
        <w:t xml:space="preserve"> (</w:t>
      </w:r>
      <w:r w:rsidR="00774038">
        <w:rPr>
          <w:rFonts w:ascii="Times New Roman" w:eastAsia="Times New Roman" w:hAnsi="Times New Roman" w:cs="Times New Roman"/>
          <w:b/>
          <w:szCs w:val="24"/>
        </w:rPr>
        <w:t>BECT072</w:t>
      </w:r>
      <w:r w:rsidR="00BD4941" w:rsidRPr="00941787">
        <w:rPr>
          <w:rFonts w:ascii="Times New Roman" w:eastAsia="Times New Roman" w:hAnsi="Times New Roman" w:cs="Times New Roman"/>
          <w:b/>
          <w:szCs w:val="24"/>
        </w:rPr>
        <w:t>)</w:t>
      </w:r>
      <w:r w:rsidRPr="00941787">
        <w:rPr>
          <w:rFonts w:ascii="Times New Roman" w:eastAsia="Times New Roman" w:hAnsi="Times New Roman" w:cs="Times New Roman"/>
          <w:b/>
          <w:szCs w:val="24"/>
        </w:rPr>
        <w:t xml:space="preserve"> study </w:t>
      </w:r>
    </w:p>
    <w:tbl>
      <w:tblPr>
        <w:tblW w:w="10383" w:type="dxa"/>
        <w:tblInd w:w="-10" w:type="dxa"/>
        <w:tblLook w:val="04A0" w:firstRow="1" w:lastRow="0" w:firstColumn="1" w:lastColumn="0" w:noHBand="0" w:noVBand="1"/>
      </w:tblPr>
      <w:tblGrid>
        <w:gridCol w:w="703"/>
        <w:gridCol w:w="3806"/>
        <w:gridCol w:w="1258"/>
        <w:gridCol w:w="1320"/>
        <w:gridCol w:w="3296"/>
      </w:tblGrid>
      <w:tr w:rsidR="002F56D9" w:rsidRPr="002F56D9" w14:paraId="18A06BD0" w14:textId="77777777" w:rsidTr="00BD2514">
        <w:trPr>
          <w:trHeight w:val="890"/>
        </w:trPr>
        <w:tc>
          <w:tcPr>
            <w:tcW w:w="7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E8266F" w14:textId="77777777" w:rsidR="002F56D9" w:rsidRPr="002F56D9" w:rsidRDefault="002F56D9" w:rsidP="002F56D9">
            <w:pPr>
              <w:spacing w:after="0" w:line="240" w:lineRule="auto"/>
              <w:rPr>
                <w:rFonts w:ascii="Times New Roman" w:eastAsia="Times New Roman" w:hAnsi="Times New Roman" w:cs="Times New Roman"/>
                <w:b/>
                <w:bCs/>
                <w:color w:val="000000"/>
                <w:szCs w:val="24"/>
                <w:lang w:val="en-IN" w:eastAsia="en-IN"/>
              </w:rPr>
            </w:pPr>
            <w:proofErr w:type="spellStart"/>
            <w:r w:rsidRPr="002F56D9">
              <w:rPr>
                <w:rFonts w:ascii="Times New Roman" w:eastAsia="Times New Roman" w:hAnsi="Times New Roman" w:cs="Times New Roman"/>
                <w:b/>
                <w:bCs/>
                <w:color w:val="000000"/>
                <w:szCs w:val="24"/>
                <w:lang w:val="en-IN" w:eastAsia="en-IN"/>
              </w:rPr>
              <w:t>S.No</w:t>
            </w:r>
            <w:proofErr w:type="spellEnd"/>
          </w:p>
        </w:tc>
        <w:tc>
          <w:tcPr>
            <w:tcW w:w="3806" w:type="dxa"/>
            <w:tcBorders>
              <w:top w:val="single" w:sz="8" w:space="0" w:color="auto"/>
              <w:left w:val="nil"/>
              <w:bottom w:val="single" w:sz="8" w:space="0" w:color="auto"/>
              <w:right w:val="single" w:sz="8" w:space="0" w:color="auto"/>
            </w:tcBorders>
            <w:shd w:val="clear" w:color="auto" w:fill="auto"/>
            <w:noWrap/>
            <w:vAlign w:val="center"/>
            <w:hideMark/>
          </w:tcPr>
          <w:p w14:paraId="61174BBC" w14:textId="77777777" w:rsidR="002F56D9" w:rsidRPr="002F56D9" w:rsidRDefault="002F56D9" w:rsidP="002F56D9">
            <w:pPr>
              <w:spacing w:after="0" w:line="240" w:lineRule="auto"/>
              <w:rPr>
                <w:rFonts w:ascii="Times New Roman" w:eastAsia="Times New Roman" w:hAnsi="Times New Roman" w:cs="Times New Roman"/>
                <w:b/>
                <w:bCs/>
                <w:color w:val="000000"/>
                <w:szCs w:val="24"/>
                <w:lang w:val="en-IN" w:eastAsia="en-IN"/>
              </w:rPr>
            </w:pPr>
            <w:r w:rsidRPr="002F56D9">
              <w:rPr>
                <w:rFonts w:ascii="Times New Roman" w:eastAsia="Times New Roman" w:hAnsi="Times New Roman" w:cs="Times New Roman"/>
                <w:b/>
                <w:bCs/>
                <w:color w:val="000000"/>
                <w:szCs w:val="24"/>
                <w:lang w:val="en-IN" w:eastAsia="en-IN"/>
              </w:rPr>
              <w:t>Ethics Committee Name</w:t>
            </w:r>
          </w:p>
        </w:tc>
        <w:tc>
          <w:tcPr>
            <w:tcW w:w="1258" w:type="dxa"/>
            <w:tcBorders>
              <w:top w:val="single" w:sz="8" w:space="0" w:color="auto"/>
              <w:left w:val="nil"/>
              <w:bottom w:val="single" w:sz="8" w:space="0" w:color="auto"/>
              <w:right w:val="single" w:sz="8" w:space="0" w:color="auto"/>
            </w:tcBorders>
            <w:shd w:val="clear" w:color="auto" w:fill="auto"/>
            <w:noWrap/>
            <w:vAlign w:val="center"/>
            <w:hideMark/>
          </w:tcPr>
          <w:p w14:paraId="55C15C36" w14:textId="77777777" w:rsidR="002F56D9" w:rsidRPr="002F56D9" w:rsidRDefault="002F56D9" w:rsidP="002F56D9">
            <w:pPr>
              <w:spacing w:after="0" w:line="240" w:lineRule="auto"/>
              <w:rPr>
                <w:rFonts w:ascii="Times New Roman" w:eastAsia="Times New Roman" w:hAnsi="Times New Roman" w:cs="Times New Roman"/>
                <w:b/>
                <w:bCs/>
                <w:color w:val="000000"/>
                <w:szCs w:val="24"/>
                <w:lang w:val="en-IN" w:eastAsia="en-IN"/>
              </w:rPr>
            </w:pPr>
            <w:r w:rsidRPr="002F56D9">
              <w:rPr>
                <w:rFonts w:ascii="Times New Roman" w:eastAsia="Times New Roman" w:hAnsi="Times New Roman" w:cs="Times New Roman"/>
                <w:b/>
                <w:bCs/>
                <w:color w:val="000000"/>
                <w:szCs w:val="24"/>
                <w:lang w:val="en-IN" w:eastAsia="en-IN"/>
              </w:rPr>
              <w:t xml:space="preserve">Approval Status </w:t>
            </w:r>
          </w:p>
        </w:tc>
        <w:tc>
          <w:tcPr>
            <w:tcW w:w="1320" w:type="dxa"/>
            <w:tcBorders>
              <w:top w:val="single" w:sz="8" w:space="0" w:color="auto"/>
              <w:left w:val="nil"/>
              <w:bottom w:val="single" w:sz="8" w:space="0" w:color="auto"/>
              <w:right w:val="single" w:sz="8" w:space="0" w:color="auto"/>
            </w:tcBorders>
            <w:shd w:val="clear" w:color="auto" w:fill="auto"/>
            <w:noWrap/>
            <w:vAlign w:val="center"/>
            <w:hideMark/>
          </w:tcPr>
          <w:p w14:paraId="75FB798D" w14:textId="77777777" w:rsidR="002F56D9" w:rsidRPr="002F56D9" w:rsidRDefault="002F56D9" w:rsidP="002F56D9">
            <w:pPr>
              <w:spacing w:after="0" w:line="240" w:lineRule="auto"/>
              <w:rPr>
                <w:rFonts w:ascii="Times New Roman" w:eastAsia="Times New Roman" w:hAnsi="Times New Roman" w:cs="Times New Roman"/>
                <w:b/>
                <w:bCs/>
                <w:color w:val="000000"/>
                <w:szCs w:val="24"/>
                <w:lang w:val="en-IN" w:eastAsia="en-IN"/>
              </w:rPr>
            </w:pPr>
            <w:r w:rsidRPr="002F56D9">
              <w:rPr>
                <w:rFonts w:ascii="Times New Roman" w:eastAsia="Times New Roman" w:hAnsi="Times New Roman" w:cs="Times New Roman"/>
                <w:b/>
                <w:bCs/>
                <w:color w:val="000000"/>
                <w:szCs w:val="24"/>
                <w:lang w:val="en-IN" w:eastAsia="en-IN"/>
              </w:rPr>
              <w:t>EC Approval date</w:t>
            </w:r>
          </w:p>
        </w:tc>
        <w:tc>
          <w:tcPr>
            <w:tcW w:w="3296" w:type="dxa"/>
            <w:tcBorders>
              <w:top w:val="single" w:sz="8" w:space="0" w:color="auto"/>
              <w:left w:val="nil"/>
              <w:bottom w:val="single" w:sz="8" w:space="0" w:color="auto"/>
              <w:right w:val="single" w:sz="8" w:space="0" w:color="auto"/>
            </w:tcBorders>
            <w:shd w:val="clear" w:color="auto" w:fill="auto"/>
            <w:noWrap/>
            <w:vAlign w:val="center"/>
            <w:hideMark/>
          </w:tcPr>
          <w:p w14:paraId="4B7312AE" w14:textId="77777777" w:rsidR="002F56D9" w:rsidRPr="002F56D9" w:rsidRDefault="002F56D9" w:rsidP="002F56D9">
            <w:pPr>
              <w:spacing w:after="0" w:line="240" w:lineRule="auto"/>
              <w:rPr>
                <w:rFonts w:ascii="Times New Roman" w:eastAsia="Times New Roman" w:hAnsi="Times New Roman" w:cs="Times New Roman"/>
                <w:b/>
                <w:bCs/>
                <w:color w:val="000000"/>
                <w:szCs w:val="24"/>
                <w:lang w:val="en-IN" w:eastAsia="en-IN"/>
              </w:rPr>
            </w:pPr>
            <w:r w:rsidRPr="002F56D9">
              <w:rPr>
                <w:rFonts w:ascii="Times New Roman" w:eastAsia="Times New Roman" w:hAnsi="Times New Roman" w:cs="Times New Roman"/>
                <w:b/>
                <w:bCs/>
                <w:color w:val="000000"/>
                <w:szCs w:val="24"/>
                <w:lang w:val="en-IN" w:eastAsia="en-IN"/>
              </w:rPr>
              <w:t>EC Registration No.</w:t>
            </w:r>
          </w:p>
        </w:tc>
      </w:tr>
      <w:tr w:rsidR="002F56D9" w:rsidRPr="002F56D9" w14:paraId="0BD48139" w14:textId="77777777" w:rsidTr="00BD2514">
        <w:trPr>
          <w:trHeight w:val="1183"/>
        </w:trPr>
        <w:tc>
          <w:tcPr>
            <w:tcW w:w="703" w:type="dxa"/>
            <w:tcBorders>
              <w:top w:val="nil"/>
              <w:left w:val="single" w:sz="8" w:space="0" w:color="auto"/>
              <w:bottom w:val="single" w:sz="8" w:space="0" w:color="auto"/>
              <w:right w:val="single" w:sz="8" w:space="0" w:color="auto"/>
            </w:tcBorders>
            <w:shd w:val="clear" w:color="auto" w:fill="auto"/>
            <w:vAlign w:val="center"/>
            <w:hideMark/>
          </w:tcPr>
          <w:p w14:paraId="5D54D2CB"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1</w:t>
            </w:r>
          </w:p>
        </w:tc>
        <w:tc>
          <w:tcPr>
            <w:tcW w:w="3806" w:type="dxa"/>
            <w:tcBorders>
              <w:top w:val="nil"/>
              <w:left w:val="nil"/>
              <w:bottom w:val="single" w:sz="8" w:space="0" w:color="auto"/>
              <w:right w:val="single" w:sz="8" w:space="0" w:color="auto"/>
            </w:tcBorders>
            <w:shd w:val="clear" w:color="auto" w:fill="auto"/>
            <w:vAlign w:val="center"/>
            <w:hideMark/>
          </w:tcPr>
          <w:p w14:paraId="1A27937C"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IEC-Mysore Medical College and Research Institute, Irwin Road, </w:t>
            </w:r>
            <w:proofErr w:type="spellStart"/>
            <w:r w:rsidRPr="002F56D9">
              <w:rPr>
                <w:rFonts w:ascii="Times New Roman" w:eastAsia="Times New Roman" w:hAnsi="Times New Roman" w:cs="Times New Roman"/>
                <w:color w:val="000000"/>
                <w:szCs w:val="24"/>
                <w:lang w:val="en-IN" w:eastAsia="en-IN"/>
              </w:rPr>
              <w:t>Mysuru</w:t>
            </w:r>
            <w:proofErr w:type="spellEnd"/>
            <w:r w:rsidRPr="002F56D9">
              <w:rPr>
                <w:rFonts w:ascii="Times New Roman" w:eastAsia="Times New Roman" w:hAnsi="Times New Roman" w:cs="Times New Roman"/>
                <w:color w:val="000000"/>
                <w:szCs w:val="24"/>
                <w:lang w:val="en-IN" w:eastAsia="en-IN"/>
              </w:rPr>
              <w:t xml:space="preserve"> 57000, Karnataka, India</w:t>
            </w:r>
          </w:p>
        </w:tc>
        <w:tc>
          <w:tcPr>
            <w:tcW w:w="1258" w:type="dxa"/>
            <w:tcBorders>
              <w:top w:val="nil"/>
              <w:left w:val="nil"/>
              <w:bottom w:val="single" w:sz="8" w:space="0" w:color="auto"/>
              <w:right w:val="single" w:sz="8" w:space="0" w:color="auto"/>
            </w:tcBorders>
            <w:shd w:val="clear" w:color="auto" w:fill="auto"/>
            <w:noWrap/>
            <w:vAlign w:val="center"/>
            <w:hideMark/>
          </w:tcPr>
          <w:p w14:paraId="7B51B870"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Approved </w:t>
            </w:r>
          </w:p>
        </w:tc>
        <w:tc>
          <w:tcPr>
            <w:tcW w:w="1320" w:type="dxa"/>
            <w:tcBorders>
              <w:top w:val="nil"/>
              <w:left w:val="nil"/>
              <w:bottom w:val="single" w:sz="8" w:space="0" w:color="auto"/>
              <w:right w:val="single" w:sz="8" w:space="0" w:color="auto"/>
            </w:tcBorders>
            <w:shd w:val="clear" w:color="auto" w:fill="auto"/>
            <w:noWrap/>
            <w:vAlign w:val="center"/>
            <w:hideMark/>
          </w:tcPr>
          <w:p w14:paraId="091D89F7"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08-10-2021</w:t>
            </w:r>
          </w:p>
        </w:tc>
        <w:tc>
          <w:tcPr>
            <w:tcW w:w="3296" w:type="dxa"/>
            <w:tcBorders>
              <w:top w:val="nil"/>
              <w:left w:val="nil"/>
              <w:bottom w:val="single" w:sz="8" w:space="0" w:color="auto"/>
              <w:right w:val="single" w:sz="8" w:space="0" w:color="auto"/>
            </w:tcBorders>
            <w:shd w:val="clear" w:color="auto" w:fill="auto"/>
            <w:noWrap/>
            <w:vAlign w:val="center"/>
            <w:hideMark/>
          </w:tcPr>
          <w:p w14:paraId="4D428426"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ECR/134/</w:t>
            </w:r>
            <w:proofErr w:type="spellStart"/>
            <w:r w:rsidRPr="002F56D9">
              <w:rPr>
                <w:rFonts w:ascii="Times New Roman" w:eastAsia="Times New Roman" w:hAnsi="Times New Roman" w:cs="Times New Roman"/>
                <w:color w:val="000000"/>
                <w:szCs w:val="24"/>
                <w:lang w:val="en-IN" w:eastAsia="en-IN"/>
              </w:rPr>
              <w:t>Inst</w:t>
            </w:r>
            <w:proofErr w:type="spellEnd"/>
            <w:r w:rsidRPr="002F56D9">
              <w:rPr>
                <w:rFonts w:ascii="Times New Roman" w:eastAsia="Times New Roman" w:hAnsi="Times New Roman" w:cs="Times New Roman"/>
                <w:color w:val="000000"/>
                <w:szCs w:val="24"/>
                <w:lang w:val="en-IN" w:eastAsia="en-IN"/>
              </w:rPr>
              <w:t>/KA/2013/RR-19</w:t>
            </w:r>
          </w:p>
        </w:tc>
      </w:tr>
      <w:tr w:rsidR="002F56D9" w:rsidRPr="002F56D9" w14:paraId="6AC16B4D" w14:textId="77777777" w:rsidTr="00BD2514">
        <w:trPr>
          <w:trHeight w:val="1183"/>
        </w:trPr>
        <w:tc>
          <w:tcPr>
            <w:tcW w:w="703" w:type="dxa"/>
            <w:tcBorders>
              <w:top w:val="nil"/>
              <w:left w:val="single" w:sz="8" w:space="0" w:color="auto"/>
              <w:bottom w:val="single" w:sz="8" w:space="0" w:color="auto"/>
              <w:right w:val="single" w:sz="8" w:space="0" w:color="auto"/>
            </w:tcBorders>
            <w:shd w:val="clear" w:color="auto" w:fill="auto"/>
            <w:vAlign w:val="center"/>
            <w:hideMark/>
          </w:tcPr>
          <w:p w14:paraId="726E0BE5"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2</w:t>
            </w:r>
          </w:p>
        </w:tc>
        <w:tc>
          <w:tcPr>
            <w:tcW w:w="3806" w:type="dxa"/>
            <w:tcBorders>
              <w:top w:val="nil"/>
              <w:left w:val="nil"/>
              <w:bottom w:val="single" w:sz="8" w:space="0" w:color="auto"/>
              <w:right w:val="single" w:sz="8" w:space="0" w:color="auto"/>
            </w:tcBorders>
            <w:shd w:val="clear" w:color="auto" w:fill="auto"/>
            <w:vAlign w:val="center"/>
            <w:hideMark/>
          </w:tcPr>
          <w:p w14:paraId="02CB4622"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Institutional Ethics Committee JSS Medical College, JSS Medical College and Hospital, Sri </w:t>
            </w:r>
            <w:proofErr w:type="spellStart"/>
            <w:r w:rsidRPr="002F56D9">
              <w:rPr>
                <w:rFonts w:ascii="Times New Roman" w:eastAsia="Times New Roman" w:hAnsi="Times New Roman" w:cs="Times New Roman"/>
                <w:color w:val="000000"/>
                <w:szCs w:val="24"/>
                <w:lang w:val="en-IN" w:eastAsia="en-IN"/>
              </w:rPr>
              <w:t>Shivarathreeshwara</w:t>
            </w:r>
            <w:proofErr w:type="spellEnd"/>
            <w:r w:rsidRPr="002F56D9">
              <w:rPr>
                <w:rFonts w:ascii="Times New Roman" w:eastAsia="Times New Roman" w:hAnsi="Times New Roman" w:cs="Times New Roman"/>
                <w:color w:val="000000"/>
                <w:szCs w:val="24"/>
                <w:lang w:val="en-IN" w:eastAsia="en-IN"/>
              </w:rPr>
              <w:t xml:space="preserve"> Nagar, </w:t>
            </w:r>
            <w:proofErr w:type="spellStart"/>
            <w:r w:rsidRPr="002F56D9">
              <w:rPr>
                <w:rFonts w:ascii="Times New Roman" w:eastAsia="Times New Roman" w:hAnsi="Times New Roman" w:cs="Times New Roman"/>
                <w:color w:val="000000"/>
                <w:szCs w:val="24"/>
                <w:lang w:val="en-IN" w:eastAsia="en-IN"/>
              </w:rPr>
              <w:t>Mysuru</w:t>
            </w:r>
            <w:proofErr w:type="spellEnd"/>
            <w:r w:rsidRPr="002F56D9">
              <w:rPr>
                <w:rFonts w:ascii="Times New Roman" w:eastAsia="Times New Roman" w:hAnsi="Times New Roman" w:cs="Times New Roman"/>
                <w:color w:val="000000"/>
                <w:szCs w:val="24"/>
                <w:lang w:val="en-IN" w:eastAsia="en-IN"/>
              </w:rPr>
              <w:t xml:space="preserve"> - 570015, Karnataka, India </w:t>
            </w:r>
          </w:p>
        </w:tc>
        <w:tc>
          <w:tcPr>
            <w:tcW w:w="1258" w:type="dxa"/>
            <w:tcBorders>
              <w:top w:val="nil"/>
              <w:left w:val="nil"/>
              <w:bottom w:val="single" w:sz="8" w:space="0" w:color="auto"/>
              <w:right w:val="single" w:sz="8" w:space="0" w:color="auto"/>
            </w:tcBorders>
            <w:shd w:val="clear" w:color="auto" w:fill="auto"/>
            <w:noWrap/>
            <w:vAlign w:val="center"/>
            <w:hideMark/>
          </w:tcPr>
          <w:p w14:paraId="4B4E363B"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Approved </w:t>
            </w:r>
          </w:p>
        </w:tc>
        <w:tc>
          <w:tcPr>
            <w:tcW w:w="1320" w:type="dxa"/>
            <w:tcBorders>
              <w:top w:val="nil"/>
              <w:left w:val="nil"/>
              <w:bottom w:val="single" w:sz="8" w:space="0" w:color="auto"/>
              <w:right w:val="single" w:sz="8" w:space="0" w:color="auto"/>
            </w:tcBorders>
            <w:shd w:val="clear" w:color="auto" w:fill="auto"/>
            <w:noWrap/>
            <w:vAlign w:val="center"/>
            <w:hideMark/>
          </w:tcPr>
          <w:p w14:paraId="128351E7"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05-10-2021</w:t>
            </w:r>
          </w:p>
        </w:tc>
        <w:tc>
          <w:tcPr>
            <w:tcW w:w="3296" w:type="dxa"/>
            <w:tcBorders>
              <w:top w:val="nil"/>
              <w:left w:val="nil"/>
              <w:bottom w:val="single" w:sz="8" w:space="0" w:color="auto"/>
              <w:right w:val="single" w:sz="8" w:space="0" w:color="auto"/>
            </w:tcBorders>
            <w:shd w:val="clear" w:color="auto" w:fill="auto"/>
            <w:noWrap/>
            <w:vAlign w:val="center"/>
            <w:hideMark/>
          </w:tcPr>
          <w:p w14:paraId="52E9B494"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ECR/387/</w:t>
            </w:r>
            <w:proofErr w:type="spellStart"/>
            <w:r w:rsidRPr="002F56D9">
              <w:rPr>
                <w:rFonts w:ascii="Times New Roman" w:eastAsia="Times New Roman" w:hAnsi="Times New Roman" w:cs="Times New Roman"/>
                <w:color w:val="000000"/>
                <w:szCs w:val="24"/>
                <w:lang w:val="en-IN" w:eastAsia="en-IN"/>
              </w:rPr>
              <w:t>Inst</w:t>
            </w:r>
            <w:proofErr w:type="spellEnd"/>
            <w:r w:rsidRPr="002F56D9">
              <w:rPr>
                <w:rFonts w:ascii="Times New Roman" w:eastAsia="Times New Roman" w:hAnsi="Times New Roman" w:cs="Times New Roman"/>
                <w:color w:val="000000"/>
                <w:szCs w:val="24"/>
                <w:lang w:val="en-IN" w:eastAsia="en-IN"/>
              </w:rPr>
              <w:t>/KA/2013/RR-19</w:t>
            </w:r>
          </w:p>
        </w:tc>
      </w:tr>
      <w:tr w:rsidR="002F56D9" w:rsidRPr="002F56D9" w14:paraId="3F5B59A3" w14:textId="77777777" w:rsidTr="00BD2514">
        <w:trPr>
          <w:trHeight w:val="890"/>
        </w:trPr>
        <w:tc>
          <w:tcPr>
            <w:tcW w:w="703" w:type="dxa"/>
            <w:tcBorders>
              <w:top w:val="nil"/>
              <w:left w:val="single" w:sz="8" w:space="0" w:color="auto"/>
              <w:bottom w:val="single" w:sz="8" w:space="0" w:color="auto"/>
              <w:right w:val="single" w:sz="8" w:space="0" w:color="auto"/>
            </w:tcBorders>
            <w:shd w:val="clear" w:color="auto" w:fill="auto"/>
            <w:vAlign w:val="center"/>
            <w:hideMark/>
          </w:tcPr>
          <w:p w14:paraId="193E6B80"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3</w:t>
            </w:r>
          </w:p>
        </w:tc>
        <w:tc>
          <w:tcPr>
            <w:tcW w:w="3806" w:type="dxa"/>
            <w:tcBorders>
              <w:top w:val="nil"/>
              <w:left w:val="nil"/>
              <w:bottom w:val="single" w:sz="8" w:space="0" w:color="auto"/>
              <w:right w:val="single" w:sz="8" w:space="0" w:color="auto"/>
            </w:tcBorders>
            <w:shd w:val="clear" w:color="auto" w:fill="auto"/>
            <w:vAlign w:val="center"/>
            <w:hideMark/>
          </w:tcPr>
          <w:p w14:paraId="0AAED104"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Ethics Committee Guru </w:t>
            </w:r>
            <w:proofErr w:type="spellStart"/>
            <w:r w:rsidRPr="002F56D9">
              <w:rPr>
                <w:rFonts w:ascii="Times New Roman" w:eastAsia="Times New Roman" w:hAnsi="Times New Roman" w:cs="Times New Roman"/>
                <w:color w:val="000000"/>
                <w:szCs w:val="24"/>
                <w:lang w:val="en-IN" w:eastAsia="en-IN"/>
              </w:rPr>
              <w:t>Teg</w:t>
            </w:r>
            <w:proofErr w:type="spellEnd"/>
            <w:r w:rsidRPr="002F56D9">
              <w:rPr>
                <w:rFonts w:ascii="Times New Roman" w:eastAsia="Times New Roman" w:hAnsi="Times New Roman" w:cs="Times New Roman"/>
                <w:color w:val="000000"/>
                <w:szCs w:val="24"/>
                <w:lang w:val="en-IN" w:eastAsia="en-IN"/>
              </w:rPr>
              <w:t xml:space="preserve"> Bahadur Hospital </w:t>
            </w:r>
            <w:proofErr w:type="spellStart"/>
            <w:r w:rsidRPr="002F56D9">
              <w:rPr>
                <w:rFonts w:ascii="Times New Roman" w:eastAsia="Times New Roman" w:hAnsi="Times New Roman" w:cs="Times New Roman"/>
                <w:color w:val="000000"/>
                <w:szCs w:val="24"/>
                <w:lang w:val="en-IN" w:eastAsia="en-IN"/>
              </w:rPr>
              <w:t>Dilshad</w:t>
            </w:r>
            <w:proofErr w:type="spellEnd"/>
            <w:r w:rsidRPr="002F56D9">
              <w:rPr>
                <w:rFonts w:ascii="Times New Roman" w:eastAsia="Times New Roman" w:hAnsi="Times New Roman" w:cs="Times New Roman"/>
                <w:color w:val="000000"/>
                <w:szCs w:val="24"/>
                <w:lang w:val="en-IN" w:eastAsia="en-IN"/>
              </w:rPr>
              <w:t xml:space="preserve"> Garden, Delhi - 110095 India</w:t>
            </w:r>
          </w:p>
        </w:tc>
        <w:tc>
          <w:tcPr>
            <w:tcW w:w="1258" w:type="dxa"/>
            <w:tcBorders>
              <w:top w:val="nil"/>
              <w:left w:val="nil"/>
              <w:bottom w:val="single" w:sz="8" w:space="0" w:color="auto"/>
              <w:right w:val="single" w:sz="8" w:space="0" w:color="auto"/>
            </w:tcBorders>
            <w:shd w:val="clear" w:color="auto" w:fill="auto"/>
            <w:noWrap/>
            <w:vAlign w:val="center"/>
            <w:hideMark/>
          </w:tcPr>
          <w:p w14:paraId="6F952CD0"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Approved </w:t>
            </w:r>
          </w:p>
        </w:tc>
        <w:tc>
          <w:tcPr>
            <w:tcW w:w="1320" w:type="dxa"/>
            <w:tcBorders>
              <w:top w:val="nil"/>
              <w:left w:val="nil"/>
              <w:bottom w:val="single" w:sz="8" w:space="0" w:color="auto"/>
              <w:right w:val="single" w:sz="8" w:space="0" w:color="auto"/>
            </w:tcBorders>
            <w:shd w:val="clear" w:color="auto" w:fill="auto"/>
            <w:noWrap/>
            <w:vAlign w:val="center"/>
            <w:hideMark/>
          </w:tcPr>
          <w:p w14:paraId="48E527C4"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06-10-2021</w:t>
            </w:r>
          </w:p>
        </w:tc>
        <w:tc>
          <w:tcPr>
            <w:tcW w:w="3296" w:type="dxa"/>
            <w:tcBorders>
              <w:top w:val="nil"/>
              <w:left w:val="nil"/>
              <w:bottom w:val="single" w:sz="8" w:space="0" w:color="auto"/>
              <w:right w:val="single" w:sz="8" w:space="0" w:color="auto"/>
            </w:tcBorders>
            <w:shd w:val="clear" w:color="auto" w:fill="auto"/>
            <w:noWrap/>
            <w:vAlign w:val="center"/>
            <w:hideMark/>
          </w:tcPr>
          <w:p w14:paraId="1A335BF4"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ECR/510/</w:t>
            </w:r>
            <w:proofErr w:type="spellStart"/>
            <w:r w:rsidRPr="002F56D9">
              <w:rPr>
                <w:rFonts w:ascii="Times New Roman" w:eastAsia="Times New Roman" w:hAnsi="Times New Roman" w:cs="Times New Roman"/>
                <w:color w:val="000000"/>
                <w:szCs w:val="24"/>
                <w:lang w:val="en-IN" w:eastAsia="en-IN"/>
              </w:rPr>
              <w:t>Inst</w:t>
            </w:r>
            <w:proofErr w:type="spellEnd"/>
            <w:r w:rsidRPr="002F56D9">
              <w:rPr>
                <w:rFonts w:ascii="Times New Roman" w:eastAsia="Times New Roman" w:hAnsi="Times New Roman" w:cs="Times New Roman"/>
                <w:color w:val="000000"/>
                <w:szCs w:val="24"/>
                <w:lang w:val="en-IN" w:eastAsia="en-IN"/>
              </w:rPr>
              <w:t>/DL/2014/RR-20</w:t>
            </w:r>
          </w:p>
        </w:tc>
      </w:tr>
      <w:tr w:rsidR="002F56D9" w:rsidRPr="002F56D9" w14:paraId="79EF935A" w14:textId="77777777" w:rsidTr="00BD2514">
        <w:trPr>
          <w:trHeight w:val="1125"/>
        </w:trPr>
        <w:tc>
          <w:tcPr>
            <w:tcW w:w="703" w:type="dxa"/>
            <w:tcBorders>
              <w:top w:val="nil"/>
              <w:left w:val="single" w:sz="8" w:space="0" w:color="auto"/>
              <w:bottom w:val="single" w:sz="8" w:space="0" w:color="auto"/>
              <w:right w:val="single" w:sz="8" w:space="0" w:color="auto"/>
            </w:tcBorders>
            <w:shd w:val="clear" w:color="auto" w:fill="auto"/>
            <w:vAlign w:val="center"/>
            <w:hideMark/>
          </w:tcPr>
          <w:p w14:paraId="2E8A8C52"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4</w:t>
            </w:r>
          </w:p>
        </w:tc>
        <w:tc>
          <w:tcPr>
            <w:tcW w:w="3806" w:type="dxa"/>
            <w:tcBorders>
              <w:top w:val="nil"/>
              <w:left w:val="nil"/>
              <w:bottom w:val="single" w:sz="8" w:space="0" w:color="auto"/>
              <w:right w:val="single" w:sz="8" w:space="0" w:color="auto"/>
            </w:tcBorders>
            <w:shd w:val="clear" w:color="auto" w:fill="auto"/>
            <w:vAlign w:val="center"/>
            <w:hideMark/>
          </w:tcPr>
          <w:p w14:paraId="1435F1EB"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Institutional Ethics Committee, KLE University KLE University KLE Dr.PK Hospital and MRC, Nehru Nagar, </w:t>
            </w:r>
            <w:proofErr w:type="spellStart"/>
            <w:r w:rsidRPr="002F56D9">
              <w:rPr>
                <w:rFonts w:ascii="Times New Roman" w:eastAsia="Times New Roman" w:hAnsi="Times New Roman" w:cs="Times New Roman"/>
                <w:color w:val="000000"/>
                <w:szCs w:val="24"/>
                <w:lang w:val="en-IN" w:eastAsia="en-IN"/>
              </w:rPr>
              <w:t>Belagavi</w:t>
            </w:r>
            <w:proofErr w:type="spellEnd"/>
            <w:r w:rsidRPr="002F56D9">
              <w:rPr>
                <w:rFonts w:ascii="Times New Roman" w:eastAsia="Times New Roman" w:hAnsi="Times New Roman" w:cs="Times New Roman"/>
                <w:color w:val="000000"/>
                <w:szCs w:val="24"/>
                <w:lang w:val="en-IN" w:eastAsia="en-IN"/>
              </w:rPr>
              <w:t xml:space="preserve"> 590010 Karnataka, India. </w:t>
            </w:r>
          </w:p>
        </w:tc>
        <w:tc>
          <w:tcPr>
            <w:tcW w:w="1258" w:type="dxa"/>
            <w:tcBorders>
              <w:top w:val="nil"/>
              <w:left w:val="nil"/>
              <w:bottom w:val="single" w:sz="8" w:space="0" w:color="auto"/>
              <w:right w:val="single" w:sz="8" w:space="0" w:color="auto"/>
            </w:tcBorders>
            <w:shd w:val="clear" w:color="auto" w:fill="auto"/>
            <w:noWrap/>
            <w:vAlign w:val="center"/>
            <w:hideMark/>
          </w:tcPr>
          <w:p w14:paraId="748E8CD3"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Approved </w:t>
            </w:r>
          </w:p>
        </w:tc>
        <w:tc>
          <w:tcPr>
            <w:tcW w:w="1320" w:type="dxa"/>
            <w:tcBorders>
              <w:top w:val="nil"/>
              <w:left w:val="nil"/>
              <w:bottom w:val="single" w:sz="8" w:space="0" w:color="auto"/>
              <w:right w:val="single" w:sz="8" w:space="0" w:color="auto"/>
            </w:tcBorders>
            <w:shd w:val="clear" w:color="auto" w:fill="auto"/>
            <w:noWrap/>
            <w:vAlign w:val="center"/>
            <w:hideMark/>
          </w:tcPr>
          <w:p w14:paraId="1BBD6D4C"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26-10-2021</w:t>
            </w:r>
          </w:p>
        </w:tc>
        <w:tc>
          <w:tcPr>
            <w:tcW w:w="3296" w:type="dxa"/>
            <w:tcBorders>
              <w:top w:val="nil"/>
              <w:left w:val="nil"/>
              <w:bottom w:val="single" w:sz="8" w:space="0" w:color="auto"/>
              <w:right w:val="single" w:sz="8" w:space="0" w:color="auto"/>
            </w:tcBorders>
            <w:shd w:val="clear" w:color="auto" w:fill="auto"/>
            <w:noWrap/>
            <w:vAlign w:val="center"/>
            <w:hideMark/>
          </w:tcPr>
          <w:p w14:paraId="4D16ACCA"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ECR/211/</w:t>
            </w:r>
            <w:proofErr w:type="spellStart"/>
            <w:r w:rsidRPr="002F56D9">
              <w:rPr>
                <w:rFonts w:ascii="Times New Roman" w:eastAsia="Times New Roman" w:hAnsi="Times New Roman" w:cs="Times New Roman"/>
                <w:color w:val="000000"/>
                <w:szCs w:val="24"/>
                <w:lang w:val="en-IN" w:eastAsia="en-IN"/>
              </w:rPr>
              <w:t>Inst</w:t>
            </w:r>
            <w:proofErr w:type="spellEnd"/>
            <w:r w:rsidRPr="002F56D9">
              <w:rPr>
                <w:rFonts w:ascii="Times New Roman" w:eastAsia="Times New Roman" w:hAnsi="Times New Roman" w:cs="Times New Roman"/>
                <w:color w:val="000000"/>
                <w:szCs w:val="24"/>
                <w:lang w:val="en-IN" w:eastAsia="en-IN"/>
              </w:rPr>
              <w:t>/KA/2013/RR-19</w:t>
            </w:r>
          </w:p>
        </w:tc>
      </w:tr>
      <w:tr w:rsidR="002F56D9" w:rsidRPr="002F56D9" w14:paraId="615ED82A" w14:textId="77777777" w:rsidTr="00BD2514">
        <w:trPr>
          <w:trHeight w:val="1183"/>
        </w:trPr>
        <w:tc>
          <w:tcPr>
            <w:tcW w:w="703" w:type="dxa"/>
            <w:tcBorders>
              <w:top w:val="nil"/>
              <w:left w:val="single" w:sz="8" w:space="0" w:color="auto"/>
              <w:bottom w:val="single" w:sz="8" w:space="0" w:color="auto"/>
              <w:right w:val="single" w:sz="8" w:space="0" w:color="auto"/>
            </w:tcBorders>
            <w:shd w:val="clear" w:color="auto" w:fill="auto"/>
            <w:vAlign w:val="center"/>
            <w:hideMark/>
          </w:tcPr>
          <w:p w14:paraId="76F4D8F4"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5</w:t>
            </w:r>
          </w:p>
        </w:tc>
        <w:tc>
          <w:tcPr>
            <w:tcW w:w="3806" w:type="dxa"/>
            <w:tcBorders>
              <w:top w:val="nil"/>
              <w:left w:val="nil"/>
              <w:bottom w:val="single" w:sz="8" w:space="0" w:color="auto"/>
              <w:right w:val="single" w:sz="8" w:space="0" w:color="auto"/>
            </w:tcBorders>
            <w:shd w:val="clear" w:color="auto" w:fill="auto"/>
            <w:vAlign w:val="center"/>
            <w:hideMark/>
          </w:tcPr>
          <w:p w14:paraId="2A34132F"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proofErr w:type="spellStart"/>
            <w:r w:rsidRPr="002F56D9">
              <w:rPr>
                <w:rFonts w:ascii="Times New Roman" w:eastAsia="Times New Roman" w:hAnsi="Times New Roman" w:cs="Times New Roman"/>
                <w:color w:val="000000"/>
                <w:szCs w:val="24"/>
                <w:lang w:val="en-IN" w:eastAsia="en-IN"/>
              </w:rPr>
              <w:t>Shubham</w:t>
            </w:r>
            <w:proofErr w:type="spellEnd"/>
            <w:r w:rsidRPr="002F56D9">
              <w:rPr>
                <w:rFonts w:ascii="Times New Roman" w:eastAsia="Times New Roman" w:hAnsi="Times New Roman" w:cs="Times New Roman"/>
                <w:color w:val="000000"/>
                <w:szCs w:val="24"/>
                <w:lang w:val="en-IN" w:eastAsia="en-IN"/>
              </w:rPr>
              <w:t xml:space="preserve"> </w:t>
            </w:r>
            <w:proofErr w:type="spellStart"/>
            <w:r w:rsidRPr="002F56D9">
              <w:rPr>
                <w:rFonts w:ascii="Times New Roman" w:eastAsia="Times New Roman" w:hAnsi="Times New Roman" w:cs="Times New Roman"/>
                <w:color w:val="000000"/>
                <w:szCs w:val="24"/>
                <w:lang w:val="en-IN" w:eastAsia="en-IN"/>
              </w:rPr>
              <w:t>Sudbhawana</w:t>
            </w:r>
            <w:proofErr w:type="spellEnd"/>
            <w:r w:rsidRPr="002F56D9">
              <w:rPr>
                <w:rFonts w:ascii="Times New Roman" w:eastAsia="Times New Roman" w:hAnsi="Times New Roman" w:cs="Times New Roman"/>
                <w:color w:val="000000"/>
                <w:szCs w:val="24"/>
                <w:lang w:val="en-IN" w:eastAsia="en-IN"/>
              </w:rPr>
              <w:t xml:space="preserve"> </w:t>
            </w:r>
            <w:proofErr w:type="spellStart"/>
            <w:r w:rsidRPr="002F56D9">
              <w:rPr>
                <w:rFonts w:ascii="Times New Roman" w:eastAsia="Times New Roman" w:hAnsi="Times New Roman" w:cs="Times New Roman"/>
                <w:color w:val="000000"/>
                <w:szCs w:val="24"/>
                <w:lang w:val="en-IN" w:eastAsia="en-IN"/>
              </w:rPr>
              <w:t>Superspeciality</w:t>
            </w:r>
            <w:proofErr w:type="spellEnd"/>
            <w:r w:rsidRPr="002F56D9">
              <w:rPr>
                <w:rFonts w:ascii="Times New Roman" w:eastAsia="Times New Roman" w:hAnsi="Times New Roman" w:cs="Times New Roman"/>
                <w:color w:val="000000"/>
                <w:szCs w:val="24"/>
                <w:lang w:val="en-IN" w:eastAsia="en-IN"/>
              </w:rPr>
              <w:t xml:space="preserve"> Hospital - Ethics Committee, B 31/80, 23B - </w:t>
            </w:r>
            <w:proofErr w:type="spellStart"/>
            <w:r w:rsidRPr="002F56D9">
              <w:rPr>
                <w:rFonts w:ascii="Times New Roman" w:eastAsia="Times New Roman" w:hAnsi="Times New Roman" w:cs="Times New Roman"/>
                <w:color w:val="000000"/>
                <w:szCs w:val="24"/>
                <w:lang w:val="en-IN" w:eastAsia="en-IN"/>
              </w:rPr>
              <w:t>Bhogabeer</w:t>
            </w:r>
            <w:proofErr w:type="spellEnd"/>
            <w:r w:rsidRPr="002F56D9">
              <w:rPr>
                <w:rFonts w:ascii="Times New Roman" w:eastAsia="Times New Roman" w:hAnsi="Times New Roman" w:cs="Times New Roman"/>
                <w:color w:val="000000"/>
                <w:szCs w:val="24"/>
                <w:lang w:val="en-IN" w:eastAsia="en-IN"/>
              </w:rPr>
              <w:t>, Lanka, Varanasi - 221005, Uttar Pradesh, India</w:t>
            </w:r>
          </w:p>
        </w:tc>
        <w:tc>
          <w:tcPr>
            <w:tcW w:w="1258" w:type="dxa"/>
            <w:tcBorders>
              <w:top w:val="nil"/>
              <w:left w:val="nil"/>
              <w:bottom w:val="single" w:sz="8" w:space="0" w:color="auto"/>
              <w:right w:val="single" w:sz="8" w:space="0" w:color="auto"/>
            </w:tcBorders>
            <w:shd w:val="clear" w:color="auto" w:fill="auto"/>
            <w:noWrap/>
            <w:vAlign w:val="center"/>
            <w:hideMark/>
          </w:tcPr>
          <w:p w14:paraId="2AD0C65F"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Approved </w:t>
            </w:r>
          </w:p>
        </w:tc>
        <w:tc>
          <w:tcPr>
            <w:tcW w:w="1320" w:type="dxa"/>
            <w:tcBorders>
              <w:top w:val="nil"/>
              <w:left w:val="nil"/>
              <w:bottom w:val="single" w:sz="8" w:space="0" w:color="auto"/>
              <w:right w:val="single" w:sz="8" w:space="0" w:color="auto"/>
            </w:tcBorders>
            <w:shd w:val="clear" w:color="auto" w:fill="auto"/>
            <w:noWrap/>
            <w:vAlign w:val="center"/>
            <w:hideMark/>
          </w:tcPr>
          <w:p w14:paraId="2656EB40"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09-10-2021</w:t>
            </w:r>
          </w:p>
        </w:tc>
        <w:tc>
          <w:tcPr>
            <w:tcW w:w="3296" w:type="dxa"/>
            <w:tcBorders>
              <w:top w:val="nil"/>
              <w:left w:val="nil"/>
              <w:bottom w:val="single" w:sz="8" w:space="0" w:color="auto"/>
              <w:right w:val="single" w:sz="8" w:space="0" w:color="auto"/>
            </w:tcBorders>
            <w:shd w:val="clear" w:color="auto" w:fill="auto"/>
            <w:noWrap/>
            <w:vAlign w:val="center"/>
            <w:hideMark/>
          </w:tcPr>
          <w:p w14:paraId="6F8BCDB0"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ECR/667/</w:t>
            </w:r>
            <w:proofErr w:type="spellStart"/>
            <w:r w:rsidRPr="002F56D9">
              <w:rPr>
                <w:rFonts w:ascii="Times New Roman" w:eastAsia="Times New Roman" w:hAnsi="Times New Roman" w:cs="Times New Roman"/>
                <w:color w:val="000000"/>
                <w:szCs w:val="24"/>
                <w:lang w:val="en-IN" w:eastAsia="en-IN"/>
              </w:rPr>
              <w:t>Inst</w:t>
            </w:r>
            <w:proofErr w:type="spellEnd"/>
            <w:r w:rsidRPr="002F56D9">
              <w:rPr>
                <w:rFonts w:ascii="Times New Roman" w:eastAsia="Times New Roman" w:hAnsi="Times New Roman" w:cs="Times New Roman"/>
                <w:color w:val="000000"/>
                <w:szCs w:val="24"/>
                <w:lang w:val="en-IN" w:eastAsia="en-IN"/>
              </w:rPr>
              <w:t>/UP/2014/RR-20</w:t>
            </w:r>
          </w:p>
        </w:tc>
      </w:tr>
      <w:tr w:rsidR="002F56D9" w:rsidRPr="002F56D9" w14:paraId="7D3CAA74" w14:textId="77777777" w:rsidTr="00BD2514">
        <w:trPr>
          <w:trHeight w:val="1768"/>
        </w:trPr>
        <w:tc>
          <w:tcPr>
            <w:tcW w:w="703" w:type="dxa"/>
            <w:tcBorders>
              <w:top w:val="nil"/>
              <w:left w:val="single" w:sz="8" w:space="0" w:color="auto"/>
              <w:bottom w:val="single" w:sz="8" w:space="0" w:color="auto"/>
              <w:right w:val="single" w:sz="8" w:space="0" w:color="auto"/>
            </w:tcBorders>
            <w:shd w:val="clear" w:color="auto" w:fill="auto"/>
            <w:vAlign w:val="center"/>
            <w:hideMark/>
          </w:tcPr>
          <w:p w14:paraId="0E97AD96"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6</w:t>
            </w:r>
          </w:p>
        </w:tc>
        <w:tc>
          <w:tcPr>
            <w:tcW w:w="3806" w:type="dxa"/>
            <w:tcBorders>
              <w:top w:val="nil"/>
              <w:left w:val="nil"/>
              <w:bottom w:val="single" w:sz="8" w:space="0" w:color="auto"/>
              <w:right w:val="single" w:sz="8" w:space="0" w:color="auto"/>
            </w:tcBorders>
            <w:shd w:val="clear" w:color="auto" w:fill="auto"/>
            <w:vAlign w:val="center"/>
            <w:hideMark/>
          </w:tcPr>
          <w:p w14:paraId="6BEAFD4D"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Institutional Ethics Committee,</w:t>
            </w:r>
            <w:r w:rsidRPr="002F56D9">
              <w:rPr>
                <w:rFonts w:ascii="Times New Roman" w:eastAsia="Times New Roman" w:hAnsi="Times New Roman" w:cs="Times New Roman"/>
                <w:color w:val="000000"/>
                <w:szCs w:val="24"/>
                <w:lang w:val="en-IN" w:eastAsia="en-IN"/>
              </w:rPr>
              <w:br/>
              <w:t>Government Medical College and Hospital, Government Medical College Medical Square, Hanuman Nagar Nagpur 440003,  Maharashtra,  India</w:t>
            </w:r>
          </w:p>
        </w:tc>
        <w:tc>
          <w:tcPr>
            <w:tcW w:w="1258" w:type="dxa"/>
            <w:tcBorders>
              <w:top w:val="nil"/>
              <w:left w:val="nil"/>
              <w:bottom w:val="single" w:sz="8" w:space="0" w:color="auto"/>
              <w:right w:val="single" w:sz="8" w:space="0" w:color="auto"/>
            </w:tcBorders>
            <w:shd w:val="clear" w:color="auto" w:fill="auto"/>
            <w:noWrap/>
            <w:vAlign w:val="center"/>
            <w:hideMark/>
          </w:tcPr>
          <w:p w14:paraId="31045A73"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Approved </w:t>
            </w:r>
          </w:p>
        </w:tc>
        <w:tc>
          <w:tcPr>
            <w:tcW w:w="1320" w:type="dxa"/>
            <w:tcBorders>
              <w:top w:val="nil"/>
              <w:left w:val="nil"/>
              <w:bottom w:val="single" w:sz="8" w:space="0" w:color="auto"/>
              <w:right w:val="single" w:sz="8" w:space="0" w:color="auto"/>
            </w:tcBorders>
            <w:shd w:val="clear" w:color="auto" w:fill="auto"/>
            <w:noWrap/>
            <w:vAlign w:val="center"/>
            <w:hideMark/>
          </w:tcPr>
          <w:p w14:paraId="0F0EC1C6"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25-10-2021</w:t>
            </w:r>
          </w:p>
        </w:tc>
        <w:tc>
          <w:tcPr>
            <w:tcW w:w="3296" w:type="dxa"/>
            <w:tcBorders>
              <w:top w:val="nil"/>
              <w:left w:val="nil"/>
              <w:bottom w:val="single" w:sz="8" w:space="0" w:color="auto"/>
              <w:right w:val="single" w:sz="8" w:space="0" w:color="auto"/>
            </w:tcBorders>
            <w:shd w:val="clear" w:color="auto" w:fill="auto"/>
            <w:noWrap/>
            <w:vAlign w:val="center"/>
            <w:hideMark/>
          </w:tcPr>
          <w:p w14:paraId="442C9428"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ECR/43/</w:t>
            </w:r>
            <w:proofErr w:type="spellStart"/>
            <w:r w:rsidRPr="002F56D9">
              <w:rPr>
                <w:rFonts w:ascii="Times New Roman" w:eastAsia="Times New Roman" w:hAnsi="Times New Roman" w:cs="Times New Roman"/>
                <w:color w:val="000000"/>
                <w:szCs w:val="24"/>
                <w:lang w:val="en-IN" w:eastAsia="en-IN"/>
              </w:rPr>
              <w:t>Inst</w:t>
            </w:r>
            <w:proofErr w:type="spellEnd"/>
            <w:r w:rsidRPr="002F56D9">
              <w:rPr>
                <w:rFonts w:ascii="Times New Roman" w:eastAsia="Times New Roman" w:hAnsi="Times New Roman" w:cs="Times New Roman"/>
                <w:color w:val="000000"/>
                <w:szCs w:val="24"/>
                <w:lang w:val="en-IN" w:eastAsia="en-IN"/>
              </w:rPr>
              <w:t>/MH/2013/RR-19</w:t>
            </w:r>
          </w:p>
        </w:tc>
      </w:tr>
      <w:tr w:rsidR="002F56D9" w:rsidRPr="002F56D9" w14:paraId="64321D14" w14:textId="77777777" w:rsidTr="00BD2514">
        <w:trPr>
          <w:trHeight w:val="1183"/>
        </w:trPr>
        <w:tc>
          <w:tcPr>
            <w:tcW w:w="703" w:type="dxa"/>
            <w:tcBorders>
              <w:top w:val="nil"/>
              <w:left w:val="single" w:sz="8" w:space="0" w:color="auto"/>
              <w:bottom w:val="single" w:sz="8" w:space="0" w:color="auto"/>
              <w:right w:val="single" w:sz="8" w:space="0" w:color="auto"/>
            </w:tcBorders>
            <w:shd w:val="clear" w:color="auto" w:fill="auto"/>
            <w:vAlign w:val="center"/>
            <w:hideMark/>
          </w:tcPr>
          <w:p w14:paraId="1B6421DF"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7</w:t>
            </w:r>
          </w:p>
        </w:tc>
        <w:tc>
          <w:tcPr>
            <w:tcW w:w="3806" w:type="dxa"/>
            <w:tcBorders>
              <w:top w:val="nil"/>
              <w:left w:val="nil"/>
              <w:bottom w:val="single" w:sz="8" w:space="0" w:color="auto"/>
              <w:right w:val="single" w:sz="8" w:space="0" w:color="auto"/>
            </w:tcBorders>
            <w:shd w:val="clear" w:color="auto" w:fill="auto"/>
            <w:vAlign w:val="center"/>
            <w:hideMark/>
          </w:tcPr>
          <w:p w14:paraId="6B743A0E"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IEC NIMS University, </w:t>
            </w:r>
            <w:proofErr w:type="spellStart"/>
            <w:r w:rsidRPr="002F56D9">
              <w:rPr>
                <w:rFonts w:ascii="Times New Roman" w:eastAsia="Times New Roman" w:hAnsi="Times New Roman" w:cs="Times New Roman"/>
                <w:color w:val="000000"/>
                <w:szCs w:val="24"/>
                <w:lang w:val="en-IN" w:eastAsia="en-IN"/>
              </w:rPr>
              <w:t>Hotam</w:t>
            </w:r>
            <w:proofErr w:type="spellEnd"/>
            <w:r w:rsidRPr="002F56D9">
              <w:rPr>
                <w:rFonts w:ascii="Times New Roman" w:eastAsia="Times New Roman" w:hAnsi="Times New Roman" w:cs="Times New Roman"/>
                <w:color w:val="000000"/>
                <w:szCs w:val="24"/>
                <w:lang w:val="en-IN" w:eastAsia="en-IN"/>
              </w:rPr>
              <w:t xml:space="preserve"> administrative block, Delhi- Jaipur highway, Jaipur- 303121, Rajasthan, India. </w:t>
            </w:r>
          </w:p>
        </w:tc>
        <w:tc>
          <w:tcPr>
            <w:tcW w:w="1258" w:type="dxa"/>
            <w:tcBorders>
              <w:top w:val="nil"/>
              <w:left w:val="nil"/>
              <w:bottom w:val="single" w:sz="8" w:space="0" w:color="auto"/>
              <w:right w:val="single" w:sz="8" w:space="0" w:color="auto"/>
            </w:tcBorders>
            <w:shd w:val="clear" w:color="auto" w:fill="auto"/>
            <w:noWrap/>
            <w:vAlign w:val="center"/>
            <w:hideMark/>
          </w:tcPr>
          <w:p w14:paraId="64E42751"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Approved </w:t>
            </w:r>
          </w:p>
        </w:tc>
        <w:tc>
          <w:tcPr>
            <w:tcW w:w="1320" w:type="dxa"/>
            <w:tcBorders>
              <w:top w:val="nil"/>
              <w:left w:val="nil"/>
              <w:bottom w:val="single" w:sz="8" w:space="0" w:color="auto"/>
              <w:right w:val="single" w:sz="8" w:space="0" w:color="auto"/>
            </w:tcBorders>
            <w:shd w:val="clear" w:color="auto" w:fill="auto"/>
            <w:noWrap/>
            <w:vAlign w:val="center"/>
            <w:hideMark/>
          </w:tcPr>
          <w:p w14:paraId="1FC52E90"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04-10-2021</w:t>
            </w:r>
          </w:p>
        </w:tc>
        <w:tc>
          <w:tcPr>
            <w:tcW w:w="3296" w:type="dxa"/>
            <w:tcBorders>
              <w:top w:val="nil"/>
              <w:left w:val="nil"/>
              <w:bottom w:val="single" w:sz="8" w:space="0" w:color="auto"/>
              <w:right w:val="single" w:sz="8" w:space="0" w:color="auto"/>
            </w:tcBorders>
            <w:shd w:val="clear" w:color="auto" w:fill="auto"/>
            <w:noWrap/>
            <w:vAlign w:val="center"/>
            <w:hideMark/>
          </w:tcPr>
          <w:p w14:paraId="6A97FF82"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ECR/665/</w:t>
            </w:r>
            <w:proofErr w:type="spellStart"/>
            <w:r w:rsidRPr="002F56D9">
              <w:rPr>
                <w:rFonts w:ascii="Times New Roman" w:eastAsia="Times New Roman" w:hAnsi="Times New Roman" w:cs="Times New Roman"/>
                <w:color w:val="000000"/>
                <w:szCs w:val="24"/>
                <w:lang w:val="en-IN" w:eastAsia="en-IN"/>
              </w:rPr>
              <w:t>Inst</w:t>
            </w:r>
            <w:proofErr w:type="spellEnd"/>
            <w:r w:rsidRPr="002F56D9">
              <w:rPr>
                <w:rFonts w:ascii="Times New Roman" w:eastAsia="Times New Roman" w:hAnsi="Times New Roman" w:cs="Times New Roman"/>
                <w:color w:val="000000"/>
                <w:szCs w:val="24"/>
                <w:lang w:val="en-IN" w:eastAsia="en-IN"/>
              </w:rPr>
              <w:t>/RJ/2014/RR-17</w:t>
            </w:r>
          </w:p>
        </w:tc>
      </w:tr>
      <w:tr w:rsidR="002F56D9" w:rsidRPr="002F56D9" w14:paraId="0073EE3B" w14:textId="77777777" w:rsidTr="00BD2514">
        <w:trPr>
          <w:trHeight w:val="1476"/>
        </w:trPr>
        <w:tc>
          <w:tcPr>
            <w:tcW w:w="703" w:type="dxa"/>
            <w:tcBorders>
              <w:top w:val="nil"/>
              <w:left w:val="single" w:sz="8" w:space="0" w:color="auto"/>
              <w:bottom w:val="single" w:sz="8" w:space="0" w:color="auto"/>
              <w:right w:val="single" w:sz="8" w:space="0" w:color="auto"/>
            </w:tcBorders>
            <w:shd w:val="clear" w:color="auto" w:fill="auto"/>
            <w:vAlign w:val="center"/>
            <w:hideMark/>
          </w:tcPr>
          <w:p w14:paraId="719275F5"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8</w:t>
            </w:r>
          </w:p>
        </w:tc>
        <w:tc>
          <w:tcPr>
            <w:tcW w:w="3806" w:type="dxa"/>
            <w:tcBorders>
              <w:top w:val="nil"/>
              <w:left w:val="nil"/>
              <w:bottom w:val="single" w:sz="8" w:space="0" w:color="auto"/>
              <w:right w:val="single" w:sz="8" w:space="0" w:color="auto"/>
            </w:tcBorders>
            <w:shd w:val="clear" w:color="auto" w:fill="auto"/>
            <w:vAlign w:val="center"/>
            <w:hideMark/>
          </w:tcPr>
          <w:p w14:paraId="1AC43536"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proofErr w:type="spellStart"/>
            <w:r w:rsidRPr="002F56D9">
              <w:rPr>
                <w:rFonts w:ascii="Times New Roman" w:eastAsia="Times New Roman" w:hAnsi="Times New Roman" w:cs="Times New Roman"/>
                <w:color w:val="000000"/>
                <w:szCs w:val="24"/>
                <w:lang w:val="en-IN" w:eastAsia="en-IN"/>
              </w:rPr>
              <w:t>Sant</w:t>
            </w:r>
            <w:proofErr w:type="spellEnd"/>
            <w:r w:rsidRPr="002F56D9">
              <w:rPr>
                <w:rFonts w:ascii="Times New Roman" w:eastAsia="Times New Roman" w:hAnsi="Times New Roman" w:cs="Times New Roman"/>
                <w:color w:val="000000"/>
                <w:szCs w:val="24"/>
                <w:lang w:val="en-IN" w:eastAsia="en-IN"/>
              </w:rPr>
              <w:t xml:space="preserve"> </w:t>
            </w:r>
            <w:proofErr w:type="spellStart"/>
            <w:r w:rsidRPr="002F56D9">
              <w:rPr>
                <w:rFonts w:ascii="Times New Roman" w:eastAsia="Times New Roman" w:hAnsi="Times New Roman" w:cs="Times New Roman"/>
                <w:color w:val="000000"/>
                <w:szCs w:val="24"/>
                <w:lang w:val="en-IN" w:eastAsia="en-IN"/>
              </w:rPr>
              <w:t>Dnyaneshwar</w:t>
            </w:r>
            <w:proofErr w:type="spellEnd"/>
            <w:r w:rsidRPr="002F56D9">
              <w:rPr>
                <w:rFonts w:ascii="Times New Roman" w:eastAsia="Times New Roman" w:hAnsi="Times New Roman" w:cs="Times New Roman"/>
                <w:color w:val="000000"/>
                <w:szCs w:val="24"/>
                <w:lang w:val="en-IN" w:eastAsia="en-IN"/>
              </w:rPr>
              <w:t xml:space="preserve"> Medical Education &amp; Research Centre - Institutional Review Board, 695/A, Sadashiv </w:t>
            </w:r>
            <w:proofErr w:type="spellStart"/>
            <w:r w:rsidRPr="002F56D9">
              <w:rPr>
                <w:rFonts w:ascii="Times New Roman" w:eastAsia="Times New Roman" w:hAnsi="Times New Roman" w:cs="Times New Roman"/>
                <w:color w:val="000000"/>
                <w:szCs w:val="24"/>
                <w:lang w:val="en-IN" w:eastAsia="en-IN"/>
              </w:rPr>
              <w:t>Peth</w:t>
            </w:r>
            <w:proofErr w:type="spellEnd"/>
            <w:r w:rsidRPr="002F56D9">
              <w:rPr>
                <w:rFonts w:ascii="Times New Roman" w:eastAsia="Times New Roman" w:hAnsi="Times New Roman" w:cs="Times New Roman"/>
                <w:color w:val="000000"/>
                <w:szCs w:val="24"/>
                <w:lang w:val="en-IN" w:eastAsia="en-IN"/>
              </w:rPr>
              <w:t xml:space="preserve">, Opp. Vijay Talkies, </w:t>
            </w:r>
            <w:proofErr w:type="spellStart"/>
            <w:r w:rsidRPr="002F56D9">
              <w:rPr>
                <w:rFonts w:ascii="Times New Roman" w:eastAsia="Times New Roman" w:hAnsi="Times New Roman" w:cs="Times New Roman"/>
                <w:color w:val="000000"/>
                <w:szCs w:val="24"/>
                <w:lang w:val="en-IN" w:eastAsia="en-IN"/>
              </w:rPr>
              <w:t>Laxmi</w:t>
            </w:r>
            <w:proofErr w:type="spellEnd"/>
            <w:r w:rsidRPr="002F56D9">
              <w:rPr>
                <w:rFonts w:ascii="Times New Roman" w:eastAsia="Times New Roman" w:hAnsi="Times New Roman" w:cs="Times New Roman"/>
                <w:color w:val="000000"/>
                <w:szCs w:val="24"/>
                <w:lang w:val="en-IN" w:eastAsia="en-IN"/>
              </w:rPr>
              <w:t xml:space="preserve"> Road, Pune 411030, Maharashtra</w:t>
            </w:r>
          </w:p>
        </w:tc>
        <w:tc>
          <w:tcPr>
            <w:tcW w:w="1258" w:type="dxa"/>
            <w:tcBorders>
              <w:top w:val="nil"/>
              <w:left w:val="nil"/>
              <w:bottom w:val="single" w:sz="8" w:space="0" w:color="auto"/>
              <w:right w:val="single" w:sz="8" w:space="0" w:color="auto"/>
            </w:tcBorders>
            <w:shd w:val="clear" w:color="auto" w:fill="auto"/>
            <w:noWrap/>
            <w:vAlign w:val="center"/>
            <w:hideMark/>
          </w:tcPr>
          <w:p w14:paraId="743A202C"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Approved </w:t>
            </w:r>
          </w:p>
        </w:tc>
        <w:tc>
          <w:tcPr>
            <w:tcW w:w="1320" w:type="dxa"/>
            <w:tcBorders>
              <w:top w:val="nil"/>
              <w:left w:val="nil"/>
              <w:bottom w:val="single" w:sz="8" w:space="0" w:color="auto"/>
              <w:right w:val="single" w:sz="8" w:space="0" w:color="auto"/>
            </w:tcBorders>
            <w:shd w:val="clear" w:color="auto" w:fill="auto"/>
            <w:noWrap/>
            <w:vAlign w:val="center"/>
            <w:hideMark/>
          </w:tcPr>
          <w:p w14:paraId="74F123BA"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27-10-2021</w:t>
            </w:r>
          </w:p>
        </w:tc>
        <w:tc>
          <w:tcPr>
            <w:tcW w:w="3296" w:type="dxa"/>
            <w:tcBorders>
              <w:top w:val="nil"/>
              <w:left w:val="nil"/>
              <w:bottom w:val="single" w:sz="8" w:space="0" w:color="auto"/>
              <w:right w:val="single" w:sz="8" w:space="0" w:color="auto"/>
            </w:tcBorders>
            <w:shd w:val="clear" w:color="auto" w:fill="auto"/>
            <w:noWrap/>
            <w:vAlign w:val="center"/>
            <w:hideMark/>
          </w:tcPr>
          <w:p w14:paraId="61F49E90"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ECR/127/</w:t>
            </w:r>
            <w:proofErr w:type="spellStart"/>
            <w:r w:rsidRPr="002F56D9">
              <w:rPr>
                <w:rFonts w:ascii="Times New Roman" w:eastAsia="Times New Roman" w:hAnsi="Times New Roman" w:cs="Times New Roman"/>
                <w:color w:val="000000"/>
                <w:szCs w:val="24"/>
                <w:lang w:val="en-IN" w:eastAsia="en-IN"/>
              </w:rPr>
              <w:t>Inst</w:t>
            </w:r>
            <w:proofErr w:type="spellEnd"/>
            <w:r w:rsidRPr="002F56D9">
              <w:rPr>
                <w:rFonts w:ascii="Times New Roman" w:eastAsia="Times New Roman" w:hAnsi="Times New Roman" w:cs="Times New Roman"/>
                <w:color w:val="000000"/>
                <w:szCs w:val="24"/>
                <w:lang w:val="en-IN" w:eastAsia="en-IN"/>
              </w:rPr>
              <w:t>/MH/2013/RR-19</w:t>
            </w:r>
          </w:p>
        </w:tc>
      </w:tr>
      <w:tr w:rsidR="002F56D9" w:rsidRPr="002F56D9" w14:paraId="6F2F4C3C" w14:textId="77777777" w:rsidTr="00BD2514">
        <w:trPr>
          <w:trHeight w:val="1183"/>
        </w:trPr>
        <w:tc>
          <w:tcPr>
            <w:tcW w:w="703" w:type="dxa"/>
            <w:tcBorders>
              <w:top w:val="nil"/>
              <w:left w:val="single" w:sz="8" w:space="0" w:color="auto"/>
              <w:bottom w:val="single" w:sz="8" w:space="0" w:color="auto"/>
              <w:right w:val="single" w:sz="8" w:space="0" w:color="auto"/>
            </w:tcBorders>
            <w:shd w:val="clear" w:color="auto" w:fill="auto"/>
            <w:vAlign w:val="center"/>
            <w:hideMark/>
          </w:tcPr>
          <w:p w14:paraId="7A8700D5"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lastRenderedPageBreak/>
              <w:t>9</w:t>
            </w:r>
          </w:p>
        </w:tc>
        <w:tc>
          <w:tcPr>
            <w:tcW w:w="3806" w:type="dxa"/>
            <w:tcBorders>
              <w:top w:val="nil"/>
              <w:left w:val="nil"/>
              <w:bottom w:val="single" w:sz="8" w:space="0" w:color="auto"/>
              <w:right w:val="single" w:sz="8" w:space="0" w:color="auto"/>
            </w:tcBorders>
            <w:shd w:val="clear" w:color="auto" w:fill="auto"/>
            <w:vAlign w:val="center"/>
            <w:hideMark/>
          </w:tcPr>
          <w:p w14:paraId="2837DC73"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ETHICS COMMITTEE, St. Theresa's Hospital, </w:t>
            </w:r>
            <w:proofErr w:type="spellStart"/>
            <w:r w:rsidRPr="002F56D9">
              <w:rPr>
                <w:rFonts w:ascii="Times New Roman" w:eastAsia="Times New Roman" w:hAnsi="Times New Roman" w:cs="Times New Roman"/>
                <w:color w:val="000000"/>
                <w:szCs w:val="24"/>
                <w:lang w:val="en-IN" w:eastAsia="en-IN"/>
              </w:rPr>
              <w:t>Sanath</w:t>
            </w:r>
            <w:proofErr w:type="spellEnd"/>
            <w:r w:rsidRPr="002F56D9">
              <w:rPr>
                <w:rFonts w:ascii="Times New Roman" w:eastAsia="Times New Roman" w:hAnsi="Times New Roman" w:cs="Times New Roman"/>
                <w:color w:val="000000"/>
                <w:szCs w:val="24"/>
                <w:lang w:val="en-IN" w:eastAsia="en-IN"/>
              </w:rPr>
              <w:t xml:space="preserve"> Nagar, Opp. </w:t>
            </w:r>
            <w:proofErr w:type="spellStart"/>
            <w:r w:rsidRPr="002F56D9">
              <w:rPr>
                <w:rFonts w:ascii="Times New Roman" w:eastAsia="Times New Roman" w:hAnsi="Times New Roman" w:cs="Times New Roman"/>
                <w:color w:val="000000"/>
                <w:szCs w:val="24"/>
                <w:lang w:val="en-IN" w:eastAsia="en-IN"/>
              </w:rPr>
              <w:t>Erragada</w:t>
            </w:r>
            <w:proofErr w:type="spellEnd"/>
            <w:r w:rsidRPr="002F56D9">
              <w:rPr>
                <w:rFonts w:ascii="Times New Roman" w:eastAsia="Times New Roman" w:hAnsi="Times New Roman" w:cs="Times New Roman"/>
                <w:color w:val="000000"/>
                <w:szCs w:val="24"/>
                <w:lang w:val="en-IN" w:eastAsia="en-IN"/>
              </w:rPr>
              <w:t xml:space="preserve"> </w:t>
            </w:r>
            <w:proofErr w:type="spellStart"/>
            <w:r w:rsidRPr="002F56D9">
              <w:rPr>
                <w:rFonts w:ascii="Times New Roman" w:eastAsia="Times New Roman" w:hAnsi="Times New Roman" w:cs="Times New Roman"/>
                <w:color w:val="000000"/>
                <w:szCs w:val="24"/>
                <w:lang w:val="en-IN" w:eastAsia="en-IN"/>
              </w:rPr>
              <w:t>Raitu</w:t>
            </w:r>
            <w:proofErr w:type="spellEnd"/>
            <w:r w:rsidRPr="002F56D9">
              <w:rPr>
                <w:rFonts w:ascii="Times New Roman" w:eastAsia="Times New Roman" w:hAnsi="Times New Roman" w:cs="Times New Roman"/>
                <w:color w:val="000000"/>
                <w:szCs w:val="24"/>
                <w:lang w:val="en-IN" w:eastAsia="en-IN"/>
              </w:rPr>
              <w:t xml:space="preserve"> Bazar, Hyderabad 500018, Telangana, India</w:t>
            </w:r>
          </w:p>
        </w:tc>
        <w:tc>
          <w:tcPr>
            <w:tcW w:w="1258" w:type="dxa"/>
            <w:tcBorders>
              <w:top w:val="nil"/>
              <w:left w:val="nil"/>
              <w:bottom w:val="single" w:sz="8" w:space="0" w:color="auto"/>
              <w:right w:val="single" w:sz="8" w:space="0" w:color="auto"/>
            </w:tcBorders>
            <w:shd w:val="clear" w:color="auto" w:fill="auto"/>
            <w:noWrap/>
            <w:vAlign w:val="center"/>
            <w:hideMark/>
          </w:tcPr>
          <w:p w14:paraId="0210EA8B"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Approved </w:t>
            </w:r>
          </w:p>
        </w:tc>
        <w:tc>
          <w:tcPr>
            <w:tcW w:w="1320" w:type="dxa"/>
            <w:tcBorders>
              <w:top w:val="nil"/>
              <w:left w:val="nil"/>
              <w:bottom w:val="single" w:sz="8" w:space="0" w:color="auto"/>
              <w:right w:val="single" w:sz="8" w:space="0" w:color="auto"/>
            </w:tcBorders>
            <w:shd w:val="clear" w:color="auto" w:fill="auto"/>
            <w:noWrap/>
            <w:vAlign w:val="center"/>
            <w:hideMark/>
          </w:tcPr>
          <w:p w14:paraId="5E0283E7"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01-10-2021</w:t>
            </w:r>
          </w:p>
        </w:tc>
        <w:tc>
          <w:tcPr>
            <w:tcW w:w="3296" w:type="dxa"/>
            <w:tcBorders>
              <w:top w:val="nil"/>
              <w:left w:val="nil"/>
              <w:bottom w:val="single" w:sz="8" w:space="0" w:color="auto"/>
              <w:right w:val="single" w:sz="8" w:space="0" w:color="auto"/>
            </w:tcBorders>
            <w:shd w:val="clear" w:color="auto" w:fill="auto"/>
            <w:noWrap/>
            <w:vAlign w:val="center"/>
            <w:hideMark/>
          </w:tcPr>
          <w:p w14:paraId="218B119C"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ECR/230/</w:t>
            </w:r>
            <w:proofErr w:type="spellStart"/>
            <w:r w:rsidRPr="002F56D9">
              <w:rPr>
                <w:rFonts w:ascii="Times New Roman" w:eastAsia="Times New Roman" w:hAnsi="Times New Roman" w:cs="Times New Roman"/>
                <w:color w:val="000000"/>
                <w:szCs w:val="24"/>
                <w:lang w:val="en-IN" w:eastAsia="en-IN"/>
              </w:rPr>
              <w:t>Inst</w:t>
            </w:r>
            <w:proofErr w:type="spellEnd"/>
            <w:r w:rsidRPr="002F56D9">
              <w:rPr>
                <w:rFonts w:ascii="Times New Roman" w:eastAsia="Times New Roman" w:hAnsi="Times New Roman" w:cs="Times New Roman"/>
                <w:color w:val="000000"/>
                <w:szCs w:val="24"/>
                <w:lang w:val="en-IN" w:eastAsia="en-IN"/>
              </w:rPr>
              <w:t>/AP/2013/RR-19</w:t>
            </w:r>
          </w:p>
        </w:tc>
      </w:tr>
      <w:tr w:rsidR="002F56D9" w:rsidRPr="002F56D9" w14:paraId="425E0A8E" w14:textId="77777777" w:rsidTr="00BD2514">
        <w:trPr>
          <w:trHeight w:val="890"/>
        </w:trPr>
        <w:tc>
          <w:tcPr>
            <w:tcW w:w="703" w:type="dxa"/>
            <w:tcBorders>
              <w:top w:val="nil"/>
              <w:left w:val="single" w:sz="8" w:space="0" w:color="auto"/>
              <w:bottom w:val="single" w:sz="8" w:space="0" w:color="auto"/>
              <w:right w:val="single" w:sz="8" w:space="0" w:color="auto"/>
            </w:tcBorders>
            <w:shd w:val="clear" w:color="auto" w:fill="auto"/>
            <w:vAlign w:val="center"/>
            <w:hideMark/>
          </w:tcPr>
          <w:p w14:paraId="048C8D57"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10</w:t>
            </w:r>
          </w:p>
        </w:tc>
        <w:tc>
          <w:tcPr>
            <w:tcW w:w="3806" w:type="dxa"/>
            <w:tcBorders>
              <w:top w:val="nil"/>
              <w:left w:val="nil"/>
              <w:bottom w:val="single" w:sz="8" w:space="0" w:color="auto"/>
              <w:right w:val="single" w:sz="8" w:space="0" w:color="auto"/>
            </w:tcBorders>
            <w:shd w:val="clear" w:color="auto" w:fill="auto"/>
            <w:vAlign w:val="center"/>
            <w:hideMark/>
          </w:tcPr>
          <w:p w14:paraId="1F16F9AE"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IEC, Mahatma </w:t>
            </w:r>
            <w:proofErr w:type="spellStart"/>
            <w:r w:rsidRPr="002F56D9">
              <w:rPr>
                <w:rFonts w:ascii="Times New Roman" w:eastAsia="Times New Roman" w:hAnsi="Times New Roman" w:cs="Times New Roman"/>
                <w:color w:val="000000"/>
                <w:szCs w:val="24"/>
                <w:lang w:val="en-IN" w:eastAsia="en-IN"/>
              </w:rPr>
              <w:t>Gandi</w:t>
            </w:r>
            <w:proofErr w:type="spellEnd"/>
            <w:r w:rsidRPr="002F56D9">
              <w:rPr>
                <w:rFonts w:ascii="Times New Roman" w:eastAsia="Times New Roman" w:hAnsi="Times New Roman" w:cs="Times New Roman"/>
                <w:color w:val="000000"/>
                <w:szCs w:val="24"/>
                <w:lang w:val="en-IN" w:eastAsia="en-IN"/>
              </w:rPr>
              <w:t xml:space="preserve"> Institute Of Medical Sciences, Sewagram, </w:t>
            </w:r>
            <w:proofErr w:type="spellStart"/>
            <w:r w:rsidRPr="002F56D9">
              <w:rPr>
                <w:rFonts w:ascii="Times New Roman" w:eastAsia="Times New Roman" w:hAnsi="Times New Roman" w:cs="Times New Roman"/>
                <w:color w:val="000000"/>
                <w:szCs w:val="24"/>
                <w:lang w:val="en-IN" w:eastAsia="en-IN"/>
              </w:rPr>
              <w:t>Wardha</w:t>
            </w:r>
            <w:proofErr w:type="spellEnd"/>
            <w:r w:rsidRPr="002F56D9">
              <w:rPr>
                <w:rFonts w:ascii="Times New Roman" w:eastAsia="Times New Roman" w:hAnsi="Times New Roman" w:cs="Times New Roman"/>
                <w:color w:val="000000"/>
                <w:szCs w:val="24"/>
                <w:lang w:val="en-IN" w:eastAsia="en-IN"/>
              </w:rPr>
              <w:t xml:space="preserve"> 442102, </w:t>
            </w:r>
            <w:proofErr w:type="spellStart"/>
            <w:r w:rsidRPr="002F56D9">
              <w:rPr>
                <w:rFonts w:ascii="Times New Roman" w:eastAsia="Times New Roman" w:hAnsi="Times New Roman" w:cs="Times New Roman"/>
                <w:color w:val="000000"/>
                <w:szCs w:val="24"/>
                <w:lang w:val="en-IN" w:eastAsia="en-IN"/>
              </w:rPr>
              <w:t>Maharshtra</w:t>
            </w:r>
            <w:proofErr w:type="spellEnd"/>
            <w:r w:rsidRPr="002F56D9">
              <w:rPr>
                <w:rFonts w:ascii="Times New Roman" w:eastAsia="Times New Roman" w:hAnsi="Times New Roman" w:cs="Times New Roman"/>
                <w:color w:val="000000"/>
                <w:szCs w:val="24"/>
                <w:lang w:val="en-IN" w:eastAsia="en-IN"/>
              </w:rPr>
              <w:t xml:space="preserve">, </w:t>
            </w:r>
            <w:proofErr w:type="spellStart"/>
            <w:r w:rsidRPr="002F56D9">
              <w:rPr>
                <w:rFonts w:ascii="Times New Roman" w:eastAsia="Times New Roman" w:hAnsi="Times New Roman" w:cs="Times New Roman"/>
                <w:color w:val="000000"/>
                <w:szCs w:val="24"/>
                <w:lang w:val="en-IN" w:eastAsia="en-IN"/>
              </w:rPr>
              <w:t>india</w:t>
            </w:r>
            <w:proofErr w:type="spellEnd"/>
            <w:r w:rsidRPr="002F56D9">
              <w:rPr>
                <w:rFonts w:ascii="Times New Roman" w:eastAsia="Times New Roman" w:hAnsi="Times New Roman" w:cs="Times New Roman"/>
                <w:color w:val="000000"/>
                <w:szCs w:val="24"/>
                <w:lang w:val="en-IN" w:eastAsia="en-IN"/>
              </w:rPr>
              <w:t xml:space="preserve"> </w:t>
            </w:r>
          </w:p>
        </w:tc>
        <w:tc>
          <w:tcPr>
            <w:tcW w:w="1258" w:type="dxa"/>
            <w:tcBorders>
              <w:top w:val="nil"/>
              <w:left w:val="nil"/>
              <w:bottom w:val="single" w:sz="8" w:space="0" w:color="auto"/>
              <w:right w:val="single" w:sz="8" w:space="0" w:color="auto"/>
            </w:tcBorders>
            <w:shd w:val="clear" w:color="auto" w:fill="auto"/>
            <w:noWrap/>
            <w:vAlign w:val="center"/>
            <w:hideMark/>
          </w:tcPr>
          <w:p w14:paraId="4F754F18"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Approved </w:t>
            </w:r>
          </w:p>
        </w:tc>
        <w:tc>
          <w:tcPr>
            <w:tcW w:w="1320" w:type="dxa"/>
            <w:tcBorders>
              <w:top w:val="nil"/>
              <w:left w:val="nil"/>
              <w:bottom w:val="single" w:sz="8" w:space="0" w:color="auto"/>
              <w:right w:val="single" w:sz="8" w:space="0" w:color="auto"/>
            </w:tcBorders>
            <w:shd w:val="clear" w:color="auto" w:fill="auto"/>
            <w:noWrap/>
            <w:vAlign w:val="center"/>
            <w:hideMark/>
          </w:tcPr>
          <w:p w14:paraId="62681F1D"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23-10-2021</w:t>
            </w:r>
          </w:p>
        </w:tc>
        <w:tc>
          <w:tcPr>
            <w:tcW w:w="3296" w:type="dxa"/>
            <w:tcBorders>
              <w:top w:val="nil"/>
              <w:left w:val="nil"/>
              <w:bottom w:val="single" w:sz="8" w:space="0" w:color="auto"/>
              <w:right w:val="single" w:sz="8" w:space="0" w:color="auto"/>
            </w:tcBorders>
            <w:shd w:val="clear" w:color="auto" w:fill="auto"/>
            <w:noWrap/>
            <w:vAlign w:val="center"/>
            <w:hideMark/>
          </w:tcPr>
          <w:p w14:paraId="4F7E7BBE"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ECR/47/</w:t>
            </w:r>
            <w:proofErr w:type="spellStart"/>
            <w:r w:rsidRPr="002F56D9">
              <w:rPr>
                <w:rFonts w:ascii="Times New Roman" w:eastAsia="Times New Roman" w:hAnsi="Times New Roman" w:cs="Times New Roman"/>
                <w:color w:val="000000"/>
                <w:szCs w:val="24"/>
                <w:lang w:val="en-IN" w:eastAsia="en-IN"/>
              </w:rPr>
              <w:t>Inst</w:t>
            </w:r>
            <w:proofErr w:type="spellEnd"/>
            <w:r w:rsidRPr="002F56D9">
              <w:rPr>
                <w:rFonts w:ascii="Times New Roman" w:eastAsia="Times New Roman" w:hAnsi="Times New Roman" w:cs="Times New Roman"/>
                <w:color w:val="000000"/>
                <w:szCs w:val="24"/>
                <w:lang w:val="en-IN" w:eastAsia="en-IN"/>
              </w:rPr>
              <w:t>/MH/2013/RR-19</w:t>
            </w:r>
          </w:p>
        </w:tc>
      </w:tr>
      <w:tr w:rsidR="002F56D9" w:rsidRPr="002F56D9" w14:paraId="5D95FFE8" w14:textId="77777777" w:rsidTr="00BD2514">
        <w:trPr>
          <w:trHeight w:val="599"/>
        </w:trPr>
        <w:tc>
          <w:tcPr>
            <w:tcW w:w="703" w:type="dxa"/>
            <w:tcBorders>
              <w:top w:val="nil"/>
              <w:left w:val="single" w:sz="8" w:space="0" w:color="auto"/>
              <w:bottom w:val="single" w:sz="8" w:space="0" w:color="auto"/>
              <w:right w:val="single" w:sz="8" w:space="0" w:color="auto"/>
            </w:tcBorders>
            <w:shd w:val="clear" w:color="auto" w:fill="auto"/>
            <w:vAlign w:val="center"/>
            <w:hideMark/>
          </w:tcPr>
          <w:p w14:paraId="131A4C82" w14:textId="5F1C97F6" w:rsidR="002F56D9" w:rsidRPr="002F56D9" w:rsidRDefault="00BD2514" w:rsidP="002F56D9">
            <w:pPr>
              <w:spacing w:after="0" w:line="240" w:lineRule="auto"/>
              <w:rPr>
                <w:rFonts w:ascii="Times New Roman" w:eastAsia="Times New Roman" w:hAnsi="Times New Roman" w:cs="Times New Roman"/>
                <w:color w:val="000000"/>
                <w:szCs w:val="24"/>
                <w:lang w:val="en-IN" w:eastAsia="en-IN"/>
              </w:rPr>
            </w:pPr>
            <w:r>
              <w:rPr>
                <w:rFonts w:ascii="Times New Roman" w:eastAsia="Times New Roman" w:hAnsi="Times New Roman" w:cs="Times New Roman"/>
                <w:color w:val="000000"/>
                <w:szCs w:val="24"/>
                <w:lang w:val="en-IN" w:eastAsia="en-IN"/>
              </w:rPr>
              <w:t>11</w:t>
            </w:r>
          </w:p>
        </w:tc>
        <w:tc>
          <w:tcPr>
            <w:tcW w:w="3806" w:type="dxa"/>
            <w:tcBorders>
              <w:top w:val="nil"/>
              <w:left w:val="nil"/>
              <w:bottom w:val="single" w:sz="8" w:space="0" w:color="auto"/>
              <w:right w:val="single" w:sz="8" w:space="0" w:color="auto"/>
            </w:tcBorders>
            <w:shd w:val="clear" w:color="auto" w:fill="auto"/>
            <w:vAlign w:val="center"/>
            <w:hideMark/>
          </w:tcPr>
          <w:p w14:paraId="72F5D929"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Ethics Committee </w:t>
            </w:r>
            <w:proofErr w:type="spellStart"/>
            <w:r w:rsidRPr="002F56D9">
              <w:rPr>
                <w:rFonts w:ascii="Times New Roman" w:eastAsia="Times New Roman" w:hAnsi="Times New Roman" w:cs="Times New Roman"/>
                <w:color w:val="000000"/>
                <w:szCs w:val="24"/>
                <w:lang w:val="en-IN" w:eastAsia="en-IN"/>
              </w:rPr>
              <w:t>Dy.Patil</w:t>
            </w:r>
            <w:proofErr w:type="spellEnd"/>
            <w:r w:rsidRPr="002F56D9">
              <w:rPr>
                <w:rFonts w:ascii="Times New Roman" w:eastAsia="Times New Roman" w:hAnsi="Times New Roman" w:cs="Times New Roman"/>
                <w:color w:val="000000"/>
                <w:szCs w:val="24"/>
                <w:lang w:val="en-IN" w:eastAsia="en-IN"/>
              </w:rPr>
              <w:t xml:space="preserve"> </w:t>
            </w:r>
            <w:proofErr w:type="spellStart"/>
            <w:r w:rsidRPr="002F56D9">
              <w:rPr>
                <w:rFonts w:ascii="Times New Roman" w:eastAsia="Times New Roman" w:hAnsi="Times New Roman" w:cs="Times New Roman"/>
                <w:color w:val="000000"/>
                <w:szCs w:val="24"/>
                <w:lang w:val="en-IN" w:eastAsia="en-IN"/>
              </w:rPr>
              <w:t>Vidyapeeth</w:t>
            </w:r>
            <w:proofErr w:type="spellEnd"/>
            <w:r w:rsidRPr="002F56D9">
              <w:rPr>
                <w:rFonts w:ascii="Times New Roman" w:eastAsia="Times New Roman" w:hAnsi="Times New Roman" w:cs="Times New Roman"/>
                <w:color w:val="000000"/>
                <w:szCs w:val="24"/>
                <w:lang w:val="en-IN" w:eastAsia="en-IN"/>
              </w:rPr>
              <w:t xml:space="preserve">, </w:t>
            </w:r>
            <w:proofErr w:type="spellStart"/>
            <w:r w:rsidRPr="002F56D9">
              <w:rPr>
                <w:rFonts w:ascii="Times New Roman" w:eastAsia="Times New Roman" w:hAnsi="Times New Roman" w:cs="Times New Roman"/>
                <w:color w:val="000000"/>
                <w:szCs w:val="24"/>
                <w:lang w:val="en-IN" w:eastAsia="en-IN"/>
              </w:rPr>
              <w:t>Pimpri</w:t>
            </w:r>
            <w:proofErr w:type="spellEnd"/>
            <w:r w:rsidRPr="002F56D9">
              <w:rPr>
                <w:rFonts w:ascii="Times New Roman" w:eastAsia="Times New Roman" w:hAnsi="Times New Roman" w:cs="Times New Roman"/>
                <w:color w:val="000000"/>
                <w:szCs w:val="24"/>
                <w:lang w:val="en-IN" w:eastAsia="en-IN"/>
              </w:rPr>
              <w:t>,</w:t>
            </w:r>
            <w:r w:rsidRPr="002F56D9">
              <w:rPr>
                <w:rFonts w:ascii="Times New Roman" w:eastAsia="Times New Roman" w:hAnsi="Times New Roman" w:cs="Times New Roman"/>
                <w:color w:val="000000"/>
                <w:szCs w:val="24"/>
                <w:lang w:val="en-IN" w:eastAsia="en-IN"/>
              </w:rPr>
              <w:br/>
              <w:t xml:space="preserve"> Pune - 411018, Maharashtra, India</w:t>
            </w:r>
          </w:p>
        </w:tc>
        <w:tc>
          <w:tcPr>
            <w:tcW w:w="1258" w:type="dxa"/>
            <w:tcBorders>
              <w:top w:val="nil"/>
              <w:left w:val="nil"/>
              <w:bottom w:val="single" w:sz="8" w:space="0" w:color="auto"/>
              <w:right w:val="single" w:sz="8" w:space="0" w:color="auto"/>
            </w:tcBorders>
            <w:shd w:val="clear" w:color="auto" w:fill="auto"/>
            <w:noWrap/>
            <w:vAlign w:val="center"/>
            <w:hideMark/>
          </w:tcPr>
          <w:p w14:paraId="5C98F41A"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Approved </w:t>
            </w:r>
          </w:p>
        </w:tc>
        <w:tc>
          <w:tcPr>
            <w:tcW w:w="1320" w:type="dxa"/>
            <w:tcBorders>
              <w:top w:val="nil"/>
              <w:left w:val="nil"/>
              <w:bottom w:val="single" w:sz="8" w:space="0" w:color="auto"/>
              <w:right w:val="single" w:sz="8" w:space="0" w:color="auto"/>
            </w:tcBorders>
            <w:shd w:val="clear" w:color="auto" w:fill="auto"/>
            <w:noWrap/>
            <w:vAlign w:val="center"/>
            <w:hideMark/>
          </w:tcPr>
          <w:p w14:paraId="72D96D2C"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07-12-2021</w:t>
            </w:r>
          </w:p>
        </w:tc>
        <w:tc>
          <w:tcPr>
            <w:tcW w:w="3296" w:type="dxa"/>
            <w:tcBorders>
              <w:top w:val="nil"/>
              <w:left w:val="nil"/>
              <w:bottom w:val="single" w:sz="8" w:space="0" w:color="auto"/>
              <w:right w:val="single" w:sz="8" w:space="0" w:color="auto"/>
            </w:tcBorders>
            <w:shd w:val="clear" w:color="auto" w:fill="auto"/>
            <w:noWrap/>
            <w:vAlign w:val="center"/>
            <w:hideMark/>
          </w:tcPr>
          <w:p w14:paraId="1A3E281F"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ECR/361/</w:t>
            </w:r>
            <w:proofErr w:type="spellStart"/>
            <w:r w:rsidRPr="002F56D9">
              <w:rPr>
                <w:rFonts w:ascii="Times New Roman" w:eastAsia="Times New Roman" w:hAnsi="Times New Roman" w:cs="Times New Roman"/>
                <w:color w:val="000000"/>
                <w:szCs w:val="24"/>
                <w:lang w:val="en-IN" w:eastAsia="en-IN"/>
              </w:rPr>
              <w:t>Inst</w:t>
            </w:r>
            <w:proofErr w:type="spellEnd"/>
            <w:r w:rsidRPr="002F56D9">
              <w:rPr>
                <w:rFonts w:ascii="Times New Roman" w:eastAsia="Times New Roman" w:hAnsi="Times New Roman" w:cs="Times New Roman"/>
                <w:color w:val="000000"/>
                <w:szCs w:val="24"/>
                <w:lang w:val="en-IN" w:eastAsia="en-IN"/>
              </w:rPr>
              <w:t>/MH/2013/RR-19</w:t>
            </w:r>
          </w:p>
        </w:tc>
      </w:tr>
      <w:tr w:rsidR="002F56D9" w:rsidRPr="002F56D9" w14:paraId="75F8CAF4" w14:textId="77777777" w:rsidTr="00BD2514">
        <w:trPr>
          <w:trHeight w:val="1183"/>
        </w:trPr>
        <w:tc>
          <w:tcPr>
            <w:tcW w:w="703" w:type="dxa"/>
            <w:tcBorders>
              <w:top w:val="nil"/>
              <w:left w:val="single" w:sz="8" w:space="0" w:color="auto"/>
              <w:bottom w:val="single" w:sz="8" w:space="0" w:color="auto"/>
              <w:right w:val="single" w:sz="8" w:space="0" w:color="auto"/>
            </w:tcBorders>
            <w:shd w:val="clear" w:color="auto" w:fill="auto"/>
            <w:vAlign w:val="center"/>
            <w:hideMark/>
          </w:tcPr>
          <w:p w14:paraId="5E874E88" w14:textId="281BA350" w:rsidR="002F56D9" w:rsidRPr="002F56D9" w:rsidRDefault="00BD2514" w:rsidP="002F56D9">
            <w:pPr>
              <w:spacing w:after="0" w:line="240" w:lineRule="auto"/>
              <w:rPr>
                <w:rFonts w:ascii="Times New Roman" w:eastAsia="Times New Roman" w:hAnsi="Times New Roman" w:cs="Times New Roman"/>
                <w:color w:val="000000"/>
                <w:szCs w:val="24"/>
                <w:lang w:val="en-IN" w:eastAsia="en-IN"/>
              </w:rPr>
            </w:pPr>
            <w:r>
              <w:rPr>
                <w:rFonts w:ascii="Times New Roman" w:eastAsia="Times New Roman" w:hAnsi="Times New Roman" w:cs="Times New Roman"/>
                <w:color w:val="000000"/>
                <w:szCs w:val="24"/>
                <w:lang w:val="en-IN" w:eastAsia="en-IN"/>
              </w:rPr>
              <w:t>12</w:t>
            </w:r>
          </w:p>
        </w:tc>
        <w:tc>
          <w:tcPr>
            <w:tcW w:w="3806" w:type="dxa"/>
            <w:tcBorders>
              <w:top w:val="nil"/>
              <w:left w:val="nil"/>
              <w:bottom w:val="single" w:sz="8" w:space="0" w:color="auto"/>
              <w:right w:val="single" w:sz="8" w:space="0" w:color="auto"/>
            </w:tcBorders>
            <w:shd w:val="clear" w:color="auto" w:fill="auto"/>
            <w:vAlign w:val="center"/>
            <w:hideMark/>
          </w:tcPr>
          <w:p w14:paraId="07DC9CCA"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IRB Christian Medical college, Office of Research, 1st floor, Carman Block, </w:t>
            </w:r>
            <w:proofErr w:type="spellStart"/>
            <w:r w:rsidRPr="002F56D9">
              <w:rPr>
                <w:rFonts w:ascii="Times New Roman" w:eastAsia="Times New Roman" w:hAnsi="Times New Roman" w:cs="Times New Roman"/>
                <w:color w:val="000000"/>
                <w:szCs w:val="24"/>
                <w:lang w:val="en-IN" w:eastAsia="en-IN"/>
              </w:rPr>
              <w:t>Bagayam</w:t>
            </w:r>
            <w:proofErr w:type="spellEnd"/>
            <w:r w:rsidRPr="002F56D9">
              <w:rPr>
                <w:rFonts w:ascii="Times New Roman" w:eastAsia="Times New Roman" w:hAnsi="Times New Roman" w:cs="Times New Roman"/>
                <w:color w:val="000000"/>
                <w:szCs w:val="24"/>
                <w:lang w:val="en-IN" w:eastAsia="en-IN"/>
              </w:rPr>
              <w:t xml:space="preserve">, Vellore 632002, </w:t>
            </w:r>
            <w:proofErr w:type="spellStart"/>
            <w:r w:rsidRPr="002F56D9">
              <w:rPr>
                <w:rFonts w:ascii="Times New Roman" w:eastAsia="Times New Roman" w:hAnsi="Times New Roman" w:cs="Times New Roman"/>
                <w:color w:val="000000"/>
                <w:szCs w:val="24"/>
                <w:lang w:val="en-IN" w:eastAsia="en-IN"/>
              </w:rPr>
              <w:t>Tamilnadu</w:t>
            </w:r>
            <w:proofErr w:type="spellEnd"/>
            <w:r w:rsidRPr="002F56D9">
              <w:rPr>
                <w:rFonts w:ascii="Times New Roman" w:eastAsia="Times New Roman" w:hAnsi="Times New Roman" w:cs="Times New Roman"/>
                <w:color w:val="000000"/>
                <w:szCs w:val="24"/>
                <w:lang w:val="en-IN" w:eastAsia="en-IN"/>
              </w:rPr>
              <w:t xml:space="preserve">, India.   </w:t>
            </w:r>
          </w:p>
        </w:tc>
        <w:tc>
          <w:tcPr>
            <w:tcW w:w="1258" w:type="dxa"/>
            <w:tcBorders>
              <w:top w:val="nil"/>
              <w:left w:val="nil"/>
              <w:bottom w:val="single" w:sz="8" w:space="0" w:color="auto"/>
              <w:right w:val="single" w:sz="8" w:space="0" w:color="auto"/>
            </w:tcBorders>
            <w:shd w:val="clear" w:color="auto" w:fill="auto"/>
            <w:noWrap/>
            <w:vAlign w:val="center"/>
            <w:hideMark/>
          </w:tcPr>
          <w:p w14:paraId="35779BA5"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Approved </w:t>
            </w:r>
          </w:p>
        </w:tc>
        <w:tc>
          <w:tcPr>
            <w:tcW w:w="1320" w:type="dxa"/>
            <w:tcBorders>
              <w:top w:val="nil"/>
              <w:left w:val="nil"/>
              <w:bottom w:val="single" w:sz="8" w:space="0" w:color="auto"/>
              <w:right w:val="single" w:sz="8" w:space="0" w:color="auto"/>
            </w:tcBorders>
            <w:shd w:val="clear" w:color="auto" w:fill="auto"/>
            <w:noWrap/>
            <w:vAlign w:val="center"/>
            <w:hideMark/>
          </w:tcPr>
          <w:p w14:paraId="489ACD80"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30-10-2021</w:t>
            </w:r>
          </w:p>
        </w:tc>
        <w:tc>
          <w:tcPr>
            <w:tcW w:w="3296" w:type="dxa"/>
            <w:tcBorders>
              <w:top w:val="nil"/>
              <w:left w:val="nil"/>
              <w:bottom w:val="single" w:sz="8" w:space="0" w:color="auto"/>
              <w:right w:val="single" w:sz="8" w:space="0" w:color="auto"/>
            </w:tcBorders>
            <w:shd w:val="clear" w:color="auto" w:fill="auto"/>
            <w:noWrap/>
            <w:vAlign w:val="center"/>
            <w:hideMark/>
          </w:tcPr>
          <w:p w14:paraId="75CA890E"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ECR/RENEW/INST/2019/3526</w:t>
            </w:r>
          </w:p>
        </w:tc>
      </w:tr>
      <w:tr w:rsidR="002F56D9" w:rsidRPr="002F56D9" w14:paraId="1E4C4FE6" w14:textId="77777777" w:rsidTr="00BD2514">
        <w:trPr>
          <w:trHeight w:val="1476"/>
        </w:trPr>
        <w:tc>
          <w:tcPr>
            <w:tcW w:w="703" w:type="dxa"/>
            <w:tcBorders>
              <w:top w:val="nil"/>
              <w:left w:val="single" w:sz="8" w:space="0" w:color="auto"/>
              <w:bottom w:val="single" w:sz="8" w:space="0" w:color="auto"/>
              <w:right w:val="single" w:sz="8" w:space="0" w:color="auto"/>
            </w:tcBorders>
            <w:shd w:val="clear" w:color="auto" w:fill="auto"/>
            <w:vAlign w:val="center"/>
            <w:hideMark/>
          </w:tcPr>
          <w:p w14:paraId="648EEFFE" w14:textId="0DAE5E41" w:rsidR="002F56D9" w:rsidRPr="002F56D9" w:rsidRDefault="00BD2514" w:rsidP="002F56D9">
            <w:pPr>
              <w:spacing w:after="0" w:line="240" w:lineRule="auto"/>
              <w:rPr>
                <w:rFonts w:ascii="Times New Roman" w:eastAsia="Times New Roman" w:hAnsi="Times New Roman" w:cs="Times New Roman"/>
                <w:color w:val="000000"/>
                <w:szCs w:val="24"/>
                <w:lang w:val="en-IN" w:eastAsia="en-IN"/>
              </w:rPr>
            </w:pPr>
            <w:r>
              <w:rPr>
                <w:rFonts w:ascii="Times New Roman" w:eastAsia="Times New Roman" w:hAnsi="Times New Roman" w:cs="Times New Roman"/>
                <w:color w:val="000000"/>
                <w:szCs w:val="24"/>
                <w:lang w:val="en-IN" w:eastAsia="en-IN"/>
              </w:rPr>
              <w:t>13</w:t>
            </w:r>
          </w:p>
        </w:tc>
        <w:tc>
          <w:tcPr>
            <w:tcW w:w="3806" w:type="dxa"/>
            <w:tcBorders>
              <w:top w:val="nil"/>
              <w:left w:val="nil"/>
              <w:bottom w:val="single" w:sz="8" w:space="0" w:color="auto"/>
              <w:right w:val="single" w:sz="8" w:space="0" w:color="auto"/>
            </w:tcBorders>
            <w:shd w:val="clear" w:color="auto" w:fill="auto"/>
            <w:vAlign w:val="center"/>
            <w:hideMark/>
          </w:tcPr>
          <w:p w14:paraId="5A99DF21"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Institutional Ethics Committee for ESIC Medical College And Hospital</w:t>
            </w:r>
            <w:r w:rsidRPr="002F56D9">
              <w:rPr>
                <w:rFonts w:ascii="Times New Roman" w:eastAsia="Times New Roman" w:hAnsi="Times New Roman" w:cs="Times New Roman"/>
                <w:color w:val="000000"/>
                <w:szCs w:val="24"/>
                <w:lang w:val="en-IN" w:eastAsia="en-IN"/>
              </w:rPr>
              <w:br/>
              <w:t>NH-3, NIT, Behind BK Hospital, Faridabad 121001, Haryana, India</w:t>
            </w:r>
          </w:p>
        </w:tc>
        <w:tc>
          <w:tcPr>
            <w:tcW w:w="1258" w:type="dxa"/>
            <w:tcBorders>
              <w:top w:val="nil"/>
              <w:left w:val="nil"/>
              <w:bottom w:val="single" w:sz="8" w:space="0" w:color="auto"/>
              <w:right w:val="single" w:sz="8" w:space="0" w:color="auto"/>
            </w:tcBorders>
            <w:shd w:val="clear" w:color="auto" w:fill="auto"/>
            <w:noWrap/>
            <w:vAlign w:val="center"/>
            <w:hideMark/>
          </w:tcPr>
          <w:p w14:paraId="5C11D87E"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Approved </w:t>
            </w:r>
          </w:p>
        </w:tc>
        <w:tc>
          <w:tcPr>
            <w:tcW w:w="1320" w:type="dxa"/>
            <w:tcBorders>
              <w:top w:val="nil"/>
              <w:left w:val="nil"/>
              <w:bottom w:val="single" w:sz="8" w:space="0" w:color="auto"/>
              <w:right w:val="single" w:sz="8" w:space="0" w:color="auto"/>
            </w:tcBorders>
            <w:shd w:val="clear" w:color="auto" w:fill="auto"/>
            <w:noWrap/>
            <w:vAlign w:val="center"/>
            <w:hideMark/>
          </w:tcPr>
          <w:p w14:paraId="33AB3C01"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16-10-2021</w:t>
            </w:r>
          </w:p>
        </w:tc>
        <w:tc>
          <w:tcPr>
            <w:tcW w:w="3296" w:type="dxa"/>
            <w:tcBorders>
              <w:top w:val="nil"/>
              <w:left w:val="nil"/>
              <w:bottom w:val="single" w:sz="8" w:space="0" w:color="auto"/>
              <w:right w:val="single" w:sz="8" w:space="0" w:color="auto"/>
            </w:tcBorders>
            <w:shd w:val="clear" w:color="auto" w:fill="auto"/>
            <w:noWrap/>
            <w:vAlign w:val="center"/>
            <w:hideMark/>
          </w:tcPr>
          <w:p w14:paraId="4B29D139"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ECR/1539/</w:t>
            </w:r>
            <w:proofErr w:type="spellStart"/>
            <w:r w:rsidRPr="002F56D9">
              <w:rPr>
                <w:rFonts w:ascii="Times New Roman" w:eastAsia="Times New Roman" w:hAnsi="Times New Roman" w:cs="Times New Roman"/>
                <w:color w:val="000000"/>
                <w:szCs w:val="24"/>
                <w:lang w:val="en-IN" w:eastAsia="en-IN"/>
              </w:rPr>
              <w:t>Inst</w:t>
            </w:r>
            <w:proofErr w:type="spellEnd"/>
            <w:r w:rsidRPr="002F56D9">
              <w:rPr>
                <w:rFonts w:ascii="Times New Roman" w:eastAsia="Times New Roman" w:hAnsi="Times New Roman" w:cs="Times New Roman"/>
                <w:color w:val="000000"/>
                <w:szCs w:val="24"/>
                <w:lang w:val="en-IN" w:eastAsia="en-IN"/>
              </w:rPr>
              <w:t>/HR/2021</w:t>
            </w:r>
          </w:p>
        </w:tc>
      </w:tr>
      <w:tr w:rsidR="002F56D9" w:rsidRPr="002F56D9" w14:paraId="00C88BBA" w14:textId="77777777" w:rsidTr="00BD2514">
        <w:trPr>
          <w:trHeight w:val="890"/>
        </w:trPr>
        <w:tc>
          <w:tcPr>
            <w:tcW w:w="703" w:type="dxa"/>
            <w:tcBorders>
              <w:top w:val="nil"/>
              <w:left w:val="single" w:sz="8" w:space="0" w:color="auto"/>
              <w:bottom w:val="single" w:sz="8" w:space="0" w:color="auto"/>
              <w:right w:val="single" w:sz="8" w:space="0" w:color="auto"/>
            </w:tcBorders>
            <w:shd w:val="clear" w:color="auto" w:fill="auto"/>
            <w:vAlign w:val="center"/>
            <w:hideMark/>
          </w:tcPr>
          <w:p w14:paraId="70A1FC60" w14:textId="03162FF6" w:rsidR="002F56D9" w:rsidRPr="002F56D9" w:rsidRDefault="00BD2514" w:rsidP="002F56D9">
            <w:pPr>
              <w:spacing w:after="0" w:line="240" w:lineRule="auto"/>
              <w:rPr>
                <w:rFonts w:ascii="Times New Roman" w:eastAsia="Times New Roman" w:hAnsi="Times New Roman" w:cs="Times New Roman"/>
                <w:color w:val="000000"/>
                <w:szCs w:val="24"/>
                <w:lang w:val="en-IN" w:eastAsia="en-IN"/>
              </w:rPr>
            </w:pPr>
            <w:r>
              <w:rPr>
                <w:rFonts w:ascii="Times New Roman" w:eastAsia="Times New Roman" w:hAnsi="Times New Roman" w:cs="Times New Roman"/>
                <w:color w:val="000000"/>
                <w:szCs w:val="24"/>
                <w:lang w:val="en-IN" w:eastAsia="en-IN"/>
              </w:rPr>
              <w:t>14</w:t>
            </w:r>
          </w:p>
        </w:tc>
        <w:tc>
          <w:tcPr>
            <w:tcW w:w="3806" w:type="dxa"/>
            <w:tcBorders>
              <w:top w:val="nil"/>
              <w:left w:val="nil"/>
              <w:bottom w:val="single" w:sz="8" w:space="0" w:color="auto"/>
              <w:right w:val="single" w:sz="8" w:space="0" w:color="auto"/>
            </w:tcBorders>
            <w:shd w:val="clear" w:color="auto" w:fill="auto"/>
            <w:vAlign w:val="center"/>
            <w:hideMark/>
          </w:tcPr>
          <w:p w14:paraId="115BD634" w14:textId="04746CC6"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IEC </w:t>
            </w:r>
            <w:proofErr w:type="spellStart"/>
            <w:r w:rsidRPr="002F56D9">
              <w:rPr>
                <w:rFonts w:ascii="Times New Roman" w:eastAsia="Times New Roman" w:hAnsi="Times New Roman" w:cs="Times New Roman"/>
                <w:color w:val="000000"/>
                <w:szCs w:val="24"/>
                <w:lang w:val="en-IN" w:eastAsia="en-IN"/>
              </w:rPr>
              <w:t>Prakhar</w:t>
            </w:r>
            <w:proofErr w:type="spellEnd"/>
            <w:r w:rsidRPr="002F56D9">
              <w:rPr>
                <w:rFonts w:ascii="Times New Roman" w:eastAsia="Times New Roman" w:hAnsi="Times New Roman" w:cs="Times New Roman"/>
                <w:color w:val="000000"/>
                <w:szCs w:val="24"/>
                <w:lang w:val="en-IN" w:eastAsia="en-IN"/>
              </w:rPr>
              <w:t xml:space="preserve"> Hospital Pvt Ltd, 8/219, Arya Nagar, Kanpur 208002, Uttar Pradesh, India. </w:t>
            </w:r>
          </w:p>
        </w:tc>
        <w:tc>
          <w:tcPr>
            <w:tcW w:w="1258" w:type="dxa"/>
            <w:tcBorders>
              <w:top w:val="nil"/>
              <w:left w:val="nil"/>
              <w:bottom w:val="single" w:sz="8" w:space="0" w:color="auto"/>
              <w:right w:val="single" w:sz="8" w:space="0" w:color="auto"/>
            </w:tcBorders>
            <w:shd w:val="clear" w:color="auto" w:fill="auto"/>
            <w:noWrap/>
            <w:vAlign w:val="center"/>
            <w:hideMark/>
          </w:tcPr>
          <w:p w14:paraId="0B354EF4"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Approved </w:t>
            </w:r>
          </w:p>
        </w:tc>
        <w:tc>
          <w:tcPr>
            <w:tcW w:w="1320" w:type="dxa"/>
            <w:tcBorders>
              <w:top w:val="nil"/>
              <w:left w:val="nil"/>
              <w:bottom w:val="single" w:sz="8" w:space="0" w:color="auto"/>
              <w:right w:val="single" w:sz="8" w:space="0" w:color="auto"/>
            </w:tcBorders>
            <w:shd w:val="clear" w:color="auto" w:fill="auto"/>
            <w:noWrap/>
            <w:vAlign w:val="center"/>
            <w:hideMark/>
          </w:tcPr>
          <w:p w14:paraId="172293C0"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20-10-2021</w:t>
            </w:r>
          </w:p>
        </w:tc>
        <w:tc>
          <w:tcPr>
            <w:tcW w:w="3296" w:type="dxa"/>
            <w:tcBorders>
              <w:top w:val="nil"/>
              <w:left w:val="nil"/>
              <w:bottom w:val="single" w:sz="8" w:space="0" w:color="auto"/>
              <w:right w:val="single" w:sz="8" w:space="0" w:color="auto"/>
            </w:tcBorders>
            <w:shd w:val="clear" w:color="auto" w:fill="auto"/>
            <w:noWrap/>
            <w:vAlign w:val="center"/>
            <w:hideMark/>
          </w:tcPr>
          <w:p w14:paraId="248AED91"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ECR/1017/</w:t>
            </w:r>
            <w:proofErr w:type="spellStart"/>
            <w:r w:rsidRPr="002F56D9">
              <w:rPr>
                <w:rFonts w:ascii="Times New Roman" w:eastAsia="Times New Roman" w:hAnsi="Times New Roman" w:cs="Times New Roman"/>
                <w:color w:val="000000"/>
                <w:szCs w:val="24"/>
                <w:lang w:val="en-IN" w:eastAsia="en-IN"/>
              </w:rPr>
              <w:t>Inst</w:t>
            </w:r>
            <w:proofErr w:type="spellEnd"/>
            <w:r w:rsidRPr="002F56D9">
              <w:rPr>
                <w:rFonts w:ascii="Times New Roman" w:eastAsia="Times New Roman" w:hAnsi="Times New Roman" w:cs="Times New Roman"/>
                <w:color w:val="000000"/>
                <w:szCs w:val="24"/>
                <w:lang w:val="en-IN" w:eastAsia="en-IN"/>
              </w:rPr>
              <w:t>/UP/2017/RR-21</w:t>
            </w:r>
          </w:p>
        </w:tc>
      </w:tr>
      <w:tr w:rsidR="002F56D9" w:rsidRPr="002F56D9" w14:paraId="3DD2008C" w14:textId="77777777" w:rsidTr="00BD2514">
        <w:trPr>
          <w:trHeight w:val="890"/>
        </w:trPr>
        <w:tc>
          <w:tcPr>
            <w:tcW w:w="703" w:type="dxa"/>
            <w:tcBorders>
              <w:top w:val="nil"/>
              <w:left w:val="single" w:sz="8" w:space="0" w:color="auto"/>
              <w:bottom w:val="single" w:sz="8" w:space="0" w:color="auto"/>
              <w:right w:val="single" w:sz="8" w:space="0" w:color="auto"/>
            </w:tcBorders>
            <w:shd w:val="clear" w:color="auto" w:fill="auto"/>
            <w:vAlign w:val="center"/>
            <w:hideMark/>
          </w:tcPr>
          <w:p w14:paraId="28A50CF4" w14:textId="43B75692" w:rsidR="002F56D9" w:rsidRPr="002F56D9" w:rsidRDefault="00BD2514" w:rsidP="002F56D9">
            <w:pPr>
              <w:spacing w:after="0" w:line="240" w:lineRule="auto"/>
              <w:rPr>
                <w:rFonts w:ascii="Times New Roman" w:eastAsia="Times New Roman" w:hAnsi="Times New Roman" w:cs="Times New Roman"/>
                <w:color w:val="000000"/>
                <w:szCs w:val="24"/>
                <w:lang w:val="en-IN" w:eastAsia="en-IN"/>
              </w:rPr>
            </w:pPr>
            <w:r>
              <w:rPr>
                <w:rFonts w:ascii="Times New Roman" w:eastAsia="Times New Roman" w:hAnsi="Times New Roman" w:cs="Times New Roman"/>
                <w:color w:val="000000"/>
                <w:szCs w:val="24"/>
                <w:lang w:val="en-IN" w:eastAsia="en-IN"/>
              </w:rPr>
              <w:t>15</w:t>
            </w:r>
          </w:p>
        </w:tc>
        <w:tc>
          <w:tcPr>
            <w:tcW w:w="3806" w:type="dxa"/>
            <w:tcBorders>
              <w:top w:val="nil"/>
              <w:left w:val="nil"/>
              <w:bottom w:val="single" w:sz="8" w:space="0" w:color="auto"/>
              <w:right w:val="single" w:sz="8" w:space="0" w:color="auto"/>
            </w:tcBorders>
            <w:shd w:val="clear" w:color="auto" w:fill="auto"/>
            <w:vAlign w:val="center"/>
            <w:hideMark/>
          </w:tcPr>
          <w:p w14:paraId="5EEEB0D3"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proofErr w:type="spellStart"/>
            <w:r w:rsidRPr="002F56D9">
              <w:rPr>
                <w:rFonts w:ascii="Times New Roman" w:eastAsia="Times New Roman" w:hAnsi="Times New Roman" w:cs="Times New Roman"/>
                <w:color w:val="000000"/>
                <w:szCs w:val="24"/>
                <w:lang w:val="en-IN" w:eastAsia="en-IN"/>
              </w:rPr>
              <w:t>Aakash</w:t>
            </w:r>
            <w:proofErr w:type="spellEnd"/>
            <w:r w:rsidRPr="002F56D9">
              <w:rPr>
                <w:rFonts w:ascii="Times New Roman" w:eastAsia="Times New Roman" w:hAnsi="Times New Roman" w:cs="Times New Roman"/>
                <w:color w:val="000000"/>
                <w:szCs w:val="24"/>
                <w:lang w:val="en-IN" w:eastAsia="en-IN"/>
              </w:rPr>
              <w:t xml:space="preserve"> Healthcare Institutional Ethics Committee,</w:t>
            </w:r>
            <w:r w:rsidRPr="002F56D9">
              <w:rPr>
                <w:rFonts w:ascii="Times New Roman" w:eastAsia="Times New Roman" w:hAnsi="Times New Roman" w:cs="Times New Roman"/>
                <w:color w:val="000000"/>
                <w:szCs w:val="24"/>
                <w:lang w:val="en-IN" w:eastAsia="en-IN"/>
              </w:rPr>
              <w:br/>
              <w:t xml:space="preserve">  Road No. 201, Sector 3, </w:t>
            </w:r>
            <w:proofErr w:type="spellStart"/>
            <w:r w:rsidRPr="002F56D9">
              <w:rPr>
                <w:rFonts w:ascii="Times New Roman" w:eastAsia="Times New Roman" w:hAnsi="Times New Roman" w:cs="Times New Roman"/>
                <w:color w:val="000000"/>
                <w:szCs w:val="24"/>
                <w:lang w:val="en-IN" w:eastAsia="en-IN"/>
              </w:rPr>
              <w:t>Dwarka</w:t>
            </w:r>
            <w:proofErr w:type="spellEnd"/>
            <w:r w:rsidRPr="002F56D9">
              <w:rPr>
                <w:rFonts w:ascii="Times New Roman" w:eastAsia="Times New Roman" w:hAnsi="Times New Roman" w:cs="Times New Roman"/>
                <w:color w:val="000000"/>
                <w:szCs w:val="24"/>
                <w:lang w:val="en-IN" w:eastAsia="en-IN"/>
              </w:rPr>
              <w:t>, New Delhi - 110075, India</w:t>
            </w:r>
          </w:p>
        </w:tc>
        <w:tc>
          <w:tcPr>
            <w:tcW w:w="1258" w:type="dxa"/>
            <w:tcBorders>
              <w:top w:val="nil"/>
              <w:left w:val="nil"/>
              <w:bottom w:val="single" w:sz="8" w:space="0" w:color="auto"/>
              <w:right w:val="single" w:sz="8" w:space="0" w:color="auto"/>
            </w:tcBorders>
            <w:shd w:val="clear" w:color="auto" w:fill="auto"/>
            <w:noWrap/>
            <w:vAlign w:val="center"/>
            <w:hideMark/>
          </w:tcPr>
          <w:p w14:paraId="06027F3C"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Approved </w:t>
            </w:r>
          </w:p>
        </w:tc>
        <w:tc>
          <w:tcPr>
            <w:tcW w:w="1320" w:type="dxa"/>
            <w:tcBorders>
              <w:top w:val="nil"/>
              <w:left w:val="nil"/>
              <w:bottom w:val="single" w:sz="8" w:space="0" w:color="auto"/>
              <w:right w:val="single" w:sz="8" w:space="0" w:color="auto"/>
            </w:tcBorders>
            <w:shd w:val="clear" w:color="auto" w:fill="auto"/>
            <w:noWrap/>
            <w:vAlign w:val="center"/>
            <w:hideMark/>
          </w:tcPr>
          <w:p w14:paraId="28D7E43C"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09-11-2021</w:t>
            </w:r>
          </w:p>
        </w:tc>
        <w:tc>
          <w:tcPr>
            <w:tcW w:w="3296" w:type="dxa"/>
            <w:tcBorders>
              <w:top w:val="nil"/>
              <w:left w:val="nil"/>
              <w:bottom w:val="single" w:sz="8" w:space="0" w:color="auto"/>
              <w:right w:val="single" w:sz="8" w:space="0" w:color="auto"/>
            </w:tcBorders>
            <w:shd w:val="clear" w:color="auto" w:fill="auto"/>
            <w:noWrap/>
            <w:vAlign w:val="center"/>
            <w:hideMark/>
          </w:tcPr>
          <w:p w14:paraId="7D5B978D"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ECR/1265/</w:t>
            </w:r>
            <w:proofErr w:type="spellStart"/>
            <w:r w:rsidRPr="002F56D9">
              <w:rPr>
                <w:rFonts w:ascii="Times New Roman" w:eastAsia="Times New Roman" w:hAnsi="Times New Roman" w:cs="Times New Roman"/>
                <w:color w:val="000000"/>
                <w:szCs w:val="24"/>
                <w:lang w:val="en-IN" w:eastAsia="en-IN"/>
              </w:rPr>
              <w:t>Inst</w:t>
            </w:r>
            <w:proofErr w:type="spellEnd"/>
            <w:r w:rsidRPr="002F56D9">
              <w:rPr>
                <w:rFonts w:ascii="Times New Roman" w:eastAsia="Times New Roman" w:hAnsi="Times New Roman" w:cs="Times New Roman"/>
                <w:color w:val="000000"/>
                <w:szCs w:val="24"/>
                <w:lang w:val="en-IN" w:eastAsia="en-IN"/>
              </w:rPr>
              <w:t>/DL/2019</w:t>
            </w:r>
          </w:p>
        </w:tc>
      </w:tr>
      <w:tr w:rsidR="002F56D9" w:rsidRPr="002F56D9" w14:paraId="55500D32" w14:textId="77777777" w:rsidTr="00BD2514">
        <w:trPr>
          <w:trHeight w:val="890"/>
        </w:trPr>
        <w:tc>
          <w:tcPr>
            <w:tcW w:w="703" w:type="dxa"/>
            <w:tcBorders>
              <w:top w:val="nil"/>
              <w:left w:val="single" w:sz="8" w:space="0" w:color="auto"/>
              <w:bottom w:val="single" w:sz="8" w:space="0" w:color="auto"/>
              <w:right w:val="single" w:sz="8" w:space="0" w:color="auto"/>
            </w:tcBorders>
            <w:shd w:val="clear" w:color="auto" w:fill="auto"/>
            <w:vAlign w:val="center"/>
            <w:hideMark/>
          </w:tcPr>
          <w:p w14:paraId="3C6BCC4F" w14:textId="2C223DA9" w:rsidR="002F56D9" w:rsidRPr="002F56D9" w:rsidRDefault="00BD2514" w:rsidP="002F56D9">
            <w:pPr>
              <w:spacing w:after="0" w:line="240" w:lineRule="auto"/>
              <w:rPr>
                <w:rFonts w:ascii="Times New Roman" w:eastAsia="Times New Roman" w:hAnsi="Times New Roman" w:cs="Times New Roman"/>
                <w:color w:val="000000"/>
                <w:szCs w:val="24"/>
                <w:lang w:val="en-IN" w:eastAsia="en-IN"/>
              </w:rPr>
            </w:pPr>
            <w:r>
              <w:rPr>
                <w:rFonts w:ascii="Times New Roman" w:eastAsia="Times New Roman" w:hAnsi="Times New Roman" w:cs="Times New Roman"/>
                <w:color w:val="000000"/>
                <w:szCs w:val="24"/>
                <w:lang w:val="en-IN" w:eastAsia="en-IN"/>
              </w:rPr>
              <w:t>16</w:t>
            </w:r>
          </w:p>
        </w:tc>
        <w:tc>
          <w:tcPr>
            <w:tcW w:w="3806" w:type="dxa"/>
            <w:tcBorders>
              <w:top w:val="nil"/>
              <w:left w:val="nil"/>
              <w:bottom w:val="single" w:sz="8" w:space="0" w:color="auto"/>
              <w:right w:val="single" w:sz="8" w:space="0" w:color="auto"/>
            </w:tcBorders>
            <w:shd w:val="clear" w:color="auto" w:fill="auto"/>
            <w:vAlign w:val="center"/>
            <w:hideMark/>
          </w:tcPr>
          <w:p w14:paraId="0E89B730"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proofErr w:type="spellStart"/>
            <w:r w:rsidRPr="002F56D9">
              <w:rPr>
                <w:rFonts w:ascii="Times New Roman" w:eastAsia="Times New Roman" w:hAnsi="Times New Roman" w:cs="Times New Roman"/>
                <w:color w:val="000000"/>
                <w:szCs w:val="24"/>
                <w:lang w:val="en-IN" w:eastAsia="en-IN"/>
              </w:rPr>
              <w:t>Gullurkar</w:t>
            </w:r>
            <w:proofErr w:type="spellEnd"/>
            <w:r w:rsidRPr="002F56D9">
              <w:rPr>
                <w:rFonts w:ascii="Times New Roman" w:eastAsia="Times New Roman" w:hAnsi="Times New Roman" w:cs="Times New Roman"/>
                <w:color w:val="000000"/>
                <w:szCs w:val="24"/>
                <w:lang w:val="en-IN" w:eastAsia="en-IN"/>
              </w:rPr>
              <w:t xml:space="preserve"> Hospital Ethics Committee,</w:t>
            </w:r>
            <w:r w:rsidRPr="002F56D9">
              <w:rPr>
                <w:rFonts w:ascii="Times New Roman" w:eastAsia="Times New Roman" w:hAnsi="Times New Roman" w:cs="Times New Roman"/>
                <w:color w:val="000000"/>
                <w:szCs w:val="24"/>
                <w:lang w:val="en-IN" w:eastAsia="en-IN"/>
              </w:rPr>
              <w:br/>
              <w:t xml:space="preserve">Plot no. 20, </w:t>
            </w:r>
            <w:proofErr w:type="spellStart"/>
            <w:r w:rsidRPr="002F56D9">
              <w:rPr>
                <w:rFonts w:ascii="Times New Roman" w:eastAsia="Times New Roman" w:hAnsi="Times New Roman" w:cs="Times New Roman"/>
                <w:color w:val="000000"/>
                <w:szCs w:val="24"/>
                <w:lang w:val="en-IN" w:eastAsia="en-IN"/>
              </w:rPr>
              <w:t>Reshimbag</w:t>
            </w:r>
            <w:proofErr w:type="spellEnd"/>
            <w:r w:rsidRPr="002F56D9">
              <w:rPr>
                <w:rFonts w:ascii="Times New Roman" w:eastAsia="Times New Roman" w:hAnsi="Times New Roman" w:cs="Times New Roman"/>
                <w:color w:val="000000"/>
                <w:szCs w:val="24"/>
                <w:lang w:val="en-IN" w:eastAsia="en-IN"/>
              </w:rPr>
              <w:t xml:space="preserve"> </w:t>
            </w:r>
            <w:proofErr w:type="spellStart"/>
            <w:r w:rsidRPr="002F56D9">
              <w:rPr>
                <w:rFonts w:ascii="Times New Roman" w:eastAsia="Times New Roman" w:hAnsi="Times New Roman" w:cs="Times New Roman"/>
                <w:color w:val="000000"/>
                <w:szCs w:val="24"/>
                <w:lang w:val="en-IN" w:eastAsia="en-IN"/>
              </w:rPr>
              <w:t>Umred</w:t>
            </w:r>
            <w:proofErr w:type="spellEnd"/>
            <w:r w:rsidRPr="002F56D9">
              <w:rPr>
                <w:rFonts w:ascii="Times New Roman" w:eastAsia="Times New Roman" w:hAnsi="Times New Roman" w:cs="Times New Roman"/>
                <w:color w:val="000000"/>
                <w:szCs w:val="24"/>
                <w:lang w:val="en-IN" w:eastAsia="en-IN"/>
              </w:rPr>
              <w:t xml:space="preserve"> Road, Nagpur- 440009, Maharashtra, India</w:t>
            </w:r>
          </w:p>
        </w:tc>
        <w:tc>
          <w:tcPr>
            <w:tcW w:w="1258" w:type="dxa"/>
            <w:tcBorders>
              <w:top w:val="nil"/>
              <w:left w:val="nil"/>
              <w:bottom w:val="single" w:sz="8" w:space="0" w:color="auto"/>
              <w:right w:val="single" w:sz="8" w:space="0" w:color="auto"/>
            </w:tcBorders>
            <w:shd w:val="clear" w:color="auto" w:fill="auto"/>
            <w:noWrap/>
            <w:vAlign w:val="center"/>
            <w:hideMark/>
          </w:tcPr>
          <w:p w14:paraId="544560A9"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Approved </w:t>
            </w:r>
          </w:p>
        </w:tc>
        <w:tc>
          <w:tcPr>
            <w:tcW w:w="1320" w:type="dxa"/>
            <w:tcBorders>
              <w:top w:val="nil"/>
              <w:left w:val="nil"/>
              <w:bottom w:val="single" w:sz="8" w:space="0" w:color="auto"/>
              <w:right w:val="single" w:sz="8" w:space="0" w:color="auto"/>
            </w:tcBorders>
            <w:shd w:val="clear" w:color="auto" w:fill="auto"/>
            <w:noWrap/>
            <w:vAlign w:val="center"/>
            <w:hideMark/>
          </w:tcPr>
          <w:p w14:paraId="049A2464"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18-11-2021</w:t>
            </w:r>
          </w:p>
        </w:tc>
        <w:tc>
          <w:tcPr>
            <w:tcW w:w="3296" w:type="dxa"/>
            <w:tcBorders>
              <w:top w:val="nil"/>
              <w:left w:val="nil"/>
              <w:bottom w:val="single" w:sz="8" w:space="0" w:color="auto"/>
              <w:right w:val="single" w:sz="8" w:space="0" w:color="auto"/>
            </w:tcBorders>
            <w:shd w:val="clear" w:color="auto" w:fill="auto"/>
            <w:noWrap/>
            <w:vAlign w:val="center"/>
            <w:hideMark/>
          </w:tcPr>
          <w:p w14:paraId="2872C082"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ECR/1374/</w:t>
            </w:r>
            <w:proofErr w:type="spellStart"/>
            <w:r w:rsidRPr="002F56D9">
              <w:rPr>
                <w:rFonts w:ascii="Times New Roman" w:eastAsia="Times New Roman" w:hAnsi="Times New Roman" w:cs="Times New Roman"/>
                <w:color w:val="000000"/>
                <w:szCs w:val="24"/>
                <w:lang w:val="en-IN" w:eastAsia="en-IN"/>
              </w:rPr>
              <w:t>Inst</w:t>
            </w:r>
            <w:proofErr w:type="spellEnd"/>
            <w:r w:rsidRPr="002F56D9">
              <w:rPr>
                <w:rFonts w:ascii="Times New Roman" w:eastAsia="Times New Roman" w:hAnsi="Times New Roman" w:cs="Times New Roman"/>
                <w:color w:val="000000"/>
                <w:szCs w:val="24"/>
                <w:lang w:val="en-IN" w:eastAsia="en-IN"/>
              </w:rPr>
              <w:t>/MH/2020</w:t>
            </w:r>
          </w:p>
        </w:tc>
      </w:tr>
      <w:tr w:rsidR="002F56D9" w:rsidRPr="002F56D9" w14:paraId="141516B1" w14:textId="77777777" w:rsidTr="00BD2514">
        <w:trPr>
          <w:trHeight w:val="1183"/>
        </w:trPr>
        <w:tc>
          <w:tcPr>
            <w:tcW w:w="703" w:type="dxa"/>
            <w:tcBorders>
              <w:top w:val="nil"/>
              <w:left w:val="single" w:sz="8" w:space="0" w:color="auto"/>
              <w:bottom w:val="single" w:sz="8" w:space="0" w:color="auto"/>
              <w:right w:val="single" w:sz="8" w:space="0" w:color="auto"/>
            </w:tcBorders>
            <w:shd w:val="clear" w:color="auto" w:fill="auto"/>
            <w:vAlign w:val="center"/>
            <w:hideMark/>
          </w:tcPr>
          <w:p w14:paraId="7B172C6C" w14:textId="0A8AF7FC" w:rsidR="002F56D9" w:rsidRPr="002F56D9" w:rsidRDefault="00BD2514" w:rsidP="002F56D9">
            <w:pPr>
              <w:spacing w:after="0" w:line="240" w:lineRule="auto"/>
              <w:rPr>
                <w:rFonts w:ascii="Times New Roman" w:eastAsia="Times New Roman" w:hAnsi="Times New Roman" w:cs="Times New Roman"/>
                <w:color w:val="000000"/>
                <w:szCs w:val="24"/>
                <w:lang w:val="en-IN" w:eastAsia="en-IN"/>
              </w:rPr>
            </w:pPr>
            <w:r>
              <w:rPr>
                <w:rFonts w:ascii="Times New Roman" w:eastAsia="Times New Roman" w:hAnsi="Times New Roman" w:cs="Times New Roman"/>
                <w:color w:val="000000"/>
                <w:szCs w:val="24"/>
                <w:lang w:val="en-IN" w:eastAsia="en-IN"/>
              </w:rPr>
              <w:t>17</w:t>
            </w:r>
          </w:p>
        </w:tc>
        <w:tc>
          <w:tcPr>
            <w:tcW w:w="3806" w:type="dxa"/>
            <w:tcBorders>
              <w:top w:val="nil"/>
              <w:left w:val="nil"/>
              <w:bottom w:val="single" w:sz="8" w:space="0" w:color="auto"/>
              <w:right w:val="single" w:sz="8" w:space="0" w:color="auto"/>
            </w:tcBorders>
            <w:shd w:val="clear" w:color="auto" w:fill="auto"/>
            <w:vAlign w:val="center"/>
            <w:hideMark/>
          </w:tcPr>
          <w:p w14:paraId="431035B4"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Institutional Ethics Committee- </w:t>
            </w:r>
            <w:proofErr w:type="spellStart"/>
            <w:r w:rsidRPr="002F56D9">
              <w:rPr>
                <w:rFonts w:ascii="Times New Roman" w:eastAsia="Times New Roman" w:hAnsi="Times New Roman" w:cs="Times New Roman"/>
                <w:color w:val="000000"/>
                <w:szCs w:val="24"/>
                <w:lang w:val="en-IN" w:eastAsia="en-IN"/>
              </w:rPr>
              <w:t>Induss</w:t>
            </w:r>
            <w:proofErr w:type="spellEnd"/>
            <w:r w:rsidRPr="002F56D9">
              <w:rPr>
                <w:rFonts w:ascii="Times New Roman" w:eastAsia="Times New Roman" w:hAnsi="Times New Roman" w:cs="Times New Roman"/>
                <w:color w:val="000000"/>
                <w:szCs w:val="24"/>
                <w:lang w:val="en-IN" w:eastAsia="en-IN"/>
              </w:rPr>
              <w:t xml:space="preserve"> Hospital,</w:t>
            </w:r>
            <w:r w:rsidRPr="002F56D9">
              <w:rPr>
                <w:rFonts w:ascii="Times New Roman" w:eastAsia="Times New Roman" w:hAnsi="Times New Roman" w:cs="Times New Roman"/>
                <w:color w:val="000000"/>
                <w:szCs w:val="24"/>
                <w:lang w:val="en-IN" w:eastAsia="en-IN"/>
              </w:rPr>
              <w:br/>
              <w:t xml:space="preserve">13-23-93/1, </w:t>
            </w:r>
            <w:proofErr w:type="spellStart"/>
            <w:r w:rsidRPr="002F56D9">
              <w:rPr>
                <w:rFonts w:ascii="Times New Roman" w:eastAsia="Times New Roman" w:hAnsi="Times New Roman" w:cs="Times New Roman"/>
                <w:color w:val="000000"/>
                <w:szCs w:val="24"/>
                <w:lang w:val="en-IN" w:eastAsia="en-IN"/>
              </w:rPr>
              <w:t>Krishnaveninagar</w:t>
            </w:r>
            <w:proofErr w:type="spellEnd"/>
            <w:r w:rsidRPr="002F56D9">
              <w:rPr>
                <w:rFonts w:ascii="Times New Roman" w:eastAsia="Times New Roman" w:hAnsi="Times New Roman" w:cs="Times New Roman"/>
                <w:color w:val="000000"/>
                <w:szCs w:val="24"/>
                <w:lang w:val="en-IN" w:eastAsia="en-IN"/>
              </w:rPr>
              <w:t xml:space="preserve">, </w:t>
            </w:r>
            <w:proofErr w:type="spellStart"/>
            <w:r w:rsidRPr="002F56D9">
              <w:rPr>
                <w:rFonts w:ascii="Times New Roman" w:eastAsia="Times New Roman" w:hAnsi="Times New Roman" w:cs="Times New Roman"/>
                <w:color w:val="000000"/>
                <w:szCs w:val="24"/>
                <w:lang w:val="en-IN" w:eastAsia="en-IN"/>
              </w:rPr>
              <w:t>Gaddiannaram</w:t>
            </w:r>
            <w:proofErr w:type="spellEnd"/>
            <w:r w:rsidRPr="002F56D9">
              <w:rPr>
                <w:rFonts w:ascii="Times New Roman" w:eastAsia="Times New Roman" w:hAnsi="Times New Roman" w:cs="Times New Roman"/>
                <w:color w:val="000000"/>
                <w:szCs w:val="24"/>
                <w:lang w:val="en-IN" w:eastAsia="en-IN"/>
              </w:rPr>
              <w:t xml:space="preserve">, Near </w:t>
            </w:r>
            <w:proofErr w:type="spellStart"/>
            <w:r w:rsidRPr="002F56D9">
              <w:rPr>
                <w:rFonts w:ascii="Times New Roman" w:eastAsia="Times New Roman" w:hAnsi="Times New Roman" w:cs="Times New Roman"/>
                <w:color w:val="000000"/>
                <w:szCs w:val="24"/>
                <w:lang w:val="en-IN" w:eastAsia="en-IN"/>
              </w:rPr>
              <w:t>Muncipal</w:t>
            </w:r>
            <w:proofErr w:type="spellEnd"/>
            <w:r w:rsidRPr="002F56D9">
              <w:rPr>
                <w:rFonts w:ascii="Times New Roman" w:eastAsia="Times New Roman" w:hAnsi="Times New Roman" w:cs="Times New Roman"/>
                <w:color w:val="000000"/>
                <w:szCs w:val="24"/>
                <w:lang w:val="en-IN" w:eastAsia="en-IN"/>
              </w:rPr>
              <w:t xml:space="preserve"> Office, </w:t>
            </w:r>
            <w:proofErr w:type="spellStart"/>
            <w:r w:rsidRPr="002F56D9">
              <w:rPr>
                <w:rFonts w:ascii="Times New Roman" w:eastAsia="Times New Roman" w:hAnsi="Times New Roman" w:cs="Times New Roman"/>
                <w:color w:val="000000"/>
                <w:szCs w:val="24"/>
                <w:lang w:val="en-IN" w:eastAsia="en-IN"/>
              </w:rPr>
              <w:t>Saroornagar</w:t>
            </w:r>
            <w:proofErr w:type="spellEnd"/>
            <w:r w:rsidRPr="002F56D9">
              <w:rPr>
                <w:rFonts w:ascii="Times New Roman" w:eastAsia="Times New Roman" w:hAnsi="Times New Roman" w:cs="Times New Roman"/>
                <w:color w:val="000000"/>
                <w:szCs w:val="24"/>
                <w:lang w:val="en-IN" w:eastAsia="en-IN"/>
              </w:rPr>
              <w:t xml:space="preserve">, </w:t>
            </w:r>
            <w:proofErr w:type="spellStart"/>
            <w:r w:rsidRPr="002F56D9">
              <w:rPr>
                <w:rFonts w:ascii="Times New Roman" w:eastAsia="Times New Roman" w:hAnsi="Times New Roman" w:cs="Times New Roman"/>
                <w:color w:val="000000"/>
                <w:szCs w:val="24"/>
                <w:lang w:val="en-IN" w:eastAsia="en-IN"/>
              </w:rPr>
              <w:t>Ranga</w:t>
            </w:r>
            <w:proofErr w:type="spellEnd"/>
            <w:r w:rsidRPr="002F56D9">
              <w:rPr>
                <w:rFonts w:ascii="Times New Roman" w:eastAsia="Times New Roman" w:hAnsi="Times New Roman" w:cs="Times New Roman"/>
                <w:color w:val="000000"/>
                <w:szCs w:val="24"/>
                <w:lang w:val="en-IN" w:eastAsia="en-IN"/>
              </w:rPr>
              <w:t xml:space="preserve"> Reddy Dist., Hyderabad 500035, Telangana, India</w:t>
            </w:r>
          </w:p>
        </w:tc>
        <w:tc>
          <w:tcPr>
            <w:tcW w:w="1258" w:type="dxa"/>
            <w:tcBorders>
              <w:top w:val="nil"/>
              <w:left w:val="nil"/>
              <w:bottom w:val="single" w:sz="8" w:space="0" w:color="auto"/>
              <w:right w:val="single" w:sz="8" w:space="0" w:color="auto"/>
            </w:tcBorders>
            <w:shd w:val="clear" w:color="auto" w:fill="auto"/>
            <w:noWrap/>
            <w:vAlign w:val="center"/>
            <w:hideMark/>
          </w:tcPr>
          <w:p w14:paraId="5FE907A4"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Approved </w:t>
            </w:r>
          </w:p>
        </w:tc>
        <w:tc>
          <w:tcPr>
            <w:tcW w:w="1320" w:type="dxa"/>
            <w:tcBorders>
              <w:top w:val="nil"/>
              <w:left w:val="nil"/>
              <w:bottom w:val="single" w:sz="8" w:space="0" w:color="auto"/>
              <w:right w:val="single" w:sz="8" w:space="0" w:color="auto"/>
            </w:tcBorders>
            <w:shd w:val="clear" w:color="auto" w:fill="auto"/>
            <w:noWrap/>
            <w:vAlign w:val="center"/>
            <w:hideMark/>
          </w:tcPr>
          <w:p w14:paraId="09D702D6"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06-11-2021</w:t>
            </w:r>
          </w:p>
        </w:tc>
        <w:tc>
          <w:tcPr>
            <w:tcW w:w="3296" w:type="dxa"/>
            <w:tcBorders>
              <w:top w:val="nil"/>
              <w:left w:val="nil"/>
              <w:bottom w:val="single" w:sz="8" w:space="0" w:color="auto"/>
              <w:right w:val="single" w:sz="8" w:space="0" w:color="auto"/>
            </w:tcBorders>
            <w:shd w:val="clear" w:color="auto" w:fill="auto"/>
            <w:noWrap/>
            <w:vAlign w:val="center"/>
            <w:hideMark/>
          </w:tcPr>
          <w:p w14:paraId="18948092"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ECR/1606/</w:t>
            </w:r>
            <w:proofErr w:type="spellStart"/>
            <w:r w:rsidRPr="002F56D9">
              <w:rPr>
                <w:rFonts w:ascii="Times New Roman" w:eastAsia="Times New Roman" w:hAnsi="Times New Roman" w:cs="Times New Roman"/>
                <w:color w:val="000000"/>
                <w:szCs w:val="24"/>
                <w:lang w:val="en-IN" w:eastAsia="en-IN"/>
              </w:rPr>
              <w:t>Inst</w:t>
            </w:r>
            <w:proofErr w:type="spellEnd"/>
            <w:r w:rsidRPr="002F56D9">
              <w:rPr>
                <w:rFonts w:ascii="Times New Roman" w:eastAsia="Times New Roman" w:hAnsi="Times New Roman" w:cs="Times New Roman"/>
                <w:color w:val="000000"/>
                <w:szCs w:val="24"/>
                <w:lang w:val="en-IN" w:eastAsia="en-IN"/>
              </w:rPr>
              <w:t>/TG/2021</w:t>
            </w:r>
          </w:p>
        </w:tc>
      </w:tr>
      <w:tr w:rsidR="002F56D9" w:rsidRPr="002F56D9" w14:paraId="0C7B0DB2" w14:textId="77777777" w:rsidTr="00BD2514">
        <w:trPr>
          <w:trHeight w:val="890"/>
        </w:trPr>
        <w:tc>
          <w:tcPr>
            <w:tcW w:w="703" w:type="dxa"/>
            <w:tcBorders>
              <w:top w:val="nil"/>
              <w:left w:val="single" w:sz="8" w:space="0" w:color="auto"/>
              <w:bottom w:val="single" w:sz="8" w:space="0" w:color="auto"/>
              <w:right w:val="single" w:sz="8" w:space="0" w:color="auto"/>
            </w:tcBorders>
            <w:shd w:val="clear" w:color="auto" w:fill="auto"/>
            <w:vAlign w:val="center"/>
            <w:hideMark/>
          </w:tcPr>
          <w:p w14:paraId="081439E1" w14:textId="2E3F1EA0" w:rsidR="002F56D9" w:rsidRPr="002F56D9" w:rsidRDefault="00BD2514" w:rsidP="002F56D9">
            <w:pPr>
              <w:spacing w:after="0" w:line="240" w:lineRule="auto"/>
              <w:rPr>
                <w:rFonts w:ascii="Times New Roman" w:eastAsia="Times New Roman" w:hAnsi="Times New Roman" w:cs="Times New Roman"/>
                <w:color w:val="000000"/>
                <w:szCs w:val="24"/>
                <w:lang w:val="en-IN" w:eastAsia="en-IN"/>
              </w:rPr>
            </w:pPr>
            <w:r>
              <w:rPr>
                <w:rFonts w:ascii="Times New Roman" w:eastAsia="Times New Roman" w:hAnsi="Times New Roman" w:cs="Times New Roman"/>
                <w:color w:val="000000"/>
                <w:szCs w:val="24"/>
                <w:lang w:val="en-IN" w:eastAsia="en-IN"/>
              </w:rPr>
              <w:t>18</w:t>
            </w:r>
          </w:p>
        </w:tc>
        <w:tc>
          <w:tcPr>
            <w:tcW w:w="3806" w:type="dxa"/>
            <w:tcBorders>
              <w:top w:val="nil"/>
              <w:left w:val="nil"/>
              <w:bottom w:val="single" w:sz="8" w:space="0" w:color="auto"/>
              <w:right w:val="single" w:sz="8" w:space="0" w:color="auto"/>
            </w:tcBorders>
            <w:shd w:val="clear" w:color="auto" w:fill="auto"/>
            <w:vAlign w:val="center"/>
            <w:hideMark/>
          </w:tcPr>
          <w:p w14:paraId="0AFD1B59"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Institutional Ethics Committee- </w:t>
            </w:r>
            <w:proofErr w:type="spellStart"/>
            <w:r w:rsidRPr="002F56D9">
              <w:rPr>
                <w:rFonts w:ascii="Times New Roman" w:eastAsia="Times New Roman" w:hAnsi="Times New Roman" w:cs="Times New Roman"/>
                <w:color w:val="000000"/>
                <w:szCs w:val="24"/>
                <w:lang w:val="en-IN" w:eastAsia="en-IN"/>
              </w:rPr>
              <w:t>Jeevan</w:t>
            </w:r>
            <w:proofErr w:type="spellEnd"/>
            <w:r w:rsidRPr="002F56D9">
              <w:rPr>
                <w:rFonts w:ascii="Times New Roman" w:eastAsia="Times New Roman" w:hAnsi="Times New Roman" w:cs="Times New Roman"/>
                <w:color w:val="000000"/>
                <w:szCs w:val="24"/>
                <w:lang w:val="en-IN" w:eastAsia="en-IN"/>
              </w:rPr>
              <w:t xml:space="preserve"> </w:t>
            </w:r>
            <w:proofErr w:type="spellStart"/>
            <w:r w:rsidRPr="002F56D9">
              <w:rPr>
                <w:rFonts w:ascii="Times New Roman" w:eastAsia="Times New Roman" w:hAnsi="Times New Roman" w:cs="Times New Roman"/>
                <w:color w:val="000000"/>
                <w:szCs w:val="24"/>
                <w:lang w:val="en-IN" w:eastAsia="en-IN"/>
              </w:rPr>
              <w:t>Rekha</w:t>
            </w:r>
            <w:proofErr w:type="spellEnd"/>
            <w:r w:rsidRPr="002F56D9">
              <w:rPr>
                <w:rFonts w:ascii="Times New Roman" w:eastAsia="Times New Roman" w:hAnsi="Times New Roman" w:cs="Times New Roman"/>
                <w:color w:val="000000"/>
                <w:szCs w:val="24"/>
                <w:lang w:val="en-IN" w:eastAsia="en-IN"/>
              </w:rPr>
              <w:t xml:space="preserve"> Hospital, </w:t>
            </w:r>
            <w:proofErr w:type="spellStart"/>
            <w:r w:rsidRPr="002F56D9">
              <w:rPr>
                <w:rFonts w:ascii="Times New Roman" w:eastAsia="Times New Roman" w:hAnsi="Times New Roman" w:cs="Times New Roman"/>
                <w:color w:val="000000"/>
                <w:szCs w:val="24"/>
                <w:lang w:val="en-IN" w:eastAsia="en-IN"/>
              </w:rPr>
              <w:t>Dr.</w:t>
            </w:r>
            <w:proofErr w:type="spellEnd"/>
            <w:r w:rsidRPr="002F56D9">
              <w:rPr>
                <w:rFonts w:ascii="Times New Roman" w:eastAsia="Times New Roman" w:hAnsi="Times New Roman" w:cs="Times New Roman"/>
                <w:color w:val="000000"/>
                <w:szCs w:val="24"/>
                <w:lang w:val="en-IN" w:eastAsia="en-IN"/>
              </w:rPr>
              <w:t xml:space="preserve"> B.R. </w:t>
            </w:r>
            <w:proofErr w:type="spellStart"/>
            <w:r w:rsidRPr="002F56D9">
              <w:rPr>
                <w:rFonts w:ascii="Times New Roman" w:eastAsia="Times New Roman" w:hAnsi="Times New Roman" w:cs="Times New Roman"/>
                <w:color w:val="000000"/>
                <w:szCs w:val="24"/>
                <w:lang w:val="en-IN" w:eastAsia="en-IN"/>
              </w:rPr>
              <w:t>Ambedkar</w:t>
            </w:r>
            <w:proofErr w:type="spellEnd"/>
            <w:r w:rsidRPr="002F56D9">
              <w:rPr>
                <w:rFonts w:ascii="Times New Roman" w:eastAsia="Times New Roman" w:hAnsi="Times New Roman" w:cs="Times New Roman"/>
                <w:color w:val="000000"/>
                <w:szCs w:val="24"/>
                <w:lang w:val="en-IN" w:eastAsia="en-IN"/>
              </w:rPr>
              <w:t xml:space="preserve"> </w:t>
            </w:r>
            <w:proofErr w:type="spellStart"/>
            <w:r w:rsidRPr="002F56D9">
              <w:rPr>
                <w:rFonts w:ascii="Times New Roman" w:eastAsia="Times New Roman" w:hAnsi="Times New Roman" w:cs="Times New Roman"/>
                <w:color w:val="000000"/>
                <w:szCs w:val="24"/>
                <w:lang w:val="en-IN" w:eastAsia="en-IN"/>
              </w:rPr>
              <w:t>Road,Opp</w:t>
            </w:r>
            <w:proofErr w:type="spellEnd"/>
            <w:r w:rsidRPr="002F56D9">
              <w:rPr>
                <w:rFonts w:ascii="Times New Roman" w:eastAsia="Times New Roman" w:hAnsi="Times New Roman" w:cs="Times New Roman"/>
                <w:color w:val="000000"/>
                <w:szCs w:val="24"/>
                <w:lang w:val="en-IN" w:eastAsia="en-IN"/>
              </w:rPr>
              <w:t xml:space="preserve"> Civil Hospital, </w:t>
            </w:r>
            <w:proofErr w:type="spellStart"/>
            <w:r w:rsidRPr="002F56D9">
              <w:rPr>
                <w:rFonts w:ascii="Times New Roman" w:eastAsia="Times New Roman" w:hAnsi="Times New Roman" w:cs="Times New Roman"/>
                <w:color w:val="000000"/>
                <w:szCs w:val="24"/>
                <w:lang w:val="en-IN" w:eastAsia="en-IN"/>
              </w:rPr>
              <w:t>Belagavi</w:t>
            </w:r>
            <w:proofErr w:type="spellEnd"/>
            <w:r w:rsidRPr="002F56D9">
              <w:rPr>
                <w:rFonts w:ascii="Times New Roman" w:eastAsia="Times New Roman" w:hAnsi="Times New Roman" w:cs="Times New Roman"/>
                <w:color w:val="000000"/>
                <w:szCs w:val="24"/>
                <w:lang w:val="en-IN" w:eastAsia="en-IN"/>
              </w:rPr>
              <w:t>- 590002, Karnataka, India</w:t>
            </w:r>
          </w:p>
        </w:tc>
        <w:tc>
          <w:tcPr>
            <w:tcW w:w="1258" w:type="dxa"/>
            <w:tcBorders>
              <w:top w:val="nil"/>
              <w:left w:val="nil"/>
              <w:bottom w:val="single" w:sz="8" w:space="0" w:color="auto"/>
              <w:right w:val="single" w:sz="8" w:space="0" w:color="auto"/>
            </w:tcBorders>
            <w:shd w:val="clear" w:color="auto" w:fill="auto"/>
            <w:noWrap/>
            <w:vAlign w:val="center"/>
            <w:hideMark/>
          </w:tcPr>
          <w:p w14:paraId="2B0ED80F"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Approved </w:t>
            </w:r>
          </w:p>
        </w:tc>
        <w:tc>
          <w:tcPr>
            <w:tcW w:w="1320" w:type="dxa"/>
            <w:tcBorders>
              <w:top w:val="nil"/>
              <w:left w:val="nil"/>
              <w:bottom w:val="single" w:sz="8" w:space="0" w:color="auto"/>
              <w:right w:val="single" w:sz="8" w:space="0" w:color="auto"/>
            </w:tcBorders>
            <w:shd w:val="clear" w:color="auto" w:fill="auto"/>
            <w:noWrap/>
            <w:vAlign w:val="center"/>
            <w:hideMark/>
          </w:tcPr>
          <w:p w14:paraId="73839029"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06-11-2021</w:t>
            </w:r>
          </w:p>
        </w:tc>
        <w:tc>
          <w:tcPr>
            <w:tcW w:w="3296" w:type="dxa"/>
            <w:tcBorders>
              <w:top w:val="nil"/>
              <w:left w:val="nil"/>
              <w:bottom w:val="single" w:sz="8" w:space="0" w:color="auto"/>
              <w:right w:val="single" w:sz="8" w:space="0" w:color="auto"/>
            </w:tcBorders>
            <w:shd w:val="clear" w:color="auto" w:fill="auto"/>
            <w:noWrap/>
            <w:vAlign w:val="center"/>
            <w:hideMark/>
          </w:tcPr>
          <w:p w14:paraId="193E777F"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ECR/1242/</w:t>
            </w:r>
            <w:proofErr w:type="spellStart"/>
            <w:r w:rsidRPr="002F56D9">
              <w:rPr>
                <w:rFonts w:ascii="Times New Roman" w:eastAsia="Times New Roman" w:hAnsi="Times New Roman" w:cs="Times New Roman"/>
                <w:color w:val="000000"/>
                <w:szCs w:val="24"/>
                <w:lang w:val="en-IN" w:eastAsia="en-IN"/>
              </w:rPr>
              <w:t>Inst</w:t>
            </w:r>
            <w:proofErr w:type="spellEnd"/>
            <w:r w:rsidRPr="002F56D9">
              <w:rPr>
                <w:rFonts w:ascii="Times New Roman" w:eastAsia="Times New Roman" w:hAnsi="Times New Roman" w:cs="Times New Roman"/>
                <w:color w:val="000000"/>
                <w:szCs w:val="24"/>
                <w:lang w:val="en-IN" w:eastAsia="en-IN"/>
              </w:rPr>
              <w:t>/KA/2019</w:t>
            </w:r>
          </w:p>
        </w:tc>
      </w:tr>
      <w:tr w:rsidR="002F56D9" w:rsidRPr="002F56D9" w14:paraId="1CBCDD27" w14:textId="77777777" w:rsidTr="00BD2514">
        <w:trPr>
          <w:trHeight w:val="890"/>
        </w:trPr>
        <w:tc>
          <w:tcPr>
            <w:tcW w:w="703" w:type="dxa"/>
            <w:tcBorders>
              <w:top w:val="nil"/>
              <w:left w:val="single" w:sz="8" w:space="0" w:color="auto"/>
              <w:bottom w:val="single" w:sz="8" w:space="0" w:color="auto"/>
              <w:right w:val="single" w:sz="8" w:space="0" w:color="auto"/>
            </w:tcBorders>
            <w:shd w:val="clear" w:color="auto" w:fill="auto"/>
            <w:vAlign w:val="center"/>
            <w:hideMark/>
          </w:tcPr>
          <w:p w14:paraId="67C90EDF" w14:textId="7477FBBF" w:rsidR="002F56D9" w:rsidRPr="002F56D9" w:rsidRDefault="00BD2514" w:rsidP="002F56D9">
            <w:pPr>
              <w:spacing w:after="0" w:line="240" w:lineRule="auto"/>
              <w:rPr>
                <w:rFonts w:ascii="Times New Roman" w:eastAsia="Times New Roman" w:hAnsi="Times New Roman" w:cs="Times New Roman"/>
                <w:color w:val="000000"/>
                <w:szCs w:val="24"/>
                <w:lang w:val="en-IN" w:eastAsia="en-IN"/>
              </w:rPr>
            </w:pPr>
            <w:r>
              <w:rPr>
                <w:rFonts w:ascii="Times New Roman" w:eastAsia="Times New Roman" w:hAnsi="Times New Roman" w:cs="Times New Roman"/>
                <w:color w:val="000000"/>
                <w:szCs w:val="24"/>
                <w:lang w:val="en-IN" w:eastAsia="en-IN"/>
              </w:rPr>
              <w:lastRenderedPageBreak/>
              <w:t>19</w:t>
            </w:r>
          </w:p>
        </w:tc>
        <w:tc>
          <w:tcPr>
            <w:tcW w:w="3806" w:type="dxa"/>
            <w:tcBorders>
              <w:top w:val="nil"/>
              <w:left w:val="nil"/>
              <w:bottom w:val="single" w:sz="8" w:space="0" w:color="auto"/>
              <w:right w:val="single" w:sz="8" w:space="0" w:color="auto"/>
            </w:tcBorders>
            <w:shd w:val="clear" w:color="auto" w:fill="auto"/>
            <w:vAlign w:val="center"/>
            <w:hideMark/>
          </w:tcPr>
          <w:p w14:paraId="274C7D78"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Institutional Ethics Committee -</w:t>
            </w:r>
            <w:r w:rsidRPr="002F56D9">
              <w:rPr>
                <w:rFonts w:ascii="Times New Roman" w:eastAsia="Times New Roman" w:hAnsi="Times New Roman" w:cs="Times New Roman"/>
                <w:color w:val="000000"/>
                <w:szCs w:val="24"/>
                <w:lang w:val="en-IN" w:eastAsia="en-IN"/>
              </w:rPr>
              <w:br/>
            </w:r>
            <w:proofErr w:type="spellStart"/>
            <w:r w:rsidRPr="002F56D9">
              <w:rPr>
                <w:rFonts w:ascii="Times New Roman" w:eastAsia="Times New Roman" w:hAnsi="Times New Roman" w:cs="Times New Roman"/>
                <w:color w:val="000000"/>
                <w:szCs w:val="24"/>
                <w:lang w:val="en-IN" w:eastAsia="en-IN"/>
              </w:rPr>
              <w:t>Jawahar</w:t>
            </w:r>
            <w:proofErr w:type="spellEnd"/>
            <w:r w:rsidRPr="002F56D9">
              <w:rPr>
                <w:rFonts w:ascii="Times New Roman" w:eastAsia="Times New Roman" w:hAnsi="Times New Roman" w:cs="Times New Roman"/>
                <w:color w:val="000000"/>
                <w:szCs w:val="24"/>
                <w:lang w:val="en-IN" w:eastAsia="en-IN"/>
              </w:rPr>
              <w:t xml:space="preserve"> Lal Nehru Medical College,</w:t>
            </w:r>
            <w:r w:rsidRPr="002F56D9">
              <w:rPr>
                <w:rFonts w:ascii="Times New Roman" w:eastAsia="Times New Roman" w:hAnsi="Times New Roman" w:cs="Times New Roman"/>
                <w:color w:val="000000"/>
                <w:szCs w:val="24"/>
                <w:lang w:val="en-IN" w:eastAsia="en-IN"/>
              </w:rPr>
              <w:br/>
              <w:t xml:space="preserve">Kala </w:t>
            </w:r>
            <w:proofErr w:type="spellStart"/>
            <w:r w:rsidRPr="002F56D9">
              <w:rPr>
                <w:rFonts w:ascii="Times New Roman" w:eastAsia="Times New Roman" w:hAnsi="Times New Roman" w:cs="Times New Roman"/>
                <w:color w:val="000000"/>
                <w:szCs w:val="24"/>
                <w:lang w:val="en-IN" w:eastAsia="en-IN"/>
              </w:rPr>
              <w:t>Bagh</w:t>
            </w:r>
            <w:proofErr w:type="spellEnd"/>
            <w:r w:rsidRPr="002F56D9">
              <w:rPr>
                <w:rFonts w:ascii="Times New Roman" w:eastAsia="Times New Roman" w:hAnsi="Times New Roman" w:cs="Times New Roman"/>
                <w:color w:val="000000"/>
                <w:szCs w:val="24"/>
                <w:lang w:val="en-IN" w:eastAsia="en-IN"/>
              </w:rPr>
              <w:t xml:space="preserve"> Ajmer - 305001, Rajasthan, India</w:t>
            </w:r>
          </w:p>
        </w:tc>
        <w:tc>
          <w:tcPr>
            <w:tcW w:w="1258" w:type="dxa"/>
            <w:tcBorders>
              <w:top w:val="nil"/>
              <w:left w:val="nil"/>
              <w:bottom w:val="single" w:sz="8" w:space="0" w:color="auto"/>
              <w:right w:val="single" w:sz="8" w:space="0" w:color="auto"/>
            </w:tcBorders>
            <w:shd w:val="clear" w:color="auto" w:fill="auto"/>
            <w:noWrap/>
            <w:vAlign w:val="center"/>
            <w:hideMark/>
          </w:tcPr>
          <w:p w14:paraId="3C76331F"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Approved </w:t>
            </w:r>
          </w:p>
        </w:tc>
        <w:tc>
          <w:tcPr>
            <w:tcW w:w="1320" w:type="dxa"/>
            <w:tcBorders>
              <w:top w:val="nil"/>
              <w:left w:val="nil"/>
              <w:bottom w:val="single" w:sz="8" w:space="0" w:color="auto"/>
              <w:right w:val="single" w:sz="8" w:space="0" w:color="auto"/>
            </w:tcBorders>
            <w:shd w:val="clear" w:color="auto" w:fill="auto"/>
            <w:noWrap/>
            <w:vAlign w:val="center"/>
            <w:hideMark/>
          </w:tcPr>
          <w:p w14:paraId="1D93ED87"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22-11-2021</w:t>
            </w:r>
          </w:p>
        </w:tc>
        <w:tc>
          <w:tcPr>
            <w:tcW w:w="3296" w:type="dxa"/>
            <w:tcBorders>
              <w:top w:val="nil"/>
              <w:left w:val="nil"/>
              <w:bottom w:val="single" w:sz="8" w:space="0" w:color="auto"/>
              <w:right w:val="single" w:sz="8" w:space="0" w:color="auto"/>
            </w:tcBorders>
            <w:shd w:val="clear" w:color="auto" w:fill="auto"/>
            <w:noWrap/>
            <w:vAlign w:val="center"/>
            <w:hideMark/>
          </w:tcPr>
          <w:p w14:paraId="4F0C0F89"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ECR/1156/</w:t>
            </w:r>
            <w:proofErr w:type="spellStart"/>
            <w:r w:rsidRPr="002F56D9">
              <w:rPr>
                <w:rFonts w:ascii="Times New Roman" w:eastAsia="Times New Roman" w:hAnsi="Times New Roman" w:cs="Times New Roman"/>
                <w:color w:val="000000"/>
                <w:szCs w:val="24"/>
                <w:lang w:val="en-IN" w:eastAsia="en-IN"/>
              </w:rPr>
              <w:t>Inst</w:t>
            </w:r>
            <w:proofErr w:type="spellEnd"/>
            <w:r w:rsidRPr="002F56D9">
              <w:rPr>
                <w:rFonts w:ascii="Times New Roman" w:eastAsia="Times New Roman" w:hAnsi="Times New Roman" w:cs="Times New Roman"/>
                <w:color w:val="000000"/>
                <w:szCs w:val="24"/>
                <w:lang w:val="en-IN" w:eastAsia="en-IN"/>
              </w:rPr>
              <w:t>/RJ/2018/RR-22</w:t>
            </w:r>
          </w:p>
        </w:tc>
      </w:tr>
      <w:tr w:rsidR="002F56D9" w:rsidRPr="002F56D9" w14:paraId="7B4EFCF5" w14:textId="77777777" w:rsidTr="00BD2514">
        <w:trPr>
          <w:trHeight w:val="890"/>
        </w:trPr>
        <w:tc>
          <w:tcPr>
            <w:tcW w:w="703" w:type="dxa"/>
            <w:tcBorders>
              <w:top w:val="nil"/>
              <w:left w:val="single" w:sz="8" w:space="0" w:color="auto"/>
              <w:bottom w:val="single" w:sz="8" w:space="0" w:color="auto"/>
              <w:right w:val="single" w:sz="8" w:space="0" w:color="auto"/>
            </w:tcBorders>
            <w:shd w:val="clear" w:color="auto" w:fill="auto"/>
            <w:vAlign w:val="center"/>
            <w:hideMark/>
          </w:tcPr>
          <w:p w14:paraId="147CE79B" w14:textId="6DFD6475" w:rsidR="002F56D9" w:rsidRPr="002F56D9" w:rsidRDefault="00BD2514" w:rsidP="002F56D9">
            <w:pPr>
              <w:spacing w:after="0" w:line="240" w:lineRule="auto"/>
              <w:rPr>
                <w:rFonts w:ascii="Times New Roman" w:eastAsia="Times New Roman" w:hAnsi="Times New Roman" w:cs="Times New Roman"/>
                <w:color w:val="000000"/>
                <w:szCs w:val="24"/>
                <w:lang w:val="en-IN" w:eastAsia="en-IN"/>
              </w:rPr>
            </w:pPr>
            <w:r>
              <w:rPr>
                <w:rFonts w:ascii="Times New Roman" w:eastAsia="Times New Roman" w:hAnsi="Times New Roman" w:cs="Times New Roman"/>
                <w:color w:val="000000"/>
                <w:szCs w:val="24"/>
                <w:lang w:val="en-IN" w:eastAsia="en-IN"/>
              </w:rPr>
              <w:t>20</w:t>
            </w:r>
          </w:p>
        </w:tc>
        <w:tc>
          <w:tcPr>
            <w:tcW w:w="3806" w:type="dxa"/>
            <w:tcBorders>
              <w:top w:val="nil"/>
              <w:left w:val="nil"/>
              <w:bottom w:val="single" w:sz="8" w:space="0" w:color="auto"/>
              <w:right w:val="single" w:sz="8" w:space="0" w:color="auto"/>
            </w:tcBorders>
            <w:shd w:val="clear" w:color="auto" w:fill="auto"/>
            <w:vAlign w:val="center"/>
            <w:hideMark/>
          </w:tcPr>
          <w:p w14:paraId="16CDCEE6"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proofErr w:type="spellStart"/>
            <w:r w:rsidRPr="002F56D9">
              <w:rPr>
                <w:rFonts w:ascii="Times New Roman" w:eastAsia="Times New Roman" w:hAnsi="Times New Roman" w:cs="Times New Roman"/>
                <w:color w:val="000000"/>
                <w:szCs w:val="24"/>
                <w:lang w:val="en-IN" w:eastAsia="en-IN"/>
              </w:rPr>
              <w:t>Lifepoint</w:t>
            </w:r>
            <w:proofErr w:type="spellEnd"/>
            <w:r w:rsidRPr="002F56D9">
              <w:rPr>
                <w:rFonts w:ascii="Times New Roman" w:eastAsia="Times New Roman" w:hAnsi="Times New Roman" w:cs="Times New Roman"/>
                <w:color w:val="000000"/>
                <w:szCs w:val="24"/>
                <w:lang w:val="en-IN" w:eastAsia="en-IN"/>
              </w:rPr>
              <w:t xml:space="preserve"> Research- Ethics Committee,</w:t>
            </w:r>
            <w:r w:rsidRPr="002F56D9">
              <w:rPr>
                <w:rFonts w:ascii="Times New Roman" w:eastAsia="Times New Roman" w:hAnsi="Times New Roman" w:cs="Times New Roman"/>
                <w:color w:val="000000"/>
                <w:szCs w:val="24"/>
                <w:lang w:val="en-IN" w:eastAsia="en-IN"/>
              </w:rPr>
              <w:br/>
              <w:t xml:space="preserve">145/1, Mumbai-Bangalore highway, Near Hotel </w:t>
            </w:r>
            <w:proofErr w:type="spellStart"/>
            <w:r w:rsidRPr="002F56D9">
              <w:rPr>
                <w:rFonts w:ascii="Times New Roman" w:eastAsia="Times New Roman" w:hAnsi="Times New Roman" w:cs="Times New Roman"/>
                <w:color w:val="000000"/>
                <w:szCs w:val="24"/>
                <w:lang w:val="en-IN" w:eastAsia="en-IN"/>
              </w:rPr>
              <w:t>Sayaji</w:t>
            </w:r>
            <w:proofErr w:type="spellEnd"/>
            <w:r w:rsidRPr="002F56D9">
              <w:rPr>
                <w:rFonts w:ascii="Times New Roman" w:eastAsia="Times New Roman" w:hAnsi="Times New Roman" w:cs="Times New Roman"/>
                <w:color w:val="000000"/>
                <w:szCs w:val="24"/>
                <w:lang w:val="en-IN" w:eastAsia="en-IN"/>
              </w:rPr>
              <w:t xml:space="preserve">, </w:t>
            </w:r>
            <w:proofErr w:type="spellStart"/>
            <w:r w:rsidRPr="002F56D9">
              <w:rPr>
                <w:rFonts w:ascii="Times New Roman" w:eastAsia="Times New Roman" w:hAnsi="Times New Roman" w:cs="Times New Roman"/>
                <w:color w:val="000000"/>
                <w:szCs w:val="24"/>
                <w:lang w:val="en-IN" w:eastAsia="en-IN"/>
              </w:rPr>
              <w:t>Wakad</w:t>
            </w:r>
            <w:proofErr w:type="spellEnd"/>
            <w:r w:rsidRPr="002F56D9">
              <w:rPr>
                <w:rFonts w:ascii="Times New Roman" w:eastAsia="Times New Roman" w:hAnsi="Times New Roman" w:cs="Times New Roman"/>
                <w:color w:val="000000"/>
                <w:szCs w:val="24"/>
                <w:lang w:val="en-IN" w:eastAsia="en-IN"/>
              </w:rPr>
              <w:t>, Pune - 411057,  Maharashtra, India</w:t>
            </w:r>
          </w:p>
        </w:tc>
        <w:tc>
          <w:tcPr>
            <w:tcW w:w="1258" w:type="dxa"/>
            <w:tcBorders>
              <w:top w:val="nil"/>
              <w:left w:val="nil"/>
              <w:bottom w:val="single" w:sz="8" w:space="0" w:color="auto"/>
              <w:right w:val="single" w:sz="8" w:space="0" w:color="auto"/>
            </w:tcBorders>
            <w:shd w:val="clear" w:color="auto" w:fill="auto"/>
            <w:noWrap/>
            <w:vAlign w:val="center"/>
            <w:hideMark/>
          </w:tcPr>
          <w:p w14:paraId="7086F9C2"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Approved </w:t>
            </w:r>
          </w:p>
        </w:tc>
        <w:tc>
          <w:tcPr>
            <w:tcW w:w="1320" w:type="dxa"/>
            <w:tcBorders>
              <w:top w:val="nil"/>
              <w:left w:val="nil"/>
              <w:bottom w:val="single" w:sz="8" w:space="0" w:color="auto"/>
              <w:right w:val="single" w:sz="8" w:space="0" w:color="auto"/>
            </w:tcBorders>
            <w:shd w:val="clear" w:color="auto" w:fill="auto"/>
            <w:noWrap/>
            <w:vAlign w:val="center"/>
            <w:hideMark/>
          </w:tcPr>
          <w:p w14:paraId="05288E20"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09-11-2021</w:t>
            </w:r>
          </w:p>
        </w:tc>
        <w:tc>
          <w:tcPr>
            <w:tcW w:w="3296" w:type="dxa"/>
            <w:tcBorders>
              <w:top w:val="nil"/>
              <w:left w:val="nil"/>
              <w:bottom w:val="single" w:sz="8" w:space="0" w:color="auto"/>
              <w:right w:val="single" w:sz="8" w:space="0" w:color="auto"/>
            </w:tcBorders>
            <w:shd w:val="clear" w:color="auto" w:fill="auto"/>
            <w:noWrap/>
            <w:vAlign w:val="center"/>
            <w:hideMark/>
          </w:tcPr>
          <w:p w14:paraId="7FE124D5"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ECR/751/</w:t>
            </w:r>
            <w:proofErr w:type="spellStart"/>
            <w:r w:rsidRPr="002F56D9">
              <w:rPr>
                <w:rFonts w:ascii="Times New Roman" w:eastAsia="Times New Roman" w:hAnsi="Times New Roman" w:cs="Times New Roman"/>
                <w:color w:val="000000"/>
                <w:szCs w:val="24"/>
                <w:lang w:val="en-IN" w:eastAsia="en-IN"/>
              </w:rPr>
              <w:t>Inst</w:t>
            </w:r>
            <w:proofErr w:type="spellEnd"/>
            <w:r w:rsidRPr="002F56D9">
              <w:rPr>
                <w:rFonts w:ascii="Times New Roman" w:eastAsia="Times New Roman" w:hAnsi="Times New Roman" w:cs="Times New Roman"/>
                <w:color w:val="000000"/>
                <w:szCs w:val="24"/>
                <w:lang w:val="en-IN" w:eastAsia="en-IN"/>
              </w:rPr>
              <w:t>/MH/2015/RR-21</w:t>
            </w:r>
          </w:p>
        </w:tc>
      </w:tr>
      <w:tr w:rsidR="002F56D9" w:rsidRPr="002F56D9" w14:paraId="79F3738A" w14:textId="77777777" w:rsidTr="00BD2514">
        <w:trPr>
          <w:trHeight w:val="1183"/>
        </w:trPr>
        <w:tc>
          <w:tcPr>
            <w:tcW w:w="703" w:type="dxa"/>
            <w:tcBorders>
              <w:top w:val="nil"/>
              <w:left w:val="single" w:sz="8" w:space="0" w:color="auto"/>
              <w:bottom w:val="single" w:sz="8" w:space="0" w:color="auto"/>
              <w:right w:val="single" w:sz="8" w:space="0" w:color="auto"/>
            </w:tcBorders>
            <w:shd w:val="clear" w:color="auto" w:fill="auto"/>
            <w:vAlign w:val="center"/>
            <w:hideMark/>
          </w:tcPr>
          <w:p w14:paraId="204B2D54" w14:textId="6DD6E397" w:rsidR="002F56D9" w:rsidRPr="002F56D9" w:rsidRDefault="00BD2514" w:rsidP="002F56D9">
            <w:pPr>
              <w:spacing w:after="0" w:line="240" w:lineRule="auto"/>
              <w:rPr>
                <w:rFonts w:ascii="Times New Roman" w:eastAsia="Times New Roman" w:hAnsi="Times New Roman" w:cs="Times New Roman"/>
                <w:color w:val="000000"/>
                <w:szCs w:val="24"/>
                <w:lang w:val="en-IN" w:eastAsia="en-IN"/>
              </w:rPr>
            </w:pPr>
            <w:r>
              <w:rPr>
                <w:rFonts w:ascii="Times New Roman" w:eastAsia="Times New Roman" w:hAnsi="Times New Roman" w:cs="Times New Roman"/>
                <w:color w:val="000000"/>
                <w:szCs w:val="24"/>
                <w:lang w:val="en-IN" w:eastAsia="en-IN"/>
              </w:rPr>
              <w:t>21</w:t>
            </w:r>
          </w:p>
        </w:tc>
        <w:tc>
          <w:tcPr>
            <w:tcW w:w="3806" w:type="dxa"/>
            <w:tcBorders>
              <w:top w:val="nil"/>
              <w:left w:val="nil"/>
              <w:bottom w:val="single" w:sz="8" w:space="0" w:color="auto"/>
              <w:right w:val="single" w:sz="8" w:space="0" w:color="auto"/>
            </w:tcBorders>
            <w:shd w:val="clear" w:color="auto" w:fill="auto"/>
            <w:vAlign w:val="center"/>
            <w:hideMark/>
          </w:tcPr>
          <w:p w14:paraId="7F16BFC3"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Penta-Med Ethics Committee, </w:t>
            </w:r>
            <w:r w:rsidRPr="002F56D9">
              <w:rPr>
                <w:rFonts w:ascii="Times New Roman" w:eastAsia="Times New Roman" w:hAnsi="Times New Roman" w:cs="Times New Roman"/>
                <w:color w:val="000000"/>
                <w:szCs w:val="24"/>
                <w:lang w:val="en-IN" w:eastAsia="en-IN"/>
              </w:rPr>
              <w:br/>
              <w:t xml:space="preserve"> </w:t>
            </w:r>
            <w:proofErr w:type="spellStart"/>
            <w:r w:rsidRPr="002F56D9">
              <w:rPr>
                <w:rFonts w:ascii="Times New Roman" w:eastAsia="Times New Roman" w:hAnsi="Times New Roman" w:cs="Times New Roman"/>
                <w:color w:val="000000"/>
                <w:szCs w:val="24"/>
                <w:lang w:val="en-IN" w:eastAsia="en-IN"/>
              </w:rPr>
              <w:t>Medipoint</w:t>
            </w:r>
            <w:proofErr w:type="spellEnd"/>
            <w:r w:rsidRPr="002F56D9">
              <w:rPr>
                <w:rFonts w:ascii="Times New Roman" w:eastAsia="Times New Roman" w:hAnsi="Times New Roman" w:cs="Times New Roman"/>
                <w:color w:val="000000"/>
                <w:szCs w:val="24"/>
                <w:lang w:val="en-IN" w:eastAsia="en-IN"/>
              </w:rPr>
              <w:t xml:space="preserve"> Hospitals </w:t>
            </w:r>
            <w:proofErr w:type="spellStart"/>
            <w:r w:rsidRPr="002F56D9">
              <w:rPr>
                <w:rFonts w:ascii="Times New Roman" w:eastAsia="Times New Roman" w:hAnsi="Times New Roman" w:cs="Times New Roman"/>
                <w:color w:val="000000"/>
                <w:szCs w:val="24"/>
                <w:lang w:val="en-IN" w:eastAsia="en-IN"/>
              </w:rPr>
              <w:t>Pvt.</w:t>
            </w:r>
            <w:proofErr w:type="spellEnd"/>
            <w:r w:rsidRPr="002F56D9">
              <w:rPr>
                <w:rFonts w:ascii="Times New Roman" w:eastAsia="Times New Roman" w:hAnsi="Times New Roman" w:cs="Times New Roman"/>
                <w:color w:val="000000"/>
                <w:szCs w:val="24"/>
                <w:lang w:val="en-IN" w:eastAsia="en-IN"/>
              </w:rPr>
              <w:t xml:space="preserve"> Ltd, 241/1, New </w:t>
            </w:r>
            <w:proofErr w:type="spellStart"/>
            <w:r w:rsidRPr="002F56D9">
              <w:rPr>
                <w:rFonts w:ascii="Times New Roman" w:eastAsia="Times New Roman" w:hAnsi="Times New Roman" w:cs="Times New Roman"/>
                <w:color w:val="000000"/>
                <w:szCs w:val="24"/>
                <w:lang w:val="en-IN" w:eastAsia="en-IN"/>
              </w:rPr>
              <w:t>D.P.Road</w:t>
            </w:r>
            <w:proofErr w:type="spellEnd"/>
            <w:r w:rsidRPr="002F56D9">
              <w:rPr>
                <w:rFonts w:ascii="Times New Roman" w:eastAsia="Times New Roman" w:hAnsi="Times New Roman" w:cs="Times New Roman"/>
                <w:color w:val="000000"/>
                <w:szCs w:val="24"/>
                <w:lang w:val="en-IN" w:eastAsia="en-IN"/>
              </w:rPr>
              <w:t xml:space="preserve">, Near Sai </w:t>
            </w:r>
            <w:proofErr w:type="spellStart"/>
            <w:r w:rsidRPr="002F56D9">
              <w:rPr>
                <w:rFonts w:ascii="Times New Roman" w:eastAsia="Times New Roman" w:hAnsi="Times New Roman" w:cs="Times New Roman"/>
                <w:color w:val="000000"/>
                <w:szCs w:val="24"/>
                <w:lang w:val="en-IN" w:eastAsia="en-IN"/>
              </w:rPr>
              <w:t>Heritage,Pune</w:t>
            </w:r>
            <w:proofErr w:type="spellEnd"/>
            <w:r w:rsidRPr="002F56D9">
              <w:rPr>
                <w:rFonts w:ascii="Times New Roman" w:eastAsia="Times New Roman" w:hAnsi="Times New Roman" w:cs="Times New Roman"/>
                <w:color w:val="000000"/>
                <w:szCs w:val="24"/>
                <w:lang w:val="en-IN" w:eastAsia="en-IN"/>
              </w:rPr>
              <w:t xml:space="preserve"> - 411007, Maharashtra, India</w:t>
            </w:r>
          </w:p>
        </w:tc>
        <w:tc>
          <w:tcPr>
            <w:tcW w:w="1258" w:type="dxa"/>
            <w:tcBorders>
              <w:top w:val="nil"/>
              <w:left w:val="nil"/>
              <w:bottom w:val="single" w:sz="8" w:space="0" w:color="auto"/>
              <w:right w:val="single" w:sz="8" w:space="0" w:color="auto"/>
            </w:tcBorders>
            <w:shd w:val="clear" w:color="auto" w:fill="auto"/>
            <w:noWrap/>
            <w:vAlign w:val="center"/>
            <w:hideMark/>
          </w:tcPr>
          <w:p w14:paraId="26C78A49"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Approved </w:t>
            </w:r>
          </w:p>
        </w:tc>
        <w:tc>
          <w:tcPr>
            <w:tcW w:w="1320" w:type="dxa"/>
            <w:tcBorders>
              <w:top w:val="nil"/>
              <w:left w:val="nil"/>
              <w:bottom w:val="single" w:sz="8" w:space="0" w:color="auto"/>
              <w:right w:val="single" w:sz="8" w:space="0" w:color="auto"/>
            </w:tcBorders>
            <w:shd w:val="clear" w:color="auto" w:fill="auto"/>
            <w:noWrap/>
            <w:vAlign w:val="center"/>
            <w:hideMark/>
          </w:tcPr>
          <w:p w14:paraId="5010E278"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12-11-2021</w:t>
            </w:r>
          </w:p>
        </w:tc>
        <w:tc>
          <w:tcPr>
            <w:tcW w:w="3296" w:type="dxa"/>
            <w:tcBorders>
              <w:top w:val="nil"/>
              <w:left w:val="nil"/>
              <w:bottom w:val="single" w:sz="8" w:space="0" w:color="auto"/>
              <w:right w:val="single" w:sz="8" w:space="0" w:color="auto"/>
            </w:tcBorders>
            <w:shd w:val="clear" w:color="auto" w:fill="auto"/>
            <w:noWrap/>
            <w:vAlign w:val="center"/>
            <w:hideMark/>
          </w:tcPr>
          <w:p w14:paraId="32CCE82A"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ECR/357/</w:t>
            </w:r>
            <w:proofErr w:type="spellStart"/>
            <w:r w:rsidRPr="002F56D9">
              <w:rPr>
                <w:rFonts w:ascii="Times New Roman" w:eastAsia="Times New Roman" w:hAnsi="Times New Roman" w:cs="Times New Roman"/>
                <w:color w:val="000000"/>
                <w:szCs w:val="24"/>
                <w:lang w:val="en-IN" w:eastAsia="en-IN"/>
              </w:rPr>
              <w:t>Inst</w:t>
            </w:r>
            <w:proofErr w:type="spellEnd"/>
            <w:r w:rsidRPr="002F56D9">
              <w:rPr>
                <w:rFonts w:ascii="Times New Roman" w:eastAsia="Times New Roman" w:hAnsi="Times New Roman" w:cs="Times New Roman"/>
                <w:color w:val="000000"/>
                <w:szCs w:val="24"/>
                <w:lang w:val="en-IN" w:eastAsia="en-IN"/>
              </w:rPr>
              <w:t>/MH/2013/RR-20</w:t>
            </w:r>
          </w:p>
        </w:tc>
      </w:tr>
      <w:tr w:rsidR="002F56D9" w:rsidRPr="002F56D9" w14:paraId="50328CF8" w14:textId="77777777" w:rsidTr="00BD2514">
        <w:trPr>
          <w:trHeight w:val="890"/>
        </w:trPr>
        <w:tc>
          <w:tcPr>
            <w:tcW w:w="703" w:type="dxa"/>
            <w:tcBorders>
              <w:top w:val="nil"/>
              <w:left w:val="single" w:sz="8" w:space="0" w:color="auto"/>
              <w:bottom w:val="single" w:sz="8" w:space="0" w:color="auto"/>
              <w:right w:val="single" w:sz="8" w:space="0" w:color="auto"/>
            </w:tcBorders>
            <w:shd w:val="clear" w:color="auto" w:fill="auto"/>
            <w:vAlign w:val="center"/>
            <w:hideMark/>
          </w:tcPr>
          <w:p w14:paraId="0BA45EA3" w14:textId="3EE5613C" w:rsidR="002F56D9" w:rsidRPr="002F56D9" w:rsidRDefault="00BD2514" w:rsidP="002F56D9">
            <w:pPr>
              <w:spacing w:after="0" w:line="240" w:lineRule="auto"/>
              <w:rPr>
                <w:rFonts w:ascii="Times New Roman" w:eastAsia="Times New Roman" w:hAnsi="Times New Roman" w:cs="Times New Roman"/>
                <w:color w:val="000000"/>
                <w:szCs w:val="24"/>
                <w:lang w:val="en-IN" w:eastAsia="en-IN"/>
              </w:rPr>
            </w:pPr>
            <w:r>
              <w:rPr>
                <w:rFonts w:ascii="Times New Roman" w:eastAsia="Times New Roman" w:hAnsi="Times New Roman" w:cs="Times New Roman"/>
                <w:color w:val="000000"/>
                <w:szCs w:val="24"/>
                <w:lang w:val="en-IN" w:eastAsia="en-IN"/>
              </w:rPr>
              <w:t>22</w:t>
            </w:r>
          </w:p>
        </w:tc>
        <w:tc>
          <w:tcPr>
            <w:tcW w:w="3806" w:type="dxa"/>
            <w:tcBorders>
              <w:top w:val="nil"/>
              <w:left w:val="nil"/>
              <w:bottom w:val="single" w:sz="8" w:space="0" w:color="auto"/>
              <w:right w:val="single" w:sz="8" w:space="0" w:color="auto"/>
            </w:tcBorders>
            <w:shd w:val="clear" w:color="auto" w:fill="auto"/>
            <w:vAlign w:val="center"/>
            <w:hideMark/>
          </w:tcPr>
          <w:p w14:paraId="3BCF3D1A"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Unique Children's Hospital Ethics Committee,</w:t>
            </w:r>
            <w:r w:rsidRPr="002F56D9">
              <w:rPr>
                <w:rFonts w:ascii="Times New Roman" w:eastAsia="Times New Roman" w:hAnsi="Times New Roman" w:cs="Times New Roman"/>
                <w:color w:val="000000"/>
                <w:szCs w:val="24"/>
                <w:lang w:val="en-IN" w:eastAsia="en-IN"/>
              </w:rPr>
              <w:br/>
              <w:t xml:space="preserve">Hira </w:t>
            </w:r>
            <w:proofErr w:type="spellStart"/>
            <w:r w:rsidRPr="002F56D9">
              <w:rPr>
                <w:rFonts w:ascii="Times New Roman" w:eastAsia="Times New Roman" w:hAnsi="Times New Roman" w:cs="Times New Roman"/>
                <w:color w:val="000000"/>
                <w:szCs w:val="24"/>
                <w:lang w:val="en-IN" w:eastAsia="en-IN"/>
              </w:rPr>
              <w:t>Moti</w:t>
            </w:r>
            <w:proofErr w:type="spellEnd"/>
            <w:r w:rsidRPr="002F56D9">
              <w:rPr>
                <w:rFonts w:ascii="Times New Roman" w:eastAsia="Times New Roman" w:hAnsi="Times New Roman" w:cs="Times New Roman"/>
                <w:color w:val="000000"/>
                <w:szCs w:val="24"/>
                <w:lang w:val="en-IN" w:eastAsia="en-IN"/>
              </w:rPr>
              <w:t xml:space="preserve"> Fortune Opp. Police station, Pune Mumbai</w:t>
            </w:r>
            <w:r w:rsidRPr="002F56D9">
              <w:rPr>
                <w:rFonts w:ascii="Times New Roman" w:eastAsia="Times New Roman" w:hAnsi="Times New Roman" w:cs="Times New Roman"/>
                <w:color w:val="000000"/>
                <w:szCs w:val="24"/>
                <w:lang w:val="en-IN" w:eastAsia="en-IN"/>
              </w:rPr>
              <w:br/>
              <w:t xml:space="preserve">Road, </w:t>
            </w:r>
            <w:proofErr w:type="spellStart"/>
            <w:r w:rsidRPr="002F56D9">
              <w:rPr>
                <w:rFonts w:ascii="Times New Roman" w:eastAsia="Times New Roman" w:hAnsi="Times New Roman" w:cs="Times New Roman"/>
                <w:color w:val="000000"/>
                <w:szCs w:val="24"/>
                <w:lang w:val="en-IN" w:eastAsia="en-IN"/>
              </w:rPr>
              <w:t>Chinchwad</w:t>
            </w:r>
            <w:proofErr w:type="spellEnd"/>
            <w:r w:rsidRPr="002F56D9">
              <w:rPr>
                <w:rFonts w:ascii="Times New Roman" w:eastAsia="Times New Roman" w:hAnsi="Times New Roman" w:cs="Times New Roman"/>
                <w:color w:val="000000"/>
                <w:szCs w:val="24"/>
                <w:lang w:val="en-IN" w:eastAsia="en-IN"/>
              </w:rPr>
              <w:t>, Pune-411019, Maharashtra, India</w:t>
            </w:r>
          </w:p>
        </w:tc>
        <w:tc>
          <w:tcPr>
            <w:tcW w:w="1258" w:type="dxa"/>
            <w:tcBorders>
              <w:top w:val="nil"/>
              <w:left w:val="nil"/>
              <w:bottom w:val="single" w:sz="8" w:space="0" w:color="auto"/>
              <w:right w:val="single" w:sz="8" w:space="0" w:color="auto"/>
            </w:tcBorders>
            <w:shd w:val="clear" w:color="auto" w:fill="auto"/>
            <w:noWrap/>
            <w:vAlign w:val="center"/>
            <w:hideMark/>
          </w:tcPr>
          <w:p w14:paraId="1867D687"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Approved </w:t>
            </w:r>
          </w:p>
        </w:tc>
        <w:tc>
          <w:tcPr>
            <w:tcW w:w="1320" w:type="dxa"/>
            <w:tcBorders>
              <w:top w:val="nil"/>
              <w:left w:val="nil"/>
              <w:bottom w:val="single" w:sz="8" w:space="0" w:color="auto"/>
              <w:right w:val="single" w:sz="8" w:space="0" w:color="auto"/>
            </w:tcBorders>
            <w:shd w:val="clear" w:color="auto" w:fill="auto"/>
            <w:noWrap/>
            <w:vAlign w:val="center"/>
            <w:hideMark/>
          </w:tcPr>
          <w:p w14:paraId="629DC8D7"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16-12-2021</w:t>
            </w:r>
          </w:p>
        </w:tc>
        <w:tc>
          <w:tcPr>
            <w:tcW w:w="3296" w:type="dxa"/>
            <w:tcBorders>
              <w:top w:val="nil"/>
              <w:left w:val="nil"/>
              <w:bottom w:val="single" w:sz="8" w:space="0" w:color="auto"/>
              <w:right w:val="single" w:sz="8" w:space="0" w:color="auto"/>
            </w:tcBorders>
            <w:shd w:val="clear" w:color="auto" w:fill="auto"/>
            <w:noWrap/>
            <w:vAlign w:val="center"/>
            <w:hideMark/>
          </w:tcPr>
          <w:p w14:paraId="5A2ECB1A"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ECR/1203/</w:t>
            </w:r>
            <w:proofErr w:type="spellStart"/>
            <w:r w:rsidRPr="002F56D9">
              <w:rPr>
                <w:rFonts w:ascii="Times New Roman" w:eastAsia="Times New Roman" w:hAnsi="Times New Roman" w:cs="Times New Roman"/>
                <w:color w:val="000000"/>
                <w:szCs w:val="24"/>
                <w:lang w:val="en-IN" w:eastAsia="en-IN"/>
              </w:rPr>
              <w:t>Inst</w:t>
            </w:r>
            <w:proofErr w:type="spellEnd"/>
            <w:r w:rsidRPr="002F56D9">
              <w:rPr>
                <w:rFonts w:ascii="Times New Roman" w:eastAsia="Times New Roman" w:hAnsi="Times New Roman" w:cs="Times New Roman"/>
                <w:color w:val="000000"/>
                <w:szCs w:val="24"/>
                <w:lang w:val="en-IN" w:eastAsia="en-IN"/>
              </w:rPr>
              <w:t>/MH/2019</w:t>
            </w:r>
          </w:p>
        </w:tc>
      </w:tr>
      <w:tr w:rsidR="002F56D9" w:rsidRPr="002F56D9" w14:paraId="0B2CCBA7" w14:textId="77777777" w:rsidTr="00BD2514">
        <w:trPr>
          <w:trHeight w:val="1183"/>
        </w:trPr>
        <w:tc>
          <w:tcPr>
            <w:tcW w:w="703" w:type="dxa"/>
            <w:tcBorders>
              <w:top w:val="nil"/>
              <w:left w:val="single" w:sz="8" w:space="0" w:color="auto"/>
              <w:bottom w:val="single" w:sz="8" w:space="0" w:color="auto"/>
              <w:right w:val="single" w:sz="8" w:space="0" w:color="auto"/>
            </w:tcBorders>
            <w:shd w:val="clear" w:color="auto" w:fill="auto"/>
            <w:vAlign w:val="center"/>
            <w:hideMark/>
          </w:tcPr>
          <w:p w14:paraId="3E56EED8" w14:textId="6627BF6B" w:rsidR="002F56D9" w:rsidRPr="002F56D9" w:rsidRDefault="00BD2514" w:rsidP="002F56D9">
            <w:pPr>
              <w:spacing w:after="0" w:line="240" w:lineRule="auto"/>
              <w:rPr>
                <w:rFonts w:ascii="Times New Roman" w:eastAsia="Times New Roman" w:hAnsi="Times New Roman" w:cs="Times New Roman"/>
                <w:color w:val="000000"/>
                <w:szCs w:val="24"/>
                <w:lang w:val="en-IN" w:eastAsia="en-IN"/>
              </w:rPr>
            </w:pPr>
            <w:r>
              <w:rPr>
                <w:rFonts w:ascii="Times New Roman" w:eastAsia="Times New Roman" w:hAnsi="Times New Roman" w:cs="Times New Roman"/>
                <w:color w:val="000000"/>
                <w:szCs w:val="24"/>
                <w:lang w:val="en-IN" w:eastAsia="en-IN"/>
              </w:rPr>
              <w:t>23</w:t>
            </w:r>
          </w:p>
        </w:tc>
        <w:tc>
          <w:tcPr>
            <w:tcW w:w="3806" w:type="dxa"/>
            <w:tcBorders>
              <w:top w:val="nil"/>
              <w:left w:val="nil"/>
              <w:bottom w:val="single" w:sz="8" w:space="0" w:color="auto"/>
              <w:right w:val="single" w:sz="8" w:space="0" w:color="auto"/>
            </w:tcBorders>
            <w:shd w:val="clear" w:color="auto" w:fill="auto"/>
            <w:vAlign w:val="center"/>
            <w:hideMark/>
          </w:tcPr>
          <w:p w14:paraId="2815ABC3"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CARE-IHEC for Faculty Research</w:t>
            </w:r>
            <w:r w:rsidRPr="002F56D9">
              <w:rPr>
                <w:rFonts w:ascii="Times New Roman" w:eastAsia="Times New Roman" w:hAnsi="Times New Roman" w:cs="Times New Roman"/>
                <w:color w:val="000000"/>
                <w:szCs w:val="24"/>
                <w:lang w:val="en-IN" w:eastAsia="en-IN"/>
              </w:rPr>
              <w:br/>
            </w:r>
            <w:proofErr w:type="spellStart"/>
            <w:r w:rsidRPr="002F56D9">
              <w:rPr>
                <w:rFonts w:ascii="Times New Roman" w:eastAsia="Times New Roman" w:hAnsi="Times New Roman" w:cs="Times New Roman"/>
                <w:color w:val="000000"/>
                <w:szCs w:val="24"/>
                <w:lang w:val="en-IN" w:eastAsia="en-IN"/>
              </w:rPr>
              <w:t>Chettinad</w:t>
            </w:r>
            <w:proofErr w:type="spellEnd"/>
            <w:r w:rsidRPr="002F56D9">
              <w:rPr>
                <w:rFonts w:ascii="Times New Roman" w:eastAsia="Times New Roman" w:hAnsi="Times New Roman" w:cs="Times New Roman"/>
                <w:color w:val="000000"/>
                <w:szCs w:val="24"/>
                <w:lang w:val="en-IN" w:eastAsia="en-IN"/>
              </w:rPr>
              <w:t xml:space="preserve"> Academy Of Research And Education, Rajiv Gandhi </w:t>
            </w:r>
            <w:proofErr w:type="spellStart"/>
            <w:r w:rsidRPr="002F56D9">
              <w:rPr>
                <w:rFonts w:ascii="Times New Roman" w:eastAsia="Times New Roman" w:hAnsi="Times New Roman" w:cs="Times New Roman"/>
                <w:color w:val="000000"/>
                <w:szCs w:val="24"/>
                <w:lang w:val="en-IN" w:eastAsia="en-IN"/>
              </w:rPr>
              <w:t>Salai</w:t>
            </w:r>
            <w:proofErr w:type="spellEnd"/>
            <w:r w:rsidRPr="002F56D9">
              <w:rPr>
                <w:rFonts w:ascii="Times New Roman" w:eastAsia="Times New Roman" w:hAnsi="Times New Roman" w:cs="Times New Roman"/>
                <w:color w:val="000000"/>
                <w:szCs w:val="24"/>
                <w:lang w:val="en-IN" w:eastAsia="en-IN"/>
              </w:rPr>
              <w:t xml:space="preserve"> (OMR),</w:t>
            </w:r>
            <w:proofErr w:type="spellStart"/>
            <w:r w:rsidRPr="002F56D9">
              <w:rPr>
                <w:rFonts w:ascii="Times New Roman" w:eastAsia="Times New Roman" w:hAnsi="Times New Roman" w:cs="Times New Roman"/>
                <w:color w:val="000000"/>
                <w:szCs w:val="24"/>
                <w:lang w:val="en-IN" w:eastAsia="en-IN"/>
              </w:rPr>
              <w:t>Kelambakkam</w:t>
            </w:r>
            <w:proofErr w:type="spellEnd"/>
            <w:r w:rsidRPr="002F56D9">
              <w:rPr>
                <w:rFonts w:ascii="Times New Roman" w:eastAsia="Times New Roman" w:hAnsi="Times New Roman" w:cs="Times New Roman"/>
                <w:color w:val="000000"/>
                <w:szCs w:val="24"/>
                <w:lang w:val="en-IN" w:eastAsia="en-IN"/>
              </w:rPr>
              <w:t>, Kanchipuram - 603103, Tamil Nadu, India</w:t>
            </w:r>
          </w:p>
        </w:tc>
        <w:tc>
          <w:tcPr>
            <w:tcW w:w="1258" w:type="dxa"/>
            <w:tcBorders>
              <w:top w:val="nil"/>
              <w:left w:val="nil"/>
              <w:bottom w:val="single" w:sz="8" w:space="0" w:color="auto"/>
              <w:right w:val="single" w:sz="8" w:space="0" w:color="auto"/>
            </w:tcBorders>
            <w:shd w:val="clear" w:color="auto" w:fill="auto"/>
            <w:noWrap/>
            <w:vAlign w:val="center"/>
            <w:hideMark/>
          </w:tcPr>
          <w:p w14:paraId="626B22C4"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 xml:space="preserve">Approved </w:t>
            </w:r>
          </w:p>
        </w:tc>
        <w:tc>
          <w:tcPr>
            <w:tcW w:w="1320" w:type="dxa"/>
            <w:tcBorders>
              <w:top w:val="nil"/>
              <w:left w:val="nil"/>
              <w:bottom w:val="single" w:sz="8" w:space="0" w:color="auto"/>
              <w:right w:val="single" w:sz="8" w:space="0" w:color="auto"/>
            </w:tcBorders>
            <w:shd w:val="clear" w:color="auto" w:fill="auto"/>
            <w:noWrap/>
            <w:vAlign w:val="center"/>
            <w:hideMark/>
          </w:tcPr>
          <w:p w14:paraId="4321AB9E"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09-12-2021</w:t>
            </w:r>
          </w:p>
        </w:tc>
        <w:tc>
          <w:tcPr>
            <w:tcW w:w="3296" w:type="dxa"/>
            <w:tcBorders>
              <w:top w:val="nil"/>
              <w:left w:val="nil"/>
              <w:bottom w:val="single" w:sz="8" w:space="0" w:color="auto"/>
              <w:right w:val="single" w:sz="8" w:space="0" w:color="auto"/>
            </w:tcBorders>
            <w:shd w:val="clear" w:color="auto" w:fill="auto"/>
            <w:noWrap/>
            <w:vAlign w:val="center"/>
            <w:hideMark/>
          </w:tcPr>
          <w:p w14:paraId="7DC1B43F" w14:textId="77777777" w:rsidR="002F56D9" w:rsidRPr="002F56D9" w:rsidRDefault="002F56D9" w:rsidP="002F56D9">
            <w:pPr>
              <w:spacing w:after="0" w:line="240" w:lineRule="auto"/>
              <w:rPr>
                <w:rFonts w:ascii="Times New Roman" w:eastAsia="Times New Roman" w:hAnsi="Times New Roman" w:cs="Times New Roman"/>
                <w:color w:val="000000"/>
                <w:szCs w:val="24"/>
                <w:lang w:val="en-IN" w:eastAsia="en-IN"/>
              </w:rPr>
            </w:pPr>
            <w:r w:rsidRPr="002F56D9">
              <w:rPr>
                <w:rFonts w:ascii="Times New Roman" w:eastAsia="Times New Roman" w:hAnsi="Times New Roman" w:cs="Times New Roman"/>
                <w:color w:val="000000"/>
                <w:szCs w:val="24"/>
                <w:lang w:val="en-IN" w:eastAsia="en-IN"/>
              </w:rPr>
              <w:t>ECR/1589/</w:t>
            </w:r>
            <w:proofErr w:type="spellStart"/>
            <w:r w:rsidRPr="002F56D9">
              <w:rPr>
                <w:rFonts w:ascii="Times New Roman" w:eastAsia="Times New Roman" w:hAnsi="Times New Roman" w:cs="Times New Roman"/>
                <w:color w:val="000000"/>
                <w:szCs w:val="24"/>
                <w:lang w:val="en-IN" w:eastAsia="en-IN"/>
              </w:rPr>
              <w:t>Inst</w:t>
            </w:r>
            <w:proofErr w:type="spellEnd"/>
            <w:r w:rsidRPr="002F56D9">
              <w:rPr>
                <w:rFonts w:ascii="Times New Roman" w:eastAsia="Times New Roman" w:hAnsi="Times New Roman" w:cs="Times New Roman"/>
                <w:color w:val="000000"/>
                <w:szCs w:val="24"/>
                <w:lang w:val="en-IN" w:eastAsia="en-IN"/>
              </w:rPr>
              <w:t>/TN/2021</w:t>
            </w:r>
          </w:p>
        </w:tc>
      </w:tr>
    </w:tbl>
    <w:p w14:paraId="50C02FD5" w14:textId="77777777" w:rsidR="00BD4941" w:rsidRPr="00941787" w:rsidRDefault="00BD4941" w:rsidP="002F56D9">
      <w:pPr>
        <w:ind w:left="720"/>
        <w:rPr>
          <w:rFonts w:ascii="Times New Roman" w:hAnsi="Times New Roman" w:cs="Times New Roman"/>
          <w:b/>
          <w:bCs/>
          <w:szCs w:val="24"/>
        </w:rPr>
      </w:pPr>
    </w:p>
    <w:p w14:paraId="52917458" w14:textId="45E7C564" w:rsidR="001A3451" w:rsidRPr="00941787" w:rsidRDefault="007436C7">
      <w:pPr>
        <w:rPr>
          <w:rFonts w:ascii="Times New Roman" w:hAnsi="Times New Roman" w:cs="Times New Roman"/>
          <w:b/>
          <w:bCs/>
          <w:szCs w:val="24"/>
        </w:rPr>
      </w:pPr>
      <w:r w:rsidRPr="00941787">
        <w:rPr>
          <w:rFonts w:ascii="Times New Roman" w:hAnsi="Times New Roman" w:cs="Times New Roman"/>
          <w:b/>
          <w:bCs/>
          <w:szCs w:val="24"/>
        </w:rPr>
        <w:t>References</w:t>
      </w:r>
      <w:r w:rsidRPr="00941787">
        <w:rPr>
          <w:rFonts w:ascii="Times New Roman" w:hAnsi="Times New Roman" w:cs="Times New Roman"/>
          <w:szCs w:val="24"/>
        </w:rPr>
        <w:t>.</w:t>
      </w:r>
    </w:p>
    <w:p w14:paraId="3B4D9006" w14:textId="77777777" w:rsidR="00D40189" w:rsidRPr="00941787" w:rsidRDefault="001A3451" w:rsidP="00D40189">
      <w:pPr>
        <w:pStyle w:val="EndNoteBibliography"/>
        <w:spacing w:after="0"/>
        <w:rPr>
          <w:rFonts w:ascii="Times New Roman" w:hAnsi="Times New Roman" w:cs="Times New Roman"/>
          <w:szCs w:val="24"/>
        </w:rPr>
      </w:pPr>
      <w:r w:rsidRPr="00941787">
        <w:rPr>
          <w:rFonts w:ascii="Times New Roman" w:hAnsi="Times New Roman" w:cs="Times New Roman"/>
          <w:b/>
          <w:bCs/>
          <w:szCs w:val="24"/>
        </w:rPr>
        <w:fldChar w:fldCharType="begin"/>
      </w:r>
      <w:r w:rsidRPr="00941787">
        <w:rPr>
          <w:rFonts w:ascii="Times New Roman" w:hAnsi="Times New Roman" w:cs="Times New Roman"/>
          <w:b/>
          <w:bCs/>
          <w:szCs w:val="24"/>
        </w:rPr>
        <w:instrText xml:space="preserve"> ADDIN EN.REFLIST </w:instrText>
      </w:r>
      <w:r w:rsidRPr="00941787">
        <w:rPr>
          <w:rFonts w:ascii="Times New Roman" w:hAnsi="Times New Roman" w:cs="Times New Roman"/>
          <w:b/>
          <w:bCs/>
          <w:szCs w:val="24"/>
        </w:rPr>
        <w:fldChar w:fldCharType="separate"/>
      </w:r>
      <w:r w:rsidR="00D40189" w:rsidRPr="00941787">
        <w:rPr>
          <w:rFonts w:ascii="Times New Roman" w:hAnsi="Times New Roman" w:cs="Times New Roman"/>
          <w:szCs w:val="24"/>
        </w:rPr>
        <w:t>1.</w:t>
      </w:r>
      <w:r w:rsidR="00D40189" w:rsidRPr="00941787">
        <w:rPr>
          <w:rFonts w:ascii="Times New Roman" w:hAnsi="Times New Roman" w:cs="Times New Roman"/>
          <w:szCs w:val="24"/>
        </w:rPr>
        <w:tab/>
        <w:t>NIBSC. Data Sheet -Research reagent for anti-SARS-CoV-2 Ab NIBSC code 20/130.</w:t>
      </w:r>
    </w:p>
    <w:p w14:paraId="5D716CA5" w14:textId="77777777" w:rsidR="00D40189" w:rsidRPr="00941787" w:rsidRDefault="00D40189" w:rsidP="00D40189">
      <w:pPr>
        <w:pStyle w:val="EndNoteBibliography"/>
        <w:spacing w:after="0"/>
        <w:rPr>
          <w:rFonts w:ascii="Times New Roman" w:hAnsi="Times New Roman" w:cs="Times New Roman"/>
          <w:szCs w:val="24"/>
        </w:rPr>
      </w:pPr>
      <w:r w:rsidRPr="00941787">
        <w:rPr>
          <w:rFonts w:ascii="Times New Roman" w:hAnsi="Times New Roman" w:cs="Times New Roman"/>
          <w:szCs w:val="24"/>
        </w:rPr>
        <w:t>2.</w:t>
      </w:r>
      <w:r w:rsidRPr="00941787">
        <w:rPr>
          <w:rFonts w:ascii="Times New Roman" w:hAnsi="Times New Roman" w:cs="Times New Roman"/>
          <w:szCs w:val="24"/>
        </w:rPr>
        <w:tab/>
        <w:t xml:space="preserve">Bewley KR, Coombes NS, Gagnon L, et al. Quantification of SARS-CoV-2 neutralizing antibody by wild-type plaque reduction neutralization, microneutralization and pseudotyped virus neutralization assays. </w:t>
      </w:r>
      <w:r w:rsidRPr="00941787">
        <w:rPr>
          <w:rFonts w:ascii="Times New Roman" w:hAnsi="Times New Roman" w:cs="Times New Roman"/>
          <w:i/>
          <w:szCs w:val="24"/>
        </w:rPr>
        <w:t>Nat Protoc</w:t>
      </w:r>
      <w:r w:rsidRPr="00941787">
        <w:rPr>
          <w:rFonts w:ascii="Times New Roman" w:hAnsi="Times New Roman" w:cs="Times New Roman"/>
          <w:szCs w:val="24"/>
        </w:rPr>
        <w:t xml:space="preserve"> 2021; </w:t>
      </w:r>
      <w:r w:rsidRPr="00941787">
        <w:rPr>
          <w:rFonts w:ascii="Times New Roman" w:hAnsi="Times New Roman" w:cs="Times New Roman"/>
          <w:b/>
          <w:szCs w:val="24"/>
        </w:rPr>
        <w:t>16</w:t>
      </w:r>
      <w:r w:rsidRPr="00941787">
        <w:rPr>
          <w:rFonts w:ascii="Times New Roman" w:hAnsi="Times New Roman" w:cs="Times New Roman"/>
          <w:szCs w:val="24"/>
        </w:rPr>
        <w:t>(6): 3114-40.</w:t>
      </w:r>
    </w:p>
    <w:p w14:paraId="3CC2E26E" w14:textId="77777777" w:rsidR="00D40189" w:rsidRPr="00941787" w:rsidRDefault="00D40189" w:rsidP="00D40189">
      <w:pPr>
        <w:pStyle w:val="EndNoteBibliography"/>
        <w:spacing w:after="0"/>
        <w:rPr>
          <w:rFonts w:ascii="Times New Roman" w:hAnsi="Times New Roman" w:cs="Times New Roman"/>
          <w:szCs w:val="24"/>
        </w:rPr>
      </w:pPr>
      <w:r w:rsidRPr="00941787">
        <w:rPr>
          <w:rFonts w:ascii="Times New Roman" w:hAnsi="Times New Roman" w:cs="Times New Roman"/>
          <w:szCs w:val="24"/>
        </w:rPr>
        <w:t>3.</w:t>
      </w:r>
      <w:r w:rsidRPr="00941787">
        <w:rPr>
          <w:rFonts w:ascii="Times New Roman" w:hAnsi="Times New Roman" w:cs="Times New Roman"/>
          <w:szCs w:val="24"/>
        </w:rPr>
        <w:tab/>
        <w:t xml:space="preserve">Mattiuzzo G, Bentley EM, Hassall M, et al. Establishment of the WHO International Standard and Reference Panel for anti-SARS-CoV-2 antibody. </w:t>
      </w:r>
      <w:r w:rsidRPr="00941787">
        <w:rPr>
          <w:rFonts w:ascii="Times New Roman" w:hAnsi="Times New Roman" w:cs="Times New Roman"/>
          <w:i/>
          <w:szCs w:val="24"/>
        </w:rPr>
        <w:t>World Health Organization</w:t>
      </w:r>
      <w:r w:rsidRPr="00941787">
        <w:rPr>
          <w:rFonts w:ascii="Times New Roman" w:hAnsi="Times New Roman" w:cs="Times New Roman"/>
          <w:szCs w:val="24"/>
        </w:rPr>
        <w:t xml:space="preserve"> 2020; </w:t>
      </w:r>
      <w:r w:rsidRPr="00941787">
        <w:rPr>
          <w:rFonts w:ascii="Times New Roman" w:hAnsi="Times New Roman" w:cs="Times New Roman"/>
          <w:b/>
          <w:szCs w:val="24"/>
        </w:rPr>
        <w:t>60</w:t>
      </w:r>
      <w:r w:rsidRPr="00941787">
        <w:rPr>
          <w:rFonts w:ascii="Times New Roman" w:hAnsi="Times New Roman" w:cs="Times New Roman"/>
          <w:szCs w:val="24"/>
        </w:rPr>
        <w:t>.</w:t>
      </w:r>
    </w:p>
    <w:p w14:paraId="6262AAB9" w14:textId="0B7CBEAA" w:rsidR="00B874F8" w:rsidRPr="00941787" w:rsidRDefault="00D40189" w:rsidP="00E532CE">
      <w:pPr>
        <w:pStyle w:val="EndNoteBibliography"/>
        <w:rPr>
          <w:rFonts w:ascii="Times New Roman" w:hAnsi="Times New Roman" w:cs="Times New Roman"/>
          <w:b/>
          <w:bCs/>
          <w:szCs w:val="24"/>
        </w:rPr>
      </w:pPr>
      <w:r w:rsidRPr="00941787">
        <w:rPr>
          <w:rFonts w:ascii="Times New Roman" w:hAnsi="Times New Roman" w:cs="Times New Roman"/>
          <w:szCs w:val="24"/>
        </w:rPr>
        <w:t>4.</w:t>
      </w:r>
      <w:r w:rsidRPr="00941787">
        <w:rPr>
          <w:rFonts w:ascii="Times New Roman" w:hAnsi="Times New Roman" w:cs="Times New Roman"/>
          <w:szCs w:val="24"/>
        </w:rPr>
        <w:tab/>
        <w:t xml:space="preserve">Petrovsky N, Harrison LC. Cytokine-based human whole blood assay for the detection of antigen-reactive T cells. </w:t>
      </w:r>
      <w:r w:rsidRPr="00941787">
        <w:rPr>
          <w:rFonts w:ascii="Times New Roman" w:hAnsi="Times New Roman" w:cs="Times New Roman"/>
          <w:i/>
          <w:szCs w:val="24"/>
        </w:rPr>
        <w:t>J Immunol Methods</w:t>
      </w:r>
      <w:r w:rsidRPr="00941787">
        <w:rPr>
          <w:rFonts w:ascii="Times New Roman" w:hAnsi="Times New Roman" w:cs="Times New Roman"/>
          <w:szCs w:val="24"/>
        </w:rPr>
        <w:t xml:space="preserve"> 1995; </w:t>
      </w:r>
      <w:r w:rsidRPr="00941787">
        <w:rPr>
          <w:rFonts w:ascii="Times New Roman" w:hAnsi="Times New Roman" w:cs="Times New Roman"/>
          <w:b/>
          <w:szCs w:val="24"/>
        </w:rPr>
        <w:t>186</w:t>
      </w:r>
      <w:r w:rsidRPr="00941787">
        <w:rPr>
          <w:rFonts w:ascii="Times New Roman" w:hAnsi="Times New Roman" w:cs="Times New Roman"/>
          <w:szCs w:val="24"/>
        </w:rPr>
        <w:t>(1): 37-46.</w:t>
      </w:r>
      <w:r w:rsidR="001A3451" w:rsidRPr="00941787">
        <w:rPr>
          <w:rFonts w:ascii="Times New Roman" w:hAnsi="Times New Roman" w:cs="Times New Roman"/>
          <w:b/>
          <w:bCs/>
          <w:szCs w:val="24"/>
        </w:rPr>
        <w:fldChar w:fldCharType="end"/>
      </w:r>
      <w:bookmarkStart w:id="19" w:name="_GoBack"/>
      <w:bookmarkEnd w:id="0"/>
      <w:bookmarkEnd w:id="19"/>
    </w:p>
    <w:sectPr w:rsidR="00B874F8" w:rsidRPr="00941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2073"/>
    <w:multiLevelType w:val="hybridMultilevel"/>
    <w:tmpl w:val="464C67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250658"/>
    <w:multiLevelType w:val="hybridMultilevel"/>
    <w:tmpl w:val="3C40E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2C17FE"/>
    <w:multiLevelType w:val="multilevel"/>
    <w:tmpl w:val="79F2C9F0"/>
    <w:lvl w:ilvl="0">
      <w:start w:val="2"/>
      <w:numFmt w:val="decimal"/>
      <w:lvlText w:val="%1"/>
      <w:lvlJc w:val="left"/>
      <w:pPr>
        <w:tabs>
          <w:tab w:val="num" w:pos="405"/>
        </w:tabs>
        <w:ind w:left="405" w:hanging="405"/>
      </w:pPr>
      <w:rPr>
        <w:rFonts w:hint="default"/>
        <w:i w:val="0"/>
      </w:rPr>
    </w:lvl>
    <w:lvl w:ilvl="1">
      <w:start w:val="1"/>
      <w:numFmt w:val="decimal"/>
      <w:pStyle w:val="Style3"/>
      <w:suff w:val="space"/>
      <w:lvlText w:val="%1.%2"/>
      <w:lvlJc w:val="left"/>
      <w:pPr>
        <w:ind w:left="630" w:hanging="360"/>
      </w:pPr>
      <w:rPr>
        <w:rFonts w:hint="default"/>
        <w:b/>
        <w:i w:val="0"/>
      </w:rPr>
    </w:lvl>
    <w:lvl w:ilvl="2">
      <w:start w:val="1"/>
      <w:numFmt w:val="decimal"/>
      <w:suff w:val="space"/>
      <w:lvlText w:val="%1.%2.%3"/>
      <w:lvlJc w:val="left"/>
      <w:pPr>
        <w:ind w:left="360" w:hanging="360"/>
      </w:pPr>
      <w:rPr>
        <w:rFonts w:hint="default"/>
        <w:i w:val="0"/>
      </w:rPr>
    </w:lvl>
    <w:lvl w:ilvl="3">
      <w:start w:val="1"/>
      <w:numFmt w:val="decimal"/>
      <w:lvlText w:val="%1.%2.%3.%4"/>
      <w:lvlJc w:val="left"/>
      <w:pPr>
        <w:tabs>
          <w:tab w:val="num" w:pos="1080"/>
        </w:tabs>
        <w:ind w:left="1080" w:hanging="1080"/>
      </w:pPr>
      <w:rPr>
        <w:rFonts w:hint="default"/>
        <w:b/>
        <w:i w:val="0"/>
        <w:sz w:val="24"/>
        <w:szCs w:val="24"/>
      </w:rPr>
    </w:lvl>
    <w:lvl w:ilvl="4">
      <w:start w:val="1"/>
      <w:numFmt w:val="decimal"/>
      <w:lvlText w:val="%1.%2.%3.%4.%5"/>
      <w:lvlJc w:val="left"/>
      <w:pPr>
        <w:tabs>
          <w:tab w:val="num" w:pos="1440"/>
        </w:tabs>
        <w:ind w:left="1440" w:hanging="144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3" w15:restartNumberingAfterBreak="0">
    <w:nsid w:val="5536439E"/>
    <w:multiLevelType w:val="hybridMultilevel"/>
    <w:tmpl w:val="8FECE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A2DE0"/>
    <w:multiLevelType w:val="multilevel"/>
    <w:tmpl w:val="A60CB010"/>
    <w:lvl w:ilvl="0">
      <w:start w:val="2"/>
      <w:numFmt w:val="decimal"/>
      <w:lvlText w:val="%1"/>
      <w:lvlJc w:val="left"/>
      <w:pPr>
        <w:tabs>
          <w:tab w:val="num" w:pos="405"/>
        </w:tabs>
        <w:ind w:left="405" w:hanging="405"/>
      </w:pPr>
      <w:rPr>
        <w:rFonts w:hint="default"/>
        <w:i w:val="0"/>
      </w:rPr>
    </w:lvl>
    <w:lvl w:ilvl="1">
      <w:start w:val="1"/>
      <w:numFmt w:val="decimal"/>
      <w:suff w:val="space"/>
      <w:lvlText w:val="%1.%2"/>
      <w:lvlJc w:val="left"/>
      <w:pPr>
        <w:ind w:left="630" w:hanging="360"/>
      </w:pPr>
      <w:rPr>
        <w:rFonts w:hint="default"/>
        <w:b/>
        <w:i w:val="0"/>
      </w:rPr>
    </w:lvl>
    <w:lvl w:ilvl="2">
      <w:start w:val="1"/>
      <w:numFmt w:val="decimal"/>
      <w:suff w:val="space"/>
      <w:lvlText w:val="%1.%2.%3"/>
      <w:lvlJc w:val="left"/>
      <w:pPr>
        <w:ind w:left="360" w:hanging="360"/>
      </w:pPr>
      <w:rPr>
        <w:rFonts w:hint="default"/>
        <w:i w:val="0"/>
        <w:color w:val="auto"/>
        <w:sz w:val="28"/>
        <w:szCs w:val="28"/>
      </w:rPr>
    </w:lvl>
    <w:lvl w:ilvl="3">
      <w:start w:val="1"/>
      <w:numFmt w:val="decimal"/>
      <w:lvlText w:val="%1.%2.%3.%4"/>
      <w:lvlJc w:val="left"/>
      <w:pPr>
        <w:tabs>
          <w:tab w:val="num" w:pos="1080"/>
        </w:tabs>
        <w:ind w:left="1080" w:hanging="1080"/>
      </w:pPr>
      <w:rPr>
        <w:rFonts w:hint="default"/>
        <w:b/>
        <w:i w:val="0"/>
        <w:sz w:val="24"/>
        <w:szCs w:val="24"/>
      </w:rPr>
    </w:lvl>
    <w:lvl w:ilvl="4">
      <w:start w:val="1"/>
      <w:numFmt w:val="decimal"/>
      <w:lvlText w:val="%1.%2.%3.%4.%5"/>
      <w:lvlJc w:val="left"/>
      <w:pPr>
        <w:tabs>
          <w:tab w:val="num" w:pos="1440"/>
        </w:tabs>
        <w:ind w:left="1440" w:hanging="144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5" w15:restartNumberingAfterBreak="0">
    <w:nsid w:val="68846857"/>
    <w:multiLevelType w:val="singleLevel"/>
    <w:tmpl w:val="20722380"/>
    <w:lvl w:ilvl="0">
      <w:start w:val="1"/>
      <w:numFmt w:val="bullet"/>
      <w:pStyle w:val="listbull"/>
      <w:lvlText w:val=""/>
      <w:lvlJc w:val="left"/>
      <w:pPr>
        <w:tabs>
          <w:tab w:val="num" w:pos="360"/>
        </w:tabs>
        <w:ind w:left="360" w:hanging="360"/>
      </w:pPr>
      <w:rPr>
        <w:rFonts w:ascii="Symbol" w:hAnsi="Symbol" w:hint="default"/>
      </w:rPr>
    </w:lvl>
  </w:abstractNum>
  <w:abstractNum w:abstractNumId="6" w15:restartNumberingAfterBreak="0">
    <w:nsid w:val="6F172375"/>
    <w:multiLevelType w:val="hybridMultilevel"/>
    <w:tmpl w:val="49687C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14F3CDE"/>
    <w:multiLevelType w:val="hybridMultilevel"/>
    <w:tmpl w:val="5B3EE616"/>
    <w:lvl w:ilvl="0" w:tplc="8634E7D0">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89000D5"/>
    <w:multiLevelType w:val="multilevel"/>
    <w:tmpl w:val="2CD8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941278"/>
    <w:multiLevelType w:val="hybridMultilevel"/>
    <w:tmpl w:val="49687C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3"/>
  </w:num>
  <w:num w:numId="5">
    <w:abstractNumId w:val="1"/>
  </w:num>
  <w:num w:numId="6">
    <w:abstractNumId w:val="8"/>
  </w:num>
  <w:num w:numId="7">
    <w:abstractNumId w:val="6"/>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Arial&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xf55vvz2df590tepzscvfsr10exf5pvww2zz&quot;&gt;My EndNote Library&lt;record-ids&gt;&lt;item&gt;2537&lt;/item&gt;&lt;item&gt;5446&lt;/item&gt;&lt;item&gt;5739&lt;/item&gt;&lt;item&gt;5986&lt;/item&gt;&lt;/record-ids&gt;&lt;/item&gt;&lt;/Libraries&gt;"/>
  </w:docVars>
  <w:rsids>
    <w:rsidRoot w:val="00093BF0"/>
    <w:rsid w:val="00002EDB"/>
    <w:rsid w:val="00010380"/>
    <w:rsid w:val="00035AF1"/>
    <w:rsid w:val="00054670"/>
    <w:rsid w:val="000559CE"/>
    <w:rsid w:val="00093BF0"/>
    <w:rsid w:val="000C6D94"/>
    <w:rsid w:val="000C7C6F"/>
    <w:rsid w:val="000D4DF2"/>
    <w:rsid w:val="000D6A55"/>
    <w:rsid w:val="00111EC2"/>
    <w:rsid w:val="00112728"/>
    <w:rsid w:val="00147941"/>
    <w:rsid w:val="00152E29"/>
    <w:rsid w:val="00165FA5"/>
    <w:rsid w:val="001913EB"/>
    <w:rsid w:val="001A3451"/>
    <w:rsid w:val="001B1192"/>
    <w:rsid w:val="001B29F5"/>
    <w:rsid w:val="00210722"/>
    <w:rsid w:val="00227195"/>
    <w:rsid w:val="00252D2B"/>
    <w:rsid w:val="00286D6C"/>
    <w:rsid w:val="002D3801"/>
    <w:rsid w:val="002F519C"/>
    <w:rsid w:val="002F56D9"/>
    <w:rsid w:val="00320516"/>
    <w:rsid w:val="003343F9"/>
    <w:rsid w:val="00396228"/>
    <w:rsid w:val="003D0824"/>
    <w:rsid w:val="003F7EBA"/>
    <w:rsid w:val="00471D66"/>
    <w:rsid w:val="004A4036"/>
    <w:rsid w:val="004B5170"/>
    <w:rsid w:val="004C05A9"/>
    <w:rsid w:val="004C2983"/>
    <w:rsid w:val="004C2F92"/>
    <w:rsid w:val="004C7C11"/>
    <w:rsid w:val="004E2F44"/>
    <w:rsid w:val="00517262"/>
    <w:rsid w:val="005425E7"/>
    <w:rsid w:val="00545D01"/>
    <w:rsid w:val="00575A0E"/>
    <w:rsid w:val="005B3D03"/>
    <w:rsid w:val="005D24E8"/>
    <w:rsid w:val="005E22BE"/>
    <w:rsid w:val="00654279"/>
    <w:rsid w:val="00656560"/>
    <w:rsid w:val="00662788"/>
    <w:rsid w:val="00670684"/>
    <w:rsid w:val="00674F5C"/>
    <w:rsid w:val="006B1CCA"/>
    <w:rsid w:val="006B7476"/>
    <w:rsid w:val="006C220B"/>
    <w:rsid w:val="006D2145"/>
    <w:rsid w:val="006E59FB"/>
    <w:rsid w:val="006F6026"/>
    <w:rsid w:val="00717721"/>
    <w:rsid w:val="00741F63"/>
    <w:rsid w:val="007436C7"/>
    <w:rsid w:val="00744B3B"/>
    <w:rsid w:val="00745D68"/>
    <w:rsid w:val="00766703"/>
    <w:rsid w:val="00766E6E"/>
    <w:rsid w:val="00774038"/>
    <w:rsid w:val="007B141A"/>
    <w:rsid w:val="007D46D7"/>
    <w:rsid w:val="007E0948"/>
    <w:rsid w:val="008210C8"/>
    <w:rsid w:val="00870561"/>
    <w:rsid w:val="00870D10"/>
    <w:rsid w:val="008857D0"/>
    <w:rsid w:val="008A61AB"/>
    <w:rsid w:val="008A740C"/>
    <w:rsid w:val="008B2A6B"/>
    <w:rsid w:val="008B65A8"/>
    <w:rsid w:val="008C1C4B"/>
    <w:rsid w:val="008E179B"/>
    <w:rsid w:val="00940192"/>
    <w:rsid w:val="00941787"/>
    <w:rsid w:val="009524D1"/>
    <w:rsid w:val="00955A51"/>
    <w:rsid w:val="009708B4"/>
    <w:rsid w:val="009A4754"/>
    <w:rsid w:val="009A543D"/>
    <w:rsid w:val="009B2D2D"/>
    <w:rsid w:val="009B77A7"/>
    <w:rsid w:val="009F0B90"/>
    <w:rsid w:val="00A024A6"/>
    <w:rsid w:val="00A040B9"/>
    <w:rsid w:val="00A2502B"/>
    <w:rsid w:val="00A76F17"/>
    <w:rsid w:val="00A868BF"/>
    <w:rsid w:val="00AA2EF8"/>
    <w:rsid w:val="00AE703C"/>
    <w:rsid w:val="00B0008C"/>
    <w:rsid w:val="00B15E00"/>
    <w:rsid w:val="00B56DDC"/>
    <w:rsid w:val="00B65AEC"/>
    <w:rsid w:val="00B874F8"/>
    <w:rsid w:val="00BB538E"/>
    <w:rsid w:val="00BD1B9E"/>
    <w:rsid w:val="00BD2514"/>
    <w:rsid w:val="00BD4941"/>
    <w:rsid w:val="00BE1F20"/>
    <w:rsid w:val="00BE581C"/>
    <w:rsid w:val="00BF1A42"/>
    <w:rsid w:val="00C0647E"/>
    <w:rsid w:val="00C136D5"/>
    <w:rsid w:val="00C16278"/>
    <w:rsid w:val="00C236FD"/>
    <w:rsid w:val="00C82568"/>
    <w:rsid w:val="00D258C5"/>
    <w:rsid w:val="00D40189"/>
    <w:rsid w:val="00D529A1"/>
    <w:rsid w:val="00D67DFE"/>
    <w:rsid w:val="00D932BC"/>
    <w:rsid w:val="00DC7540"/>
    <w:rsid w:val="00DD3543"/>
    <w:rsid w:val="00E01123"/>
    <w:rsid w:val="00E4576C"/>
    <w:rsid w:val="00E532CE"/>
    <w:rsid w:val="00E82820"/>
    <w:rsid w:val="00EB4348"/>
    <w:rsid w:val="00EC324A"/>
    <w:rsid w:val="00EE22C9"/>
    <w:rsid w:val="00F12AA1"/>
    <w:rsid w:val="00F20485"/>
    <w:rsid w:val="00F71314"/>
    <w:rsid w:val="00F724AF"/>
    <w:rsid w:val="00F87107"/>
    <w:rsid w:val="00FC2E5C"/>
    <w:rsid w:val="00FD22FD"/>
    <w:rsid w:val="00FF6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2D89"/>
  <w15:chartTrackingRefBased/>
  <w15:docId w15:val="{02E80461-FCE7-4275-BA0D-8108593F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F20"/>
    <w:rPr>
      <w:rFonts w:ascii="Arial" w:hAnsi="Arial"/>
      <w:sz w:val="24"/>
    </w:rPr>
  </w:style>
  <w:style w:type="paragraph" w:styleId="Heading1">
    <w:name w:val="heading 1"/>
    <w:basedOn w:val="Normal"/>
    <w:next w:val="Normal"/>
    <w:link w:val="Heading1Char"/>
    <w:uiPriority w:val="9"/>
    <w:qFormat/>
    <w:rsid w:val="00F204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B5170"/>
    <w:pPr>
      <w:keepNext/>
      <w:spacing w:before="240" w:after="60" w:line="240" w:lineRule="auto"/>
      <w:outlineLvl w:val="1"/>
    </w:pPr>
    <w:rPr>
      <w:rFonts w:asciiTheme="minorHAnsi" w:eastAsiaTheme="majorEastAsia" w:hAnsiTheme="minorHAnsi" w:cs="Arial"/>
      <w:b/>
      <w:bCs/>
      <w:iCs/>
      <w:sz w:val="22"/>
      <w:szCs w:val="28"/>
    </w:rPr>
  </w:style>
  <w:style w:type="paragraph" w:styleId="Heading3">
    <w:name w:val="heading 3"/>
    <w:basedOn w:val="Normal"/>
    <w:next w:val="Normal"/>
    <w:link w:val="Heading3Char"/>
    <w:unhideWhenUsed/>
    <w:qFormat/>
    <w:rsid w:val="009F0B9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Heading2"/>
    <w:link w:val="TableheaderChar"/>
    <w:qFormat/>
    <w:rsid w:val="00B0008C"/>
    <w:rPr>
      <w:rFonts w:ascii="Arial" w:hAnsi="Arial"/>
      <w:b w:val="0"/>
      <w:bCs w:val="0"/>
      <w:iCs w:val="0"/>
      <w:sz w:val="28"/>
    </w:rPr>
  </w:style>
  <w:style w:type="character" w:customStyle="1" w:styleId="TableheaderChar">
    <w:name w:val="Table header Char"/>
    <w:basedOn w:val="Heading2Char"/>
    <w:link w:val="Tableheader"/>
    <w:rsid w:val="00B0008C"/>
    <w:rPr>
      <w:rFonts w:ascii="Arial" w:eastAsiaTheme="majorEastAsia" w:hAnsi="Arial" w:cs="Arial"/>
      <w:b w:val="0"/>
      <w:bCs w:val="0"/>
      <w:iCs w:val="0"/>
      <w:color w:val="2F5496" w:themeColor="accent1" w:themeShade="BF"/>
      <w:sz w:val="28"/>
      <w:szCs w:val="28"/>
    </w:rPr>
  </w:style>
  <w:style w:type="character" w:customStyle="1" w:styleId="Heading2Char">
    <w:name w:val="Heading 2 Char"/>
    <w:basedOn w:val="DefaultParagraphFont"/>
    <w:link w:val="Heading2"/>
    <w:rsid w:val="004B5170"/>
    <w:rPr>
      <w:rFonts w:eastAsiaTheme="majorEastAsia" w:cs="Arial"/>
      <w:b/>
      <w:bCs/>
      <w:iCs/>
      <w:szCs w:val="28"/>
    </w:rPr>
  </w:style>
  <w:style w:type="paragraph" w:styleId="CommentText">
    <w:name w:val="annotation text"/>
    <w:basedOn w:val="Normal"/>
    <w:link w:val="CommentTextChar"/>
    <w:uiPriority w:val="99"/>
    <w:rsid w:val="00B874F8"/>
    <w:pPr>
      <w:spacing w:after="0" w:line="240" w:lineRule="auto"/>
    </w:pPr>
    <w:rPr>
      <w:rFonts w:ascii="Times New Roman" w:hAnsi="Times New Roman" w:cs="Times New Roman"/>
      <w:szCs w:val="20"/>
    </w:rPr>
  </w:style>
  <w:style w:type="character" w:customStyle="1" w:styleId="CommentTextChar">
    <w:name w:val="Comment Text Char"/>
    <w:basedOn w:val="DefaultParagraphFont"/>
    <w:link w:val="CommentText"/>
    <w:uiPriority w:val="99"/>
    <w:rsid w:val="00B874F8"/>
    <w:rPr>
      <w:rFonts w:ascii="Times New Roman" w:hAnsi="Times New Roman" w:cs="Times New Roman"/>
      <w:sz w:val="24"/>
      <w:szCs w:val="20"/>
    </w:rPr>
  </w:style>
  <w:style w:type="character" w:styleId="CommentReference">
    <w:name w:val="annotation reference"/>
    <w:uiPriority w:val="99"/>
    <w:rsid w:val="00B874F8"/>
    <w:rPr>
      <w:sz w:val="16"/>
      <w:szCs w:val="16"/>
    </w:rPr>
  </w:style>
  <w:style w:type="paragraph" w:customStyle="1" w:styleId="BodyText12">
    <w:name w:val="Body Text 12"/>
    <w:link w:val="BodyText12Char"/>
    <w:qFormat/>
    <w:rsid w:val="00F71314"/>
    <w:pPr>
      <w:spacing w:after="240" w:line="264" w:lineRule="auto"/>
      <w:jc w:val="both"/>
    </w:pPr>
    <w:rPr>
      <w:rFonts w:ascii="Times New Roman" w:eastAsia="Times New Roman" w:hAnsi="Times New Roman" w:cs="Times New Roman"/>
      <w:sz w:val="24"/>
      <w:szCs w:val="20"/>
    </w:rPr>
  </w:style>
  <w:style w:type="character" w:customStyle="1" w:styleId="BodyText12Char">
    <w:name w:val="Body Text 12 Char"/>
    <w:link w:val="BodyText12"/>
    <w:locked/>
    <w:rsid w:val="00F71314"/>
    <w:rPr>
      <w:rFonts w:ascii="Times New Roman" w:eastAsia="Times New Roman" w:hAnsi="Times New Roman" w:cs="Times New Roman"/>
      <w:sz w:val="24"/>
      <w:szCs w:val="20"/>
    </w:rPr>
  </w:style>
  <w:style w:type="paragraph" w:styleId="Revision">
    <w:name w:val="Revision"/>
    <w:hidden/>
    <w:uiPriority w:val="99"/>
    <w:semiHidden/>
    <w:rsid w:val="004E2F44"/>
    <w:pPr>
      <w:spacing w:after="0" w:line="240" w:lineRule="auto"/>
    </w:pPr>
    <w:rPr>
      <w:rFonts w:ascii="Arial" w:hAnsi="Arial"/>
      <w:sz w:val="24"/>
    </w:rPr>
  </w:style>
  <w:style w:type="paragraph" w:customStyle="1" w:styleId="EndNoteBibliographyTitle">
    <w:name w:val="EndNote Bibliography Title"/>
    <w:basedOn w:val="Normal"/>
    <w:link w:val="EndNoteBibliographyTitleChar"/>
    <w:rsid w:val="001A3451"/>
    <w:pPr>
      <w:spacing w:after="0"/>
      <w:jc w:val="center"/>
    </w:pPr>
    <w:rPr>
      <w:rFonts w:cs="Arial"/>
      <w:noProof/>
    </w:rPr>
  </w:style>
  <w:style w:type="character" w:customStyle="1" w:styleId="EndNoteBibliographyTitleChar">
    <w:name w:val="EndNote Bibliography Title Char"/>
    <w:basedOn w:val="DefaultParagraphFont"/>
    <w:link w:val="EndNoteBibliographyTitle"/>
    <w:rsid w:val="001A3451"/>
    <w:rPr>
      <w:rFonts w:ascii="Arial" w:hAnsi="Arial" w:cs="Arial"/>
      <w:noProof/>
      <w:sz w:val="24"/>
    </w:rPr>
  </w:style>
  <w:style w:type="paragraph" w:customStyle="1" w:styleId="EndNoteBibliography">
    <w:name w:val="EndNote Bibliography"/>
    <w:basedOn w:val="Normal"/>
    <w:link w:val="EndNoteBibliographyChar"/>
    <w:rsid w:val="001A3451"/>
    <w:pPr>
      <w:spacing w:line="480" w:lineRule="auto"/>
    </w:pPr>
    <w:rPr>
      <w:rFonts w:cs="Arial"/>
      <w:noProof/>
    </w:rPr>
  </w:style>
  <w:style w:type="character" w:customStyle="1" w:styleId="EndNoteBibliographyChar">
    <w:name w:val="EndNote Bibliography Char"/>
    <w:basedOn w:val="DefaultParagraphFont"/>
    <w:link w:val="EndNoteBibliography"/>
    <w:rsid w:val="001A3451"/>
    <w:rPr>
      <w:rFonts w:ascii="Arial" w:hAnsi="Arial" w:cs="Arial"/>
      <w:noProof/>
      <w:sz w:val="24"/>
    </w:rPr>
  </w:style>
  <w:style w:type="character" w:styleId="Hyperlink">
    <w:name w:val="Hyperlink"/>
    <w:basedOn w:val="DefaultParagraphFont"/>
    <w:uiPriority w:val="99"/>
    <w:unhideWhenUsed/>
    <w:rsid w:val="001A3451"/>
    <w:rPr>
      <w:color w:val="0563C1" w:themeColor="hyperlink"/>
      <w:u w:val="single"/>
    </w:rPr>
  </w:style>
  <w:style w:type="character" w:customStyle="1" w:styleId="UnresolvedMention1">
    <w:name w:val="Unresolved Mention1"/>
    <w:basedOn w:val="DefaultParagraphFont"/>
    <w:uiPriority w:val="99"/>
    <w:semiHidden/>
    <w:unhideWhenUsed/>
    <w:rsid w:val="001A345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A740C"/>
    <w:pPr>
      <w:spacing w:after="160"/>
    </w:pPr>
    <w:rPr>
      <w:rFonts w:ascii="Arial" w:hAnsi="Arial" w:cstheme="minorBidi"/>
      <w:b/>
      <w:bCs/>
      <w:sz w:val="20"/>
    </w:rPr>
  </w:style>
  <w:style w:type="character" w:customStyle="1" w:styleId="CommentSubjectChar">
    <w:name w:val="Comment Subject Char"/>
    <w:basedOn w:val="CommentTextChar"/>
    <w:link w:val="CommentSubject"/>
    <w:uiPriority w:val="99"/>
    <w:semiHidden/>
    <w:rsid w:val="008A740C"/>
    <w:rPr>
      <w:rFonts w:ascii="Arial" w:hAnsi="Arial" w:cs="Times New Roman"/>
      <w:b/>
      <w:bCs/>
      <w:sz w:val="20"/>
      <w:szCs w:val="20"/>
    </w:rPr>
  </w:style>
  <w:style w:type="character" w:customStyle="1" w:styleId="Heading3Char">
    <w:name w:val="Heading 3 Char"/>
    <w:basedOn w:val="DefaultParagraphFont"/>
    <w:link w:val="Heading3"/>
    <w:uiPriority w:val="9"/>
    <w:semiHidden/>
    <w:rsid w:val="009F0B9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B29F5"/>
    <w:pPr>
      <w:ind w:left="720"/>
      <w:contextualSpacing/>
    </w:pPr>
  </w:style>
  <w:style w:type="paragraph" w:styleId="BalloonText">
    <w:name w:val="Balloon Text"/>
    <w:basedOn w:val="Normal"/>
    <w:link w:val="BalloonTextChar"/>
    <w:uiPriority w:val="99"/>
    <w:semiHidden/>
    <w:unhideWhenUsed/>
    <w:rsid w:val="00F12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A1"/>
    <w:rPr>
      <w:rFonts w:ascii="Segoe UI" w:hAnsi="Segoe UI" w:cs="Segoe UI"/>
      <w:sz w:val="18"/>
      <w:szCs w:val="18"/>
    </w:rPr>
  </w:style>
  <w:style w:type="character" w:customStyle="1" w:styleId="Heading1Char">
    <w:name w:val="Heading 1 Char"/>
    <w:basedOn w:val="DefaultParagraphFont"/>
    <w:link w:val="Heading1"/>
    <w:uiPriority w:val="9"/>
    <w:rsid w:val="00F20485"/>
    <w:rPr>
      <w:rFonts w:asciiTheme="majorHAnsi" w:eastAsiaTheme="majorEastAsia" w:hAnsiTheme="majorHAnsi" w:cstheme="majorBidi"/>
      <w:color w:val="2F5496" w:themeColor="accent1" w:themeShade="BF"/>
      <w:sz w:val="32"/>
      <w:szCs w:val="32"/>
    </w:rPr>
  </w:style>
  <w:style w:type="character" w:customStyle="1" w:styleId="period">
    <w:name w:val="period"/>
    <w:basedOn w:val="DefaultParagraphFont"/>
    <w:rsid w:val="00F20485"/>
  </w:style>
  <w:style w:type="character" w:customStyle="1" w:styleId="cit">
    <w:name w:val="cit"/>
    <w:basedOn w:val="DefaultParagraphFont"/>
    <w:rsid w:val="00F20485"/>
  </w:style>
  <w:style w:type="paragraph" w:customStyle="1" w:styleId="Style2">
    <w:name w:val="Style2"/>
    <w:basedOn w:val="Normal"/>
    <w:rsid w:val="00941787"/>
    <w:pPr>
      <w:keepNext/>
      <w:spacing w:before="240" w:after="60" w:line="240" w:lineRule="auto"/>
      <w:outlineLvl w:val="0"/>
    </w:pPr>
    <w:rPr>
      <w:rFonts w:eastAsia="Times New Roman" w:cs="Arial"/>
      <w:b/>
      <w:bCs/>
      <w:kern w:val="32"/>
      <w:sz w:val="32"/>
      <w:szCs w:val="32"/>
      <w:lang w:val="en-GB"/>
    </w:rPr>
  </w:style>
  <w:style w:type="character" w:customStyle="1" w:styleId="listbullChar">
    <w:name w:val="list:bull Char"/>
    <w:link w:val="listbull"/>
    <w:locked/>
    <w:rsid w:val="00941787"/>
    <w:rPr>
      <w:rFonts w:ascii="Times New Roman" w:eastAsia="Times New Roman" w:hAnsi="Times New Roman"/>
      <w:sz w:val="24"/>
      <w:szCs w:val="24"/>
      <w:lang w:val="en-GB"/>
    </w:rPr>
  </w:style>
  <w:style w:type="paragraph" w:customStyle="1" w:styleId="listbull">
    <w:name w:val="list:bull"/>
    <w:basedOn w:val="Normal"/>
    <w:link w:val="listbullChar"/>
    <w:qFormat/>
    <w:rsid w:val="00941787"/>
    <w:pPr>
      <w:numPr>
        <w:numId w:val="9"/>
      </w:numPr>
      <w:spacing w:after="120" w:line="240" w:lineRule="auto"/>
    </w:pPr>
    <w:rPr>
      <w:rFonts w:ascii="Times New Roman" w:eastAsia="Times New Roman" w:hAnsi="Times New Roman"/>
      <w:szCs w:val="24"/>
      <w:lang w:val="en-GB"/>
    </w:rPr>
  </w:style>
  <w:style w:type="paragraph" w:customStyle="1" w:styleId="Style3">
    <w:name w:val="Style3"/>
    <w:basedOn w:val="Heading2"/>
    <w:rsid w:val="009A4754"/>
    <w:pPr>
      <w:numPr>
        <w:ilvl w:val="1"/>
        <w:numId w:val="10"/>
      </w:numPr>
    </w:pPr>
    <w:rPr>
      <w:rFonts w:ascii="Arial" w:eastAsia="Times New Roman" w:hAnsi="Arial"/>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66417">
      <w:bodyDiv w:val="1"/>
      <w:marLeft w:val="0"/>
      <w:marRight w:val="0"/>
      <w:marTop w:val="0"/>
      <w:marBottom w:val="0"/>
      <w:divBdr>
        <w:top w:val="none" w:sz="0" w:space="0" w:color="auto"/>
        <w:left w:val="none" w:sz="0" w:space="0" w:color="auto"/>
        <w:bottom w:val="none" w:sz="0" w:space="0" w:color="auto"/>
        <w:right w:val="none" w:sz="0" w:space="0" w:color="auto"/>
      </w:divBdr>
    </w:div>
    <w:div w:id="306521500">
      <w:bodyDiv w:val="1"/>
      <w:marLeft w:val="0"/>
      <w:marRight w:val="0"/>
      <w:marTop w:val="0"/>
      <w:marBottom w:val="0"/>
      <w:divBdr>
        <w:top w:val="none" w:sz="0" w:space="0" w:color="auto"/>
        <w:left w:val="none" w:sz="0" w:space="0" w:color="auto"/>
        <w:bottom w:val="none" w:sz="0" w:space="0" w:color="auto"/>
        <w:right w:val="none" w:sz="0" w:space="0" w:color="auto"/>
      </w:divBdr>
      <w:divsChild>
        <w:div w:id="578176108">
          <w:marLeft w:val="0"/>
          <w:marRight w:val="0"/>
          <w:marTop w:val="0"/>
          <w:marBottom w:val="0"/>
          <w:divBdr>
            <w:top w:val="none" w:sz="0" w:space="0" w:color="auto"/>
            <w:left w:val="none" w:sz="0" w:space="0" w:color="auto"/>
            <w:bottom w:val="none" w:sz="0" w:space="0" w:color="auto"/>
            <w:right w:val="none" w:sz="0" w:space="0" w:color="auto"/>
          </w:divBdr>
          <w:divsChild>
            <w:div w:id="901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10</Pages>
  <Words>3723</Words>
  <Characters>21224</Characters>
  <Application>Microsoft Office Word</Application>
  <DocSecurity>0</DocSecurity>
  <PresentationFormat/>
  <Lines>176</Lines>
  <Paragraphs>49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Suneetha Pothakamuri</dc:creator>
  <cp:keywords/>
  <dc:description/>
  <cp:lastModifiedBy>Suneetha Pothakamuri</cp:lastModifiedBy>
  <cp:revision>18</cp:revision>
  <cp:lastPrinted>2022-02-09T11:54:00Z</cp:lastPrinted>
  <dcterms:created xsi:type="dcterms:W3CDTF">2022-04-20T08:33:00Z</dcterms:created>
  <dcterms:modified xsi:type="dcterms:W3CDTF">2022-04-20T15:01:00Z</dcterms:modified>
  <cp:category/>
  <cp:contentStatus/>
  <dc:language/>
  <cp:version/>
</cp:coreProperties>
</file>