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30F" w14:textId="48CE2467" w:rsidR="00187306" w:rsidRDefault="0003189D" w:rsidP="0018730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187306">
        <w:rPr>
          <w:b/>
          <w:bCs/>
          <w:sz w:val="28"/>
          <w:szCs w:val="28"/>
        </w:rPr>
        <w:t xml:space="preserve">upplemental </w:t>
      </w:r>
      <w:r w:rsidR="002972C2">
        <w:rPr>
          <w:b/>
          <w:bCs/>
          <w:sz w:val="28"/>
          <w:szCs w:val="28"/>
        </w:rPr>
        <w:t>materials</w:t>
      </w:r>
    </w:p>
    <w:p w14:paraId="3EB814EA" w14:textId="587C89F5" w:rsidR="003A1692" w:rsidRDefault="003A1692">
      <w:pPr>
        <w:rPr>
          <w:rFonts w:cstheme="minorHAnsi"/>
          <w:color w:val="000000"/>
        </w:rPr>
      </w:pPr>
    </w:p>
    <w:p w14:paraId="3CC55698" w14:textId="357C9D7D" w:rsidR="000113CA" w:rsidRDefault="00092EE8">
      <w:pPr>
        <w:rPr>
          <w:rFonts w:cstheme="minorHAnsi"/>
          <w:color w:val="000000"/>
        </w:rPr>
      </w:pPr>
      <w:r w:rsidRPr="00C77BB4">
        <w:rPr>
          <w:rFonts w:cstheme="minorHAnsi"/>
          <w:b/>
          <w:bCs/>
          <w:color w:val="000000"/>
        </w:rPr>
        <w:t xml:space="preserve">Supplemental </w:t>
      </w:r>
      <w:r w:rsidR="000113CA" w:rsidRPr="00C77BB4">
        <w:rPr>
          <w:rFonts w:cstheme="minorHAnsi"/>
          <w:b/>
          <w:bCs/>
          <w:color w:val="000000"/>
        </w:rPr>
        <w:t xml:space="preserve">Table </w:t>
      </w:r>
      <w:r w:rsidR="00C52AB7">
        <w:rPr>
          <w:rFonts w:cstheme="minorHAnsi"/>
          <w:b/>
          <w:bCs/>
          <w:color w:val="000000"/>
        </w:rPr>
        <w:t>A.1</w:t>
      </w:r>
      <w:r w:rsidR="000113CA" w:rsidRPr="00C77BB4">
        <w:rPr>
          <w:rFonts w:cstheme="minorHAnsi"/>
          <w:b/>
          <w:bCs/>
          <w:color w:val="000000"/>
        </w:rPr>
        <w:t>:</w:t>
      </w:r>
      <w:r w:rsidR="000113CA">
        <w:rPr>
          <w:rFonts w:cstheme="minorHAnsi"/>
          <w:color w:val="000000"/>
        </w:rPr>
        <w:t xml:space="preserve"> </w:t>
      </w:r>
      <w:proofErr w:type="gramStart"/>
      <w:r w:rsidR="006A5BB5">
        <w:rPr>
          <w:rFonts w:cstheme="minorHAnsi"/>
          <w:color w:val="000000"/>
        </w:rPr>
        <w:t>Post-hoc</w:t>
      </w:r>
      <w:proofErr w:type="gramEnd"/>
      <w:r w:rsidR="006A5BB5">
        <w:rPr>
          <w:rFonts w:cstheme="minorHAnsi"/>
          <w:color w:val="000000"/>
        </w:rPr>
        <w:t xml:space="preserve"> </w:t>
      </w:r>
      <w:r w:rsidR="00A5159E">
        <w:rPr>
          <w:rFonts w:cstheme="minorHAnsi"/>
          <w:color w:val="000000"/>
        </w:rPr>
        <w:t xml:space="preserve">sensitivity </w:t>
      </w:r>
      <w:r w:rsidR="006A5BB5">
        <w:rPr>
          <w:rFonts w:cstheme="minorHAnsi"/>
          <w:color w:val="000000"/>
        </w:rPr>
        <w:t>analys</w:t>
      </w:r>
      <w:r w:rsidR="00A5159E">
        <w:rPr>
          <w:rFonts w:cstheme="minorHAnsi"/>
          <w:color w:val="000000"/>
        </w:rPr>
        <w:t>i</w:t>
      </w:r>
      <w:r w:rsidR="006A5BB5">
        <w:rPr>
          <w:rFonts w:cstheme="minorHAnsi"/>
          <w:color w:val="000000"/>
        </w:rPr>
        <w:t xml:space="preserve">s </w:t>
      </w:r>
      <w:r w:rsidR="000C27A9">
        <w:rPr>
          <w:rFonts w:cstheme="minorHAnsi"/>
          <w:color w:val="000000"/>
        </w:rPr>
        <w:t xml:space="preserve">examining the </w:t>
      </w:r>
      <w:r w:rsidR="006A5BB5">
        <w:rPr>
          <w:rFonts w:cstheme="minorHAnsi"/>
          <w:color w:val="000000"/>
        </w:rPr>
        <w:t xml:space="preserve">robustness of </w:t>
      </w:r>
      <w:r w:rsidR="00791735">
        <w:rPr>
          <w:rFonts w:cstheme="minorHAnsi"/>
          <w:color w:val="000000"/>
        </w:rPr>
        <w:t>volumetric differences associated with antenatal maternal depression (AMD) exposure in the amygdala, hippocampus and caudate nucleus</w:t>
      </w:r>
      <w:r w:rsidR="00E00C62">
        <w:rPr>
          <w:rFonts w:cstheme="minorHAnsi"/>
          <w:color w:val="000000"/>
        </w:rPr>
        <w:t>,</w:t>
      </w:r>
      <w:r w:rsidR="00791735">
        <w:rPr>
          <w:rFonts w:cstheme="minorHAnsi"/>
          <w:color w:val="000000"/>
        </w:rPr>
        <w:t xml:space="preserve"> </w:t>
      </w:r>
      <w:r w:rsidR="00A5159E">
        <w:rPr>
          <w:rFonts w:cstheme="minorHAnsi"/>
          <w:color w:val="000000"/>
        </w:rPr>
        <w:t xml:space="preserve">after excluding infants </w:t>
      </w:r>
      <w:r w:rsidR="00E54896">
        <w:rPr>
          <w:rFonts w:cstheme="minorHAnsi"/>
          <w:color w:val="000000"/>
        </w:rPr>
        <w:t xml:space="preserve">that were </w:t>
      </w:r>
      <w:r w:rsidR="00A5159E">
        <w:rPr>
          <w:rFonts w:cstheme="minorHAnsi"/>
          <w:color w:val="000000"/>
        </w:rPr>
        <w:t>exposed to</w:t>
      </w:r>
      <w:r w:rsidR="006A5BB5">
        <w:rPr>
          <w:rFonts w:cstheme="minorHAnsi"/>
          <w:color w:val="000000"/>
        </w:rPr>
        <w:t xml:space="preserve"> maternal Human Immunodeficiency Virus (HIV) infection </w:t>
      </w:r>
      <w:r w:rsidR="00A5159E">
        <w:rPr>
          <w:rFonts w:cstheme="minorHAnsi"/>
          <w:color w:val="000000"/>
        </w:rPr>
        <w:t xml:space="preserve">and </w:t>
      </w:r>
      <w:r w:rsidR="00E00C62">
        <w:rPr>
          <w:rFonts w:cstheme="minorHAnsi"/>
          <w:color w:val="000000"/>
        </w:rPr>
        <w:t xml:space="preserve">after </w:t>
      </w:r>
      <w:r w:rsidR="00A5159E">
        <w:rPr>
          <w:rFonts w:cstheme="minorHAnsi"/>
          <w:color w:val="000000"/>
        </w:rPr>
        <w:t xml:space="preserve">excluding </w:t>
      </w:r>
      <w:r w:rsidR="005D68D1">
        <w:rPr>
          <w:rFonts w:cstheme="minorHAnsi"/>
          <w:color w:val="000000"/>
        </w:rPr>
        <w:t xml:space="preserve">infants with </w:t>
      </w:r>
      <w:r w:rsidR="00EF721F">
        <w:rPr>
          <w:rFonts w:cstheme="minorHAnsi"/>
          <w:color w:val="000000"/>
        </w:rPr>
        <w:t>late preterm birth (PT</w:t>
      </w:r>
      <w:r w:rsidR="007232C0">
        <w:rPr>
          <w:rFonts w:cstheme="minorHAnsi"/>
          <w:color w:val="000000"/>
        </w:rPr>
        <w:t>B</w:t>
      </w:r>
      <w:r w:rsidR="00EF721F">
        <w:rPr>
          <w:rFonts w:cstheme="minorHAnsi"/>
          <w:color w:val="000000"/>
        </w:rPr>
        <w:t>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69"/>
        <w:gridCol w:w="1070"/>
        <w:gridCol w:w="1070"/>
        <w:gridCol w:w="1070"/>
        <w:gridCol w:w="1070"/>
        <w:gridCol w:w="1070"/>
      </w:tblGrid>
      <w:tr w:rsidR="00153F52" w14:paraId="4F749454" w14:textId="0C521A73" w:rsidTr="00E537A6">
        <w:tc>
          <w:tcPr>
            <w:tcW w:w="2263" w:type="dxa"/>
          </w:tcPr>
          <w:p w14:paraId="456C5304" w14:textId="77777777" w:rsidR="00153F52" w:rsidRDefault="00153F52" w:rsidP="00EC5AB2">
            <w:pPr>
              <w:rPr>
                <w:b/>
              </w:rPr>
            </w:pPr>
            <w:r w:rsidRPr="00C47058">
              <w:rPr>
                <w:b/>
              </w:rPr>
              <w:t>Subcortical region</w:t>
            </w:r>
          </w:p>
          <w:p w14:paraId="67B99A71" w14:textId="38155E43" w:rsidR="00153F52" w:rsidRPr="00C47058" w:rsidRDefault="00153F52" w:rsidP="00EC5AB2">
            <w:pPr>
              <w:rPr>
                <w:b/>
              </w:rPr>
            </w:pPr>
          </w:p>
        </w:tc>
        <w:tc>
          <w:tcPr>
            <w:tcW w:w="1069" w:type="dxa"/>
          </w:tcPr>
          <w:p w14:paraId="6166620A" w14:textId="3A94225B" w:rsidR="00153F52" w:rsidRPr="006E4CA4" w:rsidRDefault="00446FF3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  <w:r w:rsidR="00B401B8">
              <w:rPr>
                <w:b/>
                <w:sz w:val="20"/>
                <w:szCs w:val="20"/>
              </w:rPr>
              <w:t>erence</w:t>
            </w:r>
            <w:r>
              <w:rPr>
                <w:b/>
                <w:sz w:val="20"/>
                <w:szCs w:val="20"/>
              </w:rPr>
              <w:t xml:space="preserve"> AMD</w:t>
            </w:r>
          </w:p>
          <w:p w14:paraId="2FCC09A7" w14:textId="7A5F15C2" w:rsidR="00153F52" w:rsidRPr="006E4CA4" w:rsidRDefault="00446FF3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 w:rsidR="00153F52">
              <w:rPr>
                <w:b/>
                <w:sz w:val="20"/>
                <w:szCs w:val="20"/>
              </w:rPr>
              <w:t>-val.</w:t>
            </w:r>
            <w:r w:rsidR="00153F52" w:rsidRPr="006E4CA4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0" w:type="dxa"/>
          </w:tcPr>
          <w:p w14:paraId="419B1459" w14:textId="60422DD0" w:rsidR="00153F52" w:rsidRDefault="00446FF3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  <w:r w:rsidR="00B401B8">
              <w:rPr>
                <w:b/>
                <w:sz w:val="20"/>
                <w:szCs w:val="20"/>
              </w:rPr>
              <w:t>erence</w:t>
            </w:r>
          </w:p>
          <w:p w14:paraId="65E45FF9" w14:textId="258B1FDF" w:rsidR="00B401B8" w:rsidRPr="006E4CA4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75687B83" w14:textId="56FF7FE1" w:rsidR="00153F52" w:rsidRPr="006E4CA4" w:rsidRDefault="00153F52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 w:rsidR="006840E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0" w:type="dxa"/>
          </w:tcPr>
          <w:p w14:paraId="37356381" w14:textId="79C9AE09" w:rsidR="00B401B8" w:rsidRDefault="002D597D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Excl. HIV</w:t>
            </w:r>
          </w:p>
          <w:p w14:paraId="445740FB" w14:textId="421EEB4B" w:rsidR="00153F52" w:rsidRPr="006E4CA4" w:rsidRDefault="00153F52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6264C8B4" w14:textId="632CB62B" w:rsidR="00153F52" w:rsidRPr="006E4CA4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 w:rsidR="00153F52" w:rsidRPr="006E4CA4">
              <w:rPr>
                <w:b/>
                <w:sz w:val="20"/>
                <w:szCs w:val="20"/>
              </w:rPr>
              <w:t>-val</w:t>
            </w:r>
            <w:r w:rsidR="00153F52">
              <w:rPr>
                <w:b/>
                <w:sz w:val="20"/>
                <w:szCs w:val="20"/>
              </w:rPr>
              <w:t>.</w:t>
            </w:r>
            <w:r w:rsidR="00EC0EF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2CD2FAC8" w14:textId="77777777" w:rsidR="002D597D" w:rsidRDefault="002D597D" w:rsidP="002D5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Excl. HIV</w:t>
            </w:r>
          </w:p>
          <w:p w14:paraId="3D903CEF" w14:textId="77777777" w:rsidR="00B401B8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44CD69B8" w14:textId="79681DC7" w:rsidR="00B401B8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 w:rsidR="00EC0EF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751662B4" w14:textId="0AC0BD44" w:rsidR="00153F52" w:rsidRDefault="002D597D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Excl. PTB</w:t>
            </w:r>
          </w:p>
          <w:p w14:paraId="6AB78BD6" w14:textId="594F1199" w:rsidR="00B401B8" w:rsidRDefault="007C703C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175D9DAD" w14:textId="25614726" w:rsidR="00B401B8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 w:rsidR="00EC0EF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3B79DCDE" w14:textId="02AE6854" w:rsidR="00153F52" w:rsidRDefault="002D597D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Excl. PTB</w:t>
            </w:r>
          </w:p>
          <w:p w14:paraId="5F939B2B" w14:textId="6D94173D" w:rsidR="00B401B8" w:rsidRDefault="007C703C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7D76A38D" w14:textId="51535786" w:rsidR="00B401B8" w:rsidRDefault="00B401B8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 w:rsidR="00EC0EF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76D1C" w14:paraId="1A88C77D" w14:textId="4B6D50C8" w:rsidTr="00E537A6">
        <w:tc>
          <w:tcPr>
            <w:tcW w:w="2263" w:type="dxa"/>
          </w:tcPr>
          <w:p w14:paraId="466B4CC8" w14:textId="588187EA" w:rsidR="00276D1C" w:rsidRDefault="00276D1C" w:rsidP="00276D1C">
            <w:r>
              <w:t>Left Amygdala</w:t>
            </w:r>
          </w:p>
        </w:tc>
        <w:tc>
          <w:tcPr>
            <w:tcW w:w="1069" w:type="dxa"/>
          </w:tcPr>
          <w:p w14:paraId="155B7B7B" w14:textId="45213D3B" w:rsidR="00276D1C" w:rsidRPr="00353AE1" w:rsidRDefault="00276D1C" w:rsidP="00276D1C">
            <w:pPr>
              <w:jc w:val="right"/>
            </w:pPr>
            <w:r>
              <w:t>1.763</w:t>
            </w:r>
          </w:p>
        </w:tc>
        <w:tc>
          <w:tcPr>
            <w:tcW w:w="1070" w:type="dxa"/>
          </w:tcPr>
          <w:p w14:paraId="719CEC48" w14:textId="5D7FBC2D" w:rsidR="00276D1C" w:rsidRPr="00353AE1" w:rsidRDefault="00276D1C" w:rsidP="00276D1C">
            <w:pPr>
              <w:jc w:val="right"/>
            </w:pPr>
            <w:r w:rsidRPr="00D832C8">
              <w:t>.187</w:t>
            </w:r>
          </w:p>
        </w:tc>
        <w:tc>
          <w:tcPr>
            <w:tcW w:w="1070" w:type="dxa"/>
          </w:tcPr>
          <w:p w14:paraId="2C2174C0" w14:textId="7DC3B45C" w:rsidR="00276D1C" w:rsidRPr="00353AE1" w:rsidRDefault="00276D1C" w:rsidP="00276D1C">
            <w:pPr>
              <w:jc w:val="right"/>
            </w:pPr>
            <w:r>
              <w:t>1.550</w:t>
            </w:r>
          </w:p>
        </w:tc>
        <w:tc>
          <w:tcPr>
            <w:tcW w:w="1070" w:type="dxa"/>
          </w:tcPr>
          <w:p w14:paraId="3BC0EC89" w14:textId="78C451E2" w:rsidR="00276D1C" w:rsidRPr="00353AE1" w:rsidRDefault="00276D1C" w:rsidP="00276D1C">
            <w:pPr>
              <w:jc w:val="right"/>
            </w:pPr>
            <w:r>
              <w:t>.216</w:t>
            </w:r>
          </w:p>
        </w:tc>
        <w:tc>
          <w:tcPr>
            <w:tcW w:w="1070" w:type="dxa"/>
          </w:tcPr>
          <w:p w14:paraId="733F227A" w14:textId="7DDB6DD3" w:rsidR="00276D1C" w:rsidRPr="00353AE1" w:rsidRDefault="00276D1C" w:rsidP="00276D1C">
            <w:pPr>
              <w:jc w:val="right"/>
            </w:pPr>
            <w:r>
              <w:t>1.120</w:t>
            </w:r>
          </w:p>
        </w:tc>
        <w:tc>
          <w:tcPr>
            <w:tcW w:w="1070" w:type="dxa"/>
          </w:tcPr>
          <w:p w14:paraId="581A92F0" w14:textId="5D6F4571" w:rsidR="00276D1C" w:rsidRPr="00353AE1" w:rsidRDefault="00276D1C" w:rsidP="00276D1C">
            <w:pPr>
              <w:jc w:val="right"/>
            </w:pPr>
            <w:r>
              <w:t>.292</w:t>
            </w:r>
          </w:p>
        </w:tc>
      </w:tr>
      <w:tr w:rsidR="00276D1C" w14:paraId="7532F1CA" w14:textId="0E83DB54" w:rsidTr="00E537A6">
        <w:tc>
          <w:tcPr>
            <w:tcW w:w="2263" w:type="dxa"/>
          </w:tcPr>
          <w:p w14:paraId="0C59C2CE" w14:textId="45E1AF41" w:rsidR="00276D1C" w:rsidRPr="000D623B" w:rsidRDefault="00276D1C" w:rsidP="00276D1C">
            <w:r w:rsidRPr="000D623B">
              <w:t>R</w:t>
            </w:r>
            <w:r>
              <w:t>ight</w:t>
            </w:r>
            <w:r w:rsidRPr="000D623B">
              <w:t xml:space="preserve"> Amygdala</w:t>
            </w:r>
          </w:p>
        </w:tc>
        <w:tc>
          <w:tcPr>
            <w:tcW w:w="1069" w:type="dxa"/>
          </w:tcPr>
          <w:p w14:paraId="0FB97D2B" w14:textId="4F794AD4" w:rsidR="00276D1C" w:rsidRPr="00353AE1" w:rsidRDefault="00276D1C" w:rsidP="00276D1C">
            <w:pPr>
              <w:jc w:val="right"/>
            </w:pPr>
            <w:r>
              <w:t>4.360</w:t>
            </w:r>
          </w:p>
        </w:tc>
        <w:tc>
          <w:tcPr>
            <w:tcW w:w="1070" w:type="dxa"/>
          </w:tcPr>
          <w:p w14:paraId="5A0382EE" w14:textId="577C58B7" w:rsidR="00276D1C" w:rsidRPr="00C63F7A" w:rsidRDefault="00276D1C" w:rsidP="00276D1C">
            <w:pPr>
              <w:jc w:val="right"/>
              <w:rPr>
                <w:b/>
                <w:bCs/>
              </w:rPr>
            </w:pPr>
            <w:r w:rsidRPr="00D832C8">
              <w:rPr>
                <w:b/>
                <w:bCs/>
              </w:rPr>
              <w:t>.039</w:t>
            </w:r>
          </w:p>
        </w:tc>
        <w:tc>
          <w:tcPr>
            <w:tcW w:w="1070" w:type="dxa"/>
          </w:tcPr>
          <w:p w14:paraId="53C2DA06" w14:textId="0CF0DB2B" w:rsidR="00276D1C" w:rsidRPr="00353AE1" w:rsidRDefault="00276D1C" w:rsidP="00276D1C">
            <w:pPr>
              <w:jc w:val="right"/>
            </w:pPr>
            <w:r>
              <w:t>4.134</w:t>
            </w:r>
          </w:p>
        </w:tc>
        <w:tc>
          <w:tcPr>
            <w:tcW w:w="1070" w:type="dxa"/>
          </w:tcPr>
          <w:p w14:paraId="7381ECB2" w14:textId="2711C2FB" w:rsidR="00276D1C" w:rsidRPr="008F3201" w:rsidRDefault="00276D1C" w:rsidP="00276D1C">
            <w:pPr>
              <w:jc w:val="right"/>
              <w:rPr>
                <w:b/>
                <w:bCs/>
              </w:rPr>
            </w:pPr>
            <w:r w:rsidRPr="008F3201">
              <w:rPr>
                <w:b/>
                <w:bCs/>
              </w:rPr>
              <w:t>.04</w:t>
            </w:r>
            <w:r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14:paraId="5A6257EE" w14:textId="6C998954" w:rsidR="00276D1C" w:rsidRPr="00353AE1" w:rsidRDefault="00276D1C" w:rsidP="00276D1C">
            <w:pPr>
              <w:jc w:val="right"/>
            </w:pPr>
            <w:r>
              <w:t>2.265</w:t>
            </w:r>
          </w:p>
        </w:tc>
        <w:tc>
          <w:tcPr>
            <w:tcW w:w="1070" w:type="dxa"/>
          </w:tcPr>
          <w:p w14:paraId="09D43BA0" w14:textId="1601CCAA" w:rsidR="00276D1C" w:rsidRPr="00353AE1" w:rsidRDefault="00276D1C" w:rsidP="00276D1C">
            <w:pPr>
              <w:jc w:val="right"/>
            </w:pPr>
            <w:r>
              <w:t>.135</w:t>
            </w:r>
          </w:p>
        </w:tc>
      </w:tr>
      <w:tr w:rsidR="00276D1C" w14:paraId="6684CEF3" w14:textId="2E002DC3" w:rsidTr="00E537A6">
        <w:tc>
          <w:tcPr>
            <w:tcW w:w="2263" w:type="dxa"/>
          </w:tcPr>
          <w:p w14:paraId="3E72DBE0" w14:textId="06A2FDDD" w:rsidR="00276D1C" w:rsidRPr="000D623B" w:rsidRDefault="00276D1C" w:rsidP="00276D1C">
            <w:r w:rsidRPr="000D623B">
              <w:t>L</w:t>
            </w:r>
            <w:r>
              <w:t>eft</w:t>
            </w:r>
            <w:r w:rsidRPr="000D623B">
              <w:t xml:space="preserve"> Hippocampus</w:t>
            </w:r>
          </w:p>
        </w:tc>
        <w:tc>
          <w:tcPr>
            <w:tcW w:w="1069" w:type="dxa"/>
          </w:tcPr>
          <w:p w14:paraId="63CFCB90" w14:textId="0BDE51A5" w:rsidR="00276D1C" w:rsidRPr="00353AE1" w:rsidRDefault="00276D1C" w:rsidP="00276D1C">
            <w:pPr>
              <w:jc w:val="right"/>
            </w:pPr>
            <w:r>
              <w:t>10.584</w:t>
            </w:r>
          </w:p>
        </w:tc>
        <w:tc>
          <w:tcPr>
            <w:tcW w:w="1070" w:type="dxa"/>
          </w:tcPr>
          <w:p w14:paraId="35C1371E" w14:textId="1CFED031" w:rsidR="00276D1C" w:rsidRPr="00C63F7A" w:rsidRDefault="00276D1C" w:rsidP="00276D1C">
            <w:pPr>
              <w:jc w:val="right"/>
              <w:rPr>
                <w:b/>
                <w:bCs/>
              </w:rPr>
            </w:pPr>
            <w:r w:rsidRPr="00D832C8">
              <w:rPr>
                <w:b/>
                <w:bCs/>
              </w:rPr>
              <w:t>.001</w:t>
            </w:r>
          </w:p>
        </w:tc>
        <w:tc>
          <w:tcPr>
            <w:tcW w:w="1070" w:type="dxa"/>
          </w:tcPr>
          <w:p w14:paraId="506C51A4" w14:textId="101CF658" w:rsidR="00276D1C" w:rsidRPr="00353AE1" w:rsidRDefault="00276D1C" w:rsidP="00276D1C">
            <w:pPr>
              <w:jc w:val="right"/>
            </w:pPr>
            <w:r>
              <w:t>10.804</w:t>
            </w:r>
          </w:p>
        </w:tc>
        <w:tc>
          <w:tcPr>
            <w:tcW w:w="1070" w:type="dxa"/>
          </w:tcPr>
          <w:p w14:paraId="57E85400" w14:textId="5FAEEBC5" w:rsidR="00276D1C" w:rsidRPr="008F3201" w:rsidRDefault="00276D1C" w:rsidP="00276D1C">
            <w:pPr>
              <w:jc w:val="right"/>
              <w:rPr>
                <w:b/>
                <w:bCs/>
              </w:rPr>
            </w:pPr>
            <w:r w:rsidRPr="008F3201">
              <w:rPr>
                <w:b/>
                <w:bCs/>
              </w:rPr>
              <w:t>.00</w:t>
            </w:r>
            <w:r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14:paraId="06EB6CC1" w14:textId="4FF24893" w:rsidR="00276D1C" w:rsidRPr="00353AE1" w:rsidRDefault="00276D1C" w:rsidP="00276D1C">
            <w:pPr>
              <w:jc w:val="right"/>
            </w:pPr>
            <w:r>
              <w:t>7.544</w:t>
            </w:r>
          </w:p>
        </w:tc>
        <w:tc>
          <w:tcPr>
            <w:tcW w:w="1070" w:type="dxa"/>
          </w:tcPr>
          <w:p w14:paraId="10B7D90B" w14:textId="37985BD3" w:rsidR="00276D1C" w:rsidRPr="00AE6622" w:rsidRDefault="00276D1C" w:rsidP="00276D1C">
            <w:pPr>
              <w:jc w:val="right"/>
              <w:rPr>
                <w:b/>
                <w:bCs/>
              </w:rPr>
            </w:pPr>
            <w:r w:rsidRPr="00AE6622">
              <w:rPr>
                <w:b/>
                <w:bCs/>
              </w:rPr>
              <w:t>.007</w:t>
            </w:r>
          </w:p>
        </w:tc>
      </w:tr>
      <w:tr w:rsidR="00276D1C" w14:paraId="3E5EC3F3" w14:textId="780E45EC" w:rsidTr="00E537A6">
        <w:tc>
          <w:tcPr>
            <w:tcW w:w="2263" w:type="dxa"/>
          </w:tcPr>
          <w:p w14:paraId="10044055" w14:textId="6909134E" w:rsidR="00276D1C" w:rsidRPr="000D623B" w:rsidRDefault="00276D1C" w:rsidP="00276D1C">
            <w:r w:rsidRPr="000D623B">
              <w:t>R</w:t>
            </w:r>
            <w:r>
              <w:t>ight</w:t>
            </w:r>
            <w:r w:rsidRPr="000D623B">
              <w:t xml:space="preserve"> Hippocampus</w:t>
            </w:r>
          </w:p>
        </w:tc>
        <w:tc>
          <w:tcPr>
            <w:tcW w:w="1069" w:type="dxa"/>
          </w:tcPr>
          <w:p w14:paraId="5B6AF598" w14:textId="3DFFEEC7" w:rsidR="00276D1C" w:rsidRPr="00353AE1" w:rsidRDefault="00276D1C" w:rsidP="00276D1C">
            <w:pPr>
              <w:jc w:val="right"/>
            </w:pPr>
            <w:r>
              <w:t>6.941</w:t>
            </w:r>
          </w:p>
        </w:tc>
        <w:tc>
          <w:tcPr>
            <w:tcW w:w="1070" w:type="dxa"/>
          </w:tcPr>
          <w:p w14:paraId="315CC161" w14:textId="7EFBE074" w:rsidR="00276D1C" w:rsidRPr="00C63F7A" w:rsidRDefault="00276D1C" w:rsidP="00276D1C">
            <w:pPr>
              <w:jc w:val="right"/>
              <w:rPr>
                <w:b/>
                <w:bCs/>
              </w:rPr>
            </w:pPr>
            <w:r w:rsidRPr="00D832C8">
              <w:rPr>
                <w:b/>
                <w:bCs/>
              </w:rPr>
              <w:t>.010</w:t>
            </w:r>
          </w:p>
        </w:tc>
        <w:tc>
          <w:tcPr>
            <w:tcW w:w="1070" w:type="dxa"/>
          </w:tcPr>
          <w:p w14:paraId="4E737510" w14:textId="14A465F5" w:rsidR="00276D1C" w:rsidRPr="00353AE1" w:rsidRDefault="00276D1C" w:rsidP="00276D1C">
            <w:pPr>
              <w:jc w:val="right"/>
            </w:pPr>
            <w:r>
              <w:t>7.925</w:t>
            </w:r>
          </w:p>
        </w:tc>
        <w:tc>
          <w:tcPr>
            <w:tcW w:w="1070" w:type="dxa"/>
          </w:tcPr>
          <w:p w14:paraId="569D6126" w14:textId="4289B74D" w:rsidR="00276D1C" w:rsidRPr="008F3201" w:rsidRDefault="00276D1C" w:rsidP="00276D1C">
            <w:pPr>
              <w:jc w:val="right"/>
              <w:rPr>
                <w:b/>
                <w:bCs/>
              </w:rPr>
            </w:pPr>
            <w:r w:rsidRPr="008F3201">
              <w:rPr>
                <w:b/>
                <w:bCs/>
              </w:rPr>
              <w:t>.00</w:t>
            </w:r>
            <w:r>
              <w:rPr>
                <w:b/>
                <w:bCs/>
              </w:rPr>
              <w:t>6</w:t>
            </w:r>
          </w:p>
        </w:tc>
        <w:tc>
          <w:tcPr>
            <w:tcW w:w="1070" w:type="dxa"/>
          </w:tcPr>
          <w:p w14:paraId="6EA4D6BA" w14:textId="5D91AA45" w:rsidR="00276D1C" w:rsidRPr="00353AE1" w:rsidRDefault="00276D1C" w:rsidP="00276D1C">
            <w:pPr>
              <w:jc w:val="right"/>
            </w:pPr>
            <w:r>
              <w:t>5.227</w:t>
            </w:r>
          </w:p>
        </w:tc>
        <w:tc>
          <w:tcPr>
            <w:tcW w:w="1070" w:type="dxa"/>
          </w:tcPr>
          <w:p w14:paraId="44CE9B4D" w14:textId="58AEC64B" w:rsidR="00276D1C" w:rsidRPr="00AE6622" w:rsidRDefault="00276D1C" w:rsidP="00276D1C">
            <w:pPr>
              <w:jc w:val="right"/>
              <w:rPr>
                <w:b/>
                <w:bCs/>
              </w:rPr>
            </w:pPr>
            <w:r w:rsidRPr="00AE6622">
              <w:rPr>
                <w:b/>
                <w:bCs/>
              </w:rPr>
              <w:t>.024</w:t>
            </w:r>
          </w:p>
        </w:tc>
      </w:tr>
      <w:tr w:rsidR="00276D1C" w14:paraId="75A232F1" w14:textId="4528AB05" w:rsidTr="00E537A6">
        <w:tc>
          <w:tcPr>
            <w:tcW w:w="2263" w:type="dxa"/>
          </w:tcPr>
          <w:p w14:paraId="6479FC2C" w14:textId="5625E083" w:rsidR="00276D1C" w:rsidRPr="000D623B" w:rsidRDefault="00276D1C" w:rsidP="00276D1C">
            <w:r w:rsidRPr="000D623B">
              <w:t>L</w:t>
            </w:r>
            <w:r>
              <w:t>eft</w:t>
            </w:r>
            <w:r w:rsidRPr="000D623B">
              <w:t xml:space="preserve"> Caudate</w:t>
            </w:r>
          </w:p>
        </w:tc>
        <w:tc>
          <w:tcPr>
            <w:tcW w:w="1069" w:type="dxa"/>
          </w:tcPr>
          <w:p w14:paraId="3E024982" w14:textId="31672B04" w:rsidR="00276D1C" w:rsidRPr="00353AE1" w:rsidRDefault="00276D1C" w:rsidP="00276D1C">
            <w:pPr>
              <w:jc w:val="right"/>
            </w:pPr>
            <w:r>
              <w:t>12.494</w:t>
            </w:r>
          </w:p>
        </w:tc>
        <w:tc>
          <w:tcPr>
            <w:tcW w:w="1070" w:type="dxa"/>
          </w:tcPr>
          <w:p w14:paraId="78CAE11B" w14:textId="2C7496A5" w:rsidR="00276D1C" w:rsidRPr="00C63F7A" w:rsidRDefault="00276D1C" w:rsidP="00276D1C">
            <w:pPr>
              <w:jc w:val="right"/>
              <w:rPr>
                <w:b/>
                <w:bCs/>
              </w:rPr>
            </w:pPr>
            <w:r w:rsidRPr="003D7E83">
              <w:rPr>
                <w:b/>
                <w:bCs/>
              </w:rPr>
              <w:t>.001</w:t>
            </w:r>
          </w:p>
        </w:tc>
        <w:tc>
          <w:tcPr>
            <w:tcW w:w="1070" w:type="dxa"/>
          </w:tcPr>
          <w:p w14:paraId="1A2AC3B2" w14:textId="18992205" w:rsidR="00276D1C" w:rsidRPr="00353AE1" w:rsidRDefault="00276D1C" w:rsidP="00276D1C">
            <w:pPr>
              <w:jc w:val="right"/>
            </w:pPr>
            <w:r>
              <w:t>15.274</w:t>
            </w:r>
          </w:p>
        </w:tc>
        <w:tc>
          <w:tcPr>
            <w:tcW w:w="1070" w:type="dxa"/>
          </w:tcPr>
          <w:p w14:paraId="4435B4AF" w14:textId="6217AAE6" w:rsidR="00276D1C" w:rsidRPr="008F3201" w:rsidRDefault="00276D1C" w:rsidP="00276D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&lt;</w:t>
            </w:r>
            <w:r w:rsidRPr="008F3201">
              <w:rPr>
                <w:b/>
                <w:bCs/>
              </w:rPr>
              <w:t>.00</w:t>
            </w:r>
            <w:r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14:paraId="5B617D8E" w14:textId="10B91BD0" w:rsidR="00276D1C" w:rsidRPr="00353AE1" w:rsidRDefault="00276D1C" w:rsidP="00276D1C">
            <w:pPr>
              <w:jc w:val="right"/>
            </w:pPr>
            <w:r>
              <w:t>12.683</w:t>
            </w:r>
          </w:p>
        </w:tc>
        <w:tc>
          <w:tcPr>
            <w:tcW w:w="1070" w:type="dxa"/>
          </w:tcPr>
          <w:p w14:paraId="461AA493" w14:textId="042C0DFB" w:rsidR="00276D1C" w:rsidRPr="008F3201" w:rsidRDefault="00276D1C" w:rsidP="00276D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.001</w:t>
            </w:r>
          </w:p>
        </w:tc>
      </w:tr>
      <w:tr w:rsidR="00276D1C" w14:paraId="0AA1817B" w14:textId="07287C23" w:rsidTr="00E537A6">
        <w:tc>
          <w:tcPr>
            <w:tcW w:w="2263" w:type="dxa"/>
          </w:tcPr>
          <w:p w14:paraId="6A8938FD" w14:textId="0622EADE" w:rsidR="00276D1C" w:rsidRPr="000D623B" w:rsidRDefault="00276D1C" w:rsidP="00276D1C">
            <w:r w:rsidRPr="000D623B">
              <w:t>R</w:t>
            </w:r>
            <w:r>
              <w:t>ight</w:t>
            </w:r>
            <w:r w:rsidRPr="000D623B">
              <w:t xml:space="preserve"> Caudate</w:t>
            </w:r>
          </w:p>
        </w:tc>
        <w:tc>
          <w:tcPr>
            <w:tcW w:w="1069" w:type="dxa"/>
          </w:tcPr>
          <w:p w14:paraId="2DD08635" w14:textId="28FA6C38" w:rsidR="00276D1C" w:rsidRPr="00353AE1" w:rsidRDefault="00276D1C" w:rsidP="00276D1C">
            <w:pPr>
              <w:jc w:val="right"/>
            </w:pPr>
            <w:r>
              <w:t>13.549</w:t>
            </w:r>
          </w:p>
        </w:tc>
        <w:tc>
          <w:tcPr>
            <w:tcW w:w="1070" w:type="dxa"/>
          </w:tcPr>
          <w:p w14:paraId="33B96EFB" w14:textId="6ED9E39D" w:rsidR="00276D1C" w:rsidRPr="00C63F7A" w:rsidRDefault="00276D1C" w:rsidP="00276D1C">
            <w:pPr>
              <w:jc w:val="right"/>
              <w:rPr>
                <w:b/>
                <w:bCs/>
              </w:rPr>
            </w:pPr>
            <w:r w:rsidRPr="003D7E83">
              <w:rPr>
                <w:b/>
                <w:bCs/>
              </w:rPr>
              <w:t>&lt;.001</w:t>
            </w:r>
          </w:p>
        </w:tc>
        <w:tc>
          <w:tcPr>
            <w:tcW w:w="1070" w:type="dxa"/>
          </w:tcPr>
          <w:p w14:paraId="6BE350D9" w14:textId="60C1F818" w:rsidR="00276D1C" w:rsidRPr="00353AE1" w:rsidRDefault="00276D1C" w:rsidP="00276D1C">
            <w:pPr>
              <w:jc w:val="right"/>
            </w:pPr>
            <w:r>
              <w:t>9.804</w:t>
            </w:r>
          </w:p>
        </w:tc>
        <w:tc>
          <w:tcPr>
            <w:tcW w:w="1070" w:type="dxa"/>
          </w:tcPr>
          <w:p w14:paraId="372F114C" w14:textId="163A5850" w:rsidR="00276D1C" w:rsidRPr="008F3201" w:rsidRDefault="00276D1C" w:rsidP="00276D1C">
            <w:pPr>
              <w:jc w:val="right"/>
              <w:rPr>
                <w:b/>
                <w:bCs/>
              </w:rPr>
            </w:pPr>
            <w:r w:rsidRPr="008F3201">
              <w:rPr>
                <w:b/>
                <w:bCs/>
              </w:rPr>
              <w:t>.00</w:t>
            </w:r>
            <w:r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14:paraId="23B76E7F" w14:textId="1DF286CD" w:rsidR="00276D1C" w:rsidRPr="00353AE1" w:rsidRDefault="00276D1C" w:rsidP="00276D1C">
            <w:pPr>
              <w:jc w:val="right"/>
            </w:pPr>
            <w:r>
              <w:t>12.082</w:t>
            </w:r>
          </w:p>
        </w:tc>
        <w:tc>
          <w:tcPr>
            <w:tcW w:w="1070" w:type="dxa"/>
          </w:tcPr>
          <w:p w14:paraId="4F16C877" w14:textId="7A2063AF" w:rsidR="00276D1C" w:rsidRPr="008F3201" w:rsidRDefault="00276D1C" w:rsidP="00276D1C">
            <w:pPr>
              <w:jc w:val="right"/>
              <w:rPr>
                <w:b/>
                <w:bCs/>
              </w:rPr>
            </w:pPr>
            <w:r w:rsidRPr="008F3201">
              <w:rPr>
                <w:b/>
                <w:bCs/>
              </w:rPr>
              <w:t>.00</w:t>
            </w:r>
            <w:r>
              <w:rPr>
                <w:b/>
                <w:bCs/>
              </w:rPr>
              <w:t>1</w:t>
            </w:r>
          </w:p>
        </w:tc>
      </w:tr>
    </w:tbl>
    <w:p w14:paraId="2D23C4B8" w14:textId="079F0DDB" w:rsidR="00EF089B" w:rsidRPr="00566377" w:rsidRDefault="00EF089B" w:rsidP="00EF089B">
      <w:pPr>
        <w:spacing w:before="120"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Statistics derived from</w:t>
      </w:r>
      <w:r w:rsidR="004531EC">
        <w:rPr>
          <w:sz w:val="18"/>
          <w:szCs w:val="18"/>
        </w:rPr>
        <w:t xml:space="preserve"> minimally adjusted</w:t>
      </w:r>
      <w:r>
        <w:rPr>
          <w:sz w:val="18"/>
          <w:szCs w:val="18"/>
        </w:rPr>
        <w:t xml:space="preserve"> model: AMD (BDI</w:t>
      </w:r>
      <w:r w:rsidRPr="00566377">
        <w:rPr>
          <w:sz w:val="18"/>
          <w:szCs w:val="18"/>
        </w:rPr>
        <w:t xml:space="preserve"> </w:t>
      </w:r>
      <w:r w:rsidRPr="003B1746">
        <w:rPr>
          <w:sz w:val="18"/>
          <w:szCs w:val="18"/>
        </w:rPr>
        <w:t xml:space="preserve">II ≥20 </w:t>
      </w:r>
      <w:r w:rsidRPr="00566377">
        <w:rPr>
          <w:sz w:val="18"/>
          <w:szCs w:val="18"/>
        </w:rPr>
        <w:t xml:space="preserve">vs BDI-II &lt;14) with </w:t>
      </w:r>
      <w:r>
        <w:rPr>
          <w:sz w:val="18"/>
          <w:szCs w:val="18"/>
        </w:rPr>
        <w:t xml:space="preserve">infant </w:t>
      </w:r>
      <w:r w:rsidRPr="00566377">
        <w:rPr>
          <w:sz w:val="18"/>
          <w:szCs w:val="18"/>
        </w:rPr>
        <w:t>age at scan, sex, ICV</w:t>
      </w:r>
    </w:p>
    <w:p w14:paraId="503E9897" w14:textId="04D8D2D2" w:rsidR="00EF089B" w:rsidRDefault="00EF089B" w:rsidP="00EF089B">
      <w:pPr>
        <w:spacing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Statistics derived</w:t>
      </w:r>
      <w:r w:rsidR="004531EC">
        <w:rPr>
          <w:sz w:val="18"/>
          <w:szCs w:val="18"/>
        </w:rPr>
        <w:t xml:space="preserve"> from minimally adjusted model, after exclusion of </w:t>
      </w:r>
      <w:r w:rsidR="00BD025E">
        <w:rPr>
          <w:sz w:val="18"/>
          <w:szCs w:val="18"/>
        </w:rPr>
        <w:t xml:space="preserve">32 </w:t>
      </w:r>
      <w:r w:rsidR="004531EC">
        <w:rPr>
          <w:sz w:val="18"/>
          <w:szCs w:val="18"/>
        </w:rPr>
        <w:t>infants exposed to maternal HIV infection</w:t>
      </w:r>
    </w:p>
    <w:p w14:paraId="5ACA8F37" w14:textId="50E955CA" w:rsidR="004531EC" w:rsidRDefault="004531EC" w:rsidP="004531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Statistics derived from minimally adjusted model, after exclusion of</w:t>
      </w:r>
      <w:r w:rsidR="001015A3">
        <w:rPr>
          <w:sz w:val="18"/>
          <w:szCs w:val="18"/>
        </w:rPr>
        <w:t xml:space="preserve"> </w:t>
      </w:r>
      <w:r w:rsidR="009E23FF">
        <w:rPr>
          <w:sz w:val="18"/>
          <w:szCs w:val="18"/>
        </w:rPr>
        <w:t>14</w:t>
      </w:r>
      <w:r>
        <w:rPr>
          <w:sz w:val="18"/>
          <w:szCs w:val="18"/>
        </w:rPr>
        <w:t xml:space="preserve"> infants born preterm (&lt;37 weeks gestation)</w:t>
      </w:r>
    </w:p>
    <w:p w14:paraId="27999BD9" w14:textId="77777777" w:rsidR="004531EC" w:rsidRPr="00566377" w:rsidRDefault="004531EC" w:rsidP="00EF089B">
      <w:pPr>
        <w:spacing w:after="0" w:line="240" w:lineRule="auto"/>
        <w:rPr>
          <w:sz w:val="18"/>
          <w:szCs w:val="18"/>
        </w:rPr>
      </w:pPr>
    </w:p>
    <w:p w14:paraId="7B740654" w14:textId="77777777" w:rsidR="00EF089B" w:rsidRDefault="00EF089B">
      <w:pPr>
        <w:rPr>
          <w:rFonts w:cstheme="minorHAnsi"/>
          <w:color w:val="000000"/>
        </w:rPr>
      </w:pPr>
    </w:p>
    <w:p w14:paraId="5947503D" w14:textId="05F4B281" w:rsidR="000113CA" w:rsidRDefault="00092EE8">
      <w:pPr>
        <w:rPr>
          <w:rFonts w:cstheme="minorHAnsi"/>
          <w:color w:val="000000"/>
        </w:rPr>
      </w:pPr>
      <w:r w:rsidRPr="00C77BB4">
        <w:rPr>
          <w:rFonts w:cstheme="minorHAnsi"/>
          <w:b/>
          <w:bCs/>
          <w:color w:val="000000"/>
        </w:rPr>
        <w:t xml:space="preserve">Supplemental </w:t>
      </w:r>
      <w:r w:rsidR="000113CA" w:rsidRPr="00C77BB4">
        <w:rPr>
          <w:rFonts w:cstheme="minorHAnsi"/>
          <w:b/>
          <w:bCs/>
          <w:color w:val="000000"/>
        </w:rPr>
        <w:t xml:space="preserve">Table </w:t>
      </w:r>
      <w:r w:rsidR="00C52AB7">
        <w:rPr>
          <w:rFonts w:cstheme="minorHAnsi"/>
          <w:b/>
          <w:bCs/>
          <w:color w:val="000000"/>
        </w:rPr>
        <w:t>A.2</w:t>
      </w:r>
      <w:r w:rsidR="000113CA" w:rsidRPr="00C77BB4">
        <w:rPr>
          <w:rFonts w:cstheme="minorHAnsi"/>
          <w:b/>
          <w:bCs/>
          <w:color w:val="000000"/>
        </w:rPr>
        <w:t>:</w:t>
      </w:r>
      <w:r w:rsidR="000113CA">
        <w:rPr>
          <w:rFonts w:cstheme="minorHAnsi"/>
          <w:color w:val="000000"/>
        </w:rPr>
        <w:t xml:space="preserve"> </w:t>
      </w:r>
      <w:proofErr w:type="gramStart"/>
      <w:r w:rsidR="003E2BC7">
        <w:rPr>
          <w:rFonts w:cstheme="minorHAnsi"/>
          <w:color w:val="000000"/>
        </w:rPr>
        <w:t>Post-hoc</w:t>
      </w:r>
      <w:proofErr w:type="gramEnd"/>
      <w:r w:rsidR="003E2BC7">
        <w:rPr>
          <w:rFonts w:cstheme="minorHAnsi"/>
          <w:color w:val="000000"/>
        </w:rPr>
        <w:t xml:space="preserve"> analysis examining </w:t>
      </w:r>
      <w:r w:rsidR="000E2CE4">
        <w:rPr>
          <w:rFonts w:cstheme="minorHAnsi"/>
          <w:color w:val="000000"/>
        </w:rPr>
        <w:t xml:space="preserve">the </w:t>
      </w:r>
      <w:r w:rsidR="003E2BC7">
        <w:rPr>
          <w:rFonts w:cstheme="minorHAnsi"/>
          <w:color w:val="000000"/>
        </w:rPr>
        <w:t xml:space="preserve">robustness of volumetric differences associated with antenatal maternal depression (AMD) exposure in the amygdala, hippocampus and caudate nucleus when including infant birth weight </w:t>
      </w:r>
      <w:r w:rsidR="00C25A01">
        <w:rPr>
          <w:rFonts w:cstheme="minorHAnsi"/>
          <w:color w:val="000000"/>
        </w:rPr>
        <w:t xml:space="preserve">(BW) </w:t>
      </w:r>
      <w:r w:rsidR="003E2BC7">
        <w:rPr>
          <w:rFonts w:cstheme="minorHAnsi"/>
          <w:color w:val="000000"/>
        </w:rPr>
        <w:t>as</w:t>
      </w:r>
      <w:r w:rsidR="00C25A01">
        <w:rPr>
          <w:rFonts w:cstheme="minorHAnsi"/>
          <w:color w:val="000000"/>
        </w:rPr>
        <w:t xml:space="preserve"> </w:t>
      </w:r>
      <w:r w:rsidR="003E2BC7">
        <w:rPr>
          <w:rFonts w:cstheme="minorHAnsi"/>
          <w:color w:val="000000"/>
        </w:rPr>
        <w:t>additional covariate in the fully adjusted model.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69"/>
        <w:gridCol w:w="1070"/>
        <w:gridCol w:w="1070"/>
        <w:gridCol w:w="1070"/>
        <w:gridCol w:w="1070"/>
        <w:gridCol w:w="1070"/>
      </w:tblGrid>
      <w:tr w:rsidR="00C25A01" w14:paraId="4AAF81B8" w14:textId="77777777" w:rsidTr="00EC5AB2">
        <w:tc>
          <w:tcPr>
            <w:tcW w:w="2263" w:type="dxa"/>
          </w:tcPr>
          <w:p w14:paraId="1E1668CB" w14:textId="77777777" w:rsidR="00C25A01" w:rsidRDefault="00C25A01" w:rsidP="00EC5AB2">
            <w:pPr>
              <w:rPr>
                <w:b/>
              </w:rPr>
            </w:pPr>
            <w:r w:rsidRPr="00C47058">
              <w:rPr>
                <w:b/>
              </w:rPr>
              <w:t>Subcortical region</w:t>
            </w:r>
          </w:p>
          <w:p w14:paraId="5CBEE92B" w14:textId="77777777" w:rsidR="00C25A01" w:rsidRPr="00C47058" w:rsidRDefault="00C25A01" w:rsidP="00EC5AB2">
            <w:pPr>
              <w:rPr>
                <w:b/>
              </w:rPr>
            </w:pPr>
          </w:p>
        </w:tc>
        <w:tc>
          <w:tcPr>
            <w:tcW w:w="1069" w:type="dxa"/>
          </w:tcPr>
          <w:p w14:paraId="23040405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 AMD</w:t>
            </w:r>
          </w:p>
          <w:p w14:paraId="6C1AEEC8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-val.</w:t>
            </w:r>
            <w:r w:rsidRPr="006E4CA4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0" w:type="dxa"/>
          </w:tcPr>
          <w:p w14:paraId="60476CFC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  <w:p w14:paraId="2F2CE2FA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680C6C15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0" w:type="dxa"/>
          </w:tcPr>
          <w:p w14:paraId="3F9B449C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Post-hoc</w:t>
            </w:r>
          </w:p>
          <w:p w14:paraId="42A3EC7D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25B44CC1" w14:textId="77777777" w:rsidR="00C25A01" w:rsidRPr="006E4CA4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10F15DAF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Post-hoc</w:t>
            </w:r>
          </w:p>
          <w:p w14:paraId="16A3C6B0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AMD</w:t>
            </w:r>
          </w:p>
          <w:p w14:paraId="240A05B0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2F88E9CF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Post-hoc</w:t>
            </w:r>
          </w:p>
          <w:p w14:paraId="327E7EDF" w14:textId="69223333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BW</w:t>
            </w:r>
          </w:p>
          <w:p w14:paraId="39D5EE3B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0" w:type="dxa"/>
          </w:tcPr>
          <w:p w14:paraId="5F211045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Post-hoc</w:t>
            </w:r>
          </w:p>
          <w:p w14:paraId="127A01CF" w14:textId="2633A705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BW</w:t>
            </w:r>
          </w:p>
          <w:p w14:paraId="6DA41466" w14:textId="77777777" w:rsidR="00C25A01" w:rsidRDefault="00C25A01" w:rsidP="00EC5AB2">
            <w:pPr>
              <w:jc w:val="center"/>
              <w:rPr>
                <w:b/>
                <w:sz w:val="20"/>
                <w:szCs w:val="20"/>
              </w:rPr>
            </w:pPr>
            <w:r w:rsidRPr="006E4CA4">
              <w:rPr>
                <w:b/>
                <w:i/>
                <w:iCs/>
                <w:sz w:val="20"/>
                <w:szCs w:val="20"/>
              </w:rPr>
              <w:t>p</w:t>
            </w:r>
            <w:r w:rsidRPr="006E4CA4">
              <w:rPr>
                <w:b/>
                <w:sz w:val="20"/>
                <w:szCs w:val="20"/>
              </w:rPr>
              <w:t>-val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53AE1" w14:paraId="4962925C" w14:textId="77777777" w:rsidTr="00EC5AB2">
        <w:tc>
          <w:tcPr>
            <w:tcW w:w="2263" w:type="dxa"/>
          </w:tcPr>
          <w:p w14:paraId="4A1042A4" w14:textId="77777777" w:rsidR="00353AE1" w:rsidRDefault="00353AE1" w:rsidP="00353AE1">
            <w:r>
              <w:t>Left Amygdala</w:t>
            </w:r>
          </w:p>
        </w:tc>
        <w:tc>
          <w:tcPr>
            <w:tcW w:w="1069" w:type="dxa"/>
          </w:tcPr>
          <w:p w14:paraId="6CD95C66" w14:textId="34868362" w:rsidR="00353AE1" w:rsidRPr="00353AE1" w:rsidRDefault="00B77122" w:rsidP="00353AE1">
            <w:pPr>
              <w:jc w:val="right"/>
            </w:pPr>
            <w:r>
              <w:t>1.910</w:t>
            </w:r>
          </w:p>
        </w:tc>
        <w:tc>
          <w:tcPr>
            <w:tcW w:w="1070" w:type="dxa"/>
          </w:tcPr>
          <w:p w14:paraId="69BAB88D" w14:textId="4819E5C0" w:rsidR="00353AE1" w:rsidRPr="00353AE1" w:rsidRDefault="00B77122" w:rsidP="00353AE1">
            <w:pPr>
              <w:jc w:val="right"/>
            </w:pPr>
            <w:r>
              <w:t>.170</w:t>
            </w:r>
          </w:p>
        </w:tc>
        <w:tc>
          <w:tcPr>
            <w:tcW w:w="1070" w:type="dxa"/>
          </w:tcPr>
          <w:p w14:paraId="3B46F109" w14:textId="6223E798" w:rsidR="00353AE1" w:rsidRPr="00353AE1" w:rsidRDefault="00353AE1" w:rsidP="00353AE1">
            <w:pPr>
              <w:jc w:val="right"/>
            </w:pPr>
            <w:r w:rsidRPr="00353AE1">
              <w:t>.295</w:t>
            </w:r>
          </w:p>
        </w:tc>
        <w:tc>
          <w:tcPr>
            <w:tcW w:w="1070" w:type="dxa"/>
          </w:tcPr>
          <w:p w14:paraId="2B99AAC1" w14:textId="1678A66F" w:rsidR="00353AE1" w:rsidRPr="00353AE1" w:rsidRDefault="00353AE1" w:rsidP="00353AE1">
            <w:pPr>
              <w:jc w:val="right"/>
            </w:pPr>
            <w:r w:rsidRPr="00353AE1">
              <w:t>.588</w:t>
            </w:r>
          </w:p>
        </w:tc>
        <w:tc>
          <w:tcPr>
            <w:tcW w:w="1070" w:type="dxa"/>
          </w:tcPr>
          <w:p w14:paraId="413888B4" w14:textId="7A992313" w:rsidR="00353AE1" w:rsidRPr="00353AE1" w:rsidRDefault="00353AE1" w:rsidP="00353AE1">
            <w:pPr>
              <w:jc w:val="right"/>
            </w:pPr>
            <w:r w:rsidRPr="00353AE1">
              <w:t>11.091</w:t>
            </w:r>
          </w:p>
        </w:tc>
        <w:tc>
          <w:tcPr>
            <w:tcW w:w="1070" w:type="dxa"/>
          </w:tcPr>
          <w:p w14:paraId="30E12C05" w14:textId="5FE3992B" w:rsidR="00353AE1" w:rsidRPr="004753AA" w:rsidRDefault="00353AE1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.001</w:t>
            </w:r>
          </w:p>
        </w:tc>
      </w:tr>
      <w:tr w:rsidR="00353AE1" w14:paraId="760D742D" w14:textId="77777777" w:rsidTr="00EC5AB2">
        <w:tc>
          <w:tcPr>
            <w:tcW w:w="2263" w:type="dxa"/>
          </w:tcPr>
          <w:p w14:paraId="6595A564" w14:textId="77777777" w:rsidR="00353AE1" w:rsidRPr="000D623B" w:rsidRDefault="00353AE1" w:rsidP="00353AE1">
            <w:r w:rsidRPr="000D623B">
              <w:t>R</w:t>
            </w:r>
            <w:r>
              <w:t>ight</w:t>
            </w:r>
            <w:r w:rsidRPr="000D623B">
              <w:t xml:space="preserve"> Amygdala</w:t>
            </w:r>
          </w:p>
        </w:tc>
        <w:tc>
          <w:tcPr>
            <w:tcW w:w="1069" w:type="dxa"/>
          </w:tcPr>
          <w:p w14:paraId="38F6E297" w14:textId="0411C569" w:rsidR="00353AE1" w:rsidRPr="00353AE1" w:rsidRDefault="00B77122" w:rsidP="00353AE1">
            <w:pPr>
              <w:jc w:val="right"/>
            </w:pPr>
            <w:r>
              <w:t>2.944</w:t>
            </w:r>
          </w:p>
        </w:tc>
        <w:tc>
          <w:tcPr>
            <w:tcW w:w="1070" w:type="dxa"/>
          </w:tcPr>
          <w:p w14:paraId="725F9EF5" w14:textId="08CA9DA4" w:rsidR="00353AE1" w:rsidRPr="00353AE1" w:rsidRDefault="00B77122" w:rsidP="00353AE1">
            <w:pPr>
              <w:jc w:val="right"/>
            </w:pPr>
            <w:r>
              <w:t>.089</w:t>
            </w:r>
          </w:p>
        </w:tc>
        <w:tc>
          <w:tcPr>
            <w:tcW w:w="1070" w:type="dxa"/>
          </w:tcPr>
          <w:p w14:paraId="5962109E" w14:textId="35A10E46" w:rsidR="00353AE1" w:rsidRPr="00353AE1" w:rsidRDefault="00353AE1" w:rsidP="00353AE1">
            <w:pPr>
              <w:jc w:val="right"/>
            </w:pPr>
            <w:r w:rsidRPr="00353AE1">
              <w:t>1.041</w:t>
            </w:r>
          </w:p>
        </w:tc>
        <w:tc>
          <w:tcPr>
            <w:tcW w:w="1070" w:type="dxa"/>
          </w:tcPr>
          <w:p w14:paraId="222461BB" w14:textId="7EAD5F8E" w:rsidR="00353AE1" w:rsidRPr="00353AE1" w:rsidRDefault="00353AE1" w:rsidP="00353AE1">
            <w:pPr>
              <w:jc w:val="right"/>
            </w:pPr>
            <w:r>
              <w:t>.310</w:t>
            </w:r>
          </w:p>
        </w:tc>
        <w:tc>
          <w:tcPr>
            <w:tcW w:w="1070" w:type="dxa"/>
          </w:tcPr>
          <w:p w14:paraId="68C5FEB9" w14:textId="0C414636" w:rsidR="00353AE1" w:rsidRPr="00353AE1" w:rsidRDefault="00353AE1" w:rsidP="00353AE1">
            <w:pPr>
              <w:jc w:val="right"/>
            </w:pPr>
            <w:r>
              <w:t>7.144</w:t>
            </w:r>
          </w:p>
        </w:tc>
        <w:tc>
          <w:tcPr>
            <w:tcW w:w="1070" w:type="dxa"/>
          </w:tcPr>
          <w:p w14:paraId="0EC9FD77" w14:textId="2D55294B" w:rsidR="00353AE1" w:rsidRPr="004753AA" w:rsidRDefault="00353AE1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.009</w:t>
            </w:r>
          </w:p>
        </w:tc>
      </w:tr>
      <w:tr w:rsidR="00353AE1" w14:paraId="5ED1A1A5" w14:textId="77777777" w:rsidTr="00EC5AB2">
        <w:tc>
          <w:tcPr>
            <w:tcW w:w="2263" w:type="dxa"/>
          </w:tcPr>
          <w:p w14:paraId="7D2EDA28" w14:textId="77777777" w:rsidR="00353AE1" w:rsidRPr="000D623B" w:rsidRDefault="00353AE1" w:rsidP="00353AE1">
            <w:r w:rsidRPr="000D623B">
              <w:t>L</w:t>
            </w:r>
            <w:r>
              <w:t>eft</w:t>
            </w:r>
            <w:r w:rsidRPr="000D623B">
              <w:t xml:space="preserve"> Hippocampus</w:t>
            </w:r>
          </w:p>
        </w:tc>
        <w:tc>
          <w:tcPr>
            <w:tcW w:w="1069" w:type="dxa"/>
          </w:tcPr>
          <w:p w14:paraId="09741B75" w14:textId="26787CC2" w:rsidR="00353AE1" w:rsidRPr="00353AE1" w:rsidRDefault="00AB58F0" w:rsidP="00353AE1">
            <w:pPr>
              <w:jc w:val="right"/>
            </w:pPr>
            <w:r>
              <w:t>9.943</w:t>
            </w:r>
          </w:p>
        </w:tc>
        <w:tc>
          <w:tcPr>
            <w:tcW w:w="1070" w:type="dxa"/>
          </w:tcPr>
          <w:p w14:paraId="464E12C6" w14:textId="4A7620AF" w:rsidR="00353AE1" w:rsidRPr="00AB58F0" w:rsidRDefault="00AB58F0" w:rsidP="00353AE1">
            <w:pPr>
              <w:jc w:val="right"/>
              <w:rPr>
                <w:b/>
                <w:bCs/>
              </w:rPr>
            </w:pPr>
            <w:r w:rsidRPr="00AB58F0">
              <w:rPr>
                <w:b/>
                <w:bCs/>
              </w:rPr>
              <w:t>.002</w:t>
            </w:r>
          </w:p>
        </w:tc>
        <w:tc>
          <w:tcPr>
            <w:tcW w:w="1070" w:type="dxa"/>
          </w:tcPr>
          <w:p w14:paraId="3C330368" w14:textId="1174700E" w:rsidR="00353AE1" w:rsidRPr="00353AE1" w:rsidRDefault="00C67453" w:rsidP="00353AE1">
            <w:pPr>
              <w:jc w:val="right"/>
            </w:pPr>
            <w:r>
              <w:t>6.253</w:t>
            </w:r>
          </w:p>
        </w:tc>
        <w:tc>
          <w:tcPr>
            <w:tcW w:w="1070" w:type="dxa"/>
          </w:tcPr>
          <w:p w14:paraId="0C167F95" w14:textId="35406E8B" w:rsidR="00353AE1" w:rsidRPr="004753AA" w:rsidRDefault="00C67453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.014</w:t>
            </w:r>
          </w:p>
        </w:tc>
        <w:tc>
          <w:tcPr>
            <w:tcW w:w="1070" w:type="dxa"/>
          </w:tcPr>
          <w:p w14:paraId="56291F97" w14:textId="6F4B370E" w:rsidR="00353AE1" w:rsidRPr="00353AE1" w:rsidRDefault="00C67453" w:rsidP="00353AE1">
            <w:pPr>
              <w:jc w:val="right"/>
            </w:pPr>
            <w:r>
              <w:t>5.710</w:t>
            </w:r>
          </w:p>
        </w:tc>
        <w:tc>
          <w:tcPr>
            <w:tcW w:w="1070" w:type="dxa"/>
          </w:tcPr>
          <w:p w14:paraId="02ADC0FF" w14:textId="00599021" w:rsidR="00353AE1" w:rsidRPr="004753AA" w:rsidRDefault="00C67453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.019</w:t>
            </w:r>
          </w:p>
        </w:tc>
      </w:tr>
      <w:tr w:rsidR="00353AE1" w14:paraId="776538EC" w14:textId="77777777" w:rsidTr="00EC5AB2">
        <w:tc>
          <w:tcPr>
            <w:tcW w:w="2263" w:type="dxa"/>
          </w:tcPr>
          <w:p w14:paraId="2B331AD3" w14:textId="77777777" w:rsidR="00353AE1" w:rsidRPr="000D623B" w:rsidRDefault="00353AE1" w:rsidP="00353AE1">
            <w:r w:rsidRPr="000D623B">
              <w:t>R</w:t>
            </w:r>
            <w:r>
              <w:t>ight</w:t>
            </w:r>
            <w:r w:rsidRPr="000D623B">
              <w:t xml:space="preserve"> Hippocampus</w:t>
            </w:r>
          </w:p>
        </w:tc>
        <w:tc>
          <w:tcPr>
            <w:tcW w:w="1069" w:type="dxa"/>
          </w:tcPr>
          <w:p w14:paraId="6298E000" w14:textId="2D5C45DB" w:rsidR="00353AE1" w:rsidRPr="00353AE1" w:rsidRDefault="00AB58F0" w:rsidP="00353AE1">
            <w:pPr>
              <w:jc w:val="right"/>
            </w:pPr>
            <w:r>
              <w:t>8.503</w:t>
            </w:r>
          </w:p>
        </w:tc>
        <w:tc>
          <w:tcPr>
            <w:tcW w:w="1070" w:type="dxa"/>
          </w:tcPr>
          <w:p w14:paraId="1DD6478E" w14:textId="443179A8" w:rsidR="00353AE1" w:rsidRPr="00AB58F0" w:rsidRDefault="00AB58F0" w:rsidP="00353AE1">
            <w:pPr>
              <w:jc w:val="right"/>
              <w:rPr>
                <w:b/>
                <w:bCs/>
              </w:rPr>
            </w:pPr>
            <w:r w:rsidRPr="00AB58F0">
              <w:rPr>
                <w:b/>
                <w:bCs/>
              </w:rPr>
              <w:t>.004</w:t>
            </w:r>
          </w:p>
        </w:tc>
        <w:tc>
          <w:tcPr>
            <w:tcW w:w="1070" w:type="dxa"/>
          </w:tcPr>
          <w:p w14:paraId="4083C71C" w14:textId="5F1E72DA" w:rsidR="00353AE1" w:rsidRPr="00353AE1" w:rsidRDefault="008F33EC" w:rsidP="00353AE1">
            <w:pPr>
              <w:jc w:val="right"/>
            </w:pPr>
            <w:r>
              <w:t>4.723</w:t>
            </w:r>
          </w:p>
        </w:tc>
        <w:tc>
          <w:tcPr>
            <w:tcW w:w="1070" w:type="dxa"/>
          </w:tcPr>
          <w:p w14:paraId="1A7A63AD" w14:textId="2E661DEE" w:rsidR="00353AE1" w:rsidRPr="004753AA" w:rsidRDefault="008F33EC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.032</w:t>
            </w:r>
          </w:p>
        </w:tc>
        <w:tc>
          <w:tcPr>
            <w:tcW w:w="1070" w:type="dxa"/>
          </w:tcPr>
          <w:p w14:paraId="644EA9E7" w14:textId="16860926" w:rsidR="00353AE1" w:rsidRPr="00353AE1" w:rsidRDefault="008F33EC" w:rsidP="00353AE1">
            <w:pPr>
              <w:jc w:val="right"/>
            </w:pPr>
            <w:r>
              <w:t>8.267</w:t>
            </w:r>
          </w:p>
        </w:tc>
        <w:tc>
          <w:tcPr>
            <w:tcW w:w="1070" w:type="dxa"/>
          </w:tcPr>
          <w:p w14:paraId="38D8FCC1" w14:textId="3B92626F" w:rsidR="00353AE1" w:rsidRPr="004753AA" w:rsidRDefault="008F33EC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.005</w:t>
            </w:r>
          </w:p>
        </w:tc>
      </w:tr>
      <w:tr w:rsidR="00353AE1" w14:paraId="7DBC00A9" w14:textId="77777777" w:rsidTr="00EC5AB2">
        <w:tc>
          <w:tcPr>
            <w:tcW w:w="2263" w:type="dxa"/>
          </w:tcPr>
          <w:p w14:paraId="0145BA83" w14:textId="77777777" w:rsidR="00353AE1" w:rsidRPr="000D623B" w:rsidRDefault="00353AE1" w:rsidP="00353AE1">
            <w:r w:rsidRPr="000D623B">
              <w:t>L</w:t>
            </w:r>
            <w:r>
              <w:t>eft</w:t>
            </w:r>
            <w:r w:rsidRPr="000D623B">
              <w:t xml:space="preserve"> Caudate</w:t>
            </w:r>
          </w:p>
        </w:tc>
        <w:tc>
          <w:tcPr>
            <w:tcW w:w="1069" w:type="dxa"/>
          </w:tcPr>
          <w:p w14:paraId="6B10E1F8" w14:textId="015772C8" w:rsidR="00353AE1" w:rsidRPr="00353AE1" w:rsidRDefault="00C52A40" w:rsidP="00353AE1">
            <w:pPr>
              <w:jc w:val="right"/>
            </w:pPr>
            <w:r>
              <w:t>11.018</w:t>
            </w:r>
          </w:p>
        </w:tc>
        <w:tc>
          <w:tcPr>
            <w:tcW w:w="1070" w:type="dxa"/>
          </w:tcPr>
          <w:p w14:paraId="01B9D1A6" w14:textId="0AC99C7B" w:rsidR="00353AE1" w:rsidRPr="00C52A40" w:rsidRDefault="00C52A40" w:rsidP="00353AE1">
            <w:pPr>
              <w:jc w:val="right"/>
              <w:rPr>
                <w:b/>
                <w:bCs/>
              </w:rPr>
            </w:pPr>
            <w:r w:rsidRPr="00C52A40">
              <w:rPr>
                <w:b/>
                <w:bCs/>
              </w:rPr>
              <w:t>.001</w:t>
            </w:r>
          </w:p>
        </w:tc>
        <w:tc>
          <w:tcPr>
            <w:tcW w:w="1070" w:type="dxa"/>
          </w:tcPr>
          <w:p w14:paraId="50AC7132" w14:textId="119EAEB4" w:rsidR="00353AE1" w:rsidRPr="00353AE1" w:rsidRDefault="00825F3E" w:rsidP="00353AE1">
            <w:pPr>
              <w:jc w:val="right"/>
            </w:pPr>
            <w:r>
              <w:t>14.732</w:t>
            </w:r>
          </w:p>
        </w:tc>
        <w:tc>
          <w:tcPr>
            <w:tcW w:w="1070" w:type="dxa"/>
          </w:tcPr>
          <w:p w14:paraId="027F653C" w14:textId="041EE865" w:rsidR="00353AE1" w:rsidRPr="004753AA" w:rsidRDefault="00825F3E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&lt;.001</w:t>
            </w:r>
          </w:p>
        </w:tc>
        <w:tc>
          <w:tcPr>
            <w:tcW w:w="1070" w:type="dxa"/>
          </w:tcPr>
          <w:p w14:paraId="6C5B5FA6" w14:textId="2B58DAEC" w:rsidR="00353AE1" w:rsidRPr="00353AE1" w:rsidRDefault="00825F3E" w:rsidP="00353AE1">
            <w:pPr>
              <w:jc w:val="right"/>
            </w:pPr>
            <w:r>
              <w:t>5.030</w:t>
            </w:r>
          </w:p>
        </w:tc>
        <w:tc>
          <w:tcPr>
            <w:tcW w:w="1070" w:type="dxa"/>
          </w:tcPr>
          <w:p w14:paraId="08714DA2" w14:textId="6C643946" w:rsidR="00353AE1" w:rsidRPr="004753AA" w:rsidRDefault="00825F3E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.027</w:t>
            </w:r>
          </w:p>
        </w:tc>
      </w:tr>
      <w:tr w:rsidR="00353AE1" w14:paraId="4B597444" w14:textId="77777777" w:rsidTr="00EC5AB2">
        <w:tc>
          <w:tcPr>
            <w:tcW w:w="2263" w:type="dxa"/>
          </w:tcPr>
          <w:p w14:paraId="3072582B" w14:textId="77777777" w:rsidR="00353AE1" w:rsidRPr="000D623B" w:rsidRDefault="00353AE1" w:rsidP="00353AE1">
            <w:r w:rsidRPr="000D623B">
              <w:t>R</w:t>
            </w:r>
            <w:r>
              <w:t>ight</w:t>
            </w:r>
            <w:r w:rsidRPr="000D623B">
              <w:t xml:space="preserve"> Caudate</w:t>
            </w:r>
          </w:p>
        </w:tc>
        <w:tc>
          <w:tcPr>
            <w:tcW w:w="1069" w:type="dxa"/>
          </w:tcPr>
          <w:p w14:paraId="2DAD3E5E" w14:textId="1B34DCD9" w:rsidR="00353AE1" w:rsidRPr="00353AE1" w:rsidRDefault="00C52A40" w:rsidP="00353AE1">
            <w:pPr>
              <w:jc w:val="right"/>
            </w:pPr>
            <w:r>
              <w:t>12.870</w:t>
            </w:r>
          </w:p>
        </w:tc>
        <w:tc>
          <w:tcPr>
            <w:tcW w:w="1070" w:type="dxa"/>
          </w:tcPr>
          <w:p w14:paraId="6A3E6055" w14:textId="24C6BC32" w:rsidR="00353AE1" w:rsidRPr="00C52A40" w:rsidRDefault="00C52A40" w:rsidP="00353AE1">
            <w:pPr>
              <w:jc w:val="right"/>
              <w:rPr>
                <w:b/>
                <w:bCs/>
              </w:rPr>
            </w:pPr>
            <w:r w:rsidRPr="00C52A40">
              <w:rPr>
                <w:b/>
                <w:bCs/>
              </w:rPr>
              <w:t>&lt;.001</w:t>
            </w:r>
          </w:p>
        </w:tc>
        <w:tc>
          <w:tcPr>
            <w:tcW w:w="1070" w:type="dxa"/>
          </w:tcPr>
          <w:p w14:paraId="760281F4" w14:textId="760869B9" w:rsidR="00353AE1" w:rsidRPr="00353AE1" w:rsidRDefault="00A31A5B" w:rsidP="00353AE1">
            <w:pPr>
              <w:jc w:val="right"/>
            </w:pPr>
            <w:r>
              <w:t>14.976</w:t>
            </w:r>
          </w:p>
        </w:tc>
        <w:tc>
          <w:tcPr>
            <w:tcW w:w="1070" w:type="dxa"/>
          </w:tcPr>
          <w:p w14:paraId="59406F1E" w14:textId="0028721F" w:rsidR="00353AE1" w:rsidRPr="004753AA" w:rsidRDefault="00A31A5B" w:rsidP="00353AE1">
            <w:pPr>
              <w:jc w:val="right"/>
              <w:rPr>
                <w:b/>
                <w:bCs/>
              </w:rPr>
            </w:pPr>
            <w:r w:rsidRPr="004753AA">
              <w:rPr>
                <w:b/>
                <w:bCs/>
              </w:rPr>
              <w:t>&lt;.001</w:t>
            </w:r>
          </w:p>
        </w:tc>
        <w:tc>
          <w:tcPr>
            <w:tcW w:w="1070" w:type="dxa"/>
          </w:tcPr>
          <w:p w14:paraId="17F3A6F2" w14:textId="36D33ACE" w:rsidR="00353AE1" w:rsidRPr="00353AE1" w:rsidRDefault="00A31A5B" w:rsidP="00353AE1">
            <w:pPr>
              <w:jc w:val="right"/>
            </w:pPr>
            <w:r>
              <w:t>2.242</w:t>
            </w:r>
          </w:p>
        </w:tc>
        <w:tc>
          <w:tcPr>
            <w:tcW w:w="1070" w:type="dxa"/>
          </w:tcPr>
          <w:p w14:paraId="79584B9B" w14:textId="65D64306" w:rsidR="00353AE1" w:rsidRPr="00353AE1" w:rsidRDefault="00A31A5B" w:rsidP="00353AE1">
            <w:pPr>
              <w:jc w:val="right"/>
            </w:pPr>
            <w:r>
              <w:t>.137</w:t>
            </w:r>
          </w:p>
        </w:tc>
      </w:tr>
    </w:tbl>
    <w:p w14:paraId="7B6C4CB1" w14:textId="6E842E0A" w:rsidR="0067578E" w:rsidRDefault="00C25A01" w:rsidP="0067578E">
      <w:pPr>
        <w:spacing w:before="120"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Statistics derived from model: AMD (BDI</w:t>
      </w:r>
      <w:r w:rsidRPr="00566377">
        <w:rPr>
          <w:sz w:val="18"/>
          <w:szCs w:val="18"/>
        </w:rPr>
        <w:t xml:space="preserve"> </w:t>
      </w:r>
      <w:r w:rsidRPr="003B1746">
        <w:rPr>
          <w:sz w:val="18"/>
          <w:szCs w:val="18"/>
        </w:rPr>
        <w:t xml:space="preserve">II ≥20 </w:t>
      </w:r>
      <w:r w:rsidRPr="00566377">
        <w:rPr>
          <w:sz w:val="18"/>
          <w:szCs w:val="18"/>
        </w:rPr>
        <w:t xml:space="preserve">vs BDI-II &lt;14) </w:t>
      </w:r>
      <w:r w:rsidR="0067578E" w:rsidRPr="0067578E">
        <w:rPr>
          <w:sz w:val="18"/>
          <w:szCs w:val="18"/>
        </w:rPr>
        <w:t>with infant age at scan, sex, ICV, maternal age, education, tobacco, alcohol use</w:t>
      </w:r>
    </w:p>
    <w:p w14:paraId="7B07B65F" w14:textId="0EEDD8BB" w:rsidR="006A1DE1" w:rsidRDefault="00C25A01" w:rsidP="006A1DE1">
      <w:pPr>
        <w:spacing w:before="120"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Statistics derived from model: AMD (BDI</w:t>
      </w:r>
      <w:r w:rsidRPr="00566377">
        <w:rPr>
          <w:sz w:val="18"/>
          <w:szCs w:val="18"/>
        </w:rPr>
        <w:t xml:space="preserve"> </w:t>
      </w:r>
      <w:r w:rsidRPr="003B1746">
        <w:rPr>
          <w:sz w:val="18"/>
          <w:szCs w:val="18"/>
        </w:rPr>
        <w:t xml:space="preserve">II ≥20 </w:t>
      </w:r>
      <w:r w:rsidRPr="00566377">
        <w:rPr>
          <w:sz w:val="18"/>
          <w:szCs w:val="18"/>
        </w:rPr>
        <w:t xml:space="preserve">vs BDI-II &lt;14) with </w:t>
      </w:r>
      <w:r>
        <w:rPr>
          <w:sz w:val="18"/>
          <w:szCs w:val="18"/>
        </w:rPr>
        <w:t xml:space="preserve">infant </w:t>
      </w:r>
      <w:r w:rsidRPr="00566377">
        <w:rPr>
          <w:sz w:val="18"/>
          <w:szCs w:val="18"/>
        </w:rPr>
        <w:t>age at scan, sex, ICV</w:t>
      </w:r>
      <w:r>
        <w:rPr>
          <w:sz w:val="18"/>
          <w:szCs w:val="18"/>
        </w:rPr>
        <w:t xml:space="preserve">, </w:t>
      </w:r>
      <w:r w:rsidR="006A1DE1" w:rsidRPr="0067578E">
        <w:rPr>
          <w:sz w:val="18"/>
          <w:szCs w:val="18"/>
        </w:rPr>
        <w:t>maternal age, education, tobacco, alcohol use</w:t>
      </w:r>
      <w:r w:rsidR="006A1DE1">
        <w:rPr>
          <w:sz w:val="18"/>
          <w:szCs w:val="18"/>
        </w:rPr>
        <w:t xml:space="preserve">, and infant </w:t>
      </w:r>
      <w:r w:rsidR="00F0721F">
        <w:rPr>
          <w:sz w:val="18"/>
          <w:szCs w:val="18"/>
        </w:rPr>
        <w:t>birth weight</w:t>
      </w:r>
    </w:p>
    <w:p w14:paraId="1E499742" w14:textId="71EC4ECC" w:rsidR="00C25A01" w:rsidRPr="00566377" w:rsidRDefault="00C25A01" w:rsidP="0067578E">
      <w:pPr>
        <w:spacing w:before="120" w:after="0" w:line="240" w:lineRule="auto"/>
        <w:rPr>
          <w:sz w:val="18"/>
          <w:szCs w:val="18"/>
        </w:rPr>
      </w:pPr>
    </w:p>
    <w:p w14:paraId="66E891E3" w14:textId="7651B571" w:rsidR="00797565" w:rsidRDefault="00797565">
      <w:pPr>
        <w:rPr>
          <w:rFonts w:cstheme="minorHAnsi"/>
          <w:color w:val="000000"/>
        </w:rPr>
      </w:pPr>
    </w:p>
    <w:p w14:paraId="0A444613" w14:textId="77777777" w:rsidR="00231F55" w:rsidRDefault="00231F55">
      <w:r>
        <w:br w:type="page"/>
      </w:r>
    </w:p>
    <w:p w14:paraId="2769DFB1" w14:textId="63C5C377" w:rsidR="0091343F" w:rsidRDefault="00D806BB" w:rsidP="0091343F">
      <w:r w:rsidRPr="002A56E1">
        <w:rPr>
          <w:b/>
          <w:bCs/>
        </w:rPr>
        <w:lastRenderedPageBreak/>
        <w:t xml:space="preserve">Supplemental </w:t>
      </w:r>
      <w:r w:rsidR="0091343F" w:rsidRPr="002A56E1">
        <w:rPr>
          <w:b/>
          <w:bCs/>
        </w:rPr>
        <w:t xml:space="preserve">Table </w:t>
      </w:r>
      <w:r w:rsidR="00524C46">
        <w:rPr>
          <w:b/>
          <w:bCs/>
        </w:rPr>
        <w:t>B</w:t>
      </w:r>
      <w:r w:rsidR="0091343F" w:rsidRPr="002A56E1">
        <w:rPr>
          <w:b/>
          <w:bCs/>
        </w:rPr>
        <w:t>:</w:t>
      </w:r>
      <w:r w:rsidR="002A56E1">
        <w:rPr>
          <w:b/>
          <w:bCs/>
        </w:rPr>
        <w:t xml:space="preserve"> </w:t>
      </w:r>
      <w:r w:rsidR="00497E81">
        <w:t>I</w:t>
      </w:r>
      <w:r w:rsidR="008710C9">
        <w:t xml:space="preserve">nteractions between antenatal maternal depression (AMD) </w:t>
      </w:r>
      <w:r w:rsidR="00472803">
        <w:t xml:space="preserve">exposure </w:t>
      </w:r>
      <w:r w:rsidR="008710C9">
        <w:t xml:space="preserve">and </w:t>
      </w:r>
      <w:r w:rsidR="00497E81">
        <w:t xml:space="preserve">biological </w:t>
      </w:r>
      <w:r w:rsidR="008710C9">
        <w:t>sex</w:t>
      </w:r>
      <w:r w:rsidR="004413C0">
        <w:t xml:space="preserve"> </w:t>
      </w:r>
      <w:r w:rsidR="00497E81">
        <w:t xml:space="preserve">of the infant </w:t>
      </w:r>
      <w:r w:rsidR="002A56E1">
        <w:t>associated with</w:t>
      </w:r>
      <w:r w:rsidR="002837C8">
        <w:t xml:space="preserve"> </w:t>
      </w:r>
      <w:r w:rsidR="0091343F">
        <w:t xml:space="preserve">amygdala, </w:t>
      </w:r>
      <w:proofErr w:type="gramStart"/>
      <w:r w:rsidR="0091343F">
        <w:t>hippocampus</w:t>
      </w:r>
      <w:proofErr w:type="gramEnd"/>
      <w:r w:rsidR="0091343F">
        <w:t xml:space="preserve"> and caudate</w:t>
      </w:r>
      <w:r w:rsidR="00F63312">
        <w:t xml:space="preserve"> </w:t>
      </w:r>
      <w:r w:rsidR="002A56E1">
        <w:t xml:space="preserve">nucleus </w:t>
      </w:r>
      <w:r w:rsidR="00F63312">
        <w:t>volumes.</w:t>
      </w:r>
    </w:p>
    <w:tbl>
      <w:tblPr>
        <w:tblStyle w:val="TableGrid"/>
        <w:tblW w:w="7508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205"/>
        <w:gridCol w:w="1205"/>
      </w:tblGrid>
      <w:tr w:rsidR="00A679C4" w14:paraId="0E564315" w14:textId="01E0DFFA" w:rsidTr="004451E2">
        <w:tc>
          <w:tcPr>
            <w:tcW w:w="1980" w:type="dxa"/>
          </w:tcPr>
          <w:p w14:paraId="23B7641E" w14:textId="77777777" w:rsidR="00A679C4" w:rsidRPr="00C47058" w:rsidRDefault="00A679C4" w:rsidP="002B6725">
            <w:pPr>
              <w:rPr>
                <w:b/>
              </w:rPr>
            </w:pPr>
            <w:r w:rsidRPr="00C47058">
              <w:rPr>
                <w:b/>
              </w:rPr>
              <w:t>Subcortical region</w:t>
            </w:r>
          </w:p>
        </w:tc>
        <w:tc>
          <w:tcPr>
            <w:tcW w:w="1559" w:type="dxa"/>
          </w:tcPr>
          <w:p w14:paraId="03461CC7" w14:textId="68905C6E" w:rsidR="00A679C4" w:rsidRDefault="00A679C4" w:rsidP="002B6725">
            <w:pPr>
              <w:jc w:val="center"/>
              <w:rPr>
                <w:b/>
              </w:rPr>
            </w:pPr>
            <w:r>
              <w:rPr>
                <w:b/>
              </w:rPr>
              <w:t>AMD-by-sex</w:t>
            </w:r>
            <w:r w:rsidR="00467201" w:rsidRPr="00467201">
              <w:rPr>
                <w:b/>
                <w:vertAlign w:val="superscript"/>
              </w:rPr>
              <w:t>1</w:t>
            </w:r>
          </w:p>
          <w:p w14:paraId="5F7A3622" w14:textId="1265DB07" w:rsidR="00A679C4" w:rsidRDefault="00A679C4" w:rsidP="002B6725">
            <w:pPr>
              <w:jc w:val="center"/>
              <w:rPr>
                <w:b/>
              </w:rPr>
            </w:pPr>
            <w:r w:rsidRPr="00CD5594">
              <w:rPr>
                <w:b/>
                <w:i/>
                <w:iCs/>
              </w:rPr>
              <w:t>p</w:t>
            </w:r>
            <w:r w:rsidRPr="00AF0010">
              <w:rPr>
                <w:b/>
              </w:rPr>
              <w:t>-val.</w:t>
            </w:r>
          </w:p>
        </w:tc>
        <w:tc>
          <w:tcPr>
            <w:tcW w:w="1559" w:type="dxa"/>
          </w:tcPr>
          <w:p w14:paraId="54BFB436" w14:textId="7316B7B4" w:rsidR="00A679C4" w:rsidRDefault="00A679C4" w:rsidP="00453D91">
            <w:pPr>
              <w:jc w:val="center"/>
              <w:rPr>
                <w:b/>
              </w:rPr>
            </w:pPr>
            <w:r>
              <w:rPr>
                <w:b/>
              </w:rPr>
              <w:t>AMD</w:t>
            </w:r>
            <w:r w:rsidR="00467201" w:rsidRPr="00467201">
              <w:rPr>
                <w:b/>
                <w:vertAlign w:val="superscript"/>
              </w:rPr>
              <w:t>2</w:t>
            </w:r>
            <w:r w:rsidR="00453D91">
              <w:rPr>
                <w:b/>
                <w:vertAlign w:val="superscript"/>
              </w:rPr>
              <w:t xml:space="preserve"> </w:t>
            </w:r>
            <w:r w:rsidR="00453D91">
              <w:rPr>
                <w:b/>
              </w:rPr>
              <w:t>m</w:t>
            </w:r>
            <w:r>
              <w:rPr>
                <w:b/>
              </w:rPr>
              <w:t>ean diff</w:t>
            </w:r>
            <w:r w:rsidR="00453D91">
              <w:rPr>
                <w:b/>
              </w:rPr>
              <w:t>erence</w:t>
            </w:r>
          </w:p>
        </w:tc>
        <w:tc>
          <w:tcPr>
            <w:tcW w:w="1205" w:type="dxa"/>
          </w:tcPr>
          <w:p w14:paraId="4D888C11" w14:textId="2270533B" w:rsidR="00A679C4" w:rsidRDefault="00A679C4" w:rsidP="002B6725">
            <w:pPr>
              <w:jc w:val="center"/>
              <w:rPr>
                <w:b/>
              </w:rPr>
            </w:pPr>
            <w:r>
              <w:rPr>
                <w:b/>
              </w:rPr>
              <w:t>AMD</w:t>
            </w:r>
            <w:r w:rsidR="00467201" w:rsidRPr="00467201">
              <w:rPr>
                <w:b/>
                <w:vertAlign w:val="superscript"/>
              </w:rPr>
              <w:t>2</w:t>
            </w:r>
          </w:p>
          <w:p w14:paraId="0A7258B9" w14:textId="5A0EAB96" w:rsidR="00A679C4" w:rsidRPr="00CD5594" w:rsidRDefault="00A679C4" w:rsidP="002B672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F</w:t>
            </w:r>
            <w:r w:rsidRPr="00AF0010">
              <w:rPr>
                <w:b/>
              </w:rPr>
              <w:t>-val.</w:t>
            </w:r>
            <w:r w:rsidR="0050557D" w:rsidRPr="0050557D">
              <w:rPr>
                <w:b/>
                <w:vertAlign w:val="superscript"/>
              </w:rPr>
              <w:t>3</w:t>
            </w:r>
          </w:p>
        </w:tc>
        <w:tc>
          <w:tcPr>
            <w:tcW w:w="1205" w:type="dxa"/>
          </w:tcPr>
          <w:p w14:paraId="205D3F0A" w14:textId="4A35C2FE" w:rsidR="00A679C4" w:rsidRDefault="00A679C4" w:rsidP="002B6725">
            <w:pPr>
              <w:jc w:val="center"/>
              <w:rPr>
                <w:b/>
              </w:rPr>
            </w:pPr>
            <w:r>
              <w:rPr>
                <w:b/>
              </w:rPr>
              <w:t>AMD</w:t>
            </w:r>
            <w:r w:rsidR="00467201" w:rsidRPr="00467201">
              <w:rPr>
                <w:b/>
                <w:vertAlign w:val="superscript"/>
              </w:rPr>
              <w:t>2</w:t>
            </w:r>
          </w:p>
          <w:p w14:paraId="2AFD3DDB" w14:textId="0CD3CF97" w:rsidR="00A679C4" w:rsidRDefault="00A679C4" w:rsidP="002B6725">
            <w:pPr>
              <w:jc w:val="center"/>
              <w:rPr>
                <w:b/>
              </w:rPr>
            </w:pPr>
            <w:r w:rsidRPr="00640B02">
              <w:rPr>
                <w:b/>
                <w:i/>
                <w:iCs/>
              </w:rPr>
              <w:t>p</w:t>
            </w:r>
            <w:r>
              <w:rPr>
                <w:b/>
              </w:rPr>
              <w:t>-val.</w:t>
            </w:r>
          </w:p>
        </w:tc>
      </w:tr>
      <w:tr w:rsidR="00A679C4" w14:paraId="3533B371" w14:textId="503AD1B4" w:rsidTr="004451E2">
        <w:tc>
          <w:tcPr>
            <w:tcW w:w="1980" w:type="dxa"/>
          </w:tcPr>
          <w:p w14:paraId="7AF97E8D" w14:textId="49AD707B" w:rsidR="00A679C4" w:rsidRPr="00662400" w:rsidRDefault="00A679C4" w:rsidP="002B6725">
            <w:r w:rsidRPr="00662400">
              <w:t>Left amygdala</w:t>
            </w:r>
          </w:p>
          <w:p w14:paraId="290A475F" w14:textId="57345D84" w:rsidR="00A679C4" w:rsidRDefault="00A679C4" w:rsidP="002B6725">
            <w:r>
              <w:t xml:space="preserve">   All infants</w:t>
            </w:r>
          </w:p>
          <w:p w14:paraId="12A8A46F" w14:textId="54C879CE" w:rsidR="00440D8B" w:rsidRDefault="00440D8B" w:rsidP="002B6725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1E583CD8" w14:textId="29673CBC" w:rsidR="00A679C4" w:rsidRDefault="00A679C4" w:rsidP="002B6725">
            <w:r>
              <w:t xml:space="preserve">   Females</w:t>
            </w:r>
            <w:r w:rsidR="00440D8B"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3CF5D189" w14:textId="77777777" w:rsidR="00A679C4" w:rsidRDefault="00A679C4" w:rsidP="002B6725">
            <w:pPr>
              <w:jc w:val="right"/>
            </w:pPr>
          </w:p>
          <w:p w14:paraId="1A50E02F" w14:textId="7178A8EF" w:rsidR="00A679C4" w:rsidRDefault="00A679C4" w:rsidP="002B6725">
            <w:pPr>
              <w:jc w:val="right"/>
            </w:pPr>
            <w:r>
              <w:t>.281</w:t>
            </w:r>
          </w:p>
        </w:tc>
        <w:tc>
          <w:tcPr>
            <w:tcW w:w="1559" w:type="dxa"/>
          </w:tcPr>
          <w:p w14:paraId="490A2279" w14:textId="27218A28" w:rsidR="00A679C4" w:rsidRDefault="00A679C4" w:rsidP="002B6725">
            <w:pPr>
              <w:jc w:val="right"/>
            </w:pPr>
          </w:p>
          <w:p w14:paraId="4CBDF354" w14:textId="2535FF5B" w:rsidR="00970C4B" w:rsidRDefault="000440A2" w:rsidP="002B6725">
            <w:pPr>
              <w:jc w:val="right"/>
            </w:pPr>
            <w:r>
              <w:t>+0.91%</w:t>
            </w:r>
          </w:p>
          <w:p w14:paraId="43AD2FC7" w14:textId="3F436AFF" w:rsidR="00B37DE9" w:rsidRDefault="00B37DE9" w:rsidP="00B37DE9">
            <w:pPr>
              <w:jc w:val="right"/>
            </w:pPr>
            <w:r>
              <w:t>+0.</w:t>
            </w:r>
            <w:r w:rsidR="00B10A2E">
              <w:t>13</w:t>
            </w:r>
            <w:r>
              <w:t>%</w:t>
            </w:r>
          </w:p>
          <w:p w14:paraId="6C7AD494" w14:textId="59E8C8F3" w:rsidR="009B48BC" w:rsidRDefault="00B37DE9" w:rsidP="00B37DE9">
            <w:pPr>
              <w:jc w:val="right"/>
            </w:pPr>
            <w:r>
              <w:t>+</w:t>
            </w:r>
            <w:r w:rsidR="00B10A2E">
              <w:t>1.62</w:t>
            </w:r>
            <w:r>
              <w:t>%</w:t>
            </w:r>
          </w:p>
        </w:tc>
        <w:tc>
          <w:tcPr>
            <w:tcW w:w="1205" w:type="dxa"/>
          </w:tcPr>
          <w:p w14:paraId="0EE59E68" w14:textId="0363C2C5" w:rsidR="00A679C4" w:rsidRDefault="00A679C4" w:rsidP="002B6725">
            <w:pPr>
              <w:jc w:val="right"/>
            </w:pPr>
          </w:p>
          <w:p w14:paraId="2533A5DB" w14:textId="452779F2" w:rsidR="005B3D93" w:rsidRDefault="007D5437" w:rsidP="002B6725">
            <w:pPr>
              <w:jc w:val="right"/>
            </w:pPr>
            <w:r>
              <w:t>1.763</w:t>
            </w:r>
          </w:p>
          <w:p w14:paraId="167E135B" w14:textId="3396FE88" w:rsidR="00440D8B" w:rsidRDefault="00440D8B" w:rsidP="002B6725">
            <w:pPr>
              <w:jc w:val="right"/>
            </w:pPr>
            <w:r>
              <w:t>.000</w:t>
            </w:r>
          </w:p>
          <w:p w14:paraId="3A22F77F" w14:textId="7891B164" w:rsidR="00A679C4" w:rsidRDefault="00426BBD" w:rsidP="00440D8B">
            <w:pPr>
              <w:jc w:val="right"/>
            </w:pPr>
            <w:r>
              <w:t>2.806</w:t>
            </w:r>
          </w:p>
        </w:tc>
        <w:tc>
          <w:tcPr>
            <w:tcW w:w="1205" w:type="dxa"/>
          </w:tcPr>
          <w:p w14:paraId="3E2FD332" w14:textId="45AA2F21" w:rsidR="00A679C4" w:rsidRDefault="00A679C4" w:rsidP="002B6725">
            <w:pPr>
              <w:jc w:val="right"/>
            </w:pPr>
          </w:p>
          <w:p w14:paraId="2CDED6BD" w14:textId="7DB946BF" w:rsidR="005B3D93" w:rsidRDefault="00985FF2" w:rsidP="002B6725">
            <w:pPr>
              <w:jc w:val="right"/>
            </w:pPr>
            <w:r>
              <w:t>.187</w:t>
            </w:r>
          </w:p>
          <w:p w14:paraId="47DC1289" w14:textId="6068A3F8" w:rsidR="00440D8B" w:rsidRDefault="00440D8B" w:rsidP="002B6725">
            <w:pPr>
              <w:jc w:val="right"/>
            </w:pPr>
            <w:r>
              <w:t>.989</w:t>
            </w:r>
          </w:p>
          <w:p w14:paraId="7B8BBA62" w14:textId="084F32E8" w:rsidR="009B48BC" w:rsidRDefault="00426BBD" w:rsidP="00440D8B">
            <w:pPr>
              <w:jc w:val="right"/>
            </w:pPr>
            <w:r>
              <w:t>.099</w:t>
            </w:r>
          </w:p>
        </w:tc>
      </w:tr>
      <w:tr w:rsidR="00C12EEE" w14:paraId="12C65B69" w14:textId="3A7A3332" w:rsidTr="004451E2">
        <w:tc>
          <w:tcPr>
            <w:tcW w:w="1980" w:type="dxa"/>
          </w:tcPr>
          <w:p w14:paraId="400CDD4B" w14:textId="2A1BD6C1" w:rsidR="00C12EEE" w:rsidRPr="00662400" w:rsidRDefault="00C12EEE" w:rsidP="00C12EEE">
            <w:r w:rsidRPr="00662400">
              <w:t xml:space="preserve">Right </w:t>
            </w:r>
            <w:r>
              <w:t>a</w:t>
            </w:r>
            <w:r w:rsidRPr="00662400">
              <w:t>mygdala</w:t>
            </w:r>
          </w:p>
          <w:p w14:paraId="42473226" w14:textId="77777777" w:rsidR="00C12EEE" w:rsidRDefault="00C12EEE" w:rsidP="00C12EEE">
            <w:r>
              <w:t xml:space="preserve">   All infants</w:t>
            </w:r>
          </w:p>
          <w:p w14:paraId="7272C7A1" w14:textId="77777777" w:rsidR="00AD7DE6" w:rsidRDefault="00AD7DE6" w:rsidP="00AD7DE6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1B77B73E" w14:textId="38616818" w:rsidR="00C12EEE" w:rsidRPr="00662400" w:rsidRDefault="00AD7DE6" w:rsidP="00AD7DE6">
            <w:r>
              <w:t xml:space="preserve">   Females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9B85B91" w14:textId="77777777" w:rsidR="00C12EEE" w:rsidRDefault="00C12EEE" w:rsidP="00C12EEE">
            <w:pPr>
              <w:jc w:val="right"/>
            </w:pPr>
          </w:p>
          <w:p w14:paraId="60B1FE40" w14:textId="1FDA6DF0" w:rsidR="00C12EEE" w:rsidRDefault="00C12EEE" w:rsidP="00C12EEE">
            <w:pPr>
              <w:jc w:val="right"/>
            </w:pPr>
            <w:r>
              <w:t>.402</w:t>
            </w:r>
          </w:p>
        </w:tc>
        <w:tc>
          <w:tcPr>
            <w:tcW w:w="1559" w:type="dxa"/>
          </w:tcPr>
          <w:p w14:paraId="5BD7D81D" w14:textId="77777777" w:rsidR="00C12EEE" w:rsidRDefault="00C12EEE" w:rsidP="00C12EEE">
            <w:pPr>
              <w:jc w:val="right"/>
            </w:pPr>
          </w:p>
          <w:p w14:paraId="355AA932" w14:textId="32BEEECF" w:rsidR="000440A2" w:rsidRDefault="000440A2" w:rsidP="000440A2">
            <w:pPr>
              <w:jc w:val="right"/>
            </w:pPr>
            <w:r>
              <w:t>+</w:t>
            </w:r>
            <w:r w:rsidR="00877076">
              <w:t>1.93</w:t>
            </w:r>
            <w:r>
              <w:t>%</w:t>
            </w:r>
          </w:p>
          <w:p w14:paraId="6E6CB61A" w14:textId="2C7D45ED" w:rsidR="005E61A5" w:rsidRDefault="005E61A5" w:rsidP="005E61A5">
            <w:pPr>
              <w:jc w:val="right"/>
            </w:pPr>
            <w:r>
              <w:t>+</w:t>
            </w:r>
            <w:r w:rsidR="00DC51E4">
              <w:t>1.10</w:t>
            </w:r>
            <w:r>
              <w:t>%</w:t>
            </w:r>
          </w:p>
          <w:p w14:paraId="33CA493A" w14:textId="173D8399" w:rsidR="00C12EEE" w:rsidRDefault="005E61A5" w:rsidP="005E61A5">
            <w:pPr>
              <w:jc w:val="right"/>
            </w:pPr>
            <w:r>
              <w:t>+</w:t>
            </w:r>
            <w:r w:rsidR="00DC51E4">
              <w:t>2.69</w:t>
            </w:r>
            <w:r>
              <w:t>%</w:t>
            </w:r>
          </w:p>
        </w:tc>
        <w:tc>
          <w:tcPr>
            <w:tcW w:w="1205" w:type="dxa"/>
          </w:tcPr>
          <w:p w14:paraId="00094EEA" w14:textId="77777777" w:rsidR="00C12EEE" w:rsidRDefault="00C12EEE" w:rsidP="00C12EEE">
            <w:pPr>
              <w:jc w:val="right"/>
            </w:pPr>
          </w:p>
          <w:p w14:paraId="00251D69" w14:textId="37897C72" w:rsidR="00C12EEE" w:rsidRDefault="007D5437" w:rsidP="00C12EEE">
            <w:pPr>
              <w:jc w:val="right"/>
            </w:pPr>
            <w:r>
              <w:t>4.360</w:t>
            </w:r>
          </w:p>
          <w:p w14:paraId="3077ED78" w14:textId="418A452C" w:rsidR="00440D8B" w:rsidRDefault="00440D8B" w:rsidP="00C12EEE">
            <w:pPr>
              <w:jc w:val="right"/>
            </w:pPr>
            <w:r>
              <w:t>.439</w:t>
            </w:r>
          </w:p>
          <w:p w14:paraId="5ABD7A0C" w14:textId="533FF62D" w:rsidR="00C12EEE" w:rsidRDefault="00426BBD" w:rsidP="00440D8B">
            <w:pPr>
              <w:jc w:val="right"/>
            </w:pPr>
            <w:r>
              <w:t>5.062</w:t>
            </w:r>
          </w:p>
        </w:tc>
        <w:tc>
          <w:tcPr>
            <w:tcW w:w="1205" w:type="dxa"/>
          </w:tcPr>
          <w:p w14:paraId="7A77B57E" w14:textId="77777777" w:rsidR="00C12EEE" w:rsidRDefault="00C12EEE" w:rsidP="00C12EEE">
            <w:pPr>
              <w:jc w:val="right"/>
            </w:pPr>
          </w:p>
          <w:p w14:paraId="5D7A90D7" w14:textId="03DDD616" w:rsidR="00C12EEE" w:rsidRDefault="007D5437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.039</w:t>
            </w:r>
          </w:p>
          <w:p w14:paraId="706AB406" w14:textId="1A0AF23D" w:rsidR="00440D8B" w:rsidRPr="00C36F4D" w:rsidRDefault="00440D8B" w:rsidP="00C12EEE">
            <w:pPr>
              <w:jc w:val="right"/>
              <w:rPr>
                <w:b/>
                <w:bCs/>
              </w:rPr>
            </w:pPr>
            <w:r>
              <w:t>.510</w:t>
            </w:r>
          </w:p>
          <w:p w14:paraId="7D0AC6B9" w14:textId="57D3EB65" w:rsidR="00C12EEE" w:rsidRDefault="00426BBD" w:rsidP="00440D8B">
            <w:pPr>
              <w:jc w:val="right"/>
            </w:pPr>
            <w:r w:rsidRPr="00C36F4D">
              <w:rPr>
                <w:b/>
                <w:bCs/>
              </w:rPr>
              <w:t>.028</w:t>
            </w:r>
          </w:p>
        </w:tc>
      </w:tr>
      <w:tr w:rsidR="00C12EEE" w14:paraId="2DF3173C" w14:textId="2176A4F0" w:rsidTr="004451E2">
        <w:tc>
          <w:tcPr>
            <w:tcW w:w="1980" w:type="dxa"/>
          </w:tcPr>
          <w:p w14:paraId="3F36B38B" w14:textId="52115919" w:rsidR="00C12EEE" w:rsidRDefault="00C12EEE" w:rsidP="00C12EEE">
            <w:r w:rsidRPr="009E1AC7">
              <w:t xml:space="preserve">Left </w:t>
            </w:r>
            <w:r>
              <w:t>h</w:t>
            </w:r>
            <w:r w:rsidRPr="009E1AC7">
              <w:t>ippocampus</w:t>
            </w:r>
          </w:p>
          <w:p w14:paraId="106D4DF8" w14:textId="77777777" w:rsidR="00C12EEE" w:rsidRDefault="00C12EEE" w:rsidP="00C12EEE">
            <w:r>
              <w:t xml:space="preserve">   All infants</w:t>
            </w:r>
          </w:p>
          <w:p w14:paraId="27B1CCF8" w14:textId="77777777" w:rsidR="00AD7DE6" w:rsidRDefault="00AD7DE6" w:rsidP="00AD7DE6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5EAD8F54" w14:textId="6B10FE36" w:rsidR="00C12EEE" w:rsidRPr="009E1AC7" w:rsidRDefault="00AD7DE6" w:rsidP="00AD7DE6">
            <w:r>
              <w:t xml:space="preserve">   Females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3FA95132" w14:textId="77777777" w:rsidR="00C12EEE" w:rsidRDefault="00C12EEE" w:rsidP="00C12EEE">
            <w:pPr>
              <w:jc w:val="right"/>
            </w:pPr>
          </w:p>
          <w:p w14:paraId="22348620" w14:textId="24D94E9B" w:rsidR="00C12EEE" w:rsidRPr="00C36F4D" w:rsidRDefault="00C12EEE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.030</w:t>
            </w:r>
          </w:p>
        </w:tc>
        <w:tc>
          <w:tcPr>
            <w:tcW w:w="1559" w:type="dxa"/>
          </w:tcPr>
          <w:p w14:paraId="52A343F3" w14:textId="77777777" w:rsidR="00C12EEE" w:rsidRDefault="00C12EEE" w:rsidP="00C12EEE">
            <w:pPr>
              <w:jc w:val="right"/>
            </w:pPr>
          </w:p>
          <w:p w14:paraId="7219BEF3" w14:textId="35E656B1" w:rsidR="000440A2" w:rsidRDefault="000440A2" w:rsidP="000440A2">
            <w:pPr>
              <w:jc w:val="right"/>
            </w:pPr>
            <w:r>
              <w:t>+</w:t>
            </w:r>
            <w:r w:rsidR="00877076">
              <w:t>5.09</w:t>
            </w:r>
            <w:r>
              <w:t>%</w:t>
            </w:r>
          </w:p>
          <w:p w14:paraId="0A64C591" w14:textId="1EC4D6E6" w:rsidR="005E61A5" w:rsidRDefault="005E61A5" w:rsidP="005E61A5">
            <w:pPr>
              <w:jc w:val="right"/>
            </w:pPr>
            <w:r>
              <w:t>+</w:t>
            </w:r>
            <w:r w:rsidR="00DC51E4">
              <w:t>1.22</w:t>
            </w:r>
            <w:r>
              <w:t>%</w:t>
            </w:r>
          </w:p>
          <w:p w14:paraId="1CEF528D" w14:textId="78353BFC" w:rsidR="00C12EEE" w:rsidRDefault="005E61A5" w:rsidP="005E61A5">
            <w:pPr>
              <w:jc w:val="right"/>
            </w:pPr>
            <w:r>
              <w:t>+</w:t>
            </w:r>
            <w:r w:rsidR="00DC51E4">
              <w:t>8.76</w:t>
            </w:r>
            <w:r>
              <w:t>%</w:t>
            </w:r>
          </w:p>
        </w:tc>
        <w:tc>
          <w:tcPr>
            <w:tcW w:w="1205" w:type="dxa"/>
          </w:tcPr>
          <w:p w14:paraId="31C3FBB8" w14:textId="77777777" w:rsidR="00C12EEE" w:rsidRDefault="00C12EEE" w:rsidP="00C12EEE">
            <w:pPr>
              <w:jc w:val="right"/>
            </w:pPr>
          </w:p>
          <w:p w14:paraId="469C9803" w14:textId="30FBDE42" w:rsidR="00C12EEE" w:rsidRDefault="007947B7" w:rsidP="00C12EEE">
            <w:pPr>
              <w:jc w:val="right"/>
            </w:pPr>
            <w:r>
              <w:t>10.584</w:t>
            </w:r>
          </w:p>
          <w:p w14:paraId="498A6A7C" w14:textId="7D3C6566" w:rsidR="00440D8B" w:rsidRDefault="00440D8B" w:rsidP="00C12EEE">
            <w:pPr>
              <w:jc w:val="right"/>
            </w:pPr>
            <w:r>
              <w:t>.317</w:t>
            </w:r>
          </w:p>
          <w:p w14:paraId="43606E98" w14:textId="77FA73BB" w:rsidR="00C12EEE" w:rsidRDefault="00EC6420" w:rsidP="00440D8B">
            <w:pPr>
              <w:jc w:val="right"/>
            </w:pPr>
            <w:r>
              <w:t>15.224</w:t>
            </w:r>
          </w:p>
        </w:tc>
        <w:tc>
          <w:tcPr>
            <w:tcW w:w="1205" w:type="dxa"/>
          </w:tcPr>
          <w:p w14:paraId="747EA415" w14:textId="77777777" w:rsidR="00C12EEE" w:rsidRDefault="00C12EEE" w:rsidP="00C12EEE">
            <w:pPr>
              <w:jc w:val="right"/>
            </w:pPr>
          </w:p>
          <w:p w14:paraId="3969A3F4" w14:textId="5E23EF16" w:rsidR="00C12EEE" w:rsidRDefault="007947B7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.001</w:t>
            </w:r>
          </w:p>
          <w:p w14:paraId="2398093E" w14:textId="1D5DFA00" w:rsidR="00440D8B" w:rsidRPr="00C36F4D" w:rsidRDefault="00440D8B" w:rsidP="00C12EEE">
            <w:pPr>
              <w:jc w:val="right"/>
              <w:rPr>
                <w:b/>
                <w:bCs/>
              </w:rPr>
            </w:pPr>
            <w:r>
              <w:t>.576</w:t>
            </w:r>
          </w:p>
          <w:p w14:paraId="5FA25D3B" w14:textId="5E36B84E" w:rsidR="00C12EEE" w:rsidRDefault="00EC6420" w:rsidP="00440D8B">
            <w:pPr>
              <w:jc w:val="right"/>
            </w:pPr>
            <w:r w:rsidRPr="00C36F4D">
              <w:rPr>
                <w:b/>
                <w:bCs/>
              </w:rPr>
              <w:t>&lt;.001</w:t>
            </w:r>
          </w:p>
        </w:tc>
      </w:tr>
      <w:tr w:rsidR="00C12EEE" w14:paraId="267038D1" w14:textId="72DF9CA9" w:rsidTr="004451E2">
        <w:tc>
          <w:tcPr>
            <w:tcW w:w="1980" w:type="dxa"/>
          </w:tcPr>
          <w:p w14:paraId="6CE7F6E7" w14:textId="0CF2DEB6" w:rsidR="00C12EEE" w:rsidRDefault="00C12EEE" w:rsidP="00C12EEE">
            <w:r w:rsidRPr="009E1AC7">
              <w:t xml:space="preserve">Right </w:t>
            </w:r>
            <w:r>
              <w:t>h</w:t>
            </w:r>
            <w:r w:rsidRPr="009E1AC7">
              <w:t>ippocampus</w:t>
            </w:r>
          </w:p>
          <w:p w14:paraId="19F7F528" w14:textId="77777777" w:rsidR="00C12EEE" w:rsidRDefault="00C12EEE" w:rsidP="00C12EEE">
            <w:r>
              <w:t xml:space="preserve">   All infants</w:t>
            </w:r>
          </w:p>
          <w:p w14:paraId="3164EFBB" w14:textId="77777777" w:rsidR="00AD7DE6" w:rsidRDefault="00AD7DE6" w:rsidP="00AD7DE6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61CF1B7B" w14:textId="084D9807" w:rsidR="00C12EEE" w:rsidRPr="009E1AC7" w:rsidRDefault="00AD7DE6" w:rsidP="00AD7DE6">
            <w:r>
              <w:t xml:space="preserve">   Females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B6DBA6F" w14:textId="77777777" w:rsidR="00C12EEE" w:rsidRDefault="00C12EEE" w:rsidP="00C12EEE">
            <w:pPr>
              <w:jc w:val="right"/>
            </w:pPr>
          </w:p>
          <w:p w14:paraId="2998A045" w14:textId="556B9631" w:rsidR="00C12EEE" w:rsidRPr="00C36F4D" w:rsidRDefault="00C12EEE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.025</w:t>
            </w:r>
          </w:p>
        </w:tc>
        <w:tc>
          <w:tcPr>
            <w:tcW w:w="1559" w:type="dxa"/>
          </w:tcPr>
          <w:p w14:paraId="17F4F9C4" w14:textId="77777777" w:rsidR="00C12EEE" w:rsidRDefault="00C12EEE" w:rsidP="00C12EEE">
            <w:pPr>
              <w:jc w:val="right"/>
            </w:pPr>
          </w:p>
          <w:p w14:paraId="60BF5DAC" w14:textId="1F9EB978" w:rsidR="000440A2" w:rsidRDefault="000440A2" w:rsidP="000440A2">
            <w:pPr>
              <w:jc w:val="right"/>
            </w:pPr>
            <w:r>
              <w:t>+</w:t>
            </w:r>
            <w:r w:rsidR="00877076">
              <w:t>3.54</w:t>
            </w:r>
            <w:r>
              <w:t>%</w:t>
            </w:r>
          </w:p>
          <w:p w14:paraId="1C6C5BFA" w14:textId="4E4223B8" w:rsidR="005E61A5" w:rsidRDefault="005E61A5" w:rsidP="005E61A5">
            <w:pPr>
              <w:jc w:val="right"/>
            </w:pPr>
            <w:r>
              <w:t>+0.</w:t>
            </w:r>
            <w:r w:rsidR="00DC51E4">
              <w:t>37</w:t>
            </w:r>
            <w:r>
              <w:t>%</w:t>
            </w:r>
          </w:p>
          <w:p w14:paraId="153D9DF5" w14:textId="5290739F" w:rsidR="00C12EEE" w:rsidRDefault="005E61A5" w:rsidP="005E61A5">
            <w:pPr>
              <w:jc w:val="right"/>
            </w:pPr>
            <w:r>
              <w:t>+</w:t>
            </w:r>
            <w:r w:rsidR="00DC51E4">
              <w:t>6.47</w:t>
            </w:r>
            <w:r>
              <w:t>%</w:t>
            </w:r>
          </w:p>
        </w:tc>
        <w:tc>
          <w:tcPr>
            <w:tcW w:w="1205" w:type="dxa"/>
          </w:tcPr>
          <w:p w14:paraId="56261B39" w14:textId="77777777" w:rsidR="00C12EEE" w:rsidRDefault="00C12EEE" w:rsidP="00C12EEE">
            <w:pPr>
              <w:jc w:val="right"/>
            </w:pPr>
          </w:p>
          <w:p w14:paraId="0EEF2C82" w14:textId="394C8900" w:rsidR="00C12EEE" w:rsidRDefault="00962130" w:rsidP="00C12EEE">
            <w:pPr>
              <w:jc w:val="right"/>
            </w:pPr>
            <w:r>
              <w:t>6.941</w:t>
            </w:r>
          </w:p>
          <w:p w14:paraId="483084EA" w14:textId="394885CD" w:rsidR="00440D8B" w:rsidRDefault="00440D8B" w:rsidP="00C12EEE">
            <w:pPr>
              <w:jc w:val="right"/>
            </w:pPr>
            <w:r>
              <w:t>.022</w:t>
            </w:r>
          </w:p>
          <w:p w14:paraId="615E30D9" w14:textId="1405AF4C" w:rsidR="00C12EEE" w:rsidRDefault="00602511" w:rsidP="00440D8B">
            <w:pPr>
              <w:jc w:val="right"/>
            </w:pPr>
            <w:r>
              <w:t>12.730</w:t>
            </w:r>
          </w:p>
        </w:tc>
        <w:tc>
          <w:tcPr>
            <w:tcW w:w="1205" w:type="dxa"/>
          </w:tcPr>
          <w:p w14:paraId="577D2A46" w14:textId="77777777" w:rsidR="00C12EEE" w:rsidRDefault="00C12EEE" w:rsidP="00C12EEE">
            <w:pPr>
              <w:jc w:val="right"/>
            </w:pPr>
          </w:p>
          <w:p w14:paraId="77CBA34E" w14:textId="0867DC87" w:rsidR="00C12EEE" w:rsidRDefault="00962130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.010</w:t>
            </w:r>
          </w:p>
          <w:p w14:paraId="1383E084" w14:textId="249C39E6" w:rsidR="00440D8B" w:rsidRPr="00C36F4D" w:rsidRDefault="00440D8B" w:rsidP="00C12EEE">
            <w:pPr>
              <w:jc w:val="right"/>
              <w:rPr>
                <w:b/>
                <w:bCs/>
              </w:rPr>
            </w:pPr>
            <w:r>
              <w:t>.882</w:t>
            </w:r>
          </w:p>
          <w:p w14:paraId="078A05BF" w14:textId="2708B49D" w:rsidR="00C12EEE" w:rsidRDefault="00602511" w:rsidP="00440D8B">
            <w:pPr>
              <w:jc w:val="right"/>
            </w:pPr>
            <w:r w:rsidRPr="00C36F4D">
              <w:rPr>
                <w:b/>
                <w:bCs/>
              </w:rPr>
              <w:t>.001</w:t>
            </w:r>
          </w:p>
        </w:tc>
      </w:tr>
      <w:tr w:rsidR="00C12EEE" w14:paraId="66A606E1" w14:textId="550B17B9" w:rsidTr="004451E2">
        <w:tc>
          <w:tcPr>
            <w:tcW w:w="1980" w:type="dxa"/>
          </w:tcPr>
          <w:p w14:paraId="5F51A872" w14:textId="01D3A04B" w:rsidR="00C12EEE" w:rsidRDefault="00C12EEE" w:rsidP="00C12EEE">
            <w:r>
              <w:t>Left caudate</w:t>
            </w:r>
          </w:p>
          <w:p w14:paraId="5AB80138" w14:textId="77777777" w:rsidR="00C12EEE" w:rsidRDefault="00C12EEE" w:rsidP="00C12EEE">
            <w:r>
              <w:t xml:space="preserve">   All infants</w:t>
            </w:r>
          </w:p>
          <w:p w14:paraId="2F5A6D5F" w14:textId="77777777" w:rsidR="00AD7DE6" w:rsidRDefault="00AD7DE6" w:rsidP="00AD7DE6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3A407CA6" w14:textId="3B229115" w:rsidR="00C12EEE" w:rsidRDefault="00AD7DE6" w:rsidP="00AD7DE6">
            <w:r>
              <w:t xml:space="preserve">   Females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209718E6" w14:textId="77777777" w:rsidR="00C12EEE" w:rsidRDefault="00C12EEE" w:rsidP="00C12EEE">
            <w:pPr>
              <w:jc w:val="right"/>
            </w:pPr>
          </w:p>
          <w:p w14:paraId="16565822" w14:textId="5B95E5A0" w:rsidR="00C12EEE" w:rsidRDefault="00C12EEE" w:rsidP="00C12EEE">
            <w:pPr>
              <w:jc w:val="right"/>
            </w:pPr>
            <w:r>
              <w:t>.432</w:t>
            </w:r>
          </w:p>
        </w:tc>
        <w:tc>
          <w:tcPr>
            <w:tcW w:w="1559" w:type="dxa"/>
          </w:tcPr>
          <w:p w14:paraId="7BA48EC2" w14:textId="77777777" w:rsidR="00C12EEE" w:rsidRDefault="00C12EEE" w:rsidP="00C12EEE">
            <w:pPr>
              <w:jc w:val="right"/>
            </w:pPr>
          </w:p>
          <w:p w14:paraId="287970D1" w14:textId="2E40E5C3" w:rsidR="000440A2" w:rsidRDefault="000440A2" w:rsidP="000440A2">
            <w:pPr>
              <w:jc w:val="right"/>
            </w:pPr>
            <w:r>
              <w:t>+</w:t>
            </w:r>
            <w:r w:rsidR="00877076">
              <w:t>5.79</w:t>
            </w:r>
            <w:r>
              <w:t>%</w:t>
            </w:r>
          </w:p>
          <w:p w14:paraId="236460DA" w14:textId="632504C1" w:rsidR="005E61A5" w:rsidRDefault="005E61A5" w:rsidP="005E61A5">
            <w:pPr>
              <w:jc w:val="right"/>
            </w:pPr>
            <w:r>
              <w:t>+</w:t>
            </w:r>
            <w:r w:rsidR="00DC51E4">
              <w:t>4.35</w:t>
            </w:r>
            <w:r>
              <w:t>%</w:t>
            </w:r>
          </w:p>
          <w:p w14:paraId="1E0F9341" w14:textId="57AB112E" w:rsidR="00C12EEE" w:rsidRDefault="005E61A5" w:rsidP="005E61A5">
            <w:pPr>
              <w:jc w:val="right"/>
            </w:pPr>
            <w:r>
              <w:t>+</w:t>
            </w:r>
            <w:r w:rsidR="00DC51E4">
              <w:t>7.13</w:t>
            </w:r>
            <w:r>
              <w:t>%</w:t>
            </w:r>
          </w:p>
        </w:tc>
        <w:tc>
          <w:tcPr>
            <w:tcW w:w="1205" w:type="dxa"/>
          </w:tcPr>
          <w:p w14:paraId="59EF8803" w14:textId="77777777" w:rsidR="00C12EEE" w:rsidRDefault="00C12EEE" w:rsidP="00C12EEE">
            <w:pPr>
              <w:jc w:val="right"/>
            </w:pPr>
          </w:p>
          <w:p w14:paraId="5541B65A" w14:textId="3922BC4B" w:rsidR="00C12EEE" w:rsidRDefault="00F326FB" w:rsidP="00C12EEE">
            <w:pPr>
              <w:jc w:val="right"/>
            </w:pPr>
            <w:r>
              <w:t>12.494</w:t>
            </w:r>
          </w:p>
          <w:p w14:paraId="049E603E" w14:textId="0D260F87" w:rsidR="00440D8B" w:rsidRDefault="00440D8B" w:rsidP="00C12EEE">
            <w:pPr>
              <w:jc w:val="right"/>
            </w:pPr>
            <w:r>
              <w:t>4.144</w:t>
            </w:r>
          </w:p>
          <w:p w14:paraId="56FAB429" w14:textId="65F0D579" w:rsidR="00C12EEE" w:rsidRDefault="00602511" w:rsidP="00440D8B">
            <w:pPr>
              <w:jc w:val="right"/>
            </w:pPr>
            <w:r>
              <w:t>8.739</w:t>
            </w:r>
          </w:p>
        </w:tc>
        <w:tc>
          <w:tcPr>
            <w:tcW w:w="1205" w:type="dxa"/>
          </w:tcPr>
          <w:p w14:paraId="5CA3A81A" w14:textId="77777777" w:rsidR="00C12EEE" w:rsidRDefault="00C12EEE" w:rsidP="00C12EEE">
            <w:pPr>
              <w:jc w:val="right"/>
            </w:pPr>
          </w:p>
          <w:p w14:paraId="0D74C304" w14:textId="4ADED994" w:rsidR="00C12EEE" w:rsidRDefault="00F326FB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.001</w:t>
            </w:r>
          </w:p>
          <w:p w14:paraId="624DDF4D" w14:textId="57189AA0" w:rsidR="00440D8B" w:rsidRPr="00C36F4D" w:rsidRDefault="00440D8B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.046</w:t>
            </w:r>
          </w:p>
          <w:p w14:paraId="2599FBE9" w14:textId="633A6BA1" w:rsidR="00C12EEE" w:rsidRPr="00C36F4D" w:rsidRDefault="00602511" w:rsidP="00440D8B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.004</w:t>
            </w:r>
          </w:p>
        </w:tc>
      </w:tr>
      <w:tr w:rsidR="00C12EEE" w14:paraId="1D7D1EB7" w14:textId="1F61DC1C" w:rsidTr="004451E2">
        <w:tc>
          <w:tcPr>
            <w:tcW w:w="1980" w:type="dxa"/>
          </w:tcPr>
          <w:p w14:paraId="473035EA" w14:textId="0AB272AE" w:rsidR="00C12EEE" w:rsidRDefault="00C12EEE" w:rsidP="00C12EEE">
            <w:r>
              <w:t xml:space="preserve">Right caudate </w:t>
            </w:r>
          </w:p>
          <w:p w14:paraId="1F913A9C" w14:textId="77777777" w:rsidR="00C12EEE" w:rsidRDefault="00C12EEE" w:rsidP="00C12EEE">
            <w:r>
              <w:t xml:space="preserve">   All infants</w:t>
            </w:r>
          </w:p>
          <w:p w14:paraId="6E8C90B5" w14:textId="77777777" w:rsidR="00AD7DE6" w:rsidRDefault="00AD7DE6" w:rsidP="00AD7DE6">
            <w:pPr>
              <w:rPr>
                <w:vertAlign w:val="superscript"/>
              </w:rPr>
            </w:pPr>
            <w:r>
              <w:t xml:space="preserve">   Males</w:t>
            </w:r>
            <w:r>
              <w:rPr>
                <w:vertAlign w:val="superscript"/>
              </w:rPr>
              <w:t>4</w:t>
            </w:r>
          </w:p>
          <w:p w14:paraId="0A62E379" w14:textId="21986671" w:rsidR="00C12EEE" w:rsidRDefault="00AD7DE6" w:rsidP="00AD7DE6">
            <w:r>
              <w:t xml:space="preserve">   Females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241E8581" w14:textId="77777777" w:rsidR="00C12EEE" w:rsidRDefault="00C12EEE" w:rsidP="00C12EEE">
            <w:pPr>
              <w:jc w:val="right"/>
            </w:pPr>
          </w:p>
          <w:p w14:paraId="095F8176" w14:textId="0DE1A25D" w:rsidR="00C12EEE" w:rsidRDefault="00C12EEE" w:rsidP="00C12EEE">
            <w:pPr>
              <w:jc w:val="right"/>
            </w:pPr>
            <w:r>
              <w:t>.416</w:t>
            </w:r>
          </w:p>
        </w:tc>
        <w:tc>
          <w:tcPr>
            <w:tcW w:w="1559" w:type="dxa"/>
          </w:tcPr>
          <w:p w14:paraId="1D068CC8" w14:textId="77777777" w:rsidR="00C12EEE" w:rsidRDefault="00C12EEE" w:rsidP="00C12EEE">
            <w:pPr>
              <w:jc w:val="right"/>
            </w:pPr>
          </w:p>
          <w:p w14:paraId="55E9D9E4" w14:textId="3E1EFFAE" w:rsidR="000440A2" w:rsidRDefault="000440A2" w:rsidP="000440A2">
            <w:pPr>
              <w:jc w:val="right"/>
            </w:pPr>
            <w:r>
              <w:t>+</w:t>
            </w:r>
            <w:r w:rsidR="00877076">
              <w:t>6.09</w:t>
            </w:r>
            <w:r>
              <w:t>%</w:t>
            </w:r>
          </w:p>
          <w:p w14:paraId="6158815D" w14:textId="3919B6C5" w:rsidR="005E61A5" w:rsidRDefault="005E61A5" w:rsidP="005E61A5">
            <w:pPr>
              <w:jc w:val="right"/>
            </w:pPr>
            <w:r>
              <w:t>+</w:t>
            </w:r>
            <w:r w:rsidR="00DC51E4">
              <w:t>4.61</w:t>
            </w:r>
            <w:r>
              <w:t>%</w:t>
            </w:r>
          </w:p>
          <w:p w14:paraId="12C68218" w14:textId="0EFD2E22" w:rsidR="00C12EEE" w:rsidRDefault="005E61A5" w:rsidP="005E61A5">
            <w:pPr>
              <w:jc w:val="right"/>
            </w:pPr>
            <w:r>
              <w:t>+</w:t>
            </w:r>
            <w:r w:rsidR="00DC51E4">
              <w:t>7.46</w:t>
            </w:r>
            <w:r>
              <w:t>%</w:t>
            </w:r>
          </w:p>
        </w:tc>
        <w:tc>
          <w:tcPr>
            <w:tcW w:w="1205" w:type="dxa"/>
          </w:tcPr>
          <w:p w14:paraId="23DDD330" w14:textId="77777777" w:rsidR="00C12EEE" w:rsidRDefault="00C12EEE" w:rsidP="00C12EEE">
            <w:pPr>
              <w:jc w:val="right"/>
            </w:pPr>
          </w:p>
          <w:p w14:paraId="0FFB9A14" w14:textId="0D1BC1CA" w:rsidR="00C12EEE" w:rsidRDefault="00F326FB" w:rsidP="00C12EEE">
            <w:pPr>
              <w:jc w:val="right"/>
            </w:pPr>
            <w:r>
              <w:t>13.549</w:t>
            </w:r>
          </w:p>
          <w:p w14:paraId="7CE618A1" w14:textId="4BFA87D0" w:rsidR="00C2661C" w:rsidRDefault="00C2661C" w:rsidP="00C12EEE">
            <w:pPr>
              <w:jc w:val="right"/>
            </w:pPr>
            <w:r>
              <w:t>4.393</w:t>
            </w:r>
          </w:p>
          <w:p w14:paraId="0EBD447E" w14:textId="29D75D5D" w:rsidR="00C12EEE" w:rsidRDefault="006B4554" w:rsidP="00C2661C">
            <w:pPr>
              <w:jc w:val="right"/>
            </w:pPr>
            <w:r>
              <w:t>10.247</w:t>
            </w:r>
          </w:p>
        </w:tc>
        <w:tc>
          <w:tcPr>
            <w:tcW w:w="1205" w:type="dxa"/>
          </w:tcPr>
          <w:p w14:paraId="649AFD7E" w14:textId="77777777" w:rsidR="00C12EEE" w:rsidRDefault="00C12EEE" w:rsidP="00C12EEE">
            <w:pPr>
              <w:jc w:val="right"/>
            </w:pPr>
          </w:p>
          <w:p w14:paraId="28FBAF8E" w14:textId="224BC5D0" w:rsidR="00C12EEE" w:rsidRDefault="00F326FB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&lt;.001</w:t>
            </w:r>
          </w:p>
          <w:p w14:paraId="4FF070A3" w14:textId="7F2AD918" w:rsidR="00C2661C" w:rsidRPr="00C36F4D" w:rsidRDefault="00C2661C" w:rsidP="00C12EEE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.041</w:t>
            </w:r>
          </w:p>
          <w:p w14:paraId="0845D612" w14:textId="46258523" w:rsidR="00C12EEE" w:rsidRPr="00C36F4D" w:rsidRDefault="006B4554" w:rsidP="00C2661C">
            <w:pPr>
              <w:jc w:val="right"/>
              <w:rPr>
                <w:b/>
                <w:bCs/>
              </w:rPr>
            </w:pPr>
            <w:r w:rsidRPr="00C36F4D">
              <w:rPr>
                <w:b/>
                <w:bCs/>
              </w:rPr>
              <w:t>.002</w:t>
            </w:r>
          </w:p>
        </w:tc>
      </w:tr>
    </w:tbl>
    <w:p w14:paraId="3BFE2150" w14:textId="73FD6B7B" w:rsidR="003F1761" w:rsidRPr="00566377" w:rsidRDefault="003F1761" w:rsidP="003F1761">
      <w:pPr>
        <w:spacing w:before="120"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Statistics derived from model: AMD (BDI</w:t>
      </w:r>
      <w:r w:rsidRPr="00566377">
        <w:rPr>
          <w:sz w:val="18"/>
          <w:szCs w:val="18"/>
        </w:rPr>
        <w:t xml:space="preserve"> </w:t>
      </w:r>
      <w:r w:rsidRPr="003B1746">
        <w:rPr>
          <w:sz w:val="18"/>
          <w:szCs w:val="18"/>
        </w:rPr>
        <w:t xml:space="preserve">II ≥20 </w:t>
      </w:r>
      <w:r w:rsidRPr="00566377">
        <w:rPr>
          <w:sz w:val="18"/>
          <w:szCs w:val="18"/>
        </w:rPr>
        <w:t xml:space="preserve">vs BDI-II &lt;14) with </w:t>
      </w:r>
      <w:r>
        <w:rPr>
          <w:sz w:val="18"/>
          <w:szCs w:val="18"/>
        </w:rPr>
        <w:t xml:space="preserve">infant </w:t>
      </w:r>
      <w:r w:rsidRPr="00566377">
        <w:rPr>
          <w:sz w:val="18"/>
          <w:szCs w:val="18"/>
        </w:rPr>
        <w:t>age at scan, sex, ICV</w:t>
      </w:r>
      <w:r w:rsidR="00ED0C65">
        <w:rPr>
          <w:sz w:val="18"/>
          <w:szCs w:val="18"/>
        </w:rPr>
        <w:t>, and AMD-by-sex</w:t>
      </w:r>
    </w:p>
    <w:p w14:paraId="1F50C525" w14:textId="6500F530" w:rsidR="003F1761" w:rsidRPr="00566377" w:rsidRDefault="003F1761" w:rsidP="003F1761">
      <w:pPr>
        <w:spacing w:after="0" w:line="240" w:lineRule="auto"/>
        <w:rPr>
          <w:sz w:val="18"/>
          <w:szCs w:val="18"/>
        </w:rPr>
      </w:pPr>
      <w:r w:rsidRPr="008B088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Statistics derived from model: </w:t>
      </w:r>
      <w:r w:rsidR="00B2627C">
        <w:rPr>
          <w:sz w:val="18"/>
          <w:szCs w:val="18"/>
        </w:rPr>
        <w:t>AMD (BDI</w:t>
      </w:r>
      <w:r w:rsidR="00B2627C" w:rsidRPr="00566377">
        <w:rPr>
          <w:sz w:val="18"/>
          <w:szCs w:val="18"/>
        </w:rPr>
        <w:t xml:space="preserve"> </w:t>
      </w:r>
      <w:r w:rsidR="00B2627C" w:rsidRPr="003B1746">
        <w:rPr>
          <w:sz w:val="18"/>
          <w:szCs w:val="18"/>
        </w:rPr>
        <w:t xml:space="preserve">II ≥20 </w:t>
      </w:r>
      <w:r w:rsidR="00B2627C" w:rsidRPr="00566377">
        <w:rPr>
          <w:sz w:val="18"/>
          <w:szCs w:val="18"/>
        </w:rPr>
        <w:t xml:space="preserve">vs BDI-II &lt;14) with </w:t>
      </w:r>
      <w:r w:rsidR="00B2627C">
        <w:rPr>
          <w:sz w:val="18"/>
          <w:szCs w:val="18"/>
        </w:rPr>
        <w:t xml:space="preserve">infant </w:t>
      </w:r>
      <w:r w:rsidR="00B2627C" w:rsidRPr="00566377">
        <w:rPr>
          <w:sz w:val="18"/>
          <w:szCs w:val="18"/>
        </w:rPr>
        <w:t>age at scan, sex, ICV</w:t>
      </w:r>
    </w:p>
    <w:p w14:paraId="58E5FBC8" w14:textId="70BD3542" w:rsidR="003F1761" w:rsidRPr="00E43787" w:rsidRDefault="005A7D12" w:rsidP="003F17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D6014B">
        <w:rPr>
          <w:sz w:val="18"/>
          <w:szCs w:val="18"/>
        </w:rPr>
        <w:t>Sample composition: N=28 A</w:t>
      </w:r>
      <w:r w:rsidR="003C1156">
        <w:rPr>
          <w:sz w:val="18"/>
          <w:szCs w:val="18"/>
        </w:rPr>
        <w:t xml:space="preserve">MD-exposed female infants and </w:t>
      </w:r>
      <w:r w:rsidR="00D6014B">
        <w:rPr>
          <w:sz w:val="18"/>
          <w:szCs w:val="18"/>
        </w:rPr>
        <w:t xml:space="preserve">N=35 </w:t>
      </w:r>
      <w:r w:rsidR="003C1156">
        <w:rPr>
          <w:sz w:val="18"/>
          <w:szCs w:val="18"/>
        </w:rPr>
        <w:t>AMD-unexposed female infants</w:t>
      </w:r>
    </w:p>
    <w:p w14:paraId="25E914E0" w14:textId="6E09C5D5" w:rsidR="00EC0F87" w:rsidRDefault="005A7D12" w:rsidP="000440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="00D6014B">
        <w:rPr>
          <w:sz w:val="18"/>
          <w:szCs w:val="18"/>
        </w:rPr>
        <w:t>Sample composition: N=21 A</w:t>
      </w:r>
      <w:r w:rsidR="003C1156">
        <w:rPr>
          <w:sz w:val="18"/>
          <w:szCs w:val="18"/>
        </w:rPr>
        <w:t>MD-exposed male infants</w:t>
      </w:r>
      <w:r w:rsidR="00D6014B">
        <w:rPr>
          <w:sz w:val="18"/>
          <w:szCs w:val="18"/>
        </w:rPr>
        <w:t xml:space="preserve"> </w:t>
      </w:r>
      <w:r w:rsidR="003C1156">
        <w:rPr>
          <w:sz w:val="18"/>
          <w:szCs w:val="18"/>
        </w:rPr>
        <w:t xml:space="preserve">and </w:t>
      </w:r>
      <w:r w:rsidR="00D6014B">
        <w:rPr>
          <w:sz w:val="18"/>
          <w:szCs w:val="18"/>
        </w:rPr>
        <w:t xml:space="preserve">N=40 </w:t>
      </w:r>
      <w:r w:rsidR="003C1156">
        <w:rPr>
          <w:sz w:val="18"/>
          <w:szCs w:val="18"/>
        </w:rPr>
        <w:t>AMD-unexposed male infants</w:t>
      </w:r>
    </w:p>
    <w:p w14:paraId="07F77851" w14:textId="77777777" w:rsidR="00EC0F87" w:rsidRDefault="00EC0F8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06CEE97" w14:textId="17CB175F" w:rsidR="000440A2" w:rsidRPr="008A131C" w:rsidRDefault="004B6E15" w:rsidP="000440A2">
      <w:pPr>
        <w:spacing w:after="0" w:line="240" w:lineRule="auto"/>
        <w:rPr>
          <w:sz w:val="18"/>
          <w:szCs w:val="18"/>
        </w:rPr>
      </w:pPr>
      <w:r w:rsidRPr="004B6E15">
        <w:rPr>
          <w:noProof/>
        </w:rPr>
        <w:lastRenderedPageBreak/>
        <w:drawing>
          <wp:inline distT="0" distB="0" distL="0" distR="0" wp14:anchorId="7AFBD03A" wp14:editId="79E47D72">
            <wp:extent cx="5731510" cy="8613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0A2" w:rsidRPr="008A13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CF35" w14:textId="77777777" w:rsidR="000B11F4" w:rsidRDefault="000B11F4" w:rsidP="00694829">
      <w:pPr>
        <w:spacing w:after="0" w:line="240" w:lineRule="auto"/>
      </w:pPr>
      <w:r>
        <w:separator/>
      </w:r>
    </w:p>
  </w:endnote>
  <w:endnote w:type="continuationSeparator" w:id="0">
    <w:p w14:paraId="56508C03" w14:textId="77777777" w:rsidR="000B11F4" w:rsidRDefault="000B11F4" w:rsidP="0069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65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78B3" w14:textId="06BC3D64" w:rsidR="00AB2EFD" w:rsidRDefault="00AB2E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7EB5E" w14:textId="77777777" w:rsidR="00AB2EFD" w:rsidRDefault="00AB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BE69" w14:textId="77777777" w:rsidR="000B11F4" w:rsidRDefault="000B11F4" w:rsidP="00694829">
      <w:pPr>
        <w:spacing w:after="0" w:line="240" w:lineRule="auto"/>
      </w:pPr>
      <w:r>
        <w:separator/>
      </w:r>
    </w:p>
  </w:footnote>
  <w:footnote w:type="continuationSeparator" w:id="0">
    <w:p w14:paraId="6D28BCFA" w14:textId="77777777" w:rsidR="000B11F4" w:rsidRDefault="000B11F4" w:rsidP="0069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C8EF" w14:textId="1D40B0CE" w:rsidR="00694829" w:rsidRDefault="00694829">
    <w:pPr>
      <w:pStyle w:val="Header"/>
    </w:pPr>
    <w:r w:rsidRPr="00A44AFF">
      <w:rPr>
        <w:b/>
        <w:bCs/>
      </w:rPr>
      <w:t>Running head:</w:t>
    </w:r>
    <w:r>
      <w:t xml:space="preserve"> Infant subcortical volumes after maternal depression</w:t>
    </w:r>
    <w:r w:rsidR="00C10D87">
      <w:t xml:space="preserve"> (Groenewold et al.)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6C7"/>
    <w:multiLevelType w:val="hybridMultilevel"/>
    <w:tmpl w:val="EDCC6830"/>
    <w:lvl w:ilvl="0" w:tplc="374CCA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8E"/>
    <w:rsid w:val="00003159"/>
    <w:rsid w:val="0000696B"/>
    <w:rsid w:val="000113CA"/>
    <w:rsid w:val="0003189D"/>
    <w:rsid w:val="000440A2"/>
    <w:rsid w:val="000741A2"/>
    <w:rsid w:val="00081DFA"/>
    <w:rsid w:val="000835E5"/>
    <w:rsid w:val="000864B1"/>
    <w:rsid w:val="00092EE8"/>
    <w:rsid w:val="00094A41"/>
    <w:rsid w:val="00097201"/>
    <w:rsid w:val="000A3E42"/>
    <w:rsid w:val="000A5F04"/>
    <w:rsid w:val="000B11F4"/>
    <w:rsid w:val="000C27A9"/>
    <w:rsid w:val="000D17F9"/>
    <w:rsid w:val="000D2B3F"/>
    <w:rsid w:val="000D61E1"/>
    <w:rsid w:val="000E2CE4"/>
    <w:rsid w:val="000E7ACB"/>
    <w:rsid w:val="000F56C2"/>
    <w:rsid w:val="001015A3"/>
    <w:rsid w:val="00111759"/>
    <w:rsid w:val="00124601"/>
    <w:rsid w:val="001304B5"/>
    <w:rsid w:val="0013391B"/>
    <w:rsid w:val="00133952"/>
    <w:rsid w:val="00136B6F"/>
    <w:rsid w:val="00153D73"/>
    <w:rsid w:val="00153F52"/>
    <w:rsid w:val="0016142B"/>
    <w:rsid w:val="001657A3"/>
    <w:rsid w:val="00176C52"/>
    <w:rsid w:val="00177F40"/>
    <w:rsid w:val="00187306"/>
    <w:rsid w:val="00197BEF"/>
    <w:rsid w:val="001A0101"/>
    <w:rsid w:val="001A03AD"/>
    <w:rsid w:val="001A08E5"/>
    <w:rsid w:val="001C33FB"/>
    <w:rsid w:val="001D0097"/>
    <w:rsid w:val="001D347B"/>
    <w:rsid w:val="001D4F75"/>
    <w:rsid w:val="001D66A0"/>
    <w:rsid w:val="001F1443"/>
    <w:rsid w:val="00202C90"/>
    <w:rsid w:val="00203D4E"/>
    <w:rsid w:val="00205361"/>
    <w:rsid w:val="0020772B"/>
    <w:rsid w:val="00231F55"/>
    <w:rsid w:val="00264F5E"/>
    <w:rsid w:val="00276D1C"/>
    <w:rsid w:val="00280950"/>
    <w:rsid w:val="002837C8"/>
    <w:rsid w:val="002868F2"/>
    <w:rsid w:val="002972C2"/>
    <w:rsid w:val="002A56E1"/>
    <w:rsid w:val="002B57CD"/>
    <w:rsid w:val="002B6725"/>
    <w:rsid w:val="002C651F"/>
    <w:rsid w:val="002C6628"/>
    <w:rsid w:val="002D597D"/>
    <w:rsid w:val="002E52FE"/>
    <w:rsid w:val="00301C54"/>
    <w:rsid w:val="00302B15"/>
    <w:rsid w:val="003100AE"/>
    <w:rsid w:val="00342DDB"/>
    <w:rsid w:val="00345654"/>
    <w:rsid w:val="00353AC5"/>
    <w:rsid w:val="00353AE1"/>
    <w:rsid w:val="003614F7"/>
    <w:rsid w:val="0039419E"/>
    <w:rsid w:val="00396C17"/>
    <w:rsid w:val="003A03F7"/>
    <w:rsid w:val="003A1692"/>
    <w:rsid w:val="003A4378"/>
    <w:rsid w:val="003A690B"/>
    <w:rsid w:val="003C0633"/>
    <w:rsid w:val="003C1156"/>
    <w:rsid w:val="003E2BC7"/>
    <w:rsid w:val="003E3C12"/>
    <w:rsid w:val="003E758B"/>
    <w:rsid w:val="003F1761"/>
    <w:rsid w:val="00406B5B"/>
    <w:rsid w:val="00424E0F"/>
    <w:rsid w:val="00426BBD"/>
    <w:rsid w:val="00440D8B"/>
    <w:rsid w:val="004413C0"/>
    <w:rsid w:val="004451E2"/>
    <w:rsid w:val="00446FF3"/>
    <w:rsid w:val="004531EC"/>
    <w:rsid w:val="00453D91"/>
    <w:rsid w:val="00466A66"/>
    <w:rsid w:val="00467201"/>
    <w:rsid w:val="00470A40"/>
    <w:rsid w:val="00472803"/>
    <w:rsid w:val="00472A87"/>
    <w:rsid w:val="004753AA"/>
    <w:rsid w:val="00484D27"/>
    <w:rsid w:val="00495439"/>
    <w:rsid w:val="004969D1"/>
    <w:rsid w:val="00497E81"/>
    <w:rsid w:val="004A1E61"/>
    <w:rsid w:val="004B2DB5"/>
    <w:rsid w:val="004B583E"/>
    <w:rsid w:val="004B6E15"/>
    <w:rsid w:val="004C2CE0"/>
    <w:rsid w:val="004D09DB"/>
    <w:rsid w:val="004D2093"/>
    <w:rsid w:val="004E0F18"/>
    <w:rsid w:val="0050557D"/>
    <w:rsid w:val="00524C46"/>
    <w:rsid w:val="00534DDE"/>
    <w:rsid w:val="005447C0"/>
    <w:rsid w:val="0055047D"/>
    <w:rsid w:val="00551112"/>
    <w:rsid w:val="00561892"/>
    <w:rsid w:val="0056766A"/>
    <w:rsid w:val="00567D92"/>
    <w:rsid w:val="00570B8F"/>
    <w:rsid w:val="005A38C7"/>
    <w:rsid w:val="005A7D12"/>
    <w:rsid w:val="005B3D93"/>
    <w:rsid w:val="005B4D97"/>
    <w:rsid w:val="005B6677"/>
    <w:rsid w:val="005B733F"/>
    <w:rsid w:val="005C74E7"/>
    <w:rsid w:val="005D3D71"/>
    <w:rsid w:val="005D68D1"/>
    <w:rsid w:val="005E2C8F"/>
    <w:rsid w:val="005E61A5"/>
    <w:rsid w:val="005F6DB0"/>
    <w:rsid w:val="00602511"/>
    <w:rsid w:val="00604833"/>
    <w:rsid w:val="00611906"/>
    <w:rsid w:val="00615E17"/>
    <w:rsid w:val="006245A8"/>
    <w:rsid w:val="006255FB"/>
    <w:rsid w:val="00640B02"/>
    <w:rsid w:val="00645406"/>
    <w:rsid w:val="00646F89"/>
    <w:rsid w:val="006470E6"/>
    <w:rsid w:val="00656AF8"/>
    <w:rsid w:val="00662400"/>
    <w:rsid w:val="0066427B"/>
    <w:rsid w:val="0066629A"/>
    <w:rsid w:val="00673127"/>
    <w:rsid w:val="00674304"/>
    <w:rsid w:val="0067578E"/>
    <w:rsid w:val="006840EA"/>
    <w:rsid w:val="00694829"/>
    <w:rsid w:val="006948C9"/>
    <w:rsid w:val="006A004C"/>
    <w:rsid w:val="006A1DE1"/>
    <w:rsid w:val="006A5BB5"/>
    <w:rsid w:val="006B4554"/>
    <w:rsid w:val="006C71AA"/>
    <w:rsid w:val="006D041D"/>
    <w:rsid w:val="006F716D"/>
    <w:rsid w:val="007060E1"/>
    <w:rsid w:val="0071396B"/>
    <w:rsid w:val="007232C0"/>
    <w:rsid w:val="00747684"/>
    <w:rsid w:val="00754FA6"/>
    <w:rsid w:val="00763A92"/>
    <w:rsid w:val="00764DD0"/>
    <w:rsid w:val="0076565C"/>
    <w:rsid w:val="00772E39"/>
    <w:rsid w:val="00775D89"/>
    <w:rsid w:val="0077639C"/>
    <w:rsid w:val="00780FA8"/>
    <w:rsid w:val="00791735"/>
    <w:rsid w:val="007947B7"/>
    <w:rsid w:val="00797565"/>
    <w:rsid w:val="007A0B61"/>
    <w:rsid w:val="007A3CF0"/>
    <w:rsid w:val="007B0660"/>
    <w:rsid w:val="007C5B7C"/>
    <w:rsid w:val="007C703C"/>
    <w:rsid w:val="007D1B45"/>
    <w:rsid w:val="007D5437"/>
    <w:rsid w:val="007F7182"/>
    <w:rsid w:val="00800A11"/>
    <w:rsid w:val="0080118B"/>
    <w:rsid w:val="0081481A"/>
    <w:rsid w:val="00825CEB"/>
    <w:rsid w:val="00825F3E"/>
    <w:rsid w:val="0083316A"/>
    <w:rsid w:val="00837F94"/>
    <w:rsid w:val="008410B6"/>
    <w:rsid w:val="00846389"/>
    <w:rsid w:val="00852134"/>
    <w:rsid w:val="008543FA"/>
    <w:rsid w:val="008710C9"/>
    <w:rsid w:val="008734EE"/>
    <w:rsid w:val="00877076"/>
    <w:rsid w:val="00880ECF"/>
    <w:rsid w:val="00883EA2"/>
    <w:rsid w:val="008A131C"/>
    <w:rsid w:val="008A3873"/>
    <w:rsid w:val="008C6D8F"/>
    <w:rsid w:val="008F2B61"/>
    <w:rsid w:val="008F3201"/>
    <w:rsid w:val="008F33EC"/>
    <w:rsid w:val="008F3974"/>
    <w:rsid w:val="00904F4D"/>
    <w:rsid w:val="0091343F"/>
    <w:rsid w:val="00914435"/>
    <w:rsid w:val="00934D22"/>
    <w:rsid w:val="009353CB"/>
    <w:rsid w:val="00945865"/>
    <w:rsid w:val="0095533F"/>
    <w:rsid w:val="00962130"/>
    <w:rsid w:val="00970C4B"/>
    <w:rsid w:val="0098076C"/>
    <w:rsid w:val="00985FF2"/>
    <w:rsid w:val="0099226A"/>
    <w:rsid w:val="00997521"/>
    <w:rsid w:val="009B48BC"/>
    <w:rsid w:val="009D1584"/>
    <w:rsid w:val="009D435D"/>
    <w:rsid w:val="009E1AC7"/>
    <w:rsid w:val="009E23FF"/>
    <w:rsid w:val="009E2833"/>
    <w:rsid w:val="009E5BF0"/>
    <w:rsid w:val="00A017BE"/>
    <w:rsid w:val="00A16988"/>
    <w:rsid w:val="00A30D96"/>
    <w:rsid w:val="00A31A5B"/>
    <w:rsid w:val="00A40BF5"/>
    <w:rsid w:val="00A45909"/>
    <w:rsid w:val="00A5159E"/>
    <w:rsid w:val="00A6704C"/>
    <w:rsid w:val="00A679C4"/>
    <w:rsid w:val="00A7396D"/>
    <w:rsid w:val="00A76979"/>
    <w:rsid w:val="00A77BC1"/>
    <w:rsid w:val="00A80891"/>
    <w:rsid w:val="00A84FA1"/>
    <w:rsid w:val="00A864E5"/>
    <w:rsid w:val="00A9307D"/>
    <w:rsid w:val="00AA1353"/>
    <w:rsid w:val="00AB2EFD"/>
    <w:rsid w:val="00AB58F0"/>
    <w:rsid w:val="00AB6683"/>
    <w:rsid w:val="00AD7014"/>
    <w:rsid w:val="00AD7DE6"/>
    <w:rsid w:val="00AE0A66"/>
    <w:rsid w:val="00AE3CAC"/>
    <w:rsid w:val="00AE6622"/>
    <w:rsid w:val="00AF2C09"/>
    <w:rsid w:val="00B10A2E"/>
    <w:rsid w:val="00B1179E"/>
    <w:rsid w:val="00B130A8"/>
    <w:rsid w:val="00B212D0"/>
    <w:rsid w:val="00B21606"/>
    <w:rsid w:val="00B2627C"/>
    <w:rsid w:val="00B37DE9"/>
    <w:rsid w:val="00B401B8"/>
    <w:rsid w:val="00B4377C"/>
    <w:rsid w:val="00B67424"/>
    <w:rsid w:val="00B74894"/>
    <w:rsid w:val="00B77122"/>
    <w:rsid w:val="00B87D34"/>
    <w:rsid w:val="00BB26CD"/>
    <w:rsid w:val="00BD025E"/>
    <w:rsid w:val="00BD0B4A"/>
    <w:rsid w:val="00BE3AFF"/>
    <w:rsid w:val="00BE6A11"/>
    <w:rsid w:val="00BF532A"/>
    <w:rsid w:val="00C046A9"/>
    <w:rsid w:val="00C10D87"/>
    <w:rsid w:val="00C12EEE"/>
    <w:rsid w:val="00C17F2A"/>
    <w:rsid w:val="00C25A01"/>
    <w:rsid w:val="00C2661C"/>
    <w:rsid w:val="00C30834"/>
    <w:rsid w:val="00C36F4D"/>
    <w:rsid w:val="00C417FA"/>
    <w:rsid w:val="00C41CCA"/>
    <w:rsid w:val="00C44076"/>
    <w:rsid w:val="00C52A40"/>
    <w:rsid w:val="00C52AB7"/>
    <w:rsid w:val="00C63F7A"/>
    <w:rsid w:val="00C673B9"/>
    <w:rsid w:val="00C67453"/>
    <w:rsid w:val="00C77BB4"/>
    <w:rsid w:val="00C8040A"/>
    <w:rsid w:val="00C81665"/>
    <w:rsid w:val="00C97145"/>
    <w:rsid w:val="00CA52DF"/>
    <w:rsid w:val="00CB438E"/>
    <w:rsid w:val="00CC1978"/>
    <w:rsid w:val="00CC6C01"/>
    <w:rsid w:val="00CE6A12"/>
    <w:rsid w:val="00D01CD6"/>
    <w:rsid w:val="00D51EB9"/>
    <w:rsid w:val="00D6014B"/>
    <w:rsid w:val="00D775B1"/>
    <w:rsid w:val="00D806BB"/>
    <w:rsid w:val="00D8787B"/>
    <w:rsid w:val="00DA4E3A"/>
    <w:rsid w:val="00DB23E4"/>
    <w:rsid w:val="00DC51E4"/>
    <w:rsid w:val="00DE34E4"/>
    <w:rsid w:val="00DF178D"/>
    <w:rsid w:val="00E00C62"/>
    <w:rsid w:val="00E105FD"/>
    <w:rsid w:val="00E17F52"/>
    <w:rsid w:val="00E25F27"/>
    <w:rsid w:val="00E32525"/>
    <w:rsid w:val="00E40140"/>
    <w:rsid w:val="00E505C9"/>
    <w:rsid w:val="00E52CEA"/>
    <w:rsid w:val="00E54896"/>
    <w:rsid w:val="00E61D45"/>
    <w:rsid w:val="00E648FF"/>
    <w:rsid w:val="00E73CAE"/>
    <w:rsid w:val="00E822BA"/>
    <w:rsid w:val="00E8342F"/>
    <w:rsid w:val="00EA028C"/>
    <w:rsid w:val="00EB39F8"/>
    <w:rsid w:val="00EC0EF6"/>
    <w:rsid w:val="00EC0F87"/>
    <w:rsid w:val="00EC6420"/>
    <w:rsid w:val="00EC7BA3"/>
    <w:rsid w:val="00ED0C65"/>
    <w:rsid w:val="00EF089B"/>
    <w:rsid w:val="00EF721F"/>
    <w:rsid w:val="00F046DA"/>
    <w:rsid w:val="00F05375"/>
    <w:rsid w:val="00F0721F"/>
    <w:rsid w:val="00F15830"/>
    <w:rsid w:val="00F23152"/>
    <w:rsid w:val="00F2628E"/>
    <w:rsid w:val="00F326FB"/>
    <w:rsid w:val="00F441C0"/>
    <w:rsid w:val="00F458EE"/>
    <w:rsid w:val="00F5558E"/>
    <w:rsid w:val="00F62EC7"/>
    <w:rsid w:val="00F63312"/>
    <w:rsid w:val="00F70B34"/>
    <w:rsid w:val="00F75410"/>
    <w:rsid w:val="00FA5FA0"/>
    <w:rsid w:val="00FB281B"/>
    <w:rsid w:val="00FC3A0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2B4BD"/>
  <w15:chartTrackingRefBased/>
  <w15:docId w15:val="{A8C6015E-B252-4593-8C02-85DF41A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8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84FA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3FA"/>
    <w:rPr>
      <w:sz w:val="20"/>
      <w:szCs w:val="20"/>
    </w:rPr>
  </w:style>
  <w:style w:type="table" w:styleId="TableGrid">
    <w:name w:val="Table Grid"/>
    <w:basedOn w:val="TableNormal"/>
    <w:uiPriority w:val="39"/>
    <w:rsid w:val="0085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29"/>
  </w:style>
  <w:style w:type="paragraph" w:styleId="Footer">
    <w:name w:val="footer"/>
    <w:basedOn w:val="Normal"/>
    <w:link w:val="FooterChar"/>
    <w:uiPriority w:val="99"/>
    <w:unhideWhenUsed/>
    <w:rsid w:val="0069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Groenewold</dc:creator>
  <cp:keywords/>
  <dc:description/>
  <cp:lastModifiedBy>Nynke Groenewold</cp:lastModifiedBy>
  <cp:revision>49</cp:revision>
  <dcterms:created xsi:type="dcterms:W3CDTF">2021-05-31T20:30:00Z</dcterms:created>
  <dcterms:modified xsi:type="dcterms:W3CDTF">2022-04-14T07:44:00Z</dcterms:modified>
</cp:coreProperties>
</file>