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7F8D8" w14:textId="77777777" w:rsidR="00E94A5C" w:rsidRDefault="00E94A5C" w:rsidP="00564D02">
      <w:pPr>
        <w:bidi w:val="0"/>
        <w:spacing w:line="48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Supplement </w:t>
      </w:r>
      <w:proofErr w:type="gramStart"/>
      <w:r>
        <w:rPr>
          <w:rFonts w:cstheme="minorHAnsi"/>
          <w:b/>
          <w:bCs/>
          <w:sz w:val="24"/>
          <w:szCs w:val="24"/>
        </w:rPr>
        <w:t>to</w:t>
      </w:r>
      <w:proofErr w:type="gramEnd"/>
      <w:r>
        <w:rPr>
          <w:rFonts w:cstheme="minorHAnsi"/>
          <w:b/>
          <w:bCs/>
          <w:sz w:val="24"/>
          <w:szCs w:val="24"/>
        </w:rPr>
        <w:t>:</w:t>
      </w:r>
    </w:p>
    <w:p w14:paraId="27E88ACE" w14:textId="77777777" w:rsidR="00EF1D2A" w:rsidRPr="005B51FC" w:rsidRDefault="00EF1D2A" w:rsidP="00564D02">
      <w:pPr>
        <w:bidi w:val="0"/>
        <w:spacing w:line="480" w:lineRule="auto"/>
        <w:rPr>
          <w:rFonts w:cstheme="minorHAnsi"/>
          <w:b/>
          <w:bCs/>
          <w:sz w:val="24"/>
          <w:szCs w:val="24"/>
        </w:rPr>
      </w:pPr>
      <w:r w:rsidRPr="005B51FC">
        <w:rPr>
          <w:rFonts w:cstheme="minorHAnsi"/>
          <w:b/>
          <w:bCs/>
          <w:sz w:val="24"/>
          <w:szCs w:val="24"/>
        </w:rPr>
        <w:t>Effectiveness of the BNT162b vaccine fourth dose in reducing SARS-CoV-2 infection among healthcare workers in Israel, a multi-center cohort study</w:t>
      </w:r>
    </w:p>
    <w:p w14:paraId="1AB6D462" w14:textId="3DD11DE1" w:rsidR="00915093" w:rsidRPr="005E3E29" w:rsidRDefault="00915093" w:rsidP="00564D02">
      <w:pPr>
        <w:bidi w:val="0"/>
        <w:spacing w:line="48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Matan</w:t>
      </w:r>
      <w:proofErr w:type="spellEnd"/>
      <w:r>
        <w:rPr>
          <w:rFonts w:cstheme="minorHAnsi"/>
          <w:sz w:val="24"/>
          <w:szCs w:val="24"/>
        </w:rPr>
        <w:t xml:space="preserve"> J Cohen, MD, PhD </w:t>
      </w:r>
      <w:r>
        <w:rPr>
          <w:rFonts w:cstheme="minorHAnsi"/>
          <w:sz w:val="24"/>
          <w:szCs w:val="24"/>
          <w:vertAlign w:val="superscript"/>
        </w:rPr>
        <w:t>1</w:t>
      </w:r>
      <w:r>
        <w:rPr>
          <w:rFonts w:cstheme="minorHAnsi"/>
          <w:sz w:val="24"/>
          <w:szCs w:val="24"/>
        </w:rPr>
        <w:t xml:space="preserve">, Yonatan Oster, MD </w:t>
      </w:r>
      <w:r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Allon</w:t>
      </w:r>
      <w:proofErr w:type="spellEnd"/>
      <w:r>
        <w:rPr>
          <w:rFonts w:cstheme="minorHAnsi"/>
          <w:sz w:val="24"/>
          <w:szCs w:val="24"/>
        </w:rPr>
        <w:t xml:space="preserve"> E Moses, MD </w:t>
      </w:r>
      <w:r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 xml:space="preserve">, Avishay Spitzer, MD </w:t>
      </w:r>
      <w:r>
        <w:rPr>
          <w:rFonts w:cstheme="minorHAnsi"/>
          <w:sz w:val="24"/>
          <w:szCs w:val="24"/>
          <w:vertAlign w:val="superscript"/>
        </w:rPr>
        <w:t>3</w:t>
      </w:r>
      <w:r>
        <w:rPr>
          <w:rFonts w:cstheme="minorHAnsi"/>
          <w:sz w:val="24"/>
          <w:szCs w:val="24"/>
        </w:rPr>
        <w:t xml:space="preserve">, Shmuel Benenson, MD </w:t>
      </w:r>
      <w:r>
        <w:rPr>
          <w:rFonts w:cstheme="minorHAnsi"/>
          <w:sz w:val="24"/>
          <w:szCs w:val="24"/>
          <w:vertAlign w:val="superscript"/>
        </w:rPr>
        <w:t>4</w:t>
      </w:r>
      <w:r w:rsidR="00AC7076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and the Israeli-hospitals 4</w:t>
      </w:r>
      <w:r w:rsidRPr="00445AAB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vaccine Working Group</w:t>
      </w:r>
    </w:p>
    <w:p w14:paraId="76444026" w14:textId="77777777" w:rsidR="00915093" w:rsidRDefault="00915093" w:rsidP="00564D02">
      <w:pPr>
        <w:bidi w:val="0"/>
        <w:rPr>
          <w:rFonts w:cstheme="minorHAnsi"/>
          <w:sz w:val="24"/>
          <w:szCs w:val="24"/>
          <w:rtl/>
        </w:rPr>
      </w:pPr>
      <w:r>
        <w:rPr>
          <w:rFonts w:cstheme="minorHAnsi"/>
          <w:sz w:val="24"/>
          <w:szCs w:val="24"/>
          <w:rtl/>
        </w:rPr>
        <w:br w:type="page"/>
      </w:r>
    </w:p>
    <w:p w14:paraId="266988CB" w14:textId="6114CE89" w:rsidR="007629DE" w:rsidRDefault="007629DE" w:rsidP="00564D02">
      <w:pPr>
        <w:pStyle w:val="ListParagraph"/>
        <w:numPr>
          <w:ilvl w:val="0"/>
          <w:numId w:val="2"/>
        </w:numPr>
        <w:bidi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Introduction</w:t>
      </w:r>
    </w:p>
    <w:p w14:paraId="39B19E4D" w14:textId="77777777" w:rsidR="00E94A5C" w:rsidRDefault="00E94A5C" w:rsidP="00564D02">
      <w:pPr>
        <w:pStyle w:val="ListParagraph"/>
        <w:numPr>
          <w:ilvl w:val="0"/>
          <w:numId w:val="2"/>
        </w:numPr>
        <w:bidi w:val="0"/>
        <w:rPr>
          <w:rFonts w:cstheme="minorHAnsi"/>
          <w:sz w:val="24"/>
          <w:szCs w:val="24"/>
        </w:rPr>
      </w:pPr>
      <w:r w:rsidRPr="00E94A5C">
        <w:rPr>
          <w:rFonts w:cstheme="minorHAnsi"/>
          <w:sz w:val="24"/>
          <w:szCs w:val="24"/>
        </w:rPr>
        <w:t>Methods</w:t>
      </w:r>
    </w:p>
    <w:p w14:paraId="19B1D3F2" w14:textId="344C20F9" w:rsidR="00AF2005" w:rsidRDefault="00AC7076" w:rsidP="00564D02">
      <w:pPr>
        <w:pStyle w:val="ListParagraph"/>
        <w:numPr>
          <w:ilvl w:val="0"/>
          <w:numId w:val="2"/>
        </w:numPr>
        <w:bidi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Figure</w:t>
      </w:r>
      <w:r w:rsidR="00AF2005" w:rsidRPr="00AF2005">
        <w:rPr>
          <w:rFonts w:cstheme="minorHAnsi"/>
          <w:sz w:val="24"/>
          <w:szCs w:val="24"/>
        </w:rPr>
        <w:t xml:space="preserve"> </w:t>
      </w:r>
    </w:p>
    <w:p w14:paraId="741DE692" w14:textId="5275EE62" w:rsidR="00AC7076" w:rsidRDefault="00AF2005" w:rsidP="00564D02">
      <w:pPr>
        <w:pStyle w:val="ListParagraph"/>
        <w:numPr>
          <w:ilvl w:val="0"/>
          <w:numId w:val="2"/>
        </w:numPr>
        <w:bidi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Tables</w:t>
      </w:r>
    </w:p>
    <w:p w14:paraId="11470BE2" w14:textId="7FADB720" w:rsidR="00F506BC" w:rsidRDefault="00F506BC" w:rsidP="00F506BC">
      <w:pPr>
        <w:pStyle w:val="ListParagraph"/>
        <w:numPr>
          <w:ilvl w:val="0"/>
          <w:numId w:val="2"/>
        </w:numPr>
        <w:bidi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References</w:t>
      </w:r>
    </w:p>
    <w:p w14:paraId="7CD1A0C0" w14:textId="77777777" w:rsidR="007629DE" w:rsidRDefault="007629DE" w:rsidP="00564D02">
      <w:pPr>
        <w:bidi w:val="0"/>
        <w:ind w:left="360"/>
        <w:rPr>
          <w:rFonts w:cstheme="minorHAnsi"/>
          <w:b/>
          <w:bCs/>
          <w:sz w:val="24"/>
          <w:szCs w:val="24"/>
        </w:rPr>
      </w:pPr>
    </w:p>
    <w:p w14:paraId="092FEA30" w14:textId="77777777" w:rsidR="00404163" w:rsidRDefault="00404163" w:rsidP="00564D02">
      <w:pPr>
        <w:bidi w:val="0"/>
        <w:rPr>
          <w:rFonts w:cstheme="minorHAnsi"/>
          <w:b/>
          <w:bCs/>
          <w:sz w:val="24"/>
          <w:szCs w:val="24"/>
        </w:rPr>
      </w:pPr>
    </w:p>
    <w:p w14:paraId="1110E9DA" w14:textId="23FF0357" w:rsidR="007629DE" w:rsidRDefault="007629DE" w:rsidP="00564D02">
      <w:pPr>
        <w:bidi w:val="0"/>
        <w:rPr>
          <w:rFonts w:cstheme="minorHAnsi"/>
          <w:b/>
          <w:bCs/>
          <w:sz w:val="24"/>
          <w:szCs w:val="24"/>
        </w:rPr>
      </w:pPr>
      <w:r w:rsidRPr="00E74FC6">
        <w:rPr>
          <w:rFonts w:cstheme="minorHAnsi"/>
          <w:b/>
          <w:bCs/>
          <w:sz w:val="24"/>
          <w:szCs w:val="24"/>
        </w:rPr>
        <w:t>Introduction</w:t>
      </w:r>
    </w:p>
    <w:p w14:paraId="50E80CA9" w14:textId="77777777" w:rsidR="00143387" w:rsidRPr="00E74FC6" w:rsidRDefault="00143387" w:rsidP="00564D02">
      <w:pPr>
        <w:bidi w:val="0"/>
        <w:rPr>
          <w:rFonts w:cstheme="minorHAnsi"/>
          <w:b/>
          <w:bCs/>
          <w:sz w:val="24"/>
          <w:szCs w:val="24"/>
        </w:rPr>
      </w:pPr>
    </w:p>
    <w:p w14:paraId="713A9FA2" w14:textId="1A67D584" w:rsidR="007629DE" w:rsidRPr="00E74FC6" w:rsidRDefault="007629DE" w:rsidP="00C51628">
      <w:pPr>
        <w:bidi w:val="0"/>
        <w:spacing w:line="480" w:lineRule="auto"/>
        <w:rPr>
          <w:rFonts w:cstheme="minorHAnsi"/>
          <w:sz w:val="24"/>
          <w:szCs w:val="24"/>
        </w:rPr>
      </w:pPr>
      <w:r w:rsidRPr="00E74FC6">
        <w:rPr>
          <w:rFonts w:cstheme="minorHAnsi"/>
          <w:sz w:val="24"/>
          <w:szCs w:val="24"/>
        </w:rPr>
        <w:t xml:space="preserve">The COVID-19 </w:t>
      </w:r>
      <w:r w:rsidR="00AC7076" w:rsidRPr="00E74FC6">
        <w:rPr>
          <w:rFonts w:cstheme="minorHAnsi"/>
          <w:sz w:val="24"/>
          <w:szCs w:val="24"/>
        </w:rPr>
        <w:t xml:space="preserve">Omicron </w:t>
      </w:r>
      <w:r w:rsidRPr="00E74FC6">
        <w:rPr>
          <w:rFonts w:cstheme="minorHAnsi"/>
          <w:sz w:val="24"/>
          <w:szCs w:val="24"/>
        </w:rPr>
        <w:t>wave in Israel started in December 2021, resulting in the highest infection rate of all previous waves</w:t>
      </w:r>
      <w:r w:rsidR="00143387">
        <w:rPr>
          <w:rFonts w:cstheme="minorHAnsi"/>
          <w:sz w:val="24"/>
          <w:szCs w:val="24"/>
        </w:rPr>
        <w:t xml:space="preserve"> (</w:t>
      </w:r>
      <w:r w:rsidR="0003111F">
        <w:rPr>
          <w:rFonts w:cstheme="minorHAnsi"/>
          <w:sz w:val="24"/>
          <w:szCs w:val="24"/>
        </w:rPr>
        <w:t>1</w:t>
      </w:r>
      <w:r w:rsidR="00143387">
        <w:rPr>
          <w:rFonts w:cstheme="minorHAnsi"/>
          <w:sz w:val="24"/>
          <w:szCs w:val="24"/>
        </w:rPr>
        <w:t>)</w:t>
      </w:r>
      <w:r w:rsidRPr="00E74FC6">
        <w:rPr>
          <w:rFonts w:cstheme="minorHAnsi"/>
          <w:sz w:val="24"/>
          <w:szCs w:val="24"/>
        </w:rPr>
        <w:t xml:space="preserve">. Israel was the first country to administer a </w:t>
      </w:r>
      <w:r w:rsidR="00C51628" w:rsidRPr="00E74FC6">
        <w:rPr>
          <w:rFonts w:cstheme="minorHAnsi"/>
          <w:sz w:val="24"/>
          <w:szCs w:val="24"/>
        </w:rPr>
        <w:t>third</w:t>
      </w:r>
      <w:r w:rsidRPr="00E74FC6">
        <w:rPr>
          <w:rFonts w:cstheme="minorHAnsi"/>
          <w:sz w:val="24"/>
          <w:szCs w:val="24"/>
        </w:rPr>
        <w:t xml:space="preserve"> vaccine dose to the entire adult population</w:t>
      </w:r>
      <w:r w:rsidR="003627E4">
        <w:rPr>
          <w:rFonts w:cstheme="minorHAnsi"/>
          <w:sz w:val="24"/>
          <w:szCs w:val="24"/>
        </w:rPr>
        <w:t>,</w:t>
      </w:r>
      <w:r w:rsidRPr="00E74FC6">
        <w:rPr>
          <w:rFonts w:cstheme="minorHAnsi"/>
          <w:sz w:val="24"/>
          <w:szCs w:val="24"/>
        </w:rPr>
        <w:t xml:space="preserve"> beginning</w:t>
      </w:r>
      <w:r w:rsidR="003627E4">
        <w:rPr>
          <w:rFonts w:cstheme="minorHAnsi"/>
          <w:sz w:val="24"/>
          <w:szCs w:val="24"/>
        </w:rPr>
        <w:t xml:space="preserve"> in</w:t>
      </w:r>
      <w:r w:rsidRPr="00E74FC6">
        <w:rPr>
          <w:rFonts w:cstheme="minorHAnsi"/>
          <w:sz w:val="24"/>
          <w:szCs w:val="24"/>
        </w:rPr>
        <w:t xml:space="preserve"> August 2021</w:t>
      </w:r>
      <w:r w:rsidR="003627E4">
        <w:rPr>
          <w:rFonts w:cstheme="minorHAnsi"/>
          <w:sz w:val="24"/>
          <w:szCs w:val="24"/>
        </w:rPr>
        <w:t>;</w:t>
      </w:r>
      <w:r w:rsidRPr="00E74FC6">
        <w:rPr>
          <w:rFonts w:cstheme="minorHAnsi"/>
          <w:sz w:val="24"/>
          <w:szCs w:val="24"/>
        </w:rPr>
        <w:t xml:space="preserve"> </w:t>
      </w:r>
      <w:r w:rsidR="00AC7076">
        <w:rPr>
          <w:rFonts w:cstheme="minorHAnsi"/>
          <w:sz w:val="24"/>
          <w:szCs w:val="24"/>
        </w:rPr>
        <w:t>90%</w:t>
      </w:r>
      <w:r w:rsidR="00AC7076" w:rsidRPr="00E74FC6">
        <w:rPr>
          <w:rFonts w:cstheme="minorHAnsi"/>
          <w:sz w:val="24"/>
          <w:szCs w:val="24"/>
        </w:rPr>
        <w:t xml:space="preserve"> </w:t>
      </w:r>
      <w:r w:rsidRPr="00E74FC6">
        <w:rPr>
          <w:rFonts w:cstheme="minorHAnsi"/>
          <w:sz w:val="24"/>
          <w:szCs w:val="24"/>
        </w:rPr>
        <w:t xml:space="preserve">of the </w:t>
      </w:r>
      <w:r w:rsidR="00AC7076">
        <w:rPr>
          <w:rFonts w:cstheme="minorHAnsi"/>
          <w:sz w:val="24"/>
          <w:szCs w:val="24"/>
        </w:rPr>
        <w:t>adult</w:t>
      </w:r>
      <w:r w:rsidR="00AC7076" w:rsidRPr="00E74FC6">
        <w:rPr>
          <w:rFonts w:cstheme="minorHAnsi"/>
          <w:sz w:val="24"/>
          <w:szCs w:val="24"/>
        </w:rPr>
        <w:t xml:space="preserve"> </w:t>
      </w:r>
      <w:r w:rsidRPr="00E74FC6">
        <w:rPr>
          <w:rFonts w:cstheme="minorHAnsi"/>
          <w:sz w:val="24"/>
          <w:szCs w:val="24"/>
        </w:rPr>
        <w:t xml:space="preserve">population </w:t>
      </w:r>
      <w:proofErr w:type="gramStart"/>
      <w:r w:rsidRPr="00E74FC6">
        <w:rPr>
          <w:rFonts w:cstheme="minorHAnsi"/>
          <w:sz w:val="24"/>
          <w:szCs w:val="24"/>
        </w:rPr>
        <w:t>was vaccinated</w:t>
      </w:r>
      <w:proofErr w:type="gramEnd"/>
      <w:r w:rsidRPr="00E74FC6">
        <w:rPr>
          <w:rFonts w:cstheme="minorHAnsi"/>
          <w:sz w:val="24"/>
          <w:szCs w:val="24"/>
        </w:rPr>
        <w:t>, including more than 95% of healthcare workers (HCWs) (</w:t>
      </w:r>
      <w:r w:rsidR="00562659">
        <w:rPr>
          <w:rFonts w:cstheme="minorHAnsi"/>
          <w:sz w:val="24"/>
          <w:szCs w:val="24"/>
        </w:rPr>
        <w:t>2</w:t>
      </w:r>
      <w:r w:rsidRPr="00E74FC6">
        <w:rPr>
          <w:rFonts w:cstheme="minorHAnsi"/>
          <w:sz w:val="24"/>
          <w:szCs w:val="24"/>
        </w:rPr>
        <w:t xml:space="preserve">). This </w:t>
      </w:r>
      <w:r w:rsidR="00C51628" w:rsidRPr="00E74FC6">
        <w:rPr>
          <w:rFonts w:cstheme="minorHAnsi"/>
          <w:sz w:val="24"/>
          <w:szCs w:val="24"/>
        </w:rPr>
        <w:t>third</w:t>
      </w:r>
      <w:r w:rsidRPr="00E74FC6">
        <w:rPr>
          <w:rFonts w:cstheme="minorHAnsi"/>
          <w:sz w:val="24"/>
          <w:szCs w:val="24"/>
        </w:rPr>
        <w:t xml:space="preserve"> dose (booster) vaccine dramatically reduced the rate of breakthrough infections, severe disease and mortality </w:t>
      </w:r>
      <w:r w:rsidR="00530E45">
        <w:rPr>
          <w:rFonts w:cstheme="minorHAnsi"/>
          <w:sz w:val="24"/>
          <w:szCs w:val="24"/>
        </w:rPr>
        <w:t xml:space="preserve">during the Delta </w:t>
      </w:r>
      <w:r w:rsidR="00461C66">
        <w:rPr>
          <w:rFonts w:cstheme="minorHAnsi"/>
          <w:sz w:val="24"/>
          <w:szCs w:val="24"/>
        </w:rPr>
        <w:t xml:space="preserve">variant </w:t>
      </w:r>
      <w:r w:rsidR="00530E45">
        <w:rPr>
          <w:rFonts w:cstheme="minorHAnsi"/>
          <w:sz w:val="24"/>
          <w:szCs w:val="24"/>
        </w:rPr>
        <w:t xml:space="preserve">wave </w:t>
      </w:r>
      <w:r w:rsidRPr="00E74FC6">
        <w:rPr>
          <w:rFonts w:cstheme="minorHAnsi"/>
          <w:sz w:val="24"/>
          <w:szCs w:val="24"/>
        </w:rPr>
        <w:t>(</w:t>
      </w:r>
      <w:r w:rsidR="003B1145">
        <w:rPr>
          <w:rFonts w:cstheme="minorHAnsi"/>
          <w:sz w:val="24"/>
          <w:szCs w:val="24"/>
        </w:rPr>
        <w:t>3</w:t>
      </w:r>
      <w:r w:rsidRPr="00E74FC6">
        <w:rPr>
          <w:rFonts w:cstheme="minorHAnsi"/>
          <w:sz w:val="24"/>
          <w:szCs w:val="24"/>
        </w:rPr>
        <w:t xml:space="preserve">). Despite </w:t>
      </w:r>
      <w:r w:rsidR="00E74FC6">
        <w:rPr>
          <w:rFonts w:cstheme="minorHAnsi"/>
          <w:sz w:val="24"/>
          <w:szCs w:val="24"/>
        </w:rPr>
        <w:t>this</w:t>
      </w:r>
      <w:r w:rsidRPr="00E74FC6">
        <w:rPr>
          <w:rFonts w:cstheme="minorHAnsi"/>
          <w:sz w:val="24"/>
          <w:szCs w:val="24"/>
        </w:rPr>
        <w:t xml:space="preserve"> high vaccination rate, the highly infectious </w:t>
      </w:r>
      <w:r w:rsidR="00AC7076" w:rsidRPr="00E74FC6">
        <w:rPr>
          <w:rFonts w:cstheme="minorHAnsi"/>
          <w:sz w:val="24"/>
          <w:szCs w:val="24"/>
        </w:rPr>
        <w:t xml:space="preserve">Omicron </w:t>
      </w:r>
      <w:r w:rsidRPr="00E74FC6">
        <w:rPr>
          <w:rFonts w:cstheme="minorHAnsi"/>
          <w:sz w:val="24"/>
          <w:szCs w:val="24"/>
        </w:rPr>
        <w:t xml:space="preserve">variant </w:t>
      </w:r>
      <w:r w:rsidR="00E74FC6" w:rsidRPr="00E74FC6">
        <w:rPr>
          <w:rFonts w:cstheme="minorHAnsi"/>
          <w:sz w:val="24"/>
          <w:szCs w:val="24"/>
        </w:rPr>
        <w:t>caused a significant</w:t>
      </w:r>
      <w:r w:rsidR="005A05B1">
        <w:rPr>
          <w:rFonts w:cstheme="minorHAnsi"/>
          <w:sz w:val="24"/>
          <w:szCs w:val="24"/>
        </w:rPr>
        <w:t xml:space="preserve"> number of breakthrough infections</w:t>
      </w:r>
      <w:r w:rsidR="00E74FC6" w:rsidRPr="00E74FC6">
        <w:rPr>
          <w:rFonts w:cstheme="minorHAnsi"/>
          <w:sz w:val="24"/>
          <w:szCs w:val="24"/>
        </w:rPr>
        <w:t xml:space="preserve"> among the </w:t>
      </w:r>
      <w:r w:rsidR="00E74FC6">
        <w:rPr>
          <w:rFonts w:cstheme="minorHAnsi"/>
          <w:sz w:val="24"/>
          <w:szCs w:val="24"/>
        </w:rPr>
        <w:t xml:space="preserve">thrice </w:t>
      </w:r>
      <w:r w:rsidR="00E74FC6" w:rsidRPr="00E74FC6">
        <w:rPr>
          <w:rFonts w:cstheme="minorHAnsi"/>
          <w:sz w:val="24"/>
          <w:szCs w:val="24"/>
        </w:rPr>
        <w:t>vaccinated</w:t>
      </w:r>
      <w:r w:rsidRPr="00E74FC6">
        <w:rPr>
          <w:rFonts w:cstheme="minorHAnsi"/>
          <w:sz w:val="24"/>
          <w:szCs w:val="24"/>
        </w:rPr>
        <w:t>. This led to the precedent decision of the Israeli Ministry of Health</w:t>
      </w:r>
      <w:r w:rsidR="00B223B4">
        <w:rPr>
          <w:rFonts w:cstheme="minorHAnsi"/>
          <w:sz w:val="24"/>
          <w:szCs w:val="24"/>
        </w:rPr>
        <w:t xml:space="preserve"> </w:t>
      </w:r>
      <w:r w:rsidRPr="00E74FC6">
        <w:rPr>
          <w:rFonts w:cstheme="minorHAnsi"/>
          <w:sz w:val="24"/>
          <w:szCs w:val="24"/>
        </w:rPr>
        <w:t>to recommend a 4</w:t>
      </w:r>
      <w:r w:rsidRPr="00E74FC6">
        <w:rPr>
          <w:rFonts w:cstheme="minorHAnsi"/>
          <w:sz w:val="24"/>
          <w:szCs w:val="24"/>
          <w:vertAlign w:val="superscript"/>
        </w:rPr>
        <w:t>th</w:t>
      </w:r>
      <w:r w:rsidRPr="00E74FC6">
        <w:rPr>
          <w:rFonts w:cstheme="minorHAnsi"/>
          <w:sz w:val="24"/>
          <w:szCs w:val="24"/>
        </w:rPr>
        <w:t xml:space="preserve"> vaccine dose to the adult population</w:t>
      </w:r>
      <w:r w:rsidR="007530B4">
        <w:rPr>
          <w:rFonts w:cstheme="minorHAnsi"/>
          <w:sz w:val="24"/>
          <w:szCs w:val="24"/>
        </w:rPr>
        <w:t xml:space="preserve"> for</w:t>
      </w:r>
      <w:r w:rsidRPr="00E74FC6">
        <w:rPr>
          <w:rFonts w:cstheme="minorHAnsi"/>
          <w:sz w:val="24"/>
          <w:szCs w:val="24"/>
        </w:rPr>
        <w:t xml:space="preserve"> those older than 60 years, the immunocompromised and to HCWs</w:t>
      </w:r>
      <w:r w:rsidR="00C675BD">
        <w:rPr>
          <w:rFonts w:cstheme="minorHAnsi"/>
          <w:sz w:val="24"/>
          <w:szCs w:val="24"/>
        </w:rPr>
        <w:t xml:space="preserve">, </w:t>
      </w:r>
      <w:r w:rsidR="00EC2D10">
        <w:rPr>
          <w:rFonts w:cstheme="minorHAnsi"/>
          <w:sz w:val="24"/>
          <w:szCs w:val="24"/>
        </w:rPr>
        <w:t>to</w:t>
      </w:r>
      <w:r w:rsidR="00C675BD">
        <w:rPr>
          <w:rFonts w:cstheme="minorHAnsi"/>
          <w:sz w:val="24"/>
          <w:szCs w:val="24"/>
        </w:rPr>
        <w:t xml:space="preserve"> overcome the presumed declined immunity of vaccinated individuals</w:t>
      </w:r>
      <w:r w:rsidRPr="00E74FC6">
        <w:rPr>
          <w:rFonts w:cstheme="minorHAnsi"/>
          <w:sz w:val="24"/>
          <w:szCs w:val="24"/>
        </w:rPr>
        <w:t xml:space="preserve">. We examined the effectiveness of this </w:t>
      </w:r>
      <w:r w:rsidR="00C51628" w:rsidRPr="00E74FC6">
        <w:rPr>
          <w:rFonts w:cstheme="minorHAnsi"/>
          <w:sz w:val="24"/>
          <w:szCs w:val="24"/>
        </w:rPr>
        <w:t>fourth</w:t>
      </w:r>
      <w:r w:rsidRPr="00E74FC6">
        <w:rPr>
          <w:rFonts w:cstheme="minorHAnsi"/>
          <w:sz w:val="24"/>
          <w:szCs w:val="24"/>
        </w:rPr>
        <w:t xml:space="preserve"> dose in reducing the rate of</w:t>
      </w:r>
      <w:r w:rsidR="00B223B4">
        <w:rPr>
          <w:rFonts w:cstheme="minorHAnsi"/>
          <w:sz w:val="24"/>
          <w:szCs w:val="24"/>
        </w:rPr>
        <w:t xml:space="preserve"> breakthrough</w:t>
      </w:r>
      <w:r w:rsidRPr="00E74FC6">
        <w:rPr>
          <w:rFonts w:cstheme="minorHAnsi"/>
          <w:sz w:val="24"/>
          <w:szCs w:val="24"/>
        </w:rPr>
        <w:t xml:space="preserve"> infection</w:t>
      </w:r>
      <w:r w:rsidR="00B223B4">
        <w:rPr>
          <w:rFonts w:cstheme="minorHAnsi"/>
          <w:sz w:val="24"/>
          <w:szCs w:val="24"/>
        </w:rPr>
        <w:t>s</w:t>
      </w:r>
      <w:r w:rsidRPr="00E74FC6">
        <w:rPr>
          <w:rFonts w:cstheme="minorHAnsi"/>
          <w:sz w:val="24"/>
          <w:szCs w:val="24"/>
        </w:rPr>
        <w:t xml:space="preserve"> among HCWs in several Israeli hospitals, during the peak of </w:t>
      </w:r>
      <w:r w:rsidR="00AC7076" w:rsidRPr="00E74FC6">
        <w:rPr>
          <w:rFonts w:cstheme="minorHAnsi"/>
          <w:sz w:val="24"/>
          <w:szCs w:val="24"/>
        </w:rPr>
        <w:t xml:space="preserve">Omicron </w:t>
      </w:r>
      <w:r w:rsidRPr="00E74FC6">
        <w:rPr>
          <w:rFonts w:cstheme="minorHAnsi"/>
          <w:sz w:val="24"/>
          <w:szCs w:val="24"/>
        </w:rPr>
        <w:t xml:space="preserve">activity.  </w:t>
      </w:r>
    </w:p>
    <w:p w14:paraId="710B0DCC" w14:textId="77777777" w:rsidR="004D79F8" w:rsidRDefault="004D79F8" w:rsidP="00564D02">
      <w:pPr>
        <w:bidi w:val="0"/>
        <w:rPr>
          <w:rFonts w:cstheme="minorHAnsi"/>
          <w:sz w:val="24"/>
          <w:szCs w:val="24"/>
        </w:rPr>
      </w:pPr>
    </w:p>
    <w:p w14:paraId="501D465E" w14:textId="77777777" w:rsidR="007629DE" w:rsidRPr="004D79F8" w:rsidRDefault="007629DE" w:rsidP="00564D02">
      <w:pPr>
        <w:bidi w:val="0"/>
        <w:rPr>
          <w:rFonts w:cstheme="minorHAnsi"/>
          <w:sz w:val="24"/>
          <w:szCs w:val="24"/>
        </w:rPr>
      </w:pPr>
    </w:p>
    <w:p w14:paraId="13C4981C" w14:textId="77777777" w:rsidR="00404163" w:rsidRDefault="00404163" w:rsidP="00564D02">
      <w:pPr>
        <w:bidi w:val="0"/>
        <w:spacing w:line="480" w:lineRule="auto"/>
        <w:rPr>
          <w:rFonts w:cstheme="minorHAnsi"/>
          <w:b/>
          <w:bCs/>
          <w:sz w:val="24"/>
          <w:szCs w:val="24"/>
        </w:rPr>
      </w:pPr>
    </w:p>
    <w:p w14:paraId="072D14B3" w14:textId="77777777" w:rsidR="00404163" w:rsidRDefault="00404163" w:rsidP="00564D02">
      <w:pPr>
        <w:bidi w:val="0"/>
        <w:spacing w:line="480" w:lineRule="auto"/>
        <w:rPr>
          <w:rFonts w:cstheme="minorHAnsi"/>
          <w:b/>
          <w:bCs/>
          <w:sz w:val="24"/>
          <w:szCs w:val="24"/>
        </w:rPr>
      </w:pPr>
    </w:p>
    <w:p w14:paraId="0E215659" w14:textId="780C33D3" w:rsidR="00CD2FB1" w:rsidRPr="0056083F" w:rsidRDefault="00CD2FB1" w:rsidP="00564D02">
      <w:pPr>
        <w:bidi w:val="0"/>
        <w:spacing w:line="480" w:lineRule="auto"/>
        <w:rPr>
          <w:rFonts w:cstheme="minorHAnsi"/>
          <w:b/>
          <w:bCs/>
          <w:sz w:val="24"/>
          <w:szCs w:val="24"/>
        </w:rPr>
      </w:pPr>
      <w:r w:rsidRPr="0056083F">
        <w:rPr>
          <w:rFonts w:cstheme="minorHAnsi"/>
          <w:b/>
          <w:bCs/>
          <w:sz w:val="24"/>
          <w:szCs w:val="24"/>
        </w:rPr>
        <w:t>Methods</w:t>
      </w:r>
    </w:p>
    <w:p w14:paraId="2FFA51C6" w14:textId="77777777" w:rsidR="00E87BF7" w:rsidRPr="00E11B59" w:rsidRDefault="00E87BF7" w:rsidP="00564D02">
      <w:pPr>
        <w:bidi w:val="0"/>
        <w:spacing w:line="480" w:lineRule="auto"/>
        <w:rPr>
          <w:rFonts w:cstheme="minorHAnsi"/>
          <w:i/>
          <w:iCs/>
          <w:sz w:val="24"/>
          <w:szCs w:val="24"/>
        </w:rPr>
      </w:pPr>
      <w:r w:rsidRPr="00E11B59">
        <w:rPr>
          <w:rFonts w:cstheme="minorHAnsi"/>
          <w:i/>
          <w:iCs/>
          <w:sz w:val="24"/>
          <w:szCs w:val="24"/>
        </w:rPr>
        <w:t>Settings</w:t>
      </w:r>
    </w:p>
    <w:p w14:paraId="311FF0AC" w14:textId="5F1A5B95" w:rsidR="00E87BF7" w:rsidRDefault="00050A50" w:rsidP="00103246">
      <w:pPr>
        <w:bidi w:val="0"/>
        <w:spacing w:line="480" w:lineRule="auto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leven </w:t>
      </w:r>
      <w:r w:rsidR="00E87BF7">
        <w:rPr>
          <w:rFonts w:cstheme="minorHAnsi"/>
          <w:sz w:val="24"/>
          <w:szCs w:val="24"/>
        </w:rPr>
        <w:t xml:space="preserve">Israeli hospitals participated in the </w:t>
      </w:r>
      <w:r w:rsidR="00824060">
        <w:rPr>
          <w:rFonts w:cstheme="minorHAnsi"/>
          <w:sz w:val="24"/>
          <w:szCs w:val="24"/>
        </w:rPr>
        <w:t xml:space="preserve">initial </w:t>
      </w:r>
      <w:r w:rsidR="009C0CA0">
        <w:rPr>
          <w:rFonts w:cstheme="minorHAnsi"/>
          <w:sz w:val="24"/>
          <w:szCs w:val="24"/>
        </w:rPr>
        <w:t>study: all are academic centers</w:t>
      </w:r>
      <w:r w:rsidR="00476973">
        <w:rPr>
          <w:rFonts w:cstheme="minorHAnsi"/>
          <w:sz w:val="24"/>
          <w:szCs w:val="24"/>
        </w:rPr>
        <w:t xml:space="preserve">, </w:t>
      </w:r>
      <w:r w:rsidR="00E87BF7">
        <w:rPr>
          <w:rFonts w:cstheme="minorHAnsi"/>
          <w:sz w:val="24"/>
          <w:szCs w:val="24"/>
        </w:rPr>
        <w:t xml:space="preserve">five </w:t>
      </w:r>
      <w:r w:rsidR="009C0CA0">
        <w:rPr>
          <w:rFonts w:cstheme="minorHAnsi"/>
          <w:sz w:val="24"/>
          <w:szCs w:val="24"/>
        </w:rPr>
        <w:t xml:space="preserve">of them </w:t>
      </w:r>
      <w:r w:rsidR="00E87BF7">
        <w:rPr>
          <w:rFonts w:cstheme="minorHAnsi"/>
          <w:sz w:val="24"/>
          <w:szCs w:val="24"/>
        </w:rPr>
        <w:t>tertiary care centers</w:t>
      </w:r>
      <w:r w:rsidR="0098509D">
        <w:rPr>
          <w:rFonts w:cstheme="minorHAnsi"/>
          <w:sz w:val="24"/>
          <w:szCs w:val="24"/>
        </w:rPr>
        <w:t xml:space="preserve">. </w:t>
      </w:r>
      <w:proofErr w:type="gramStart"/>
      <w:r w:rsidR="00B223B4">
        <w:rPr>
          <w:rFonts w:cstheme="minorHAnsi"/>
          <w:sz w:val="24"/>
          <w:szCs w:val="24"/>
        </w:rPr>
        <w:t>All HCWs were vaccinated by Pfizer's BNT162b2 mRNA vaccines</w:t>
      </w:r>
      <w:proofErr w:type="gramEnd"/>
      <w:r w:rsidR="00B223B4">
        <w:rPr>
          <w:rFonts w:cstheme="minorHAnsi"/>
          <w:sz w:val="24"/>
          <w:szCs w:val="24"/>
        </w:rPr>
        <w:t>.</w:t>
      </w:r>
      <w:r w:rsidR="00410B4B">
        <w:rPr>
          <w:rFonts w:cstheme="minorHAnsi"/>
          <w:sz w:val="24"/>
          <w:szCs w:val="24"/>
        </w:rPr>
        <w:t xml:space="preserve"> </w:t>
      </w:r>
      <w:bookmarkStart w:id="0" w:name="_Hlk99051030"/>
      <w:r w:rsidR="0098509D">
        <w:rPr>
          <w:rFonts w:cstheme="minorHAnsi"/>
          <w:sz w:val="24"/>
          <w:szCs w:val="24"/>
        </w:rPr>
        <w:t xml:space="preserve">The </w:t>
      </w:r>
      <w:proofErr w:type="gramStart"/>
      <w:r w:rsidR="0098509D">
        <w:rPr>
          <w:rFonts w:cstheme="minorHAnsi"/>
          <w:sz w:val="24"/>
          <w:szCs w:val="24"/>
        </w:rPr>
        <w:t xml:space="preserve">study was approved by </w:t>
      </w:r>
      <w:r w:rsidR="0098509D" w:rsidRPr="0056083F">
        <w:rPr>
          <w:rFonts w:cstheme="minorHAnsi"/>
          <w:sz w:val="24"/>
          <w:szCs w:val="24"/>
        </w:rPr>
        <w:t>the</w:t>
      </w:r>
      <w:r w:rsidR="00476973">
        <w:rPr>
          <w:rFonts w:cstheme="minorHAnsi"/>
          <w:sz w:val="24"/>
          <w:szCs w:val="24"/>
        </w:rPr>
        <w:t xml:space="preserve"> local</w:t>
      </w:r>
      <w:r w:rsidR="0098509D" w:rsidRPr="0056083F">
        <w:rPr>
          <w:rFonts w:cstheme="minorHAnsi"/>
          <w:sz w:val="24"/>
          <w:szCs w:val="24"/>
        </w:rPr>
        <w:t xml:space="preserve"> </w:t>
      </w:r>
      <w:r w:rsidR="0098509D">
        <w:rPr>
          <w:rFonts w:cstheme="minorHAnsi"/>
          <w:sz w:val="24"/>
          <w:szCs w:val="24"/>
        </w:rPr>
        <w:t>e</w:t>
      </w:r>
      <w:r w:rsidR="0098509D" w:rsidRPr="0056083F">
        <w:rPr>
          <w:rFonts w:cstheme="minorHAnsi"/>
          <w:sz w:val="24"/>
          <w:szCs w:val="24"/>
        </w:rPr>
        <w:t xml:space="preserve">thics </w:t>
      </w:r>
      <w:r w:rsidR="0098509D">
        <w:rPr>
          <w:rFonts w:cstheme="minorHAnsi"/>
          <w:sz w:val="24"/>
          <w:szCs w:val="24"/>
        </w:rPr>
        <w:t>committee</w:t>
      </w:r>
      <w:r w:rsidR="0098509D" w:rsidRPr="0056083F">
        <w:rPr>
          <w:rFonts w:cstheme="minorHAnsi"/>
          <w:sz w:val="24"/>
          <w:szCs w:val="24"/>
        </w:rPr>
        <w:t xml:space="preserve"> of each center</w:t>
      </w:r>
      <w:proofErr w:type="gramEnd"/>
      <w:r w:rsidR="00103246">
        <w:rPr>
          <w:rFonts w:cstheme="minorHAnsi"/>
          <w:sz w:val="24"/>
          <w:szCs w:val="24"/>
        </w:rPr>
        <w:t>.</w:t>
      </w:r>
      <w:r w:rsidR="00824060">
        <w:rPr>
          <w:rFonts w:cstheme="minorHAnsi"/>
          <w:sz w:val="24"/>
          <w:szCs w:val="24"/>
        </w:rPr>
        <w:t xml:space="preserve"> </w:t>
      </w:r>
      <w:proofErr w:type="gramStart"/>
      <w:r w:rsidR="00824060">
        <w:rPr>
          <w:rFonts w:cstheme="minorHAnsi"/>
          <w:sz w:val="24"/>
          <w:szCs w:val="24"/>
        </w:rPr>
        <w:t>In total, the participating centers included about a half of the total acute care beds in Israel and cover all areas of Israel.</w:t>
      </w:r>
      <w:proofErr w:type="gramEnd"/>
    </w:p>
    <w:bookmarkEnd w:id="0"/>
    <w:p w14:paraId="686D059C" w14:textId="77777777" w:rsidR="00270AD8" w:rsidRDefault="00270AD8" w:rsidP="00564D02">
      <w:pPr>
        <w:bidi w:val="0"/>
        <w:spacing w:line="480" w:lineRule="auto"/>
        <w:rPr>
          <w:rFonts w:cstheme="minorHAnsi"/>
          <w:i/>
          <w:iCs/>
          <w:sz w:val="24"/>
          <w:szCs w:val="24"/>
        </w:rPr>
      </w:pPr>
    </w:p>
    <w:p w14:paraId="397D1BC5" w14:textId="77777777" w:rsidR="00E87BF7" w:rsidRPr="00E11B59" w:rsidRDefault="00E87BF7" w:rsidP="00564D02">
      <w:pPr>
        <w:bidi w:val="0"/>
        <w:spacing w:line="480" w:lineRule="auto"/>
        <w:rPr>
          <w:rFonts w:cstheme="minorHAnsi"/>
          <w:i/>
          <w:iCs/>
          <w:sz w:val="24"/>
          <w:szCs w:val="24"/>
        </w:rPr>
      </w:pPr>
      <w:r w:rsidRPr="00E11B59">
        <w:rPr>
          <w:rFonts w:cstheme="minorHAnsi"/>
          <w:i/>
          <w:iCs/>
          <w:sz w:val="24"/>
          <w:szCs w:val="24"/>
        </w:rPr>
        <w:t>Data collection</w:t>
      </w:r>
    </w:p>
    <w:p w14:paraId="0F9F3634" w14:textId="1FA63423" w:rsidR="00CD2FB1" w:rsidRPr="0056083F" w:rsidRDefault="00E11B59" w:rsidP="00103246">
      <w:pPr>
        <w:bidi w:val="0"/>
        <w:spacing w:line="480" w:lineRule="auto"/>
        <w:rPr>
          <w:rFonts w:cstheme="minorHAnsi"/>
          <w:sz w:val="24"/>
          <w:szCs w:val="24"/>
        </w:rPr>
      </w:pPr>
      <w:r w:rsidRPr="0056083F">
        <w:rPr>
          <w:rFonts w:cstheme="minorHAnsi"/>
          <w:sz w:val="24"/>
          <w:szCs w:val="24"/>
        </w:rPr>
        <w:t xml:space="preserve">The study cohort included all HCWs who </w:t>
      </w:r>
      <w:proofErr w:type="gramStart"/>
      <w:r w:rsidRPr="0056083F">
        <w:rPr>
          <w:rFonts w:cstheme="minorHAnsi"/>
          <w:sz w:val="24"/>
          <w:szCs w:val="24"/>
        </w:rPr>
        <w:t>have been vaccinated</w:t>
      </w:r>
      <w:proofErr w:type="gramEnd"/>
      <w:r w:rsidRPr="0056083F">
        <w:rPr>
          <w:rFonts w:cstheme="minorHAnsi"/>
          <w:sz w:val="24"/>
          <w:szCs w:val="24"/>
        </w:rPr>
        <w:t xml:space="preserve"> with three</w:t>
      </w:r>
      <w:r w:rsidR="00A738BA">
        <w:rPr>
          <w:rFonts w:cstheme="minorHAnsi"/>
          <w:sz w:val="24"/>
          <w:szCs w:val="24"/>
        </w:rPr>
        <w:t xml:space="preserve"> BNT162b2</w:t>
      </w:r>
      <w:r w:rsidRPr="0056083F">
        <w:rPr>
          <w:rFonts w:cstheme="minorHAnsi"/>
          <w:sz w:val="24"/>
          <w:szCs w:val="24"/>
        </w:rPr>
        <w:t xml:space="preserve"> </w:t>
      </w:r>
      <w:r w:rsidR="00A738BA">
        <w:rPr>
          <w:rFonts w:cstheme="minorHAnsi"/>
          <w:sz w:val="24"/>
          <w:szCs w:val="24"/>
        </w:rPr>
        <w:t>doses</w:t>
      </w:r>
      <w:r w:rsidR="00A738BA" w:rsidRPr="0056083F">
        <w:rPr>
          <w:rFonts w:cstheme="minorHAnsi"/>
          <w:sz w:val="24"/>
          <w:szCs w:val="24"/>
        </w:rPr>
        <w:t xml:space="preserve"> </w:t>
      </w:r>
      <w:r w:rsidRPr="0056083F">
        <w:rPr>
          <w:rFonts w:cstheme="minorHAnsi"/>
          <w:sz w:val="24"/>
          <w:szCs w:val="24"/>
        </w:rPr>
        <w:t>and had not contracted COVID</w:t>
      </w:r>
      <w:r>
        <w:rPr>
          <w:rFonts w:cstheme="minorHAnsi"/>
          <w:sz w:val="24"/>
          <w:szCs w:val="24"/>
        </w:rPr>
        <w:t>-</w:t>
      </w:r>
      <w:r w:rsidRPr="0056083F">
        <w:rPr>
          <w:rFonts w:cstheme="minorHAnsi"/>
          <w:sz w:val="24"/>
          <w:szCs w:val="24"/>
        </w:rPr>
        <w:t xml:space="preserve">19 before January </w:t>
      </w:r>
      <w:r w:rsidR="00956755">
        <w:rPr>
          <w:rFonts w:cstheme="minorHAnsi"/>
          <w:sz w:val="24"/>
          <w:szCs w:val="24"/>
        </w:rPr>
        <w:t>3</w:t>
      </w:r>
      <w:r w:rsidRPr="0056083F">
        <w:rPr>
          <w:rFonts w:cstheme="minorHAnsi"/>
          <w:sz w:val="24"/>
          <w:szCs w:val="24"/>
        </w:rPr>
        <w:t>, 2022.</w:t>
      </w:r>
      <w:r>
        <w:rPr>
          <w:rFonts w:cstheme="minorHAnsi"/>
          <w:sz w:val="24"/>
          <w:szCs w:val="24"/>
        </w:rPr>
        <w:t xml:space="preserve"> </w:t>
      </w:r>
      <w:r w:rsidR="00B60DCB">
        <w:rPr>
          <w:rFonts w:cstheme="minorHAnsi"/>
          <w:sz w:val="24"/>
          <w:szCs w:val="24"/>
        </w:rPr>
        <w:t xml:space="preserve">We collected </w:t>
      </w:r>
      <w:r w:rsidR="00AF6972" w:rsidRPr="0056083F">
        <w:rPr>
          <w:rFonts w:cstheme="minorHAnsi"/>
          <w:sz w:val="24"/>
          <w:szCs w:val="24"/>
        </w:rPr>
        <w:t>anonym</w:t>
      </w:r>
      <w:r w:rsidR="001D4912">
        <w:rPr>
          <w:rFonts w:cstheme="minorHAnsi"/>
          <w:sz w:val="24"/>
          <w:szCs w:val="24"/>
        </w:rPr>
        <w:t>ized</w:t>
      </w:r>
      <w:r w:rsidR="00AF6972" w:rsidRPr="0056083F">
        <w:rPr>
          <w:rFonts w:cstheme="minorHAnsi"/>
          <w:sz w:val="24"/>
          <w:szCs w:val="24"/>
        </w:rPr>
        <w:t xml:space="preserve"> personnel</w:t>
      </w:r>
      <w:r w:rsidR="00AF6972">
        <w:rPr>
          <w:rFonts w:cstheme="minorHAnsi"/>
          <w:sz w:val="24"/>
          <w:szCs w:val="24"/>
        </w:rPr>
        <w:t xml:space="preserve"> demographics (</w:t>
      </w:r>
      <w:r w:rsidR="003023ED">
        <w:rPr>
          <w:rFonts w:cstheme="minorHAnsi"/>
          <w:sz w:val="24"/>
          <w:szCs w:val="24"/>
        </w:rPr>
        <w:t xml:space="preserve">sex, </w:t>
      </w:r>
      <w:r w:rsidR="00AF6972">
        <w:rPr>
          <w:rFonts w:cstheme="minorHAnsi"/>
          <w:sz w:val="24"/>
          <w:szCs w:val="24"/>
        </w:rPr>
        <w:t>age</w:t>
      </w:r>
      <w:r w:rsidR="00D039D0">
        <w:rPr>
          <w:rFonts w:cstheme="minorHAnsi"/>
          <w:sz w:val="24"/>
          <w:szCs w:val="24"/>
        </w:rPr>
        <w:t xml:space="preserve"> group</w:t>
      </w:r>
      <w:r w:rsidR="00AF6972">
        <w:rPr>
          <w:rFonts w:cstheme="minorHAnsi"/>
          <w:sz w:val="24"/>
          <w:szCs w:val="24"/>
        </w:rPr>
        <w:t>,</w:t>
      </w:r>
      <w:r w:rsidR="00D039D0">
        <w:rPr>
          <w:rFonts w:cstheme="minorHAnsi"/>
          <w:sz w:val="24"/>
          <w:szCs w:val="24"/>
        </w:rPr>
        <w:t xml:space="preserve"> profession) and</w:t>
      </w:r>
      <w:r w:rsidR="00AF6972">
        <w:rPr>
          <w:rFonts w:cstheme="minorHAnsi"/>
          <w:sz w:val="24"/>
          <w:szCs w:val="24"/>
        </w:rPr>
        <w:t xml:space="preserve"> </w:t>
      </w:r>
      <w:r w:rsidR="00CD2FB1" w:rsidRPr="0056083F">
        <w:rPr>
          <w:rFonts w:cstheme="minorHAnsi"/>
          <w:sz w:val="24"/>
          <w:szCs w:val="24"/>
        </w:rPr>
        <w:t>vaccination and</w:t>
      </w:r>
      <w:r w:rsidR="0056083F">
        <w:rPr>
          <w:rFonts w:cstheme="minorHAnsi"/>
          <w:sz w:val="24"/>
          <w:szCs w:val="24"/>
        </w:rPr>
        <w:t xml:space="preserve"> breakthrough</w:t>
      </w:r>
      <w:r w:rsidR="00CD2FB1" w:rsidRPr="0056083F">
        <w:rPr>
          <w:rFonts w:cstheme="minorHAnsi"/>
          <w:sz w:val="24"/>
          <w:szCs w:val="24"/>
        </w:rPr>
        <w:t xml:space="preserve"> </w:t>
      </w:r>
      <w:r w:rsidR="0056083F">
        <w:rPr>
          <w:rFonts w:cstheme="minorHAnsi"/>
          <w:sz w:val="24"/>
          <w:szCs w:val="24"/>
        </w:rPr>
        <w:t>infection</w:t>
      </w:r>
      <w:r w:rsidR="00CD2FB1" w:rsidRPr="0056083F">
        <w:rPr>
          <w:rFonts w:cstheme="minorHAnsi"/>
          <w:sz w:val="24"/>
          <w:szCs w:val="24"/>
        </w:rPr>
        <w:t xml:space="preserve"> dates</w:t>
      </w:r>
      <w:r w:rsidR="00EF5CC2">
        <w:rPr>
          <w:rFonts w:cstheme="minorHAnsi"/>
          <w:sz w:val="24"/>
          <w:szCs w:val="24"/>
        </w:rPr>
        <w:t xml:space="preserve"> for all participants</w:t>
      </w:r>
      <w:r w:rsidR="00A6462B">
        <w:rPr>
          <w:rFonts w:cstheme="minorHAnsi"/>
          <w:sz w:val="24"/>
          <w:szCs w:val="24"/>
        </w:rPr>
        <w:t xml:space="preserve">, until January </w:t>
      </w:r>
      <w:proofErr w:type="gramStart"/>
      <w:r w:rsidR="00A6462B">
        <w:rPr>
          <w:rFonts w:cstheme="minorHAnsi"/>
          <w:sz w:val="24"/>
          <w:szCs w:val="24"/>
        </w:rPr>
        <w:t>31</w:t>
      </w:r>
      <w:r w:rsidR="00A6462B" w:rsidRPr="00A6462B">
        <w:rPr>
          <w:rFonts w:cstheme="minorHAnsi"/>
          <w:sz w:val="24"/>
          <w:szCs w:val="24"/>
          <w:vertAlign w:val="superscript"/>
        </w:rPr>
        <w:t>st</w:t>
      </w:r>
      <w:proofErr w:type="gramEnd"/>
      <w:r w:rsidR="00A6462B">
        <w:rPr>
          <w:rFonts w:cstheme="minorHAnsi"/>
          <w:sz w:val="24"/>
          <w:szCs w:val="24"/>
        </w:rPr>
        <w:t>, 2022</w:t>
      </w:r>
      <w:r w:rsidR="0098509D">
        <w:rPr>
          <w:rFonts w:cstheme="minorHAnsi"/>
          <w:sz w:val="24"/>
          <w:szCs w:val="24"/>
        </w:rPr>
        <w:t xml:space="preserve">. </w:t>
      </w:r>
      <w:r w:rsidR="000A27C4" w:rsidRPr="0056083F">
        <w:rPr>
          <w:rFonts w:cstheme="minorHAnsi"/>
          <w:sz w:val="24"/>
          <w:szCs w:val="24"/>
        </w:rPr>
        <w:t xml:space="preserve">98.9% </w:t>
      </w:r>
      <w:r w:rsidR="000A27C4">
        <w:rPr>
          <w:rFonts w:cstheme="minorHAnsi"/>
          <w:sz w:val="24"/>
          <w:szCs w:val="24"/>
        </w:rPr>
        <w:t xml:space="preserve">of 4-dose recipients received their </w:t>
      </w:r>
      <w:proofErr w:type="gramStart"/>
      <w:r w:rsidR="000A27C4">
        <w:rPr>
          <w:rFonts w:cstheme="minorHAnsi"/>
          <w:sz w:val="24"/>
          <w:szCs w:val="24"/>
        </w:rPr>
        <w:t>3</w:t>
      </w:r>
      <w:r w:rsidR="000A27C4" w:rsidRPr="008C5CB7">
        <w:rPr>
          <w:rFonts w:cstheme="minorHAnsi"/>
          <w:sz w:val="24"/>
          <w:szCs w:val="24"/>
          <w:vertAlign w:val="superscript"/>
        </w:rPr>
        <w:t>rd</w:t>
      </w:r>
      <w:proofErr w:type="gramEnd"/>
      <w:r w:rsidR="000A27C4">
        <w:rPr>
          <w:rFonts w:cstheme="minorHAnsi"/>
          <w:sz w:val="24"/>
          <w:szCs w:val="24"/>
        </w:rPr>
        <w:t xml:space="preserve"> dose during August and September 2021</w:t>
      </w:r>
      <w:r w:rsidR="001B3395">
        <w:rPr>
          <w:rFonts w:cstheme="minorHAnsi"/>
          <w:sz w:val="24"/>
          <w:szCs w:val="24"/>
        </w:rPr>
        <w:t>.</w:t>
      </w:r>
      <w:r w:rsidR="000A27C4">
        <w:rPr>
          <w:rFonts w:cstheme="minorHAnsi"/>
          <w:sz w:val="24"/>
          <w:szCs w:val="24"/>
        </w:rPr>
        <w:t xml:space="preserve"> </w:t>
      </w:r>
      <w:r w:rsidR="00C6476A">
        <w:rPr>
          <w:rFonts w:cstheme="minorHAnsi"/>
          <w:sz w:val="24"/>
          <w:szCs w:val="24"/>
        </w:rPr>
        <w:t xml:space="preserve"> We compared the sex, age and profession of those who </w:t>
      </w:r>
      <w:proofErr w:type="gramStart"/>
      <w:r w:rsidR="00C6476A">
        <w:rPr>
          <w:rFonts w:cstheme="minorHAnsi"/>
          <w:sz w:val="24"/>
          <w:szCs w:val="24"/>
        </w:rPr>
        <w:t>were vaccinated</w:t>
      </w:r>
      <w:proofErr w:type="gramEnd"/>
      <w:r w:rsidR="00C6476A">
        <w:rPr>
          <w:rFonts w:cstheme="minorHAnsi"/>
          <w:sz w:val="24"/>
          <w:szCs w:val="24"/>
        </w:rPr>
        <w:t xml:space="preserve"> during these months to the entire cohort, with similar distribution</w:t>
      </w:r>
      <w:r w:rsidR="001B3395">
        <w:rPr>
          <w:rFonts w:cstheme="minorHAnsi"/>
          <w:sz w:val="24"/>
          <w:szCs w:val="24"/>
        </w:rPr>
        <w:t>s</w:t>
      </w:r>
      <w:r w:rsidR="00C6476A">
        <w:rPr>
          <w:rFonts w:cstheme="minorHAnsi"/>
          <w:sz w:val="24"/>
          <w:szCs w:val="24"/>
        </w:rPr>
        <w:t xml:space="preserve"> (Data not shown). Therefore, we </w:t>
      </w:r>
      <w:r w:rsidR="000A27C4">
        <w:rPr>
          <w:rFonts w:cstheme="minorHAnsi"/>
          <w:sz w:val="24"/>
          <w:szCs w:val="24"/>
        </w:rPr>
        <w:t xml:space="preserve">limited the analysis and comparison of 3-dose and 4-dose recipients to the HCWs who </w:t>
      </w:r>
      <w:proofErr w:type="gramStart"/>
      <w:r w:rsidR="000A27C4">
        <w:rPr>
          <w:rFonts w:cstheme="minorHAnsi"/>
          <w:sz w:val="24"/>
          <w:szCs w:val="24"/>
        </w:rPr>
        <w:t>were vaccinated</w:t>
      </w:r>
      <w:proofErr w:type="gramEnd"/>
      <w:r w:rsidR="000A27C4">
        <w:rPr>
          <w:rFonts w:cstheme="minorHAnsi"/>
          <w:sz w:val="24"/>
          <w:szCs w:val="24"/>
        </w:rPr>
        <w:t xml:space="preserve"> with the third dose </w:t>
      </w:r>
      <w:r w:rsidR="00C6476A">
        <w:rPr>
          <w:rFonts w:cstheme="minorHAnsi"/>
          <w:sz w:val="24"/>
          <w:szCs w:val="24"/>
        </w:rPr>
        <w:t xml:space="preserve">only during August and September 2021. </w:t>
      </w:r>
    </w:p>
    <w:p w14:paraId="69EF1000" w14:textId="6CF4665B" w:rsidR="00F05A1E" w:rsidRDefault="00CD2FB1">
      <w:pPr>
        <w:bidi w:val="0"/>
        <w:spacing w:line="480" w:lineRule="auto"/>
        <w:rPr>
          <w:rFonts w:cstheme="minorHAnsi"/>
          <w:sz w:val="24"/>
          <w:szCs w:val="24"/>
        </w:rPr>
      </w:pPr>
      <w:r w:rsidRPr="0056083F">
        <w:rPr>
          <w:rFonts w:cstheme="minorHAnsi"/>
          <w:sz w:val="24"/>
          <w:szCs w:val="24"/>
        </w:rPr>
        <w:t xml:space="preserve">We compared the relative </w:t>
      </w:r>
      <w:r w:rsidR="008D40C5">
        <w:rPr>
          <w:rFonts w:cstheme="minorHAnsi"/>
          <w:sz w:val="24"/>
          <w:szCs w:val="24"/>
        </w:rPr>
        <w:t>risk</w:t>
      </w:r>
      <w:r w:rsidR="008D40C5" w:rsidRPr="0056083F">
        <w:rPr>
          <w:rFonts w:cstheme="minorHAnsi"/>
          <w:sz w:val="24"/>
          <w:szCs w:val="24"/>
        </w:rPr>
        <w:t xml:space="preserve"> </w:t>
      </w:r>
      <w:r w:rsidR="00D078E3">
        <w:rPr>
          <w:rFonts w:cstheme="minorHAnsi"/>
          <w:sz w:val="24"/>
          <w:szCs w:val="24"/>
        </w:rPr>
        <w:t xml:space="preserve">and hazard ratio (as detailed below) </w:t>
      </w:r>
      <w:r w:rsidRPr="0056083F">
        <w:rPr>
          <w:rFonts w:cstheme="minorHAnsi"/>
          <w:sz w:val="24"/>
          <w:szCs w:val="24"/>
        </w:rPr>
        <w:t>of</w:t>
      </w:r>
      <w:r w:rsidR="00AD1D3D">
        <w:rPr>
          <w:rFonts w:cstheme="minorHAnsi"/>
          <w:sz w:val="24"/>
          <w:szCs w:val="24"/>
        </w:rPr>
        <w:t xml:space="preserve"> breakthrough COVID-19 infections</w:t>
      </w:r>
      <w:r w:rsidRPr="0056083F">
        <w:rPr>
          <w:rFonts w:cstheme="minorHAnsi"/>
          <w:sz w:val="24"/>
          <w:szCs w:val="24"/>
        </w:rPr>
        <w:t xml:space="preserve"> between HCWs who received </w:t>
      </w:r>
      <w:r w:rsidR="003023ED">
        <w:rPr>
          <w:rFonts w:cstheme="minorHAnsi"/>
          <w:sz w:val="24"/>
          <w:szCs w:val="24"/>
        </w:rPr>
        <w:t>three</w:t>
      </w:r>
      <w:r w:rsidRPr="0056083F">
        <w:rPr>
          <w:rFonts w:cstheme="minorHAnsi"/>
          <w:sz w:val="24"/>
          <w:szCs w:val="24"/>
        </w:rPr>
        <w:t xml:space="preserve"> and </w:t>
      </w:r>
      <w:r w:rsidR="003023ED">
        <w:rPr>
          <w:rFonts w:cstheme="minorHAnsi"/>
          <w:sz w:val="24"/>
          <w:szCs w:val="24"/>
        </w:rPr>
        <w:t>four</w:t>
      </w:r>
      <w:r w:rsidRPr="0056083F">
        <w:rPr>
          <w:rFonts w:cstheme="minorHAnsi"/>
          <w:sz w:val="24"/>
          <w:szCs w:val="24"/>
        </w:rPr>
        <w:t xml:space="preserve"> vaccin</w:t>
      </w:r>
      <w:r w:rsidR="003023ED">
        <w:rPr>
          <w:rFonts w:cstheme="minorHAnsi"/>
          <w:sz w:val="24"/>
          <w:szCs w:val="24"/>
        </w:rPr>
        <w:t>e</w:t>
      </w:r>
      <w:r w:rsidRPr="0056083F">
        <w:rPr>
          <w:rFonts w:cstheme="minorHAnsi"/>
          <w:sz w:val="24"/>
          <w:szCs w:val="24"/>
        </w:rPr>
        <w:t xml:space="preserve"> </w:t>
      </w:r>
      <w:r w:rsidR="003023ED">
        <w:rPr>
          <w:rFonts w:cstheme="minorHAnsi"/>
          <w:sz w:val="24"/>
          <w:szCs w:val="24"/>
        </w:rPr>
        <w:t>doses</w:t>
      </w:r>
      <w:r w:rsidRPr="0056083F">
        <w:rPr>
          <w:rFonts w:cstheme="minorHAnsi"/>
          <w:sz w:val="24"/>
          <w:szCs w:val="24"/>
        </w:rPr>
        <w:t>.</w:t>
      </w:r>
      <w:r w:rsidR="00D078E3">
        <w:rPr>
          <w:rFonts w:cstheme="minorHAnsi"/>
          <w:sz w:val="24"/>
          <w:szCs w:val="24"/>
        </w:rPr>
        <w:t xml:space="preserve"> In unmatched </w:t>
      </w:r>
      <w:r w:rsidR="00C51628">
        <w:rPr>
          <w:rFonts w:cstheme="minorHAnsi"/>
          <w:sz w:val="24"/>
          <w:szCs w:val="24"/>
        </w:rPr>
        <w:t>analyses,</w:t>
      </w:r>
      <w:r w:rsidR="00D078E3">
        <w:rPr>
          <w:rFonts w:cstheme="minorHAnsi"/>
          <w:sz w:val="24"/>
          <w:szCs w:val="24"/>
        </w:rPr>
        <w:t xml:space="preserve"> these measures of association </w:t>
      </w:r>
      <w:proofErr w:type="gramStart"/>
      <w:r w:rsidR="00D078E3">
        <w:rPr>
          <w:rFonts w:cstheme="minorHAnsi"/>
          <w:sz w:val="24"/>
          <w:szCs w:val="24"/>
        </w:rPr>
        <w:t>were compared</w:t>
      </w:r>
      <w:proofErr w:type="gramEnd"/>
      <w:r w:rsidR="00D078E3">
        <w:rPr>
          <w:rFonts w:cstheme="minorHAnsi"/>
          <w:sz w:val="24"/>
          <w:szCs w:val="24"/>
        </w:rPr>
        <w:t xml:space="preserve"> between 4-dose </w:t>
      </w:r>
      <w:r w:rsidR="00531F2B">
        <w:rPr>
          <w:rFonts w:cstheme="minorHAnsi"/>
          <w:sz w:val="24"/>
          <w:szCs w:val="24"/>
        </w:rPr>
        <w:lastRenderedPageBreak/>
        <w:t>recipients</w:t>
      </w:r>
      <w:r w:rsidR="00D078E3">
        <w:rPr>
          <w:rFonts w:cstheme="minorHAnsi"/>
          <w:sz w:val="24"/>
          <w:szCs w:val="24"/>
        </w:rPr>
        <w:t xml:space="preserve"> who were</w:t>
      </w:r>
      <w:r w:rsidR="00531F2B">
        <w:rPr>
          <w:rFonts w:cstheme="minorHAnsi"/>
          <w:sz w:val="24"/>
          <w:szCs w:val="24"/>
        </w:rPr>
        <w:t xml:space="preserve"> not infected </w:t>
      </w:r>
      <w:r w:rsidR="00D078E3">
        <w:rPr>
          <w:rFonts w:cstheme="minorHAnsi"/>
          <w:sz w:val="24"/>
          <w:szCs w:val="24"/>
        </w:rPr>
        <w:t xml:space="preserve">at least a week </w:t>
      </w:r>
      <w:r w:rsidR="00531F2B">
        <w:rPr>
          <w:rFonts w:cstheme="minorHAnsi"/>
          <w:sz w:val="24"/>
          <w:szCs w:val="24"/>
        </w:rPr>
        <w:t>after receiving</w:t>
      </w:r>
      <w:r w:rsidR="00D078E3">
        <w:rPr>
          <w:rFonts w:cstheme="minorHAnsi"/>
          <w:sz w:val="24"/>
          <w:szCs w:val="24"/>
        </w:rPr>
        <w:t xml:space="preserve"> the 4</w:t>
      </w:r>
      <w:r w:rsidR="00D078E3" w:rsidRPr="00E74FC6">
        <w:rPr>
          <w:rFonts w:cstheme="minorHAnsi"/>
          <w:sz w:val="24"/>
          <w:szCs w:val="24"/>
          <w:vertAlign w:val="superscript"/>
        </w:rPr>
        <w:t>th</w:t>
      </w:r>
      <w:r w:rsidR="00D078E3">
        <w:rPr>
          <w:rFonts w:cstheme="minorHAnsi"/>
          <w:sz w:val="24"/>
          <w:szCs w:val="24"/>
        </w:rPr>
        <w:t xml:space="preserve"> </w:t>
      </w:r>
      <w:r w:rsidR="00CC58E3">
        <w:rPr>
          <w:rFonts w:cstheme="minorHAnsi"/>
          <w:sz w:val="24"/>
          <w:szCs w:val="24"/>
        </w:rPr>
        <w:t>dose</w:t>
      </w:r>
      <w:r w:rsidR="00D078E3">
        <w:rPr>
          <w:rFonts w:cstheme="minorHAnsi"/>
          <w:sz w:val="24"/>
          <w:szCs w:val="24"/>
        </w:rPr>
        <w:t xml:space="preserve"> and </w:t>
      </w:r>
      <w:r w:rsidR="00531F2B">
        <w:rPr>
          <w:rFonts w:cstheme="minorHAnsi"/>
          <w:sz w:val="24"/>
          <w:szCs w:val="24"/>
        </w:rPr>
        <w:t xml:space="preserve">workers who received only </w:t>
      </w:r>
      <w:r w:rsidR="00C51628">
        <w:rPr>
          <w:rFonts w:cstheme="minorHAnsi"/>
          <w:sz w:val="24"/>
          <w:szCs w:val="24"/>
        </w:rPr>
        <w:t>three</w:t>
      </w:r>
      <w:r w:rsidR="00531F2B">
        <w:rPr>
          <w:rFonts w:cstheme="minorHAnsi"/>
          <w:sz w:val="24"/>
          <w:szCs w:val="24"/>
        </w:rPr>
        <w:t xml:space="preserve"> doses (this </w:t>
      </w:r>
      <w:r w:rsidR="00736B9E">
        <w:rPr>
          <w:rFonts w:cstheme="minorHAnsi"/>
          <w:sz w:val="24"/>
          <w:szCs w:val="24"/>
        </w:rPr>
        <w:t>group included</w:t>
      </w:r>
      <w:r w:rsidR="00531F2B">
        <w:rPr>
          <w:rFonts w:cstheme="minorHAnsi"/>
          <w:sz w:val="24"/>
          <w:szCs w:val="24"/>
        </w:rPr>
        <w:t xml:space="preserve"> </w:t>
      </w:r>
      <w:r w:rsidR="00824060">
        <w:rPr>
          <w:rFonts w:cstheme="minorHAnsi"/>
          <w:sz w:val="24"/>
          <w:szCs w:val="24"/>
        </w:rPr>
        <w:t xml:space="preserve">188 </w:t>
      </w:r>
      <w:r w:rsidR="00D078E3">
        <w:rPr>
          <w:rFonts w:cstheme="minorHAnsi"/>
          <w:sz w:val="24"/>
          <w:szCs w:val="24"/>
        </w:rPr>
        <w:t xml:space="preserve">4-dose </w:t>
      </w:r>
      <w:r w:rsidR="00531F2B">
        <w:rPr>
          <w:rFonts w:cstheme="minorHAnsi"/>
          <w:sz w:val="24"/>
          <w:szCs w:val="24"/>
        </w:rPr>
        <w:t>recipients</w:t>
      </w:r>
      <w:r w:rsidR="00586D95">
        <w:rPr>
          <w:rFonts w:cstheme="minorHAnsi"/>
          <w:sz w:val="24"/>
          <w:szCs w:val="24"/>
        </w:rPr>
        <w:t>,</w:t>
      </w:r>
      <w:r w:rsidR="00D078E3">
        <w:rPr>
          <w:rFonts w:cstheme="minorHAnsi"/>
          <w:sz w:val="24"/>
          <w:szCs w:val="24"/>
        </w:rPr>
        <w:t xml:space="preserve"> who had contracted COVID</w:t>
      </w:r>
      <w:r w:rsidR="00CF7E14">
        <w:rPr>
          <w:rFonts w:cstheme="minorHAnsi" w:hint="cs"/>
          <w:sz w:val="24"/>
          <w:szCs w:val="24"/>
          <w:rtl/>
        </w:rPr>
        <w:t>-</w:t>
      </w:r>
      <w:r w:rsidR="00D078E3">
        <w:rPr>
          <w:rFonts w:cstheme="minorHAnsi"/>
          <w:sz w:val="24"/>
          <w:szCs w:val="24"/>
        </w:rPr>
        <w:t xml:space="preserve">19 within a week from the </w:t>
      </w:r>
      <w:r w:rsidR="00C51628">
        <w:rPr>
          <w:rFonts w:cstheme="minorHAnsi"/>
          <w:sz w:val="24"/>
          <w:szCs w:val="24"/>
        </w:rPr>
        <w:t>fourth</w:t>
      </w:r>
      <w:r w:rsidR="00D078E3">
        <w:rPr>
          <w:rFonts w:cstheme="minorHAnsi"/>
          <w:sz w:val="24"/>
          <w:szCs w:val="24"/>
        </w:rPr>
        <w:t xml:space="preserve"> dose</w:t>
      </w:r>
      <w:r w:rsidR="00531F2B">
        <w:rPr>
          <w:rFonts w:cstheme="minorHAnsi"/>
          <w:sz w:val="24"/>
          <w:szCs w:val="24"/>
        </w:rPr>
        <w:t>, before the protecting effect of this vaccine</w:t>
      </w:r>
      <w:r w:rsidR="00736B9E">
        <w:rPr>
          <w:rFonts w:cstheme="minorHAnsi"/>
          <w:sz w:val="24"/>
          <w:szCs w:val="24"/>
        </w:rPr>
        <w:t>)</w:t>
      </w:r>
      <w:r w:rsidR="00D078E3">
        <w:rPr>
          <w:rFonts w:cstheme="minorHAnsi"/>
          <w:sz w:val="24"/>
          <w:szCs w:val="24"/>
        </w:rPr>
        <w:t xml:space="preserve">. </w:t>
      </w:r>
      <w:r w:rsidRPr="0056083F">
        <w:rPr>
          <w:rFonts w:cstheme="minorHAnsi"/>
          <w:sz w:val="24"/>
          <w:szCs w:val="24"/>
        </w:rPr>
        <w:t>Analys</w:t>
      </w:r>
      <w:r w:rsidR="003023ED">
        <w:rPr>
          <w:rFonts w:cstheme="minorHAnsi"/>
          <w:sz w:val="24"/>
          <w:szCs w:val="24"/>
        </w:rPr>
        <w:t>e</w:t>
      </w:r>
      <w:r w:rsidRPr="0056083F">
        <w:rPr>
          <w:rFonts w:cstheme="minorHAnsi"/>
          <w:sz w:val="24"/>
          <w:szCs w:val="24"/>
        </w:rPr>
        <w:t xml:space="preserve">s </w:t>
      </w:r>
      <w:r w:rsidR="003023ED">
        <w:rPr>
          <w:rFonts w:cstheme="minorHAnsi"/>
          <w:sz w:val="24"/>
          <w:szCs w:val="24"/>
        </w:rPr>
        <w:t>were</w:t>
      </w:r>
      <w:r w:rsidRPr="0056083F">
        <w:rPr>
          <w:rFonts w:cstheme="minorHAnsi"/>
          <w:sz w:val="24"/>
          <w:szCs w:val="24"/>
        </w:rPr>
        <w:t xml:space="preserve"> </w:t>
      </w:r>
      <w:r w:rsidR="003023ED">
        <w:rPr>
          <w:rFonts w:cstheme="minorHAnsi"/>
          <w:sz w:val="24"/>
          <w:szCs w:val="24"/>
        </w:rPr>
        <w:t>done</w:t>
      </w:r>
      <w:r w:rsidRPr="0056083F">
        <w:rPr>
          <w:rFonts w:cstheme="minorHAnsi"/>
          <w:sz w:val="24"/>
          <w:szCs w:val="24"/>
        </w:rPr>
        <w:t xml:space="preserve"> for the entire cohort and </w:t>
      </w:r>
      <w:r w:rsidR="00D078E3">
        <w:rPr>
          <w:rFonts w:cstheme="minorHAnsi"/>
          <w:sz w:val="24"/>
          <w:szCs w:val="24"/>
        </w:rPr>
        <w:t xml:space="preserve">stratified per </w:t>
      </w:r>
      <w:r w:rsidRPr="0056083F">
        <w:rPr>
          <w:rFonts w:cstheme="minorHAnsi"/>
          <w:sz w:val="24"/>
          <w:szCs w:val="24"/>
        </w:rPr>
        <w:t xml:space="preserve">subgroups: hospital, sex, age group (under </w:t>
      </w:r>
      <w:r w:rsidR="0081522F" w:rsidRPr="0056083F">
        <w:rPr>
          <w:rFonts w:cstheme="minorHAnsi"/>
          <w:sz w:val="24"/>
          <w:szCs w:val="24"/>
          <w:rtl/>
        </w:rPr>
        <w:t>4</w:t>
      </w:r>
      <w:r w:rsidRPr="0056083F">
        <w:rPr>
          <w:rFonts w:cstheme="minorHAnsi"/>
          <w:sz w:val="24"/>
          <w:szCs w:val="24"/>
        </w:rPr>
        <w:t>0</w:t>
      </w:r>
      <w:r w:rsidR="003023ED">
        <w:rPr>
          <w:rFonts w:cstheme="minorHAnsi"/>
          <w:sz w:val="24"/>
          <w:szCs w:val="24"/>
        </w:rPr>
        <w:t xml:space="preserve"> years</w:t>
      </w:r>
      <w:r w:rsidRPr="0056083F">
        <w:rPr>
          <w:rFonts w:cstheme="minorHAnsi"/>
          <w:sz w:val="24"/>
          <w:szCs w:val="24"/>
        </w:rPr>
        <w:t xml:space="preserve">, 40 to </w:t>
      </w:r>
      <w:r w:rsidR="0081522F" w:rsidRPr="0056083F">
        <w:rPr>
          <w:rFonts w:cstheme="minorHAnsi"/>
          <w:sz w:val="24"/>
          <w:szCs w:val="24"/>
          <w:rtl/>
        </w:rPr>
        <w:t>5</w:t>
      </w:r>
      <w:r w:rsidRPr="0056083F">
        <w:rPr>
          <w:rFonts w:cstheme="minorHAnsi"/>
          <w:sz w:val="24"/>
          <w:szCs w:val="24"/>
        </w:rPr>
        <w:t xml:space="preserve">9, 60 and older) and </w:t>
      </w:r>
      <w:r w:rsidR="003023ED">
        <w:rPr>
          <w:rFonts w:cstheme="minorHAnsi"/>
          <w:sz w:val="24"/>
          <w:szCs w:val="24"/>
        </w:rPr>
        <w:t>professio</w:t>
      </w:r>
      <w:r w:rsidR="00AD1D3D">
        <w:rPr>
          <w:rFonts w:cstheme="minorHAnsi"/>
          <w:sz w:val="24"/>
          <w:szCs w:val="24"/>
        </w:rPr>
        <w:t xml:space="preserve">n </w:t>
      </w:r>
      <w:r w:rsidRPr="0056083F">
        <w:rPr>
          <w:rFonts w:cstheme="minorHAnsi"/>
          <w:sz w:val="24"/>
          <w:szCs w:val="24"/>
        </w:rPr>
        <w:t>(</w:t>
      </w:r>
      <w:r w:rsidR="00894D18">
        <w:rPr>
          <w:rFonts w:cstheme="minorHAnsi"/>
          <w:sz w:val="24"/>
          <w:szCs w:val="24"/>
        </w:rPr>
        <w:t>physician</w:t>
      </w:r>
      <w:r w:rsidR="00AD1D3D">
        <w:rPr>
          <w:rFonts w:cstheme="minorHAnsi"/>
          <w:sz w:val="24"/>
          <w:szCs w:val="24"/>
        </w:rPr>
        <w:t>,</w:t>
      </w:r>
      <w:r w:rsidR="00AD1D3D" w:rsidRPr="0056083F">
        <w:rPr>
          <w:rFonts w:cstheme="minorHAnsi"/>
          <w:sz w:val="24"/>
          <w:szCs w:val="24"/>
        </w:rPr>
        <w:t xml:space="preserve"> </w:t>
      </w:r>
      <w:r w:rsidRPr="0056083F">
        <w:rPr>
          <w:rFonts w:cstheme="minorHAnsi"/>
          <w:sz w:val="24"/>
          <w:szCs w:val="24"/>
        </w:rPr>
        <w:t>nursing, other). We generated an inverse Kaplan-Me</w:t>
      </w:r>
      <w:r w:rsidR="000472B6">
        <w:rPr>
          <w:rFonts w:cstheme="minorHAnsi"/>
          <w:sz w:val="24"/>
          <w:szCs w:val="24"/>
        </w:rPr>
        <w:t>i</w:t>
      </w:r>
      <w:r w:rsidRPr="0056083F">
        <w:rPr>
          <w:rFonts w:cstheme="minorHAnsi"/>
          <w:sz w:val="24"/>
          <w:szCs w:val="24"/>
        </w:rPr>
        <w:t>er survival curve demonstrating the proportion of HCWs who contracted COVID</w:t>
      </w:r>
      <w:r w:rsidR="00EF4E14">
        <w:rPr>
          <w:rFonts w:cstheme="minorHAnsi"/>
          <w:sz w:val="24"/>
          <w:szCs w:val="24"/>
        </w:rPr>
        <w:t>-</w:t>
      </w:r>
      <w:r w:rsidR="00736B9E">
        <w:rPr>
          <w:rFonts w:cstheme="minorHAnsi"/>
          <w:sz w:val="24"/>
          <w:szCs w:val="24"/>
        </w:rPr>
        <w:t>1</w:t>
      </w:r>
      <w:r w:rsidRPr="0056083F">
        <w:rPr>
          <w:rFonts w:cstheme="minorHAnsi"/>
          <w:sz w:val="24"/>
          <w:szCs w:val="24"/>
        </w:rPr>
        <w:t xml:space="preserve">9 </w:t>
      </w:r>
      <w:r w:rsidR="00A26581">
        <w:rPr>
          <w:rFonts w:cstheme="minorHAnsi"/>
          <w:sz w:val="24"/>
          <w:szCs w:val="24"/>
        </w:rPr>
        <w:t>in each group</w:t>
      </w:r>
      <w:r w:rsidR="00A6462B">
        <w:rPr>
          <w:rFonts w:cstheme="minorHAnsi"/>
          <w:sz w:val="24"/>
          <w:szCs w:val="24"/>
        </w:rPr>
        <w:t xml:space="preserve"> </w:t>
      </w:r>
      <w:r w:rsidR="00A32BB2">
        <w:rPr>
          <w:rFonts w:cstheme="minorHAnsi"/>
          <w:sz w:val="24"/>
          <w:szCs w:val="24"/>
        </w:rPr>
        <w:t>(three and four vaccine doses groups)</w:t>
      </w:r>
      <w:r w:rsidR="00A26581">
        <w:rPr>
          <w:rFonts w:cstheme="minorHAnsi"/>
          <w:sz w:val="24"/>
          <w:szCs w:val="24"/>
        </w:rPr>
        <w:t xml:space="preserve">, </w:t>
      </w:r>
      <w:r w:rsidRPr="0056083F">
        <w:rPr>
          <w:rFonts w:cstheme="minorHAnsi"/>
          <w:sz w:val="24"/>
          <w:szCs w:val="24"/>
        </w:rPr>
        <w:t>during January 2022</w:t>
      </w:r>
      <w:r w:rsidR="00A32BB2">
        <w:rPr>
          <w:rFonts w:cstheme="minorHAnsi"/>
          <w:sz w:val="24"/>
          <w:szCs w:val="24"/>
        </w:rPr>
        <w:t>.</w:t>
      </w:r>
      <w:r w:rsidR="00EF4E14">
        <w:rPr>
          <w:rFonts w:cstheme="minorHAnsi"/>
          <w:sz w:val="24"/>
          <w:szCs w:val="24"/>
        </w:rPr>
        <w:t xml:space="preserve"> </w:t>
      </w:r>
      <w:r w:rsidR="00F05A1E">
        <w:rPr>
          <w:rFonts w:cstheme="minorHAnsi"/>
          <w:sz w:val="24"/>
          <w:szCs w:val="24"/>
        </w:rPr>
        <w:t xml:space="preserve">Curves </w:t>
      </w:r>
      <w:proofErr w:type="gramStart"/>
      <w:r w:rsidR="00F05A1E">
        <w:rPr>
          <w:rFonts w:cstheme="minorHAnsi"/>
          <w:sz w:val="24"/>
          <w:szCs w:val="24"/>
        </w:rPr>
        <w:t>were compared</w:t>
      </w:r>
      <w:proofErr w:type="gramEnd"/>
      <w:r w:rsidR="00F05A1E">
        <w:rPr>
          <w:rFonts w:cstheme="minorHAnsi"/>
          <w:sz w:val="24"/>
          <w:szCs w:val="24"/>
        </w:rPr>
        <w:t xml:space="preserve"> with the log-rank test</w:t>
      </w:r>
      <w:r w:rsidR="00D078E3">
        <w:rPr>
          <w:rFonts w:cstheme="minorHAnsi"/>
          <w:sz w:val="24"/>
          <w:szCs w:val="24"/>
        </w:rPr>
        <w:t>.</w:t>
      </w:r>
      <w:r w:rsidR="00F05A1E">
        <w:rPr>
          <w:rFonts w:cstheme="minorHAnsi"/>
          <w:sz w:val="24"/>
          <w:szCs w:val="24"/>
        </w:rPr>
        <w:t xml:space="preserve"> </w:t>
      </w:r>
    </w:p>
    <w:p w14:paraId="1345C929" w14:textId="79EC4E54" w:rsidR="0081522F" w:rsidRPr="0056083F" w:rsidRDefault="00A26581" w:rsidP="00564D02">
      <w:pPr>
        <w:bidi w:val="0"/>
        <w:spacing w:line="480" w:lineRule="auto"/>
        <w:rPr>
          <w:rFonts w:cstheme="minorHAnsi"/>
          <w:sz w:val="24"/>
          <w:szCs w:val="24"/>
          <w:rtl/>
        </w:rPr>
      </w:pPr>
      <w:r w:rsidRPr="0056083F">
        <w:rPr>
          <w:rFonts w:cstheme="minorHAnsi"/>
          <w:sz w:val="24"/>
          <w:szCs w:val="24"/>
        </w:rPr>
        <w:t>We</w:t>
      </w:r>
      <w:r>
        <w:rPr>
          <w:rFonts w:cstheme="minorHAnsi"/>
          <w:sz w:val="24"/>
          <w:szCs w:val="24"/>
        </w:rPr>
        <w:t xml:space="preserve"> </w:t>
      </w:r>
      <w:r w:rsidR="004B7BFA">
        <w:rPr>
          <w:rFonts w:cstheme="minorHAnsi"/>
          <w:sz w:val="24"/>
          <w:szCs w:val="24"/>
        </w:rPr>
        <w:t>p</w:t>
      </w:r>
      <w:r w:rsidR="00CD2FB1" w:rsidRPr="0056083F">
        <w:rPr>
          <w:rFonts w:cstheme="minorHAnsi"/>
          <w:sz w:val="24"/>
          <w:szCs w:val="24"/>
        </w:rPr>
        <w:t>erformed t</w:t>
      </w:r>
      <w:r>
        <w:rPr>
          <w:rFonts w:cstheme="minorHAnsi"/>
          <w:sz w:val="24"/>
          <w:szCs w:val="24"/>
        </w:rPr>
        <w:t>w</w:t>
      </w:r>
      <w:r w:rsidR="00CD2FB1" w:rsidRPr="0056083F">
        <w:rPr>
          <w:rFonts w:cstheme="minorHAnsi"/>
          <w:sz w:val="24"/>
          <w:szCs w:val="24"/>
        </w:rPr>
        <w:t xml:space="preserve">o </w:t>
      </w:r>
      <w:r>
        <w:rPr>
          <w:rFonts w:cstheme="minorHAnsi"/>
          <w:sz w:val="24"/>
          <w:szCs w:val="24"/>
        </w:rPr>
        <w:t xml:space="preserve">additional </w:t>
      </w:r>
      <w:r w:rsidR="00CD2FB1" w:rsidRPr="0056083F">
        <w:rPr>
          <w:rFonts w:cstheme="minorHAnsi"/>
          <w:sz w:val="24"/>
          <w:szCs w:val="24"/>
        </w:rPr>
        <w:t xml:space="preserve">analyses to </w:t>
      </w:r>
      <w:r w:rsidR="00D858CD">
        <w:rPr>
          <w:rFonts w:cstheme="minorHAnsi"/>
          <w:sz w:val="24"/>
          <w:szCs w:val="24"/>
        </w:rPr>
        <w:t>assess</w:t>
      </w:r>
      <w:r w:rsidR="00D858CD" w:rsidRPr="0056083F">
        <w:rPr>
          <w:rFonts w:cstheme="minorHAnsi"/>
          <w:sz w:val="24"/>
          <w:szCs w:val="24"/>
        </w:rPr>
        <w:t xml:space="preserve"> </w:t>
      </w:r>
      <w:r w:rsidR="00CD2FB1" w:rsidRPr="0056083F">
        <w:rPr>
          <w:rFonts w:cstheme="minorHAnsi"/>
          <w:sz w:val="24"/>
          <w:szCs w:val="24"/>
        </w:rPr>
        <w:t xml:space="preserve">the robustness of </w:t>
      </w:r>
      <w:r>
        <w:rPr>
          <w:rFonts w:cstheme="minorHAnsi"/>
          <w:sz w:val="24"/>
          <w:szCs w:val="24"/>
        </w:rPr>
        <w:t>the</w:t>
      </w:r>
      <w:r w:rsidR="00CD2FB1" w:rsidRPr="0056083F">
        <w:rPr>
          <w:rFonts w:cstheme="minorHAnsi"/>
          <w:sz w:val="24"/>
          <w:szCs w:val="24"/>
        </w:rPr>
        <w:t xml:space="preserve"> results</w:t>
      </w:r>
      <w:r w:rsidR="00CD2FB1" w:rsidRPr="0056083F">
        <w:rPr>
          <w:rFonts w:cstheme="minorHAnsi"/>
          <w:sz w:val="24"/>
          <w:szCs w:val="24"/>
          <w:rtl/>
        </w:rPr>
        <w:t>:</w:t>
      </w:r>
      <w:r w:rsidR="00407C93">
        <w:rPr>
          <w:rFonts w:cstheme="minorHAnsi"/>
          <w:sz w:val="24"/>
          <w:szCs w:val="24"/>
        </w:rPr>
        <w:t xml:space="preserve"> </w:t>
      </w:r>
      <w:r w:rsidR="004B7BFA">
        <w:rPr>
          <w:rFonts w:cstheme="minorHAnsi"/>
          <w:sz w:val="24"/>
          <w:szCs w:val="24"/>
        </w:rPr>
        <w:t xml:space="preserve">1) </w:t>
      </w:r>
      <w:r w:rsidR="004B7BFA" w:rsidRPr="0056083F">
        <w:rPr>
          <w:rFonts w:cstheme="minorHAnsi"/>
          <w:sz w:val="24"/>
          <w:szCs w:val="24"/>
        </w:rPr>
        <w:t>Matched analysis</w:t>
      </w:r>
      <w:r w:rsidR="004B7BFA">
        <w:rPr>
          <w:rFonts w:cstheme="minorHAnsi"/>
          <w:sz w:val="24"/>
          <w:szCs w:val="24"/>
        </w:rPr>
        <w:t xml:space="preserve"> – </w:t>
      </w:r>
      <w:r w:rsidR="004B7BFA" w:rsidRPr="0056083F">
        <w:rPr>
          <w:rFonts w:cstheme="minorHAnsi"/>
          <w:sz w:val="24"/>
          <w:szCs w:val="24"/>
        </w:rPr>
        <w:t xml:space="preserve">we matched HCWs who received the </w:t>
      </w:r>
      <w:proofErr w:type="gramStart"/>
      <w:r w:rsidR="004B7BFA" w:rsidRPr="0056083F">
        <w:rPr>
          <w:rFonts w:cstheme="minorHAnsi"/>
          <w:sz w:val="24"/>
          <w:szCs w:val="24"/>
        </w:rPr>
        <w:t>4</w:t>
      </w:r>
      <w:r w:rsidR="004B7BFA" w:rsidRPr="0056083F">
        <w:rPr>
          <w:rFonts w:cstheme="minorHAnsi"/>
          <w:sz w:val="24"/>
          <w:szCs w:val="24"/>
          <w:vertAlign w:val="superscript"/>
        </w:rPr>
        <w:t>th</w:t>
      </w:r>
      <w:proofErr w:type="gramEnd"/>
      <w:r w:rsidR="004B7BFA" w:rsidRPr="0056083F">
        <w:rPr>
          <w:rFonts w:cstheme="minorHAnsi"/>
          <w:sz w:val="24"/>
          <w:szCs w:val="24"/>
        </w:rPr>
        <w:t xml:space="preserve"> </w:t>
      </w:r>
      <w:r w:rsidR="004B7BFA">
        <w:rPr>
          <w:rFonts w:cstheme="minorHAnsi"/>
          <w:sz w:val="24"/>
          <w:szCs w:val="24"/>
        </w:rPr>
        <w:t>dose</w:t>
      </w:r>
      <w:r w:rsidR="004B7BFA" w:rsidRPr="0056083F">
        <w:rPr>
          <w:rFonts w:cstheme="minorHAnsi"/>
          <w:sz w:val="24"/>
          <w:szCs w:val="24"/>
        </w:rPr>
        <w:t xml:space="preserve"> to </w:t>
      </w:r>
      <w:r w:rsidR="004B7BFA">
        <w:rPr>
          <w:rFonts w:cstheme="minorHAnsi"/>
          <w:sz w:val="24"/>
          <w:szCs w:val="24"/>
        </w:rPr>
        <w:t>those</w:t>
      </w:r>
      <w:r w:rsidR="004B7BFA" w:rsidRPr="0056083F">
        <w:rPr>
          <w:rFonts w:cstheme="minorHAnsi"/>
          <w:sz w:val="24"/>
          <w:szCs w:val="24"/>
        </w:rPr>
        <w:t xml:space="preserve"> who received</w:t>
      </w:r>
      <w:r w:rsidR="004B7BFA">
        <w:rPr>
          <w:rFonts w:cstheme="minorHAnsi"/>
          <w:sz w:val="24"/>
          <w:szCs w:val="24"/>
        </w:rPr>
        <w:t xml:space="preserve"> only three doses </w:t>
      </w:r>
      <w:r w:rsidR="00064E89">
        <w:rPr>
          <w:rFonts w:cstheme="minorHAnsi"/>
          <w:sz w:val="24"/>
          <w:szCs w:val="24"/>
        </w:rPr>
        <w:t>(1:1 matching)</w:t>
      </w:r>
      <w:r w:rsidR="00407C93">
        <w:rPr>
          <w:rFonts w:cstheme="minorHAnsi"/>
          <w:sz w:val="24"/>
          <w:szCs w:val="24"/>
        </w:rPr>
        <w:t xml:space="preserve">. </w:t>
      </w:r>
      <w:r w:rsidR="00FA1826">
        <w:rPr>
          <w:rFonts w:cstheme="minorHAnsi"/>
          <w:sz w:val="24"/>
          <w:szCs w:val="24"/>
        </w:rPr>
        <w:t xml:space="preserve">For each 4-dose vaccinated participant </w:t>
      </w:r>
      <w:proofErr w:type="gramStart"/>
      <w:r w:rsidR="00FA1826">
        <w:rPr>
          <w:rFonts w:cstheme="minorHAnsi"/>
          <w:sz w:val="24"/>
          <w:szCs w:val="24"/>
        </w:rPr>
        <w:t xml:space="preserve">a 3-dose vaccinated participant </w:t>
      </w:r>
      <w:r w:rsidR="00407C93">
        <w:rPr>
          <w:rFonts w:cstheme="minorHAnsi"/>
          <w:sz w:val="24"/>
          <w:szCs w:val="24"/>
        </w:rPr>
        <w:t>w</w:t>
      </w:r>
      <w:r w:rsidR="00FA1826">
        <w:rPr>
          <w:rFonts w:cstheme="minorHAnsi"/>
          <w:sz w:val="24"/>
          <w:szCs w:val="24"/>
        </w:rPr>
        <w:t>as</w:t>
      </w:r>
      <w:r w:rsidR="00407C93">
        <w:rPr>
          <w:rFonts w:cstheme="minorHAnsi"/>
          <w:sz w:val="24"/>
          <w:szCs w:val="24"/>
        </w:rPr>
        <w:t xml:space="preserve"> matched by </w:t>
      </w:r>
      <w:r w:rsidR="0081522F" w:rsidRPr="0056083F">
        <w:rPr>
          <w:rFonts w:cstheme="minorHAnsi"/>
          <w:sz w:val="24"/>
          <w:szCs w:val="24"/>
        </w:rPr>
        <w:t xml:space="preserve">sex, age group, </w:t>
      </w:r>
      <w:r w:rsidR="00407C93">
        <w:rPr>
          <w:rFonts w:cstheme="minorHAnsi"/>
          <w:sz w:val="24"/>
          <w:szCs w:val="24"/>
        </w:rPr>
        <w:t>profession</w:t>
      </w:r>
      <w:r w:rsidR="0081522F" w:rsidRPr="0056083F">
        <w:rPr>
          <w:rFonts w:cstheme="minorHAnsi"/>
          <w:sz w:val="24"/>
          <w:szCs w:val="24"/>
        </w:rPr>
        <w:t>, hospital</w:t>
      </w:r>
      <w:r w:rsidR="00407C93">
        <w:rPr>
          <w:rFonts w:cstheme="minorHAnsi"/>
          <w:sz w:val="24"/>
          <w:szCs w:val="24"/>
        </w:rPr>
        <w:t xml:space="preserve"> </w:t>
      </w:r>
      <w:r w:rsidR="0081522F" w:rsidRPr="0056083F">
        <w:rPr>
          <w:rFonts w:cstheme="minorHAnsi"/>
          <w:sz w:val="24"/>
          <w:szCs w:val="24"/>
        </w:rPr>
        <w:t>and</w:t>
      </w:r>
      <w:r w:rsidR="00407C93">
        <w:rPr>
          <w:rFonts w:cstheme="minorHAnsi"/>
          <w:sz w:val="24"/>
          <w:szCs w:val="24"/>
        </w:rPr>
        <w:t xml:space="preserve"> date of </w:t>
      </w:r>
      <w:r w:rsidR="0081522F" w:rsidRPr="0056083F">
        <w:rPr>
          <w:rFonts w:cstheme="minorHAnsi"/>
          <w:sz w:val="24"/>
          <w:szCs w:val="24"/>
        </w:rPr>
        <w:t>receiv</w:t>
      </w:r>
      <w:r w:rsidR="00407C93">
        <w:rPr>
          <w:rFonts w:cstheme="minorHAnsi"/>
          <w:sz w:val="24"/>
          <w:szCs w:val="24"/>
        </w:rPr>
        <w:t>ing</w:t>
      </w:r>
      <w:r w:rsidR="0081522F" w:rsidRPr="0056083F">
        <w:rPr>
          <w:rFonts w:cstheme="minorHAnsi"/>
          <w:sz w:val="24"/>
          <w:szCs w:val="24"/>
        </w:rPr>
        <w:t xml:space="preserve"> the </w:t>
      </w:r>
      <w:r w:rsidR="00C51628" w:rsidRPr="0056083F">
        <w:rPr>
          <w:rFonts w:cstheme="minorHAnsi"/>
          <w:sz w:val="24"/>
          <w:szCs w:val="24"/>
        </w:rPr>
        <w:t>third</w:t>
      </w:r>
      <w:r w:rsidR="0081522F" w:rsidRPr="0056083F">
        <w:rPr>
          <w:rFonts w:cstheme="minorHAnsi"/>
          <w:sz w:val="24"/>
          <w:szCs w:val="24"/>
        </w:rPr>
        <w:t xml:space="preserve"> vaccin</w:t>
      </w:r>
      <w:r w:rsidR="00407C93">
        <w:rPr>
          <w:rFonts w:cstheme="minorHAnsi"/>
          <w:sz w:val="24"/>
          <w:szCs w:val="24"/>
        </w:rPr>
        <w:t>e dose</w:t>
      </w:r>
      <w:r w:rsidR="00FA1826">
        <w:rPr>
          <w:rFonts w:cstheme="minorHAnsi"/>
          <w:sz w:val="24"/>
          <w:szCs w:val="24"/>
        </w:rPr>
        <w:t xml:space="preserve"> (exact matching)</w:t>
      </w:r>
      <w:proofErr w:type="gramEnd"/>
      <w:r w:rsidR="00407C93">
        <w:rPr>
          <w:rFonts w:cstheme="minorHAnsi"/>
          <w:sz w:val="24"/>
          <w:szCs w:val="24"/>
        </w:rPr>
        <w:t xml:space="preserve">. </w:t>
      </w:r>
      <w:r w:rsidR="009B0A71">
        <w:rPr>
          <w:rFonts w:cstheme="minorHAnsi"/>
          <w:sz w:val="24"/>
          <w:szCs w:val="24"/>
        </w:rPr>
        <w:t xml:space="preserve">Matching </w:t>
      </w:r>
      <w:proofErr w:type="gramStart"/>
      <w:r w:rsidR="009B0A71">
        <w:rPr>
          <w:rFonts w:cstheme="minorHAnsi"/>
          <w:sz w:val="24"/>
          <w:szCs w:val="24"/>
        </w:rPr>
        <w:t>was done</w:t>
      </w:r>
      <w:proofErr w:type="gramEnd"/>
      <w:r w:rsidR="009B0A71">
        <w:rPr>
          <w:rFonts w:cstheme="minorHAnsi"/>
          <w:sz w:val="24"/>
          <w:szCs w:val="24"/>
        </w:rPr>
        <w:t xml:space="preserve"> only if the 3-doses participant was not infected by the date the matched 4-dose partner was vaccinated</w:t>
      </w:r>
      <w:r w:rsidR="0081522F" w:rsidRPr="0056083F">
        <w:rPr>
          <w:rFonts w:cstheme="minorHAnsi"/>
          <w:sz w:val="24"/>
          <w:szCs w:val="24"/>
        </w:rPr>
        <w:t>.</w:t>
      </w:r>
      <w:r w:rsidR="00DA7D65">
        <w:rPr>
          <w:rFonts w:cstheme="minorHAnsi"/>
          <w:sz w:val="24"/>
          <w:szCs w:val="24"/>
        </w:rPr>
        <w:t xml:space="preserve"> If multiple potential matching partners existed</w:t>
      </w:r>
      <w:r w:rsidR="004B7BFA">
        <w:rPr>
          <w:rFonts w:cstheme="minorHAnsi"/>
          <w:sz w:val="24"/>
          <w:szCs w:val="24"/>
        </w:rPr>
        <w:t>,</w:t>
      </w:r>
      <w:r w:rsidR="00DA7D65">
        <w:rPr>
          <w:rFonts w:cstheme="minorHAnsi"/>
          <w:sz w:val="24"/>
          <w:szCs w:val="24"/>
        </w:rPr>
        <w:t xml:space="preserve"> one </w:t>
      </w:r>
      <w:proofErr w:type="gramStart"/>
      <w:r w:rsidR="00DA7D65">
        <w:rPr>
          <w:rFonts w:cstheme="minorHAnsi"/>
          <w:sz w:val="24"/>
          <w:szCs w:val="24"/>
        </w:rPr>
        <w:t>was randomly selected</w:t>
      </w:r>
      <w:proofErr w:type="gramEnd"/>
      <w:r w:rsidR="00DA7D65">
        <w:rPr>
          <w:rFonts w:cstheme="minorHAnsi"/>
          <w:sz w:val="24"/>
          <w:szCs w:val="24"/>
        </w:rPr>
        <w:t xml:space="preserve">. </w:t>
      </w:r>
      <w:r w:rsidR="009B0A71">
        <w:rPr>
          <w:rFonts w:cstheme="minorHAnsi"/>
          <w:sz w:val="24"/>
          <w:szCs w:val="24"/>
        </w:rPr>
        <w:t xml:space="preserve">We </w:t>
      </w:r>
      <w:r w:rsidR="009B0A71" w:rsidRPr="0056083F">
        <w:rPr>
          <w:rFonts w:cstheme="minorHAnsi"/>
          <w:sz w:val="24"/>
          <w:szCs w:val="24"/>
        </w:rPr>
        <w:t>us</w:t>
      </w:r>
      <w:r w:rsidR="009B0A71">
        <w:rPr>
          <w:rFonts w:cstheme="minorHAnsi"/>
          <w:sz w:val="24"/>
          <w:szCs w:val="24"/>
        </w:rPr>
        <w:t>ed</w:t>
      </w:r>
      <w:r w:rsidR="009B0A71" w:rsidRPr="0056083F">
        <w:rPr>
          <w:rFonts w:cstheme="minorHAnsi"/>
          <w:sz w:val="24"/>
          <w:szCs w:val="24"/>
        </w:rPr>
        <w:t xml:space="preserve"> the </w:t>
      </w:r>
      <w:proofErr w:type="spellStart"/>
      <w:r w:rsidR="009B0A71" w:rsidRPr="0056083F">
        <w:rPr>
          <w:rFonts w:cstheme="minorHAnsi"/>
          <w:sz w:val="24"/>
          <w:szCs w:val="24"/>
        </w:rPr>
        <w:t>McNemar</w:t>
      </w:r>
      <w:proofErr w:type="spellEnd"/>
      <w:r w:rsidR="009B0A71" w:rsidRPr="0056083F">
        <w:rPr>
          <w:rFonts w:cstheme="minorHAnsi"/>
          <w:sz w:val="24"/>
          <w:szCs w:val="24"/>
        </w:rPr>
        <w:t xml:space="preserve"> test </w:t>
      </w:r>
      <w:r w:rsidR="009B0A71">
        <w:rPr>
          <w:rFonts w:cstheme="minorHAnsi"/>
          <w:sz w:val="24"/>
          <w:szCs w:val="24"/>
        </w:rPr>
        <w:t xml:space="preserve">for the </w:t>
      </w:r>
      <w:r w:rsidR="009B0A71" w:rsidRPr="0056083F">
        <w:rPr>
          <w:rFonts w:cstheme="minorHAnsi"/>
          <w:sz w:val="24"/>
          <w:szCs w:val="24"/>
        </w:rPr>
        <w:t xml:space="preserve">matched </w:t>
      </w:r>
      <w:r w:rsidR="0081522F" w:rsidRPr="0056083F">
        <w:rPr>
          <w:rFonts w:cstheme="minorHAnsi"/>
          <w:sz w:val="24"/>
          <w:szCs w:val="24"/>
        </w:rPr>
        <w:t>analysis</w:t>
      </w:r>
      <w:r w:rsidR="009B0A71">
        <w:rPr>
          <w:rFonts w:cstheme="minorHAnsi"/>
          <w:sz w:val="24"/>
          <w:szCs w:val="24"/>
        </w:rPr>
        <w:t>;</w:t>
      </w:r>
      <w:r w:rsidR="0081522F" w:rsidRPr="0056083F">
        <w:rPr>
          <w:rFonts w:cstheme="minorHAnsi"/>
          <w:sz w:val="24"/>
          <w:szCs w:val="24"/>
        </w:rPr>
        <w:t xml:space="preserve"> confidence intervals </w:t>
      </w:r>
      <w:r w:rsidR="00F05A1E">
        <w:rPr>
          <w:rFonts w:cstheme="minorHAnsi"/>
          <w:sz w:val="24"/>
          <w:szCs w:val="24"/>
        </w:rPr>
        <w:t xml:space="preserve">for the relative risk </w:t>
      </w:r>
      <w:proofErr w:type="gramStart"/>
      <w:r w:rsidR="0081522F" w:rsidRPr="0056083F">
        <w:rPr>
          <w:rFonts w:cstheme="minorHAnsi"/>
          <w:sz w:val="24"/>
          <w:szCs w:val="24"/>
        </w:rPr>
        <w:t>were calculated</w:t>
      </w:r>
      <w:proofErr w:type="gramEnd"/>
      <w:r w:rsidR="0081522F" w:rsidRPr="0056083F">
        <w:rPr>
          <w:rFonts w:cstheme="minorHAnsi"/>
          <w:sz w:val="24"/>
          <w:szCs w:val="24"/>
        </w:rPr>
        <w:t xml:space="preserve"> </w:t>
      </w:r>
      <w:r w:rsidR="009B0A71">
        <w:rPr>
          <w:rFonts w:cstheme="minorHAnsi"/>
          <w:sz w:val="24"/>
          <w:szCs w:val="24"/>
        </w:rPr>
        <w:t>using</w:t>
      </w:r>
      <w:r w:rsidR="0081522F" w:rsidRPr="0056083F">
        <w:rPr>
          <w:rFonts w:cstheme="minorHAnsi"/>
          <w:sz w:val="24"/>
          <w:szCs w:val="24"/>
        </w:rPr>
        <w:t xml:space="preserve"> the Wald method. We </w:t>
      </w:r>
      <w:r w:rsidR="00A10EF1">
        <w:rPr>
          <w:rFonts w:cstheme="minorHAnsi"/>
          <w:sz w:val="24"/>
          <w:szCs w:val="24"/>
        </w:rPr>
        <w:t xml:space="preserve">then </w:t>
      </w:r>
      <w:r w:rsidR="0081522F" w:rsidRPr="0056083F">
        <w:rPr>
          <w:rFonts w:cstheme="minorHAnsi"/>
          <w:sz w:val="24"/>
          <w:szCs w:val="24"/>
        </w:rPr>
        <w:t>generated a</w:t>
      </w:r>
      <w:r w:rsidR="00A10EF1">
        <w:rPr>
          <w:rFonts w:cstheme="minorHAnsi"/>
          <w:sz w:val="24"/>
          <w:szCs w:val="24"/>
        </w:rPr>
        <w:t xml:space="preserve"> similar </w:t>
      </w:r>
      <w:r w:rsidR="0081522F" w:rsidRPr="0056083F">
        <w:rPr>
          <w:rFonts w:cstheme="minorHAnsi"/>
          <w:sz w:val="24"/>
          <w:szCs w:val="24"/>
        </w:rPr>
        <w:t>inverse Kaplan-Me</w:t>
      </w:r>
      <w:r w:rsidR="000472B6">
        <w:rPr>
          <w:rFonts w:cstheme="minorHAnsi"/>
          <w:sz w:val="24"/>
          <w:szCs w:val="24"/>
        </w:rPr>
        <w:t>i</w:t>
      </w:r>
      <w:r w:rsidR="0081522F" w:rsidRPr="0056083F">
        <w:rPr>
          <w:rFonts w:cstheme="minorHAnsi"/>
          <w:sz w:val="24"/>
          <w:szCs w:val="24"/>
        </w:rPr>
        <w:t xml:space="preserve">er survival curve </w:t>
      </w:r>
      <w:r w:rsidR="001E3470">
        <w:rPr>
          <w:rFonts w:cstheme="minorHAnsi"/>
          <w:sz w:val="24"/>
          <w:szCs w:val="24"/>
        </w:rPr>
        <w:t>for the matched analysis</w:t>
      </w:r>
      <w:r w:rsidR="0081522F" w:rsidRPr="0056083F">
        <w:rPr>
          <w:rFonts w:cstheme="minorHAnsi"/>
          <w:sz w:val="24"/>
          <w:szCs w:val="24"/>
        </w:rPr>
        <w:t>.</w:t>
      </w:r>
      <w:r w:rsidR="001E3470">
        <w:rPr>
          <w:rFonts w:cstheme="minorHAnsi"/>
          <w:sz w:val="24"/>
          <w:szCs w:val="24"/>
        </w:rPr>
        <w:t xml:space="preserve"> We used t</w:t>
      </w:r>
      <w:r w:rsidR="0081522F" w:rsidRPr="0056083F">
        <w:rPr>
          <w:rFonts w:cstheme="minorHAnsi"/>
          <w:sz w:val="24"/>
          <w:szCs w:val="24"/>
        </w:rPr>
        <w:t xml:space="preserve">he </w:t>
      </w:r>
      <w:r w:rsidR="001E3470" w:rsidRPr="0056083F">
        <w:rPr>
          <w:rFonts w:cstheme="minorHAnsi"/>
          <w:sz w:val="24"/>
          <w:szCs w:val="24"/>
        </w:rPr>
        <w:t>Prentice-Wilcoxon test</w:t>
      </w:r>
      <w:r w:rsidR="001E3470">
        <w:rPr>
          <w:rFonts w:cstheme="minorHAnsi"/>
          <w:sz w:val="24"/>
          <w:szCs w:val="24"/>
        </w:rPr>
        <w:t xml:space="preserve"> and</w:t>
      </w:r>
      <w:r w:rsidR="0081522F" w:rsidRPr="0056083F">
        <w:rPr>
          <w:rFonts w:cstheme="minorHAnsi"/>
          <w:sz w:val="24"/>
          <w:szCs w:val="24"/>
        </w:rPr>
        <w:t xml:space="preserve"> the </w:t>
      </w:r>
      <w:proofErr w:type="spellStart"/>
      <w:r w:rsidR="0081522F" w:rsidRPr="0056083F">
        <w:rPr>
          <w:rFonts w:cstheme="minorHAnsi"/>
          <w:sz w:val="24"/>
          <w:szCs w:val="24"/>
        </w:rPr>
        <w:t>Gehan</w:t>
      </w:r>
      <w:proofErr w:type="spellEnd"/>
      <w:r w:rsidR="0081522F" w:rsidRPr="0056083F">
        <w:rPr>
          <w:rFonts w:cstheme="minorHAnsi"/>
          <w:sz w:val="24"/>
          <w:szCs w:val="24"/>
        </w:rPr>
        <w:t xml:space="preserve"> test for comparison of paired data. </w:t>
      </w:r>
      <w:r w:rsidR="00CA3256">
        <w:rPr>
          <w:rFonts w:cstheme="minorHAnsi"/>
          <w:sz w:val="24"/>
          <w:szCs w:val="24"/>
        </w:rPr>
        <w:t xml:space="preserve">These analyses </w:t>
      </w:r>
      <w:proofErr w:type="gramStart"/>
      <w:r w:rsidR="00CA3256">
        <w:rPr>
          <w:rFonts w:cstheme="minorHAnsi"/>
          <w:sz w:val="24"/>
          <w:szCs w:val="24"/>
        </w:rPr>
        <w:t>wer</w:t>
      </w:r>
      <w:r w:rsidR="0081522F" w:rsidRPr="0056083F">
        <w:rPr>
          <w:rFonts w:cstheme="minorHAnsi"/>
          <w:sz w:val="24"/>
          <w:szCs w:val="24"/>
        </w:rPr>
        <w:t xml:space="preserve">e </w:t>
      </w:r>
      <w:r w:rsidR="00CA3256">
        <w:rPr>
          <w:rFonts w:cstheme="minorHAnsi"/>
          <w:sz w:val="24"/>
          <w:szCs w:val="24"/>
        </w:rPr>
        <w:t>performed</w:t>
      </w:r>
      <w:proofErr w:type="gramEnd"/>
      <w:r w:rsidR="00CA3256">
        <w:rPr>
          <w:rFonts w:cstheme="minorHAnsi"/>
          <w:sz w:val="24"/>
          <w:szCs w:val="24"/>
        </w:rPr>
        <w:t xml:space="preserve"> using the</w:t>
      </w:r>
      <w:r w:rsidR="0081522F" w:rsidRPr="0056083F">
        <w:rPr>
          <w:rFonts w:cstheme="minorHAnsi"/>
          <w:sz w:val="24"/>
          <w:szCs w:val="24"/>
        </w:rPr>
        <w:t xml:space="preserve"> WINPEPI </w:t>
      </w:r>
      <w:r w:rsidR="001E3470">
        <w:rPr>
          <w:rFonts w:cstheme="minorHAnsi"/>
          <w:sz w:val="24"/>
          <w:szCs w:val="24"/>
        </w:rPr>
        <w:t>software</w:t>
      </w:r>
      <w:r w:rsidR="001F76A4">
        <w:rPr>
          <w:rFonts w:cstheme="minorHAnsi"/>
          <w:sz w:val="24"/>
          <w:szCs w:val="24"/>
        </w:rPr>
        <w:t xml:space="preserve"> (Version</w:t>
      </w:r>
      <w:r w:rsidR="00F05A1E">
        <w:rPr>
          <w:rFonts w:cstheme="minorHAnsi"/>
          <w:sz w:val="24"/>
          <w:szCs w:val="24"/>
        </w:rPr>
        <w:t xml:space="preserve"> 11.65</w:t>
      </w:r>
      <w:r w:rsidR="001F76A4">
        <w:rPr>
          <w:rFonts w:cstheme="minorHAnsi"/>
          <w:sz w:val="24"/>
          <w:szCs w:val="24"/>
        </w:rPr>
        <w:t>)</w:t>
      </w:r>
      <w:r w:rsidR="0081522F" w:rsidRPr="0056083F">
        <w:rPr>
          <w:rFonts w:cstheme="minorHAnsi"/>
          <w:sz w:val="24"/>
          <w:szCs w:val="24"/>
        </w:rPr>
        <w:t>.</w:t>
      </w:r>
    </w:p>
    <w:p w14:paraId="176F5983" w14:textId="5573049A" w:rsidR="00C01518" w:rsidRDefault="009B0A71" w:rsidP="00564D02">
      <w:pPr>
        <w:bidi w:val="0"/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CD2FB1" w:rsidRPr="0056083F">
        <w:rPr>
          <w:rFonts w:cstheme="minorHAnsi"/>
          <w:sz w:val="24"/>
          <w:szCs w:val="24"/>
        </w:rPr>
        <w:t xml:space="preserve">) Regression modelling </w:t>
      </w:r>
      <w:r w:rsidR="008E6549">
        <w:rPr>
          <w:rFonts w:cstheme="minorHAnsi"/>
          <w:sz w:val="24"/>
          <w:szCs w:val="24"/>
        </w:rPr>
        <w:t>-</w:t>
      </w:r>
      <w:r w:rsidR="005C15AC">
        <w:rPr>
          <w:rFonts w:cstheme="minorHAnsi"/>
          <w:sz w:val="24"/>
          <w:szCs w:val="24"/>
        </w:rPr>
        <w:t xml:space="preserve"> </w:t>
      </w:r>
      <w:r w:rsidR="008E6549">
        <w:rPr>
          <w:rFonts w:cstheme="minorHAnsi"/>
          <w:sz w:val="24"/>
          <w:szCs w:val="24"/>
        </w:rPr>
        <w:t>t</w:t>
      </w:r>
      <w:r w:rsidR="005C15AC">
        <w:rPr>
          <w:rFonts w:cstheme="minorHAnsi"/>
          <w:sz w:val="24"/>
          <w:szCs w:val="24"/>
        </w:rPr>
        <w:t xml:space="preserve">he </w:t>
      </w:r>
      <w:r w:rsidR="005C15AC" w:rsidRPr="0056083F">
        <w:rPr>
          <w:rFonts w:cstheme="minorHAnsi"/>
          <w:sz w:val="24"/>
          <w:szCs w:val="24"/>
        </w:rPr>
        <w:t xml:space="preserve">timing </w:t>
      </w:r>
      <w:r w:rsidR="00CD2FB1" w:rsidRPr="0056083F">
        <w:rPr>
          <w:rFonts w:cstheme="minorHAnsi"/>
          <w:sz w:val="24"/>
          <w:szCs w:val="24"/>
        </w:rPr>
        <w:t xml:space="preserve">of </w:t>
      </w:r>
      <w:r w:rsidR="005C15AC">
        <w:rPr>
          <w:rFonts w:cstheme="minorHAnsi"/>
          <w:sz w:val="24"/>
          <w:szCs w:val="24"/>
        </w:rPr>
        <w:t>receiving</w:t>
      </w:r>
      <w:r w:rsidR="00CD2FB1" w:rsidRPr="0056083F">
        <w:rPr>
          <w:rFonts w:cstheme="minorHAnsi"/>
          <w:sz w:val="24"/>
          <w:szCs w:val="24"/>
        </w:rPr>
        <w:t xml:space="preserve"> the 4</w:t>
      </w:r>
      <w:r w:rsidR="00CD2FB1" w:rsidRPr="005C15AC">
        <w:rPr>
          <w:rFonts w:cstheme="minorHAnsi"/>
          <w:sz w:val="24"/>
          <w:szCs w:val="24"/>
          <w:vertAlign w:val="superscript"/>
        </w:rPr>
        <w:t>th</w:t>
      </w:r>
      <w:r w:rsidR="00CD2FB1" w:rsidRPr="0056083F">
        <w:rPr>
          <w:rFonts w:cstheme="minorHAnsi"/>
          <w:sz w:val="24"/>
          <w:szCs w:val="24"/>
        </w:rPr>
        <w:t xml:space="preserve"> dose was at the participants’ discretion and could have taken place at any </w:t>
      </w:r>
      <w:r w:rsidR="005E68E6">
        <w:rPr>
          <w:rFonts w:cstheme="minorHAnsi"/>
          <w:sz w:val="24"/>
          <w:szCs w:val="24"/>
        </w:rPr>
        <w:t>day</w:t>
      </w:r>
      <w:r w:rsidR="00CD2FB1" w:rsidRPr="0056083F">
        <w:rPr>
          <w:rFonts w:cstheme="minorHAnsi"/>
          <w:sz w:val="24"/>
          <w:szCs w:val="24"/>
        </w:rPr>
        <w:t xml:space="preserve"> after </w:t>
      </w:r>
      <w:r w:rsidR="004D66C2">
        <w:rPr>
          <w:rFonts w:cstheme="minorHAnsi"/>
          <w:sz w:val="24"/>
          <w:szCs w:val="24"/>
        </w:rPr>
        <w:t xml:space="preserve">recommending </w:t>
      </w:r>
      <w:r w:rsidR="005E68E6">
        <w:rPr>
          <w:rFonts w:cstheme="minorHAnsi"/>
          <w:sz w:val="24"/>
          <w:szCs w:val="24"/>
        </w:rPr>
        <w:t>the 4</w:t>
      </w:r>
      <w:r w:rsidR="005E68E6" w:rsidRPr="005E68E6">
        <w:rPr>
          <w:rFonts w:cstheme="minorHAnsi"/>
          <w:sz w:val="24"/>
          <w:szCs w:val="24"/>
          <w:vertAlign w:val="superscript"/>
        </w:rPr>
        <w:t>th</w:t>
      </w:r>
      <w:r w:rsidR="005E68E6">
        <w:rPr>
          <w:rFonts w:cstheme="minorHAnsi"/>
          <w:sz w:val="24"/>
          <w:szCs w:val="24"/>
        </w:rPr>
        <w:t xml:space="preserve"> vaccine </w:t>
      </w:r>
      <w:r w:rsidR="005E68E6">
        <w:rPr>
          <w:rFonts w:cstheme="minorHAnsi"/>
          <w:sz w:val="24"/>
          <w:szCs w:val="24"/>
        </w:rPr>
        <w:lastRenderedPageBreak/>
        <w:t>for HCWs</w:t>
      </w:r>
      <w:r w:rsidR="002C6284">
        <w:rPr>
          <w:rFonts w:cstheme="minorHAnsi"/>
          <w:sz w:val="24"/>
          <w:szCs w:val="24"/>
        </w:rPr>
        <w:t xml:space="preserve"> and</w:t>
      </w:r>
      <w:r w:rsidR="00CD2FB1" w:rsidRPr="0056083F">
        <w:rPr>
          <w:rFonts w:cstheme="minorHAnsi"/>
          <w:sz w:val="24"/>
          <w:szCs w:val="24"/>
        </w:rPr>
        <w:t xml:space="preserve"> </w:t>
      </w:r>
      <w:r w:rsidR="002C6284">
        <w:rPr>
          <w:rFonts w:cstheme="minorHAnsi"/>
          <w:sz w:val="24"/>
          <w:szCs w:val="24"/>
        </w:rPr>
        <w:t>t</w:t>
      </w:r>
      <w:r w:rsidR="00CD2FB1" w:rsidRPr="0056083F">
        <w:rPr>
          <w:rFonts w:cstheme="minorHAnsi"/>
          <w:sz w:val="24"/>
          <w:szCs w:val="24"/>
        </w:rPr>
        <w:t>herefore, exposure status to the 4</w:t>
      </w:r>
      <w:r w:rsidR="00CD2FB1" w:rsidRPr="005E68E6">
        <w:rPr>
          <w:rFonts w:cstheme="minorHAnsi"/>
          <w:sz w:val="24"/>
          <w:szCs w:val="24"/>
          <w:vertAlign w:val="superscript"/>
        </w:rPr>
        <w:t>th</w:t>
      </w:r>
      <w:r w:rsidR="00CD2FB1" w:rsidRPr="0056083F">
        <w:rPr>
          <w:rFonts w:cstheme="minorHAnsi"/>
          <w:sz w:val="24"/>
          <w:szCs w:val="24"/>
        </w:rPr>
        <w:t xml:space="preserve"> dose </w:t>
      </w:r>
      <w:r w:rsidR="00600845">
        <w:rPr>
          <w:rFonts w:cstheme="minorHAnsi"/>
          <w:sz w:val="24"/>
          <w:szCs w:val="24"/>
        </w:rPr>
        <w:t>varied</w:t>
      </w:r>
      <w:r w:rsidR="00600845" w:rsidRPr="0056083F">
        <w:rPr>
          <w:rFonts w:cstheme="minorHAnsi"/>
          <w:sz w:val="24"/>
          <w:szCs w:val="24"/>
        </w:rPr>
        <w:t xml:space="preserve"> </w:t>
      </w:r>
      <w:r w:rsidR="00CD2FB1" w:rsidRPr="0056083F">
        <w:rPr>
          <w:rFonts w:cstheme="minorHAnsi"/>
          <w:sz w:val="24"/>
          <w:szCs w:val="24"/>
        </w:rPr>
        <w:t xml:space="preserve">over time. To account for </w:t>
      </w:r>
      <w:r w:rsidR="00EF4B72">
        <w:rPr>
          <w:rFonts w:cstheme="minorHAnsi"/>
          <w:sz w:val="24"/>
          <w:szCs w:val="24"/>
        </w:rPr>
        <w:t xml:space="preserve">the </w:t>
      </w:r>
      <w:r w:rsidR="00CD2FB1" w:rsidRPr="0056083F">
        <w:rPr>
          <w:rFonts w:cstheme="minorHAnsi"/>
          <w:sz w:val="24"/>
          <w:szCs w:val="24"/>
        </w:rPr>
        <w:t>changing exposure status throughout the study period</w:t>
      </w:r>
      <w:r w:rsidR="001E5385">
        <w:rPr>
          <w:rFonts w:cstheme="minorHAnsi"/>
          <w:sz w:val="24"/>
          <w:szCs w:val="24"/>
        </w:rPr>
        <w:t>,</w:t>
      </w:r>
      <w:r w:rsidR="00150ED6">
        <w:rPr>
          <w:rFonts w:cstheme="minorHAnsi"/>
          <w:sz w:val="24"/>
          <w:szCs w:val="24"/>
        </w:rPr>
        <w:t xml:space="preserve"> a </w:t>
      </w:r>
      <w:r w:rsidR="00CD2FB1" w:rsidRPr="0056083F">
        <w:rPr>
          <w:rFonts w:cstheme="minorHAnsi"/>
          <w:sz w:val="24"/>
          <w:szCs w:val="24"/>
        </w:rPr>
        <w:t>Cox</w:t>
      </w:r>
      <w:r w:rsidR="0050769D">
        <w:rPr>
          <w:rFonts w:cstheme="minorHAnsi"/>
          <w:sz w:val="24"/>
          <w:szCs w:val="24"/>
        </w:rPr>
        <w:t>-</w:t>
      </w:r>
      <w:r w:rsidR="00CD2FB1" w:rsidRPr="0056083F">
        <w:rPr>
          <w:rFonts w:cstheme="minorHAnsi"/>
          <w:sz w:val="24"/>
          <w:szCs w:val="24"/>
        </w:rPr>
        <w:t>regression analysis</w:t>
      </w:r>
      <w:r w:rsidR="00556D8B">
        <w:rPr>
          <w:rFonts w:cstheme="minorHAnsi"/>
          <w:sz w:val="24"/>
          <w:szCs w:val="24"/>
        </w:rPr>
        <w:t xml:space="preserve"> with exposure status as a time-varying covariate</w:t>
      </w:r>
      <w:r w:rsidR="00CD2FB1" w:rsidRPr="0056083F">
        <w:rPr>
          <w:rFonts w:cstheme="minorHAnsi"/>
          <w:sz w:val="24"/>
          <w:szCs w:val="24"/>
        </w:rPr>
        <w:t xml:space="preserve"> was conducted, evaluating the hazard</w:t>
      </w:r>
      <w:r w:rsidR="0050769D">
        <w:rPr>
          <w:rFonts w:cstheme="minorHAnsi"/>
          <w:sz w:val="24"/>
          <w:szCs w:val="24"/>
        </w:rPr>
        <w:t>-</w:t>
      </w:r>
      <w:r w:rsidR="00CD2FB1" w:rsidRPr="0056083F">
        <w:rPr>
          <w:rFonts w:cstheme="minorHAnsi"/>
          <w:sz w:val="24"/>
          <w:szCs w:val="24"/>
        </w:rPr>
        <w:t xml:space="preserve">ratio associated with </w:t>
      </w:r>
      <w:r w:rsidR="0050769D">
        <w:rPr>
          <w:rFonts w:cstheme="minorHAnsi"/>
          <w:sz w:val="24"/>
          <w:szCs w:val="24"/>
        </w:rPr>
        <w:t>4</w:t>
      </w:r>
      <w:bookmarkStart w:id="1" w:name="_GoBack"/>
      <w:bookmarkEnd w:id="1"/>
      <w:r w:rsidR="0050769D" w:rsidRPr="0050769D">
        <w:rPr>
          <w:rFonts w:cstheme="minorHAnsi"/>
          <w:sz w:val="24"/>
          <w:szCs w:val="24"/>
          <w:vertAlign w:val="superscript"/>
        </w:rPr>
        <w:t>th</w:t>
      </w:r>
      <w:r w:rsidR="0050769D">
        <w:rPr>
          <w:rFonts w:cstheme="minorHAnsi"/>
          <w:sz w:val="24"/>
          <w:szCs w:val="24"/>
        </w:rPr>
        <w:t xml:space="preserve"> </w:t>
      </w:r>
      <w:r w:rsidR="00CD2FB1" w:rsidRPr="0056083F">
        <w:rPr>
          <w:rFonts w:cstheme="minorHAnsi"/>
          <w:sz w:val="24"/>
          <w:szCs w:val="24"/>
        </w:rPr>
        <w:t xml:space="preserve">dose </w:t>
      </w:r>
      <w:r w:rsidR="005B5ABB">
        <w:rPr>
          <w:rFonts w:cstheme="minorHAnsi"/>
          <w:sz w:val="24"/>
          <w:szCs w:val="24"/>
        </w:rPr>
        <w:t xml:space="preserve">exposure </w:t>
      </w:r>
      <w:r w:rsidR="00CD2FB1" w:rsidRPr="0056083F">
        <w:rPr>
          <w:rFonts w:cstheme="minorHAnsi"/>
          <w:sz w:val="24"/>
          <w:szCs w:val="24"/>
        </w:rPr>
        <w:t xml:space="preserve">status among HCWs who received </w:t>
      </w:r>
      <w:r w:rsidR="0050769D">
        <w:rPr>
          <w:rFonts w:cstheme="minorHAnsi"/>
          <w:sz w:val="24"/>
          <w:szCs w:val="24"/>
        </w:rPr>
        <w:t>three vaccine</w:t>
      </w:r>
      <w:r w:rsidR="00CD2FB1" w:rsidRPr="0056083F">
        <w:rPr>
          <w:rFonts w:cstheme="minorHAnsi"/>
          <w:sz w:val="24"/>
          <w:szCs w:val="24"/>
        </w:rPr>
        <w:t xml:space="preserve"> doses </w:t>
      </w:r>
      <w:r w:rsidR="0050769D">
        <w:rPr>
          <w:rFonts w:cstheme="minorHAnsi"/>
          <w:sz w:val="24"/>
          <w:szCs w:val="24"/>
        </w:rPr>
        <w:t>during</w:t>
      </w:r>
      <w:r w:rsidR="00CD2FB1" w:rsidRPr="0056083F">
        <w:rPr>
          <w:rFonts w:cstheme="minorHAnsi"/>
          <w:sz w:val="24"/>
          <w:szCs w:val="24"/>
        </w:rPr>
        <w:t xml:space="preserve"> August and </w:t>
      </w:r>
      <w:r w:rsidR="0050769D">
        <w:rPr>
          <w:rFonts w:cstheme="minorHAnsi"/>
          <w:sz w:val="24"/>
          <w:szCs w:val="24"/>
        </w:rPr>
        <w:t>September</w:t>
      </w:r>
      <w:r w:rsidR="00CD2FB1" w:rsidRPr="0056083F">
        <w:rPr>
          <w:rFonts w:cstheme="minorHAnsi"/>
          <w:sz w:val="24"/>
          <w:szCs w:val="24"/>
        </w:rPr>
        <w:t xml:space="preserve"> 2021. All participants were defined as unexposed at study initiation and as exposed </w:t>
      </w:r>
      <w:r w:rsidR="0050769D">
        <w:rPr>
          <w:rFonts w:cstheme="minorHAnsi"/>
          <w:sz w:val="24"/>
          <w:szCs w:val="24"/>
        </w:rPr>
        <w:t xml:space="preserve">seven days after </w:t>
      </w:r>
      <w:r w:rsidR="00CD2FB1" w:rsidRPr="0056083F">
        <w:rPr>
          <w:rFonts w:cstheme="minorHAnsi"/>
          <w:sz w:val="24"/>
          <w:szCs w:val="24"/>
        </w:rPr>
        <w:t>recei</w:t>
      </w:r>
      <w:r w:rsidR="0050769D">
        <w:rPr>
          <w:rFonts w:cstheme="minorHAnsi"/>
          <w:sz w:val="24"/>
          <w:szCs w:val="24"/>
        </w:rPr>
        <w:t xml:space="preserve">ving the </w:t>
      </w:r>
      <w:proofErr w:type="gramStart"/>
      <w:r w:rsidR="0050769D">
        <w:rPr>
          <w:rFonts w:cstheme="minorHAnsi"/>
          <w:sz w:val="24"/>
          <w:szCs w:val="24"/>
        </w:rPr>
        <w:t>4</w:t>
      </w:r>
      <w:r w:rsidR="0050769D" w:rsidRPr="0050769D">
        <w:rPr>
          <w:rFonts w:cstheme="minorHAnsi"/>
          <w:sz w:val="24"/>
          <w:szCs w:val="24"/>
          <w:vertAlign w:val="superscript"/>
        </w:rPr>
        <w:t>th</w:t>
      </w:r>
      <w:proofErr w:type="gramEnd"/>
      <w:r w:rsidR="0050769D">
        <w:rPr>
          <w:rFonts w:cstheme="minorHAnsi"/>
          <w:sz w:val="24"/>
          <w:szCs w:val="24"/>
        </w:rPr>
        <w:t xml:space="preserve"> </w:t>
      </w:r>
      <w:r w:rsidR="0050769D" w:rsidRPr="00F05A1E">
        <w:rPr>
          <w:rFonts w:cstheme="minorHAnsi"/>
          <w:sz w:val="24"/>
          <w:szCs w:val="24"/>
        </w:rPr>
        <w:t>dose</w:t>
      </w:r>
      <w:r w:rsidR="00CD2FB1" w:rsidRPr="00F14C2C">
        <w:rPr>
          <w:rFonts w:cstheme="minorHAnsi"/>
          <w:sz w:val="24"/>
          <w:szCs w:val="24"/>
        </w:rPr>
        <w:t xml:space="preserve">. </w:t>
      </w:r>
      <w:r w:rsidR="00CD2FB1" w:rsidRPr="0056083F">
        <w:rPr>
          <w:rFonts w:cstheme="minorHAnsi"/>
          <w:sz w:val="24"/>
          <w:szCs w:val="24"/>
        </w:rPr>
        <w:t xml:space="preserve">Participants </w:t>
      </w:r>
      <w:proofErr w:type="gramStart"/>
      <w:r w:rsidR="00CD2FB1" w:rsidRPr="0056083F">
        <w:rPr>
          <w:rFonts w:cstheme="minorHAnsi"/>
          <w:sz w:val="24"/>
          <w:szCs w:val="24"/>
        </w:rPr>
        <w:t>were censored</w:t>
      </w:r>
      <w:proofErr w:type="gramEnd"/>
      <w:r w:rsidR="00CD2FB1" w:rsidRPr="0056083F">
        <w:rPr>
          <w:rFonts w:cstheme="minorHAnsi"/>
          <w:sz w:val="24"/>
          <w:szCs w:val="24"/>
        </w:rPr>
        <w:t xml:space="preserve"> due to a confirmed SARS-CoV-2 infection or at the end of the study period. The Cox</w:t>
      </w:r>
      <w:r w:rsidR="00125E07">
        <w:rPr>
          <w:rFonts w:cstheme="minorHAnsi"/>
          <w:sz w:val="24"/>
          <w:szCs w:val="24"/>
        </w:rPr>
        <w:t>-</w:t>
      </w:r>
      <w:r w:rsidR="00CD2FB1" w:rsidRPr="0056083F">
        <w:rPr>
          <w:rFonts w:cstheme="minorHAnsi"/>
          <w:sz w:val="24"/>
          <w:szCs w:val="24"/>
        </w:rPr>
        <w:t xml:space="preserve">regression model was adjusted for </w:t>
      </w:r>
      <w:r w:rsidR="00125E07" w:rsidRPr="0056083F">
        <w:rPr>
          <w:rFonts w:cstheme="minorHAnsi"/>
          <w:sz w:val="24"/>
          <w:szCs w:val="24"/>
        </w:rPr>
        <w:t>sex</w:t>
      </w:r>
      <w:r w:rsidR="00125E07">
        <w:rPr>
          <w:rFonts w:cstheme="minorHAnsi"/>
          <w:sz w:val="24"/>
          <w:szCs w:val="24"/>
        </w:rPr>
        <w:t>,</w:t>
      </w:r>
      <w:r w:rsidR="00125E07" w:rsidRPr="0056083F">
        <w:rPr>
          <w:rFonts w:cstheme="minorHAnsi"/>
          <w:sz w:val="24"/>
          <w:szCs w:val="24"/>
        </w:rPr>
        <w:t xml:space="preserve"> </w:t>
      </w:r>
      <w:r w:rsidR="00CD2FB1" w:rsidRPr="0056083F">
        <w:rPr>
          <w:rFonts w:cstheme="minorHAnsi"/>
          <w:sz w:val="24"/>
          <w:szCs w:val="24"/>
        </w:rPr>
        <w:t xml:space="preserve">age group, </w:t>
      </w:r>
      <w:r w:rsidR="00125E07">
        <w:rPr>
          <w:rFonts w:cstheme="minorHAnsi"/>
          <w:sz w:val="24"/>
          <w:szCs w:val="24"/>
        </w:rPr>
        <w:t>profession</w:t>
      </w:r>
      <w:r w:rsidR="00CD2FB1" w:rsidRPr="0056083F">
        <w:rPr>
          <w:rFonts w:cstheme="minorHAnsi"/>
          <w:sz w:val="24"/>
          <w:szCs w:val="24"/>
        </w:rPr>
        <w:t>,</w:t>
      </w:r>
      <w:r w:rsidR="00125E07">
        <w:rPr>
          <w:rFonts w:cstheme="minorHAnsi"/>
          <w:sz w:val="24"/>
          <w:szCs w:val="24"/>
        </w:rPr>
        <w:t xml:space="preserve"> </w:t>
      </w:r>
      <w:r w:rsidR="00CD2FB1" w:rsidRPr="0056083F">
        <w:rPr>
          <w:rFonts w:cstheme="minorHAnsi"/>
          <w:sz w:val="24"/>
          <w:szCs w:val="24"/>
        </w:rPr>
        <w:t xml:space="preserve">hospital and </w:t>
      </w:r>
      <w:r w:rsidR="00B10F56">
        <w:rPr>
          <w:rFonts w:cstheme="minorHAnsi"/>
          <w:sz w:val="24"/>
          <w:szCs w:val="24"/>
        </w:rPr>
        <w:t>month</w:t>
      </w:r>
      <w:r w:rsidR="00B10F56" w:rsidRPr="0056083F">
        <w:rPr>
          <w:rFonts w:cstheme="minorHAnsi"/>
          <w:sz w:val="24"/>
          <w:szCs w:val="24"/>
        </w:rPr>
        <w:t xml:space="preserve"> </w:t>
      </w:r>
      <w:r w:rsidR="00CD2FB1" w:rsidRPr="0056083F">
        <w:rPr>
          <w:rFonts w:cstheme="minorHAnsi"/>
          <w:sz w:val="24"/>
          <w:szCs w:val="24"/>
        </w:rPr>
        <w:t xml:space="preserve">of </w:t>
      </w:r>
      <w:r w:rsidR="00125E07">
        <w:rPr>
          <w:rFonts w:cstheme="minorHAnsi"/>
          <w:sz w:val="24"/>
          <w:szCs w:val="24"/>
        </w:rPr>
        <w:t xml:space="preserve">receiving of </w:t>
      </w:r>
      <w:proofErr w:type="gramStart"/>
      <w:r w:rsidR="00125E07">
        <w:rPr>
          <w:rFonts w:cstheme="minorHAnsi"/>
          <w:sz w:val="24"/>
          <w:szCs w:val="24"/>
        </w:rPr>
        <w:t>3</w:t>
      </w:r>
      <w:r w:rsidR="00125E07" w:rsidRPr="00125E07">
        <w:rPr>
          <w:rFonts w:cstheme="minorHAnsi"/>
          <w:sz w:val="24"/>
          <w:szCs w:val="24"/>
          <w:vertAlign w:val="superscript"/>
        </w:rPr>
        <w:t>rd</w:t>
      </w:r>
      <w:proofErr w:type="gramEnd"/>
      <w:r w:rsidR="00125E07">
        <w:rPr>
          <w:rFonts w:cstheme="minorHAnsi"/>
          <w:sz w:val="24"/>
          <w:szCs w:val="24"/>
        </w:rPr>
        <w:t xml:space="preserve"> vaccine</w:t>
      </w:r>
      <w:r w:rsidR="00CD2FB1" w:rsidRPr="0056083F">
        <w:rPr>
          <w:rFonts w:cstheme="minorHAnsi"/>
          <w:sz w:val="24"/>
          <w:szCs w:val="24"/>
        </w:rPr>
        <w:t xml:space="preserve"> dose. All covariates </w:t>
      </w:r>
      <w:proofErr w:type="gramStart"/>
      <w:r w:rsidR="00CD2FB1" w:rsidRPr="0056083F">
        <w:rPr>
          <w:rFonts w:cstheme="minorHAnsi"/>
          <w:sz w:val="24"/>
          <w:szCs w:val="24"/>
        </w:rPr>
        <w:t>were tested</w:t>
      </w:r>
      <w:proofErr w:type="gramEnd"/>
      <w:r w:rsidR="00CD2FB1" w:rsidRPr="0056083F">
        <w:rPr>
          <w:rFonts w:cstheme="minorHAnsi"/>
          <w:sz w:val="24"/>
          <w:szCs w:val="24"/>
        </w:rPr>
        <w:t xml:space="preserve"> with </w:t>
      </w:r>
      <w:proofErr w:type="spellStart"/>
      <w:r w:rsidR="00CD2FB1" w:rsidRPr="0056083F">
        <w:rPr>
          <w:rFonts w:cstheme="minorHAnsi"/>
          <w:sz w:val="24"/>
          <w:szCs w:val="24"/>
        </w:rPr>
        <w:t>Schoenfeld</w:t>
      </w:r>
      <w:proofErr w:type="spellEnd"/>
      <w:r w:rsidR="00CD2FB1" w:rsidRPr="0056083F">
        <w:rPr>
          <w:rFonts w:cstheme="minorHAnsi"/>
          <w:sz w:val="24"/>
          <w:szCs w:val="24"/>
        </w:rPr>
        <w:t xml:space="preserve"> residuals to evaluate the assumption of hazard proportionality</w:t>
      </w:r>
      <w:r w:rsidR="00B46C41">
        <w:rPr>
          <w:rFonts w:cstheme="minorHAnsi"/>
          <w:sz w:val="24"/>
          <w:szCs w:val="24"/>
        </w:rPr>
        <w:t>.</w:t>
      </w:r>
      <w:r w:rsidR="00CD2FB1" w:rsidRPr="0056083F">
        <w:rPr>
          <w:rFonts w:cstheme="minorHAnsi"/>
          <w:sz w:val="24"/>
          <w:szCs w:val="24"/>
        </w:rPr>
        <w:t xml:space="preserve"> </w:t>
      </w:r>
      <w:r w:rsidR="00B46C41">
        <w:rPr>
          <w:rFonts w:cstheme="minorHAnsi"/>
          <w:sz w:val="24"/>
          <w:szCs w:val="24"/>
        </w:rPr>
        <w:t>N</w:t>
      </w:r>
      <w:r w:rsidR="00CD2FB1" w:rsidRPr="0056083F">
        <w:rPr>
          <w:rFonts w:cstheme="minorHAnsi"/>
          <w:sz w:val="24"/>
          <w:szCs w:val="24"/>
        </w:rPr>
        <w:t>on-proportional</w:t>
      </w:r>
      <w:r w:rsidR="00B46C41">
        <w:rPr>
          <w:rFonts w:cstheme="minorHAnsi"/>
          <w:sz w:val="24"/>
          <w:szCs w:val="24"/>
        </w:rPr>
        <w:t xml:space="preserve"> hazards </w:t>
      </w:r>
      <w:proofErr w:type="gramStart"/>
      <w:r w:rsidR="00B46C41">
        <w:rPr>
          <w:rFonts w:cstheme="minorHAnsi"/>
          <w:sz w:val="24"/>
          <w:szCs w:val="24"/>
        </w:rPr>
        <w:t>were handled</w:t>
      </w:r>
      <w:proofErr w:type="gramEnd"/>
      <w:r w:rsidR="00CD2FB1" w:rsidRPr="0056083F">
        <w:rPr>
          <w:rFonts w:cstheme="minorHAnsi"/>
          <w:sz w:val="24"/>
          <w:szCs w:val="24"/>
        </w:rPr>
        <w:t xml:space="preserve"> using stratification. This </w:t>
      </w:r>
      <w:r w:rsidR="004D79F8" w:rsidRPr="0056083F">
        <w:rPr>
          <w:rFonts w:cstheme="minorHAnsi"/>
          <w:sz w:val="24"/>
          <w:szCs w:val="24"/>
        </w:rPr>
        <w:t xml:space="preserve">unmatched model </w:t>
      </w:r>
      <w:proofErr w:type="gramStart"/>
      <w:r w:rsidR="00CD2FB1" w:rsidRPr="0056083F">
        <w:rPr>
          <w:rFonts w:cstheme="minorHAnsi"/>
          <w:sz w:val="24"/>
          <w:szCs w:val="24"/>
        </w:rPr>
        <w:t>was followed</w:t>
      </w:r>
      <w:proofErr w:type="gramEnd"/>
      <w:r w:rsidR="00CD2FB1" w:rsidRPr="0056083F">
        <w:rPr>
          <w:rFonts w:cstheme="minorHAnsi"/>
          <w:sz w:val="24"/>
          <w:szCs w:val="24"/>
        </w:rPr>
        <w:t xml:space="preserve"> with </w:t>
      </w:r>
      <w:r w:rsidR="00627F34">
        <w:rPr>
          <w:rFonts w:cstheme="minorHAnsi"/>
          <w:sz w:val="24"/>
          <w:szCs w:val="24"/>
        </w:rPr>
        <w:t xml:space="preserve">a </w:t>
      </w:r>
      <w:r w:rsidR="00F05A1E">
        <w:rPr>
          <w:rFonts w:cstheme="minorHAnsi"/>
          <w:sz w:val="24"/>
          <w:szCs w:val="24"/>
        </w:rPr>
        <w:t xml:space="preserve">model including </w:t>
      </w:r>
      <w:r w:rsidR="00CD2FB1" w:rsidRPr="0056083F">
        <w:rPr>
          <w:rFonts w:cstheme="minorHAnsi"/>
          <w:sz w:val="24"/>
          <w:szCs w:val="24"/>
        </w:rPr>
        <w:t>complete matching</w:t>
      </w:r>
      <w:r w:rsidR="00B10F56">
        <w:rPr>
          <w:rFonts w:cstheme="minorHAnsi"/>
          <w:sz w:val="24"/>
          <w:szCs w:val="24"/>
        </w:rPr>
        <w:t xml:space="preserve"> as </w:t>
      </w:r>
      <w:r w:rsidR="000B4ED1">
        <w:rPr>
          <w:rFonts w:cstheme="minorHAnsi"/>
          <w:sz w:val="24"/>
          <w:szCs w:val="24"/>
        </w:rPr>
        <w:t>described</w:t>
      </w:r>
      <w:r w:rsidR="00B10F56">
        <w:rPr>
          <w:rFonts w:cstheme="minorHAnsi"/>
          <w:sz w:val="24"/>
          <w:szCs w:val="24"/>
        </w:rPr>
        <w:t xml:space="preserve"> in the previous analysis.</w:t>
      </w:r>
      <w:r w:rsidR="00CD2FB1" w:rsidRPr="0056083F">
        <w:rPr>
          <w:rFonts w:cstheme="minorHAnsi"/>
          <w:sz w:val="24"/>
          <w:szCs w:val="24"/>
        </w:rPr>
        <w:t xml:space="preserve"> </w:t>
      </w:r>
    </w:p>
    <w:p w14:paraId="388476EA" w14:textId="2DE7A538" w:rsidR="002C71CB" w:rsidRDefault="002C71CB" w:rsidP="002C71CB">
      <w:pPr>
        <w:bidi w:val="0"/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Additionally, we planned to calculate the </w:t>
      </w:r>
      <w:r w:rsidRPr="00F42C3D">
        <w:rPr>
          <w:rFonts w:cstheme="minorHAnsi"/>
          <w:i/>
          <w:iCs/>
          <w:sz w:val="24"/>
          <w:szCs w:val="24"/>
        </w:rPr>
        <w:t>number-needed-to-vaccinate</w:t>
      </w:r>
      <w:r>
        <w:rPr>
          <w:rFonts w:cstheme="minorHAnsi"/>
          <w:sz w:val="24"/>
          <w:szCs w:val="24"/>
        </w:rPr>
        <w:t xml:space="preserve"> to prevent a single COVID-19 infection in a HCW by multiplying the calculated relative-risk or hazard-ratio by the base rate of COVID-19 in the 3-dose group. This results in the expected COVID-19 rate in the 4-dose group. Dividing </w:t>
      </w:r>
      <w:proofErr w:type="gramStart"/>
      <w:r>
        <w:rPr>
          <w:rFonts w:cstheme="minorHAnsi"/>
          <w:sz w:val="24"/>
          <w:szCs w:val="24"/>
        </w:rPr>
        <w:t>1</w:t>
      </w:r>
      <w:proofErr w:type="gramEnd"/>
      <w:r>
        <w:rPr>
          <w:rFonts w:cstheme="minorHAnsi"/>
          <w:sz w:val="24"/>
          <w:szCs w:val="24"/>
        </w:rPr>
        <w:t xml:space="preserve"> by the rate difference results in the </w:t>
      </w:r>
      <w:r w:rsidRPr="00F42C3D">
        <w:rPr>
          <w:rFonts w:cstheme="minorHAnsi"/>
          <w:i/>
          <w:iCs/>
          <w:sz w:val="24"/>
          <w:szCs w:val="24"/>
        </w:rPr>
        <w:t>number-needed-to-vaccinate.</w:t>
      </w:r>
    </w:p>
    <w:p w14:paraId="33805F02" w14:textId="5C29656A" w:rsidR="00DA52EF" w:rsidRDefault="00DA52EF" w:rsidP="006F50E8">
      <w:pPr>
        <w:bidi w:val="0"/>
        <w:spacing w:line="480" w:lineRule="auto"/>
        <w:rPr>
          <w:rFonts w:cstheme="minorHAnsi"/>
          <w:sz w:val="24"/>
          <w:szCs w:val="24"/>
        </w:rPr>
      </w:pPr>
    </w:p>
    <w:p w14:paraId="475AB0D0" w14:textId="77777777" w:rsidR="007629DE" w:rsidRDefault="007629DE" w:rsidP="00564D02">
      <w:pPr>
        <w:bidi w:val="0"/>
        <w:spacing w:line="480" w:lineRule="auto"/>
        <w:rPr>
          <w:rFonts w:cstheme="minorHAnsi"/>
          <w:sz w:val="24"/>
          <w:szCs w:val="24"/>
        </w:rPr>
      </w:pPr>
    </w:p>
    <w:p w14:paraId="40EFD7AD" w14:textId="06456088" w:rsidR="00121A52" w:rsidRDefault="00121A52" w:rsidP="00564D02">
      <w:pPr>
        <w:bidi w:val="0"/>
        <w:spacing w:line="480" w:lineRule="auto"/>
        <w:rPr>
          <w:rFonts w:cstheme="minorHAnsi"/>
          <w:b/>
          <w:bCs/>
          <w:sz w:val="24"/>
          <w:szCs w:val="24"/>
        </w:rPr>
      </w:pPr>
    </w:p>
    <w:p w14:paraId="1389A67E" w14:textId="22C4EB1E" w:rsidR="007F38DC" w:rsidRDefault="007F38DC" w:rsidP="007F38DC">
      <w:pPr>
        <w:bidi w:val="0"/>
        <w:spacing w:line="480" w:lineRule="auto"/>
        <w:rPr>
          <w:rFonts w:cstheme="minorHAnsi"/>
          <w:b/>
          <w:bCs/>
          <w:sz w:val="24"/>
          <w:szCs w:val="24"/>
        </w:rPr>
      </w:pPr>
    </w:p>
    <w:p w14:paraId="777CB257" w14:textId="47187BAA" w:rsidR="007F38DC" w:rsidRDefault="007F38DC" w:rsidP="007F38DC">
      <w:pPr>
        <w:bidi w:val="0"/>
        <w:spacing w:line="48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lastRenderedPageBreak/>
        <w:drawing>
          <wp:inline distT="0" distB="0" distL="0" distR="0" wp14:anchorId="29D894A8" wp14:editId="1C754445">
            <wp:extent cx="4307353" cy="5999297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660" cy="600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B6F425" w14:textId="2E95012C" w:rsidR="0069329B" w:rsidRPr="00D87083" w:rsidRDefault="00121A52" w:rsidP="007F38DC">
      <w:pPr>
        <w:bidi w:val="0"/>
        <w:spacing w:line="480" w:lineRule="auto"/>
        <w:rPr>
          <w:rFonts w:cstheme="minorHAnsi"/>
          <w:strike/>
          <w:sz w:val="24"/>
          <w:szCs w:val="24"/>
        </w:rPr>
        <w:sectPr w:rsidR="0069329B" w:rsidRPr="00D87083" w:rsidSect="009512F7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>
        <w:rPr>
          <w:rFonts w:cstheme="minorHAnsi"/>
          <w:b/>
          <w:bCs/>
          <w:sz w:val="24"/>
          <w:szCs w:val="24"/>
        </w:rPr>
        <w:t xml:space="preserve">Figure: </w:t>
      </w:r>
      <w:r w:rsidRPr="00121A52">
        <w:rPr>
          <w:rFonts w:cstheme="minorHAnsi"/>
          <w:sz w:val="24"/>
          <w:szCs w:val="24"/>
        </w:rPr>
        <w:t>Flow chart of the analyses</w:t>
      </w:r>
      <w:r>
        <w:rPr>
          <w:rFonts w:cstheme="minorHAnsi"/>
          <w:sz w:val="24"/>
          <w:szCs w:val="24"/>
        </w:rPr>
        <w:t xml:space="preserve"> of breakthrough infections among </w:t>
      </w:r>
      <w:proofErr w:type="gramStart"/>
      <w:r>
        <w:rPr>
          <w:rFonts w:cstheme="minorHAnsi"/>
          <w:sz w:val="24"/>
          <w:szCs w:val="24"/>
        </w:rPr>
        <w:t>3</w:t>
      </w:r>
      <w:proofErr w:type="gramEnd"/>
      <w:r>
        <w:rPr>
          <w:rFonts w:cstheme="minorHAnsi"/>
          <w:sz w:val="24"/>
          <w:szCs w:val="24"/>
        </w:rPr>
        <w:t xml:space="preserve"> and 4 vaccine dose recipients, among healthcare workers in nine hospitals in Israel.</w:t>
      </w:r>
      <w:r w:rsidR="00C01518">
        <w:rPr>
          <w:rFonts w:cstheme="minorHAnsi"/>
          <w:sz w:val="24"/>
          <w:szCs w:val="24"/>
        </w:rPr>
        <w:t xml:space="preserve"> </w:t>
      </w:r>
      <w:r w:rsidR="00970143">
        <w:rPr>
          <w:rFonts w:cstheme="minorHAnsi"/>
          <w:sz w:val="24"/>
          <w:szCs w:val="24"/>
        </w:rPr>
        <w:br w:type="page"/>
      </w:r>
    </w:p>
    <w:tbl>
      <w:tblPr>
        <w:tblW w:w="10008" w:type="dxa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3"/>
        <w:gridCol w:w="3857"/>
        <w:gridCol w:w="3858"/>
      </w:tblGrid>
      <w:tr w:rsidR="00E52DB4" w:rsidRPr="000C266E" w14:paraId="41DD0F3F" w14:textId="77777777" w:rsidTr="007F38DC">
        <w:trPr>
          <w:trHeight w:val="290"/>
        </w:trPr>
        <w:tc>
          <w:tcPr>
            <w:tcW w:w="10008" w:type="dxa"/>
            <w:gridSpan w:val="3"/>
            <w:vAlign w:val="center"/>
          </w:tcPr>
          <w:p w14:paraId="6B233CB6" w14:textId="16377EE4" w:rsidR="00E52DB4" w:rsidRPr="00282D5C" w:rsidRDefault="00E52DB4" w:rsidP="002702E7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72FF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Supplement Table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3A72FF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282D5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82D5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Characteristics </w:t>
            </w:r>
            <w:r w:rsidR="002702E7" w:rsidRPr="00282D5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of </w:t>
            </w:r>
            <w:r w:rsidR="002702E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29,612 healthcare workers from eleven hospitals in Israel, </w:t>
            </w:r>
            <w:r w:rsidR="002702E7" w:rsidRPr="002702E7">
              <w:rPr>
                <w:rFonts w:ascii="Calibri" w:hAnsi="Calibri" w:cs="Calibri"/>
                <w:color w:val="000000"/>
                <w:sz w:val="24"/>
                <w:szCs w:val="24"/>
              </w:rPr>
              <w:t>by number of vaccine doses</w:t>
            </w:r>
            <w:r w:rsidR="002C71CB"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</w:p>
        </w:tc>
      </w:tr>
      <w:tr w:rsidR="009622EA" w:rsidRPr="000C266E" w14:paraId="3A0F9DEB" w14:textId="77777777" w:rsidTr="007F38DC">
        <w:trPr>
          <w:trHeight w:val="290"/>
        </w:trPr>
        <w:tc>
          <w:tcPr>
            <w:tcW w:w="2293" w:type="dxa"/>
          </w:tcPr>
          <w:p w14:paraId="3563AA8A" w14:textId="77777777" w:rsidR="009622EA" w:rsidRPr="00282D5C" w:rsidRDefault="009622EA" w:rsidP="000B0D9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54692F80" w14:textId="77777777" w:rsidR="009622EA" w:rsidRPr="00282D5C" w:rsidRDefault="009622EA" w:rsidP="000B0D9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2D5C">
              <w:rPr>
                <w:rFonts w:ascii="Calibri" w:hAnsi="Calibri" w:cs="Calibri"/>
                <w:color w:val="000000"/>
                <w:sz w:val="24"/>
                <w:szCs w:val="24"/>
              </w:rPr>
              <w:t>3-dose group</w:t>
            </w:r>
          </w:p>
        </w:tc>
        <w:tc>
          <w:tcPr>
            <w:tcW w:w="3858" w:type="dxa"/>
            <w:vAlign w:val="center"/>
          </w:tcPr>
          <w:p w14:paraId="6250350A" w14:textId="77777777" w:rsidR="009622EA" w:rsidRPr="00282D5C" w:rsidRDefault="009622EA" w:rsidP="000B0D9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2D5C">
              <w:rPr>
                <w:rFonts w:ascii="Calibri" w:hAnsi="Calibri" w:cs="Calibri"/>
                <w:color w:val="000000"/>
                <w:sz w:val="24"/>
                <w:szCs w:val="24"/>
              </w:rPr>
              <w:t>4-dose group</w:t>
            </w:r>
          </w:p>
        </w:tc>
      </w:tr>
      <w:tr w:rsidR="009622EA" w:rsidRPr="000C266E" w14:paraId="57F34D39" w14:textId="77777777" w:rsidTr="007F38DC">
        <w:trPr>
          <w:trHeight w:val="290"/>
        </w:trPr>
        <w:tc>
          <w:tcPr>
            <w:tcW w:w="2293" w:type="dxa"/>
          </w:tcPr>
          <w:p w14:paraId="042A1FAF" w14:textId="77777777" w:rsidR="009622EA" w:rsidRPr="00CF7BDB" w:rsidRDefault="009622EA" w:rsidP="000B0D9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F7B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Number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of workers</w:t>
            </w:r>
          </w:p>
        </w:tc>
        <w:tc>
          <w:tcPr>
            <w:tcW w:w="3857" w:type="dxa"/>
          </w:tcPr>
          <w:p w14:paraId="4F72F52B" w14:textId="77777777" w:rsidR="009622EA" w:rsidRPr="00282D5C" w:rsidRDefault="009622EA" w:rsidP="000B0D9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24092</w:t>
            </w:r>
          </w:p>
        </w:tc>
        <w:tc>
          <w:tcPr>
            <w:tcW w:w="3858" w:type="dxa"/>
          </w:tcPr>
          <w:p w14:paraId="083442CC" w14:textId="77777777" w:rsidR="009622EA" w:rsidRPr="00282D5C" w:rsidRDefault="009622EA" w:rsidP="000B0D9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5519</w:t>
            </w:r>
          </w:p>
        </w:tc>
      </w:tr>
      <w:tr w:rsidR="009622EA" w:rsidRPr="000C266E" w14:paraId="32E78BD8" w14:textId="77777777" w:rsidTr="007F38DC">
        <w:trPr>
          <w:trHeight w:val="290"/>
        </w:trPr>
        <w:tc>
          <w:tcPr>
            <w:tcW w:w="2293" w:type="dxa"/>
          </w:tcPr>
          <w:p w14:paraId="2BE657A1" w14:textId="77777777" w:rsidR="009622EA" w:rsidRPr="00282D5C" w:rsidRDefault="009622EA" w:rsidP="000B0D9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15" w:type="dxa"/>
            <w:gridSpan w:val="2"/>
          </w:tcPr>
          <w:p w14:paraId="5099AF51" w14:textId="77777777" w:rsidR="009622EA" w:rsidRPr="00282D5C" w:rsidRDefault="009622EA" w:rsidP="000B0D9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2D5C">
              <w:rPr>
                <w:rFonts w:ascii="Calibri" w:hAnsi="Calibri" w:cs="Calibri"/>
                <w:color w:val="000000"/>
                <w:sz w:val="24"/>
                <w:szCs w:val="24"/>
              </w:rPr>
              <w:t>N (%)</w:t>
            </w:r>
          </w:p>
        </w:tc>
      </w:tr>
      <w:tr w:rsidR="009622EA" w:rsidRPr="000C266E" w14:paraId="2A6D6EEF" w14:textId="77777777" w:rsidTr="007F38DC">
        <w:trPr>
          <w:trHeight w:val="290"/>
        </w:trPr>
        <w:tc>
          <w:tcPr>
            <w:tcW w:w="2293" w:type="dxa"/>
          </w:tcPr>
          <w:p w14:paraId="77ECBA01" w14:textId="77777777" w:rsidR="009622EA" w:rsidRPr="00282D5C" w:rsidRDefault="009622EA" w:rsidP="000B0D9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82D5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Sex</w:t>
            </w:r>
          </w:p>
        </w:tc>
        <w:tc>
          <w:tcPr>
            <w:tcW w:w="3857" w:type="dxa"/>
          </w:tcPr>
          <w:p w14:paraId="15CBB62F" w14:textId="77777777" w:rsidR="009622EA" w:rsidRPr="00282D5C" w:rsidRDefault="009622EA" w:rsidP="000B0D9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58" w:type="dxa"/>
          </w:tcPr>
          <w:p w14:paraId="4318D342" w14:textId="77777777" w:rsidR="009622EA" w:rsidRPr="00282D5C" w:rsidRDefault="009622EA" w:rsidP="000B0D9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622EA" w:rsidRPr="000C266E" w14:paraId="1E8DB293" w14:textId="77777777" w:rsidTr="007F38DC">
        <w:trPr>
          <w:trHeight w:val="290"/>
        </w:trPr>
        <w:tc>
          <w:tcPr>
            <w:tcW w:w="2293" w:type="dxa"/>
          </w:tcPr>
          <w:p w14:paraId="43458624" w14:textId="77777777" w:rsidR="009622EA" w:rsidRPr="00282D5C" w:rsidRDefault="009622EA" w:rsidP="000B0D9F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7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2D5C">
              <w:rPr>
                <w:rFonts w:ascii="Calibri" w:hAnsi="Calibri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857" w:type="dxa"/>
          </w:tcPr>
          <w:p w14:paraId="06F20583" w14:textId="16FC1067" w:rsidR="009622EA" w:rsidRDefault="009622EA" w:rsidP="000B0D9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2D5C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6365</w:t>
            </w:r>
            <w:r w:rsidRPr="00282D5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84</w:t>
            </w:r>
            <w:r w:rsidRPr="00282D5C">
              <w:rPr>
                <w:rFonts w:ascii="Calibri" w:hAnsi="Calibri" w:cs="Calibri"/>
                <w:color w:val="000000"/>
                <w:sz w:val="24"/>
                <w:szCs w:val="24"/>
              </w:rPr>
              <w:t>%)</w:t>
            </w:r>
          </w:p>
        </w:tc>
        <w:tc>
          <w:tcPr>
            <w:tcW w:w="3858" w:type="dxa"/>
          </w:tcPr>
          <w:p w14:paraId="0DCA222C" w14:textId="5F0E00FB" w:rsidR="009622EA" w:rsidRDefault="009622EA" w:rsidP="000B0D9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3016</w:t>
            </w:r>
            <w:r w:rsidRPr="00282D5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  <w:r w:rsidRPr="00282D5C">
              <w:rPr>
                <w:rFonts w:ascii="Calibri" w:hAnsi="Calibri" w:cs="Calibri"/>
                <w:color w:val="000000"/>
                <w:sz w:val="24"/>
                <w:szCs w:val="24"/>
              </w:rPr>
              <w:t>%)</w:t>
            </w:r>
          </w:p>
        </w:tc>
      </w:tr>
      <w:tr w:rsidR="009622EA" w:rsidRPr="000C266E" w14:paraId="20427A42" w14:textId="77777777" w:rsidTr="007F38DC">
        <w:trPr>
          <w:trHeight w:val="290"/>
        </w:trPr>
        <w:tc>
          <w:tcPr>
            <w:tcW w:w="2293" w:type="dxa"/>
          </w:tcPr>
          <w:p w14:paraId="3D087AE8" w14:textId="77777777" w:rsidR="009622EA" w:rsidRPr="00282D5C" w:rsidRDefault="009622EA" w:rsidP="000B0D9F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7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2D5C">
              <w:rPr>
                <w:rFonts w:ascii="Calibri" w:hAnsi="Calibri" w:cs="Calibri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3857" w:type="dxa"/>
          </w:tcPr>
          <w:p w14:paraId="5F956BCC" w14:textId="7D2A3A87" w:rsidR="009622EA" w:rsidRDefault="009622EA" w:rsidP="000B0D9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7727</w:t>
            </w:r>
            <w:r w:rsidRPr="00282D5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</w:t>
            </w:r>
            <w:r w:rsidRPr="00282D5C">
              <w:rPr>
                <w:rFonts w:ascii="Calibri" w:hAnsi="Calibri" w:cs="Calibri"/>
                <w:color w:val="000000"/>
                <w:sz w:val="24"/>
                <w:szCs w:val="24"/>
              </w:rPr>
              <w:t>%)</w:t>
            </w:r>
          </w:p>
        </w:tc>
        <w:tc>
          <w:tcPr>
            <w:tcW w:w="3858" w:type="dxa"/>
          </w:tcPr>
          <w:p w14:paraId="02555FA2" w14:textId="58143771" w:rsidR="009622EA" w:rsidRDefault="009622EA" w:rsidP="000B0D9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2503</w:t>
            </w:r>
            <w:r w:rsidRPr="00282D5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  <w:r w:rsidRPr="00282D5C">
              <w:rPr>
                <w:rFonts w:ascii="Calibri" w:hAnsi="Calibri" w:cs="Calibri"/>
                <w:color w:val="000000"/>
                <w:sz w:val="24"/>
                <w:szCs w:val="24"/>
              </w:rPr>
              <w:t>%)</w:t>
            </w:r>
          </w:p>
        </w:tc>
      </w:tr>
      <w:tr w:rsidR="009622EA" w:rsidRPr="000C266E" w14:paraId="42D2F7D5" w14:textId="77777777" w:rsidTr="007F38DC">
        <w:trPr>
          <w:trHeight w:val="290"/>
        </w:trPr>
        <w:tc>
          <w:tcPr>
            <w:tcW w:w="2293" w:type="dxa"/>
          </w:tcPr>
          <w:p w14:paraId="3158F67E" w14:textId="77777777" w:rsidR="009622EA" w:rsidRPr="00282D5C" w:rsidRDefault="009622EA" w:rsidP="000B0D9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82D5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Age group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(years)</w:t>
            </w:r>
          </w:p>
        </w:tc>
        <w:tc>
          <w:tcPr>
            <w:tcW w:w="3857" w:type="dxa"/>
          </w:tcPr>
          <w:p w14:paraId="21590566" w14:textId="77777777" w:rsidR="009622EA" w:rsidRPr="00282D5C" w:rsidRDefault="009622EA" w:rsidP="000B0D9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58" w:type="dxa"/>
          </w:tcPr>
          <w:p w14:paraId="6F30EBCD" w14:textId="77777777" w:rsidR="009622EA" w:rsidRPr="00282D5C" w:rsidRDefault="009622EA" w:rsidP="000B0D9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622EA" w:rsidRPr="00B762CB" w14:paraId="62D179FE" w14:textId="77777777" w:rsidTr="007F38DC">
        <w:trPr>
          <w:trHeight w:val="290"/>
        </w:trPr>
        <w:tc>
          <w:tcPr>
            <w:tcW w:w="2293" w:type="dxa"/>
          </w:tcPr>
          <w:p w14:paraId="327A70A2" w14:textId="77777777" w:rsidR="009622EA" w:rsidRPr="00282D5C" w:rsidRDefault="009622EA" w:rsidP="000B0D9F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7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2D5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Under </w:t>
            </w:r>
            <w:r w:rsidRPr="00282D5C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4</w:t>
            </w:r>
            <w:r w:rsidRPr="00282D5C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57" w:type="dxa"/>
          </w:tcPr>
          <w:p w14:paraId="19E76C50" w14:textId="0B674901" w:rsidR="009622EA" w:rsidRDefault="009622EA" w:rsidP="000B0D9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10376</w:t>
            </w:r>
            <w:r w:rsidRPr="00282D5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90</w:t>
            </w:r>
            <w:r w:rsidRPr="00282D5C">
              <w:rPr>
                <w:rFonts w:ascii="Calibri" w:hAnsi="Calibri" w:cs="Calibri"/>
                <w:color w:val="000000"/>
                <w:sz w:val="24"/>
                <w:szCs w:val="24"/>
              </w:rPr>
              <w:t>%)</w:t>
            </w:r>
          </w:p>
        </w:tc>
        <w:tc>
          <w:tcPr>
            <w:tcW w:w="3858" w:type="dxa"/>
          </w:tcPr>
          <w:p w14:paraId="5E32ED96" w14:textId="0253380F" w:rsidR="009622EA" w:rsidRDefault="009622EA" w:rsidP="000B0D9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1165</w:t>
            </w:r>
            <w:r w:rsidRPr="00282D5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  <w:r w:rsidRPr="00282D5C">
              <w:rPr>
                <w:rFonts w:ascii="Calibri" w:hAnsi="Calibri" w:cs="Calibri"/>
                <w:color w:val="000000"/>
                <w:sz w:val="24"/>
                <w:szCs w:val="24"/>
              </w:rPr>
              <w:t>%)</w:t>
            </w:r>
          </w:p>
        </w:tc>
      </w:tr>
      <w:tr w:rsidR="009622EA" w:rsidRPr="00B762CB" w14:paraId="2AE0F2B7" w14:textId="77777777" w:rsidTr="007F38DC">
        <w:trPr>
          <w:trHeight w:val="290"/>
        </w:trPr>
        <w:tc>
          <w:tcPr>
            <w:tcW w:w="2293" w:type="dxa"/>
          </w:tcPr>
          <w:p w14:paraId="1941F1B3" w14:textId="77777777" w:rsidR="009622EA" w:rsidRPr="00282D5C" w:rsidRDefault="009622EA" w:rsidP="000B0D9F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7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2D5C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4</w:t>
            </w:r>
            <w:r w:rsidRPr="00282D5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 to </w:t>
            </w:r>
            <w:r w:rsidRPr="00282D5C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5</w:t>
            </w:r>
            <w:r w:rsidRPr="00282D5C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57" w:type="dxa"/>
          </w:tcPr>
          <w:p w14:paraId="44F79FA6" w14:textId="1B2C750C" w:rsidR="009622EA" w:rsidRDefault="009622EA" w:rsidP="000B0D9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11293</w:t>
            </w:r>
            <w:r w:rsidRPr="00282D5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81</w:t>
            </w:r>
            <w:r w:rsidRPr="00282D5C">
              <w:rPr>
                <w:rFonts w:ascii="Calibri" w:hAnsi="Calibri" w:cs="Calibri"/>
                <w:color w:val="000000"/>
                <w:sz w:val="24"/>
                <w:szCs w:val="24"/>
              </w:rPr>
              <w:t>%)</w:t>
            </w:r>
          </w:p>
        </w:tc>
        <w:tc>
          <w:tcPr>
            <w:tcW w:w="3858" w:type="dxa"/>
          </w:tcPr>
          <w:p w14:paraId="6AB48861" w14:textId="13931884" w:rsidR="009622EA" w:rsidRDefault="009622EA" w:rsidP="000B0D9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2605</w:t>
            </w:r>
            <w:r w:rsidRPr="00282D5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  <w:r w:rsidRPr="00282D5C">
              <w:rPr>
                <w:rFonts w:ascii="Calibri" w:hAnsi="Calibri" w:cs="Calibri"/>
                <w:color w:val="000000"/>
                <w:sz w:val="24"/>
                <w:szCs w:val="24"/>
              </w:rPr>
              <w:t>%)</w:t>
            </w:r>
          </w:p>
        </w:tc>
      </w:tr>
      <w:tr w:rsidR="009622EA" w:rsidRPr="000C266E" w14:paraId="6EAE370D" w14:textId="77777777" w:rsidTr="007F38DC">
        <w:trPr>
          <w:trHeight w:val="290"/>
        </w:trPr>
        <w:tc>
          <w:tcPr>
            <w:tcW w:w="2293" w:type="dxa"/>
          </w:tcPr>
          <w:p w14:paraId="12CC2B87" w14:textId="77777777" w:rsidR="009622EA" w:rsidRPr="00282D5C" w:rsidRDefault="009622EA" w:rsidP="000B0D9F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7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2D5C">
              <w:rPr>
                <w:rFonts w:ascii="Calibri" w:hAnsi="Calibri" w:cs="Calibri"/>
                <w:color w:val="000000"/>
                <w:sz w:val="24"/>
                <w:szCs w:val="24"/>
              </w:rPr>
              <w:t>60 and older</w:t>
            </w:r>
          </w:p>
        </w:tc>
        <w:tc>
          <w:tcPr>
            <w:tcW w:w="3857" w:type="dxa"/>
          </w:tcPr>
          <w:p w14:paraId="480C2EE8" w14:textId="18673367" w:rsidR="009622EA" w:rsidRPr="00282D5C" w:rsidRDefault="009622EA" w:rsidP="000B0D9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2423</w:t>
            </w:r>
            <w:r w:rsidRPr="00282D5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  <w:r w:rsidRPr="00282D5C">
              <w:rPr>
                <w:rFonts w:ascii="Calibri" w:hAnsi="Calibri" w:cs="Calibri"/>
                <w:color w:val="000000"/>
                <w:sz w:val="24"/>
                <w:szCs w:val="24"/>
              </w:rPr>
              <w:t>%)</w:t>
            </w:r>
          </w:p>
        </w:tc>
        <w:tc>
          <w:tcPr>
            <w:tcW w:w="3858" w:type="dxa"/>
          </w:tcPr>
          <w:p w14:paraId="1670565F" w14:textId="4A2BA28D" w:rsidR="009622EA" w:rsidRPr="00282D5C" w:rsidRDefault="009622EA" w:rsidP="000B0D9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1749</w:t>
            </w:r>
            <w:r w:rsidRPr="00282D5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42</w:t>
            </w:r>
            <w:r w:rsidRPr="00282D5C">
              <w:rPr>
                <w:rFonts w:ascii="Calibri" w:hAnsi="Calibri" w:cs="Calibri"/>
                <w:color w:val="000000"/>
                <w:sz w:val="24"/>
                <w:szCs w:val="24"/>
              </w:rPr>
              <w:t>%)</w:t>
            </w:r>
          </w:p>
        </w:tc>
      </w:tr>
      <w:tr w:rsidR="009622EA" w:rsidRPr="000C266E" w14:paraId="1F58661A" w14:textId="77777777" w:rsidTr="007F38DC">
        <w:trPr>
          <w:trHeight w:val="290"/>
        </w:trPr>
        <w:tc>
          <w:tcPr>
            <w:tcW w:w="2293" w:type="dxa"/>
          </w:tcPr>
          <w:p w14:paraId="2C82E4EF" w14:textId="77777777" w:rsidR="009622EA" w:rsidRPr="00282D5C" w:rsidRDefault="009622EA" w:rsidP="000B0D9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82D5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Profession</w:t>
            </w:r>
          </w:p>
        </w:tc>
        <w:tc>
          <w:tcPr>
            <w:tcW w:w="3857" w:type="dxa"/>
          </w:tcPr>
          <w:p w14:paraId="3413C003" w14:textId="77777777" w:rsidR="009622EA" w:rsidRPr="00282D5C" w:rsidRDefault="009622EA" w:rsidP="000B0D9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58" w:type="dxa"/>
          </w:tcPr>
          <w:p w14:paraId="74BA04D5" w14:textId="77777777" w:rsidR="009622EA" w:rsidRPr="00282D5C" w:rsidRDefault="009622EA" w:rsidP="000B0D9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622EA" w:rsidRPr="000C266E" w14:paraId="58C30B63" w14:textId="77777777" w:rsidTr="007F38DC">
        <w:trPr>
          <w:trHeight w:val="290"/>
        </w:trPr>
        <w:tc>
          <w:tcPr>
            <w:tcW w:w="2293" w:type="dxa"/>
          </w:tcPr>
          <w:p w14:paraId="1D51BDB4" w14:textId="77777777" w:rsidR="009622EA" w:rsidRPr="00282D5C" w:rsidRDefault="009622EA" w:rsidP="000B0D9F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7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Physician</w:t>
            </w:r>
          </w:p>
        </w:tc>
        <w:tc>
          <w:tcPr>
            <w:tcW w:w="3857" w:type="dxa"/>
          </w:tcPr>
          <w:p w14:paraId="5260410C" w14:textId="62E6EAE9" w:rsidR="009622EA" w:rsidRDefault="009622EA" w:rsidP="000B0D9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5483</w:t>
            </w:r>
            <w:r w:rsidRPr="00282D5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74</w:t>
            </w:r>
            <w:r w:rsidRPr="00282D5C">
              <w:rPr>
                <w:rFonts w:ascii="Calibri" w:hAnsi="Calibri" w:cs="Calibri"/>
                <w:color w:val="000000"/>
                <w:sz w:val="24"/>
                <w:szCs w:val="24"/>
              </w:rPr>
              <w:t>%)</w:t>
            </w:r>
          </w:p>
        </w:tc>
        <w:tc>
          <w:tcPr>
            <w:tcW w:w="3858" w:type="dxa"/>
          </w:tcPr>
          <w:p w14:paraId="51AC443F" w14:textId="4DC070C4" w:rsidR="009622EA" w:rsidRDefault="009622EA" w:rsidP="000B0D9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1887</w:t>
            </w:r>
            <w:r w:rsidRPr="00282D5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  <w:r w:rsidRPr="00282D5C">
              <w:rPr>
                <w:rFonts w:ascii="Calibri" w:hAnsi="Calibri" w:cs="Calibri"/>
                <w:color w:val="000000"/>
                <w:sz w:val="24"/>
                <w:szCs w:val="24"/>
              </w:rPr>
              <w:t>%)</w:t>
            </w:r>
          </w:p>
        </w:tc>
      </w:tr>
      <w:tr w:rsidR="009622EA" w:rsidRPr="000C266E" w14:paraId="7838729A" w14:textId="77777777" w:rsidTr="007F38DC">
        <w:trPr>
          <w:trHeight w:val="290"/>
        </w:trPr>
        <w:tc>
          <w:tcPr>
            <w:tcW w:w="2293" w:type="dxa"/>
          </w:tcPr>
          <w:p w14:paraId="4D98C163" w14:textId="77777777" w:rsidR="009622EA" w:rsidRPr="00282D5C" w:rsidRDefault="009622EA" w:rsidP="000B0D9F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7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2D5C">
              <w:rPr>
                <w:rFonts w:ascii="Calibri" w:hAnsi="Calibri" w:cs="Calibri"/>
                <w:color w:val="000000"/>
                <w:sz w:val="24"/>
                <w:szCs w:val="24"/>
              </w:rPr>
              <w:t>Nursing</w:t>
            </w:r>
          </w:p>
        </w:tc>
        <w:tc>
          <w:tcPr>
            <w:tcW w:w="3857" w:type="dxa"/>
          </w:tcPr>
          <w:p w14:paraId="03704C68" w14:textId="36A35250" w:rsidR="009622EA" w:rsidRPr="00282D5C" w:rsidRDefault="009622EA" w:rsidP="000B0D9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7731</w:t>
            </w:r>
            <w:r w:rsidRPr="00282D5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86</w:t>
            </w:r>
            <w:r w:rsidRPr="00282D5C">
              <w:rPr>
                <w:rFonts w:ascii="Calibri" w:hAnsi="Calibri" w:cs="Calibri"/>
                <w:color w:val="000000"/>
                <w:sz w:val="24"/>
                <w:szCs w:val="24"/>
              </w:rPr>
              <w:t>%)</w:t>
            </w:r>
          </w:p>
        </w:tc>
        <w:tc>
          <w:tcPr>
            <w:tcW w:w="3858" w:type="dxa"/>
          </w:tcPr>
          <w:p w14:paraId="062FF0E0" w14:textId="46A83EAA" w:rsidR="009622EA" w:rsidRPr="00282D5C" w:rsidRDefault="009622EA" w:rsidP="000B0D9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1215</w:t>
            </w:r>
            <w:r w:rsidRPr="00282D5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  <w:r w:rsidRPr="00282D5C">
              <w:rPr>
                <w:rFonts w:ascii="Calibri" w:hAnsi="Calibri" w:cs="Calibri"/>
                <w:color w:val="000000"/>
                <w:sz w:val="24"/>
                <w:szCs w:val="24"/>
              </w:rPr>
              <w:t>%)</w:t>
            </w:r>
          </w:p>
        </w:tc>
      </w:tr>
      <w:tr w:rsidR="009622EA" w:rsidRPr="000C266E" w14:paraId="67994288" w14:textId="77777777" w:rsidTr="007F38DC">
        <w:trPr>
          <w:trHeight w:val="290"/>
        </w:trPr>
        <w:tc>
          <w:tcPr>
            <w:tcW w:w="2293" w:type="dxa"/>
          </w:tcPr>
          <w:p w14:paraId="289164C0" w14:textId="77777777" w:rsidR="009622EA" w:rsidRPr="00282D5C" w:rsidRDefault="009622EA" w:rsidP="000B0D9F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7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82D5C">
              <w:rPr>
                <w:rFonts w:ascii="Calibri" w:hAnsi="Calibri" w:cs="Calibri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3857" w:type="dxa"/>
          </w:tcPr>
          <w:p w14:paraId="25AAC08E" w14:textId="38D2C3E0" w:rsidR="009622EA" w:rsidRDefault="009622EA" w:rsidP="000B0D9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10878</w:t>
            </w:r>
            <w:r w:rsidRPr="00282D5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82</w:t>
            </w:r>
            <w:r w:rsidRPr="00282D5C">
              <w:rPr>
                <w:rFonts w:ascii="Calibri" w:hAnsi="Calibri" w:cs="Calibri"/>
                <w:color w:val="000000"/>
                <w:sz w:val="24"/>
                <w:szCs w:val="24"/>
              </w:rPr>
              <w:t>%)</w:t>
            </w:r>
          </w:p>
        </w:tc>
        <w:tc>
          <w:tcPr>
            <w:tcW w:w="3858" w:type="dxa"/>
          </w:tcPr>
          <w:p w14:paraId="22A9CFE5" w14:textId="6F6C2C5F" w:rsidR="009622EA" w:rsidRPr="007F38DC" w:rsidRDefault="007F38DC" w:rsidP="007F38D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2417 </w:t>
            </w:r>
            <w:r w:rsidR="009622EA" w:rsidRPr="007F38DC">
              <w:rPr>
                <w:rFonts w:ascii="Calibri" w:hAnsi="Calibri" w:cs="Calibri"/>
                <w:color w:val="000000"/>
                <w:sz w:val="24"/>
                <w:szCs w:val="24"/>
              </w:rPr>
              <w:t>(18%)</w:t>
            </w:r>
          </w:p>
        </w:tc>
      </w:tr>
      <w:tr w:rsidR="002C71CB" w:rsidRPr="000C266E" w14:paraId="426B4F37" w14:textId="77777777" w:rsidTr="00EF26A9">
        <w:trPr>
          <w:trHeight w:val="290"/>
        </w:trPr>
        <w:tc>
          <w:tcPr>
            <w:tcW w:w="10008" w:type="dxa"/>
            <w:gridSpan w:val="3"/>
          </w:tcPr>
          <w:p w14:paraId="3D38ADAB" w14:textId="78811855" w:rsidR="002C71CB" w:rsidRPr="007F38DC" w:rsidRDefault="002C71CB" w:rsidP="007F38DC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* </w:t>
            </w:r>
            <w:r w:rsidRPr="007F38DC">
              <w:rPr>
                <w:rFonts w:ascii="Calibri" w:hAnsi="Calibri" w:cs="Calibri"/>
                <w:color w:val="000000"/>
                <w:sz w:val="24"/>
                <w:szCs w:val="24"/>
              </w:rPr>
              <w:t>188 HCWs who were vaccinate with the 4</w:t>
            </w:r>
            <w:r w:rsidRPr="007F38DC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 w:rsidRPr="007F38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dose contracted COVID-19 within 1 week from vaccination and were considered </w:t>
            </w:r>
            <w:r w:rsidR="00F42C3D" w:rsidRPr="007F38DC">
              <w:rPr>
                <w:rFonts w:ascii="Calibri" w:hAnsi="Calibri" w:cs="Calibri"/>
                <w:color w:val="000000"/>
                <w:sz w:val="24"/>
                <w:szCs w:val="24"/>
              </w:rPr>
              <w:t>therefore included</w:t>
            </w:r>
            <w:r w:rsidRPr="007F38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 the 3-dose group in the analysis.</w:t>
            </w:r>
          </w:p>
        </w:tc>
      </w:tr>
    </w:tbl>
    <w:p w14:paraId="2A25EF3E" w14:textId="7E15D0AA" w:rsidR="00970143" w:rsidRDefault="00970143" w:rsidP="00564D02">
      <w:pPr>
        <w:bidi w:val="0"/>
        <w:spacing w:line="480" w:lineRule="auto"/>
        <w:rPr>
          <w:rFonts w:cstheme="minorHAnsi"/>
          <w:sz w:val="24"/>
          <w:szCs w:val="24"/>
        </w:rPr>
      </w:pPr>
    </w:p>
    <w:p w14:paraId="25F2FA3A" w14:textId="75764F45" w:rsidR="00E52DB4" w:rsidRDefault="00E52DB4">
      <w:pPr>
        <w:bidi w:val="0"/>
        <w:spacing w:line="480" w:lineRule="auto"/>
        <w:rPr>
          <w:rFonts w:cstheme="minorHAnsi"/>
          <w:sz w:val="24"/>
          <w:szCs w:val="24"/>
        </w:rPr>
      </w:pPr>
    </w:p>
    <w:p w14:paraId="56CBFFDA" w14:textId="77777777" w:rsidR="00E52DB4" w:rsidRPr="005E3E29" w:rsidRDefault="00E52DB4">
      <w:pPr>
        <w:bidi w:val="0"/>
        <w:spacing w:line="480" w:lineRule="auto"/>
        <w:rPr>
          <w:rFonts w:cstheme="minorHAnsi"/>
          <w:sz w:val="24"/>
          <w:szCs w:val="24"/>
        </w:rPr>
      </w:pPr>
    </w:p>
    <w:p w14:paraId="1489DAD8" w14:textId="77777777" w:rsidR="00E9012F" w:rsidRDefault="00E9012F" w:rsidP="00564D02">
      <w:pPr>
        <w:bidi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33CF6C4" w14:textId="77777777" w:rsidR="0085572E" w:rsidRDefault="0085572E" w:rsidP="00564D02">
      <w:pPr>
        <w:bidi w:val="0"/>
        <w:rPr>
          <w:rFonts w:cstheme="minorHAnsi"/>
          <w:sz w:val="24"/>
          <w:szCs w:val="24"/>
        </w:rPr>
      </w:pPr>
    </w:p>
    <w:p w14:paraId="23B27A0B" w14:textId="77777777" w:rsidR="0085572E" w:rsidRDefault="0085572E" w:rsidP="00564D02">
      <w:pPr>
        <w:bidi w:val="0"/>
        <w:rPr>
          <w:rFonts w:cstheme="minorHAnsi"/>
          <w:sz w:val="24"/>
          <w:szCs w:val="24"/>
        </w:rPr>
      </w:pPr>
    </w:p>
    <w:p w14:paraId="70C8C363" w14:textId="77777777" w:rsidR="0085572E" w:rsidRDefault="0085572E" w:rsidP="00564D02">
      <w:pPr>
        <w:bidi w:val="0"/>
        <w:rPr>
          <w:rFonts w:cstheme="minorHAnsi"/>
          <w:sz w:val="24"/>
          <w:szCs w:val="24"/>
        </w:rPr>
      </w:pPr>
    </w:p>
    <w:p w14:paraId="60FC9C3B" w14:textId="77777777" w:rsidR="0085572E" w:rsidRDefault="0085572E" w:rsidP="00564D02">
      <w:pPr>
        <w:bidi w:val="0"/>
        <w:rPr>
          <w:rFonts w:cstheme="minorHAnsi"/>
          <w:sz w:val="24"/>
          <w:szCs w:val="24"/>
        </w:rPr>
      </w:pPr>
    </w:p>
    <w:tbl>
      <w:tblPr>
        <w:tblW w:w="154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5"/>
        <w:gridCol w:w="1092"/>
        <w:gridCol w:w="1093"/>
        <w:gridCol w:w="1092"/>
        <w:gridCol w:w="1093"/>
        <w:gridCol w:w="1093"/>
        <w:gridCol w:w="1092"/>
        <w:gridCol w:w="1093"/>
        <w:gridCol w:w="1093"/>
        <w:gridCol w:w="1092"/>
        <w:gridCol w:w="1093"/>
        <w:gridCol w:w="1093"/>
        <w:gridCol w:w="1260"/>
      </w:tblGrid>
      <w:tr w:rsidR="000B0D9F" w:rsidRPr="0085572E" w14:paraId="3EA193C6" w14:textId="77777777" w:rsidTr="000B0D9F">
        <w:trPr>
          <w:trHeight w:val="324"/>
        </w:trPr>
        <w:tc>
          <w:tcPr>
            <w:tcW w:w="154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5EA12" w14:textId="131D8FAD" w:rsidR="000B0D9F" w:rsidRPr="00282D5C" w:rsidRDefault="000B0D9F" w:rsidP="008F4484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57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Supplement Table</w:t>
            </w:r>
            <w:r w:rsidRPr="00855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7D5177" w:rsidRPr="008F44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 w:rsidRPr="00855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: Number of </w:t>
            </w:r>
            <w:r w:rsidR="009622E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participating</w:t>
            </w:r>
            <w:r w:rsidR="009622EA" w:rsidRPr="00855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855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healthcare </w:t>
            </w:r>
            <w:r w:rsidR="008F4484" w:rsidRPr="00855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workers</w:t>
            </w:r>
            <w:r w:rsidRPr="00855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by hospital and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profession</w:t>
            </w:r>
            <w:r w:rsidRPr="00855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; number of workers which received 3 or 4 doses of the BNT162b2 vaccine</w:t>
            </w:r>
          </w:p>
        </w:tc>
      </w:tr>
      <w:tr w:rsidR="000B0D9F" w:rsidRPr="0085572E" w14:paraId="6BAD328F" w14:textId="77777777" w:rsidTr="007F38DC">
        <w:trPr>
          <w:trHeight w:val="32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EE799" w14:textId="77777777" w:rsidR="000B0D9F" w:rsidRPr="0085572E" w:rsidRDefault="000B0D9F" w:rsidP="000B0D9F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BC29" w14:textId="77777777" w:rsidR="000B0D9F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BMC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5A19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BPMCP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F2575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BZMC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CD212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HHUMC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3CAD6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KMC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96CD4" w14:textId="77777777" w:rsidR="000B0D9F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MMC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0C8DF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RHCC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6F445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SMC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5CC10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SZMC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6937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TASMC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2FEE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WMC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AAC35" w14:textId="77777777" w:rsidR="000B0D9F" w:rsidRPr="00282D5C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82D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0B0D9F" w:rsidRPr="0085572E" w14:paraId="7D3AD1DD" w14:textId="77777777" w:rsidTr="007F38DC">
        <w:trPr>
          <w:trHeight w:val="32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98D3" w14:textId="1A008D87" w:rsidR="000B0D9F" w:rsidRPr="0049681E" w:rsidRDefault="007D5177" w:rsidP="000B0D9F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N*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8C0AD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1382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8797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1215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25E0E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1607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F33C1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2AEF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1872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8F907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2581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65218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4457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8204F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2451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C5C61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2864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BB73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5595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E5D2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4883A" w14:textId="4037BFEC" w:rsidR="000B0D9F" w:rsidRPr="0085572E" w:rsidRDefault="002C71CB" w:rsidP="002C71C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29611</w:t>
            </w:r>
          </w:p>
        </w:tc>
      </w:tr>
      <w:tr w:rsidR="000B0D9F" w:rsidRPr="0085572E" w14:paraId="49B1B89A" w14:textId="77777777" w:rsidTr="000B0D9F">
        <w:trPr>
          <w:trHeight w:val="32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FF59" w14:textId="77777777" w:rsidR="000B0D9F" w:rsidRPr="0085572E" w:rsidRDefault="000B0D9F" w:rsidP="000B0D9F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E11B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 (%)</w:t>
            </w:r>
          </w:p>
        </w:tc>
      </w:tr>
      <w:tr w:rsidR="00FC1932" w:rsidRPr="0085572E" w14:paraId="74A38995" w14:textId="77777777" w:rsidTr="007F38DC">
        <w:trPr>
          <w:trHeight w:val="317"/>
        </w:trPr>
        <w:tc>
          <w:tcPr>
            <w:tcW w:w="154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D823" w14:textId="14872896" w:rsidR="00FC1932" w:rsidRPr="0085572E" w:rsidRDefault="00FC1932" w:rsidP="007F38D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7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Profession</w:t>
            </w:r>
            <w:r w:rsidRPr="00855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B0D9F" w:rsidRPr="0085572E" w14:paraId="069C4E42" w14:textId="77777777" w:rsidTr="007F38DC">
        <w:trPr>
          <w:trHeight w:val="32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1549" w14:textId="77777777" w:rsidR="000B0D9F" w:rsidRPr="0085572E" w:rsidRDefault="000B0D9F" w:rsidP="000B0D9F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Physician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76A9C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351(25)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1BB64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321(26)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EA133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382(24)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B125E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807(21)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C9A96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470(25)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31879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623(24)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ECBB3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1022(23)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961AE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618(26)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506E9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827(29)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6E30C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1467(26)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12B5C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482(28)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946C2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7370 (25)</w:t>
            </w:r>
          </w:p>
        </w:tc>
      </w:tr>
      <w:tr w:rsidR="000B0D9F" w:rsidRPr="0085572E" w14:paraId="451A71DC" w14:textId="77777777" w:rsidTr="007F38DC">
        <w:trPr>
          <w:trHeight w:val="32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DBEC" w14:textId="77777777" w:rsidR="000B0D9F" w:rsidRPr="0085572E" w:rsidRDefault="000B0D9F" w:rsidP="000B0D9F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Nursing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BAB14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522(38)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ED689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369(30)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92F6B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477(30)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CFA0E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1167(30)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1D149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690(37)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6D46F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955(37)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063EA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1051(24)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5EDAF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857(35)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C3F12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1005(35)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C6FFA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1241(22)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0ACE1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612(36)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4EC4E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8946 (30)</w:t>
            </w:r>
          </w:p>
        </w:tc>
      </w:tr>
      <w:tr w:rsidR="000B0D9F" w:rsidRPr="0085572E" w14:paraId="59D49B0B" w14:textId="77777777" w:rsidTr="007F38DC">
        <w:trPr>
          <w:trHeight w:val="32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E9B4" w14:textId="77777777" w:rsidR="000B0D9F" w:rsidRPr="0085572E" w:rsidRDefault="000B0D9F" w:rsidP="000B0D9F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Other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85DA1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509(37)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CCF04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525(43)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EAB03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748(47)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374C6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1926(49)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8BDE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712(38)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9CFD6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1003(39)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73F40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2384(53)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2537E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940(39)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9C910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1032(36)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33ECF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2887(52)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D566D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629(37)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97B85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13296 (45)</w:t>
            </w:r>
          </w:p>
        </w:tc>
      </w:tr>
      <w:tr w:rsidR="00FC1932" w:rsidRPr="0085572E" w14:paraId="140DF9B8" w14:textId="77777777" w:rsidTr="000D41CF">
        <w:trPr>
          <w:trHeight w:val="324"/>
        </w:trPr>
        <w:tc>
          <w:tcPr>
            <w:tcW w:w="154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5984" w14:textId="67C7FF11" w:rsidR="00FC1932" w:rsidRPr="0085572E" w:rsidRDefault="00FC1932" w:rsidP="007F38DC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7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Vaccine doses</w:t>
            </w:r>
          </w:p>
        </w:tc>
      </w:tr>
      <w:tr w:rsidR="000B0D9F" w:rsidRPr="0085572E" w14:paraId="69F88B07" w14:textId="77777777" w:rsidTr="007F38DC">
        <w:trPr>
          <w:trHeight w:val="357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CD60" w14:textId="77777777" w:rsidR="000B0D9F" w:rsidRPr="0085572E" w:rsidRDefault="000B0D9F" w:rsidP="000B0D9F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3 Doses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0CB4B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1228(89)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3D9FB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1100(91)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E54F0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1282(80)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D6476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3038(78)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3E494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1508(81)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4AFD9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2019(78)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AE682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3787(85)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9D86D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2070(86)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0A736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2166(76)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BA5BF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4362(78)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27624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1532(89)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B102E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24092(81)</w:t>
            </w:r>
          </w:p>
        </w:tc>
      </w:tr>
      <w:tr w:rsidR="000B0D9F" w:rsidRPr="0085572E" w14:paraId="440989FC" w14:textId="77777777" w:rsidTr="007F38DC">
        <w:trPr>
          <w:trHeight w:val="357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6EF8" w14:textId="77777777" w:rsidR="000B0D9F" w:rsidRPr="0085572E" w:rsidRDefault="000B0D9F" w:rsidP="000B0D9F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4 Doses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021B8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154(11)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A72FA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115(9)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9A036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325(20)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404B8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862(22)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5DD29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364(19)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25153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562(22)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6B86B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670(15)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D9D7D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345(14)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9C3B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698(24)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9326A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1233(22)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FE214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191(11)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0DD61" w14:textId="77777777" w:rsidR="000B0D9F" w:rsidRPr="0085572E" w:rsidRDefault="000B0D9F" w:rsidP="000B0D9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5519(19)</w:t>
            </w:r>
          </w:p>
        </w:tc>
      </w:tr>
      <w:tr w:rsidR="000B0D9F" w:rsidRPr="0085572E" w14:paraId="2D3D3854" w14:textId="77777777" w:rsidTr="000B0D9F">
        <w:trPr>
          <w:trHeight w:val="357"/>
        </w:trPr>
        <w:tc>
          <w:tcPr>
            <w:tcW w:w="154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F67C8" w14:textId="22423F33" w:rsidR="000B0D9F" w:rsidRDefault="000B0D9F" w:rsidP="000B0D9F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BMC,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Barzilai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Medical Center; </w:t>
            </w:r>
            <w:r w:rsidRPr="00E9012F">
              <w:rPr>
                <w:rFonts w:eastAsia="Calibri" w:cstheme="minorHAnsi"/>
                <w:color w:val="000000"/>
                <w:sz w:val="20"/>
                <w:szCs w:val="20"/>
              </w:rPr>
              <w:t xml:space="preserve">BPMCP, Baruch </w:t>
            </w:r>
            <w:proofErr w:type="spellStart"/>
            <w:r w:rsidRPr="00E9012F">
              <w:rPr>
                <w:rFonts w:eastAsia="Calibri" w:cstheme="minorHAnsi"/>
                <w:color w:val="000000"/>
                <w:sz w:val="20"/>
                <w:szCs w:val="20"/>
              </w:rPr>
              <w:t>Padeh</w:t>
            </w:r>
            <w:proofErr w:type="spellEnd"/>
            <w:r w:rsidRPr="00E9012F">
              <w:rPr>
                <w:rFonts w:eastAsia="Calibri" w:cstheme="minorHAnsi"/>
                <w:color w:val="000000"/>
                <w:sz w:val="20"/>
                <w:szCs w:val="20"/>
              </w:rPr>
              <w:t xml:space="preserve"> Medical Center </w:t>
            </w:r>
            <w:proofErr w:type="spellStart"/>
            <w:r w:rsidRPr="00E9012F">
              <w:rPr>
                <w:rFonts w:eastAsia="Calibri" w:cstheme="minorHAnsi"/>
                <w:color w:val="000000"/>
                <w:sz w:val="20"/>
                <w:szCs w:val="20"/>
              </w:rPr>
              <w:t>Poriya</w:t>
            </w:r>
            <w:proofErr w:type="spellEnd"/>
            <w:r w:rsidRPr="00E9012F">
              <w:rPr>
                <w:rFonts w:eastAsia="Calibri" w:cstheme="minorHAnsi"/>
                <w:color w:val="000000"/>
                <w:sz w:val="20"/>
                <w:szCs w:val="20"/>
              </w:rPr>
              <w:t xml:space="preserve">; BZMC, </w:t>
            </w:r>
            <w:proofErr w:type="spellStart"/>
            <w:r w:rsidRPr="00E9012F">
              <w:rPr>
                <w:rFonts w:eastAsia="Calibri" w:cstheme="minorHAnsi"/>
                <w:color w:val="000000"/>
                <w:sz w:val="20"/>
                <w:szCs w:val="20"/>
              </w:rPr>
              <w:t>Bnei</w:t>
            </w:r>
            <w:proofErr w:type="spellEnd"/>
            <w:r w:rsidRPr="00E9012F">
              <w:rPr>
                <w:rFonts w:eastAsia="Calibri" w:cstheme="minorHAnsi"/>
                <w:color w:val="000000"/>
                <w:sz w:val="20"/>
                <w:szCs w:val="20"/>
              </w:rPr>
              <w:t xml:space="preserve"> Zion Medical Center; HHUMC, Hadassah Hebrew University Medical Center; KMC, Kaplan Medical Center</w:t>
            </w:r>
            <w:r w:rsidR="00645D53">
              <w:rPr>
                <w:rFonts w:eastAsia="Calibri" w:cstheme="minorHAnsi"/>
                <w:color w:val="000000"/>
                <w:sz w:val="20"/>
                <w:szCs w:val="20"/>
              </w:rPr>
              <w:t xml:space="preserve">;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MMC. Meir Medical </w:t>
            </w:r>
            <w:r w:rsidR="007D5177">
              <w:rPr>
                <w:rFonts w:eastAsia="Calibri" w:cstheme="minorHAnsi"/>
                <w:color w:val="000000"/>
                <w:sz w:val="20"/>
                <w:szCs w:val="20"/>
              </w:rPr>
              <w:t>center</w:t>
            </w:r>
            <w:r w:rsidRPr="00E9012F">
              <w:rPr>
                <w:rFonts w:eastAsia="Calibri" w:cstheme="minorHAnsi"/>
                <w:color w:val="000000"/>
                <w:sz w:val="20"/>
                <w:szCs w:val="20"/>
              </w:rPr>
              <w:t xml:space="preserve">; RHCC, </w:t>
            </w:r>
            <w:proofErr w:type="spellStart"/>
            <w:r w:rsidRPr="00E9012F">
              <w:rPr>
                <w:rFonts w:eastAsia="Calibri" w:cstheme="minorHAnsi"/>
                <w:color w:val="000000"/>
                <w:sz w:val="20"/>
                <w:szCs w:val="20"/>
              </w:rPr>
              <w:t>Rambam</w:t>
            </w:r>
            <w:proofErr w:type="spellEnd"/>
            <w:r w:rsidRPr="00E9012F">
              <w:rPr>
                <w:rFonts w:eastAsia="Calibri" w:cstheme="minorHAnsi"/>
                <w:color w:val="000000"/>
                <w:sz w:val="20"/>
                <w:szCs w:val="20"/>
              </w:rPr>
              <w:t xml:space="preserve"> Health Care Campus; SMC, Shamir Medical Center; SZMC, </w:t>
            </w:r>
            <w:proofErr w:type="spellStart"/>
            <w:r w:rsidRPr="00E9012F">
              <w:rPr>
                <w:rFonts w:eastAsia="Calibri" w:cstheme="minorHAnsi"/>
                <w:color w:val="000000"/>
                <w:sz w:val="20"/>
                <w:szCs w:val="20"/>
              </w:rPr>
              <w:t>Shaare</w:t>
            </w:r>
            <w:proofErr w:type="spellEnd"/>
            <w:r w:rsidRPr="00E9012F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012F">
              <w:rPr>
                <w:rFonts w:eastAsia="Calibri" w:cstheme="minorHAnsi"/>
                <w:color w:val="000000"/>
                <w:sz w:val="20"/>
                <w:szCs w:val="20"/>
              </w:rPr>
              <w:t>Zedek</w:t>
            </w:r>
            <w:proofErr w:type="spellEnd"/>
            <w:r w:rsidRPr="00E9012F">
              <w:rPr>
                <w:rFonts w:eastAsia="Calibri" w:cstheme="minorHAnsi"/>
                <w:color w:val="000000"/>
                <w:sz w:val="20"/>
                <w:szCs w:val="20"/>
              </w:rPr>
              <w:t xml:space="preserve"> Medical Center; TASMC, Tel Aviv </w:t>
            </w:r>
            <w:proofErr w:type="spellStart"/>
            <w:r w:rsidRPr="00E9012F">
              <w:rPr>
                <w:rFonts w:eastAsia="Calibri" w:cstheme="minorHAnsi"/>
                <w:color w:val="000000"/>
                <w:sz w:val="20"/>
                <w:szCs w:val="20"/>
              </w:rPr>
              <w:t>Sourask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y</w:t>
            </w:r>
            <w:proofErr w:type="spellEnd"/>
            <w:r w:rsidRPr="00E9012F">
              <w:rPr>
                <w:rFonts w:eastAsia="Calibri" w:cstheme="minorHAnsi"/>
                <w:color w:val="000000"/>
                <w:sz w:val="20"/>
                <w:szCs w:val="20"/>
              </w:rPr>
              <w:t xml:space="preserve"> Medical Center; WMC, Wolfson Medical Center</w:t>
            </w:r>
          </w:p>
        </w:tc>
      </w:tr>
      <w:tr w:rsidR="000B0D9F" w:rsidRPr="0085572E" w14:paraId="35170E22" w14:textId="77777777" w:rsidTr="000B0D9F">
        <w:trPr>
          <w:trHeight w:val="357"/>
        </w:trPr>
        <w:tc>
          <w:tcPr>
            <w:tcW w:w="154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6ABBC" w14:textId="77777777" w:rsidR="000B0D9F" w:rsidRDefault="000B0D9F" w:rsidP="000B0D9F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557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 We included only healthcare workers who received the 3</w:t>
            </w:r>
            <w:r w:rsidRPr="0085572E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rd</w:t>
            </w:r>
            <w:r w:rsidRPr="008557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vaccine dose between August 1</w:t>
            </w:r>
            <w:r w:rsidRPr="0085572E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st</w:t>
            </w:r>
            <w:r w:rsidRPr="008557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2021 and September 30</w:t>
            </w:r>
            <w:r w:rsidRPr="0085572E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th</w:t>
            </w:r>
            <w:r w:rsidRPr="008557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2021</w:t>
            </w:r>
          </w:p>
        </w:tc>
      </w:tr>
    </w:tbl>
    <w:p w14:paraId="7E069343" w14:textId="60E363C8" w:rsidR="004E2971" w:rsidRDefault="0085572E" w:rsidP="008F4484">
      <w:pPr>
        <w:bidi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B996B50" w14:textId="77777777" w:rsidR="000B0D9F" w:rsidRDefault="000B0D9F">
      <w:pPr>
        <w:bidi w:val="0"/>
        <w:rPr>
          <w:rFonts w:cstheme="minorHAnsi"/>
          <w:sz w:val="24"/>
          <w:szCs w:val="24"/>
        </w:rPr>
        <w:sectPr w:rsidR="000B0D9F" w:rsidSect="00282D5C">
          <w:pgSz w:w="16838" w:h="11906" w:orient="landscape"/>
          <w:pgMar w:top="1418" w:right="1440" w:bottom="1800" w:left="1440" w:header="708" w:footer="708" w:gutter="0"/>
          <w:cols w:space="708"/>
          <w:bidi/>
          <w:rtlGutter/>
          <w:docGrid w:linePitch="360"/>
        </w:sectPr>
      </w:pPr>
    </w:p>
    <w:p w14:paraId="5D4C6733" w14:textId="2B3F09C6" w:rsidR="00F55274" w:rsidRDefault="00F55274" w:rsidP="00564D02">
      <w:pPr>
        <w:bidi w:val="0"/>
        <w:rPr>
          <w:rFonts w:cstheme="minorHAnsi"/>
          <w:sz w:val="24"/>
          <w:szCs w:val="24"/>
        </w:rPr>
      </w:pPr>
    </w:p>
    <w:p w14:paraId="78A90DA0" w14:textId="6FE76A79" w:rsidR="004E2971" w:rsidRDefault="00F55274" w:rsidP="00564D02">
      <w:pPr>
        <w:bidi w:val="0"/>
        <w:ind w:left="-633" w:firstLine="993"/>
        <w:rPr>
          <w:rFonts w:cstheme="minorHAnsi"/>
          <w:sz w:val="24"/>
          <w:szCs w:val="24"/>
        </w:rPr>
      </w:pPr>
      <w:r w:rsidRPr="00F55274">
        <w:rPr>
          <w:rFonts w:cstheme="minorHAnsi"/>
          <w:b/>
          <w:bCs/>
          <w:sz w:val="24"/>
          <w:szCs w:val="24"/>
        </w:rPr>
        <w:t>References</w:t>
      </w:r>
      <w:r w:rsidR="00414E7C">
        <w:rPr>
          <w:rFonts w:cstheme="minorHAnsi"/>
          <w:b/>
          <w:bCs/>
          <w:sz w:val="24"/>
          <w:szCs w:val="24"/>
        </w:rPr>
        <w:t>:</w:t>
      </w:r>
    </w:p>
    <w:p w14:paraId="7B365F00" w14:textId="77777777" w:rsidR="00414E7C" w:rsidRDefault="00414E7C" w:rsidP="00564D02">
      <w:pPr>
        <w:bidi w:val="0"/>
        <w:ind w:left="-633" w:firstLine="993"/>
        <w:rPr>
          <w:rFonts w:cstheme="minorHAnsi"/>
          <w:sz w:val="24"/>
          <w:szCs w:val="24"/>
        </w:rPr>
      </w:pPr>
    </w:p>
    <w:p w14:paraId="0BBFCE3B" w14:textId="595908EF" w:rsidR="00F55274" w:rsidRDefault="00C432D8" w:rsidP="00564D02">
      <w:pPr>
        <w:pStyle w:val="ListParagraph"/>
        <w:numPr>
          <w:ilvl w:val="0"/>
          <w:numId w:val="4"/>
        </w:numPr>
        <w:bidi w:val="0"/>
        <w:spacing w:line="480" w:lineRule="auto"/>
        <w:rPr>
          <w:rFonts w:cstheme="minorHAnsi"/>
          <w:sz w:val="24"/>
          <w:szCs w:val="24"/>
        </w:rPr>
      </w:pPr>
      <w:r w:rsidRPr="00E9212D">
        <w:rPr>
          <w:rFonts w:cstheme="minorHAnsi"/>
          <w:sz w:val="24"/>
          <w:szCs w:val="24"/>
        </w:rPr>
        <w:t xml:space="preserve">Israeli Ministry of Health COVID-19 data center. Accessed February 21, 2022. </w:t>
      </w:r>
      <w:hyperlink r:id="rId7" w:history="1">
        <w:r w:rsidRPr="00E9212D">
          <w:rPr>
            <w:rStyle w:val="Hyperlink"/>
            <w:rFonts w:cstheme="minorHAnsi"/>
            <w:sz w:val="24"/>
            <w:szCs w:val="24"/>
          </w:rPr>
          <w:t>https://data.gov.il/dataset/covid-19</w:t>
        </w:r>
      </w:hyperlink>
      <w:r w:rsidRPr="00E9212D">
        <w:rPr>
          <w:rFonts w:cstheme="minorHAnsi"/>
          <w:sz w:val="24"/>
          <w:szCs w:val="24"/>
        </w:rPr>
        <w:t xml:space="preserve"> (In Hebrew)</w:t>
      </w:r>
      <w:r>
        <w:rPr>
          <w:rFonts w:cstheme="minorHAnsi"/>
          <w:sz w:val="24"/>
          <w:szCs w:val="24"/>
        </w:rPr>
        <w:t>.</w:t>
      </w:r>
    </w:p>
    <w:p w14:paraId="47B8A94B" w14:textId="74547FA0" w:rsidR="00C432D8" w:rsidRDefault="00562659" w:rsidP="00564D02">
      <w:pPr>
        <w:pStyle w:val="ListParagraph"/>
        <w:numPr>
          <w:ilvl w:val="0"/>
          <w:numId w:val="4"/>
        </w:numPr>
        <w:bidi w:val="0"/>
        <w:spacing w:line="480" w:lineRule="auto"/>
        <w:rPr>
          <w:rFonts w:cstheme="minorHAnsi"/>
          <w:sz w:val="24"/>
          <w:szCs w:val="24"/>
        </w:rPr>
      </w:pPr>
      <w:bookmarkStart w:id="2" w:name="_Hlk99050696"/>
      <w:proofErr w:type="spellStart"/>
      <w:r>
        <w:rPr>
          <w:rFonts w:ascii="Segoe UI" w:hAnsi="Segoe UI" w:cs="Segoe UI"/>
          <w:color w:val="212121"/>
          <w:shd w:val="clear" w:color="auto" w:fill="FFFFFF"/>
        </w:rPr>
        <w:t>Patalon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T,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Gazit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S,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Pitzer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VE,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Prunas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O, Warren JL, Weinberger DM. Odds of Testing Positive for SARS-CoV-2 Following Receipt of 3 vs 2 Doses of the BNT162b2 mRNA Vaccine. </w:t>
      </w:r>
      <w:r>
        <w:rPr>
          <w:rFonts w:ascii="Segoe UI" w:hAnsi="Segoe UI" w:cs="Segoe UI"/>
          <w:i/>
          <w:iCs/>
          <w:color w:val="212121"/>
          <w:shd w:val="clear" w:color="auto" w:fill="FFFFFF"/>
        </w:rPr>
        <w:t>JAMA Intern Med</w:t>
      </w:r>
      <w:r>
        <w:rPr>
          <w:rFonts w:ascii="Segoe UI" w:hAnsi="Segoe UI" w:cs="Segoe UI"/>
          <w:color w:val="212121"/>
          <w:shd w:val="clear" w:color="auto" w:fill="FFFFFF"/>
        </w:rPr>
        <w:t>. 2022</w:t>
      </w:r>
      <w:proofErr w:type="gramStart"/>
      <w:r w:rsidR="00414E7C">
        <w:rPr>
          <w:rFonts w:ascii="Segoe UI" w:hAnsi="Segoe UI" w:cs="Segoe UI"/>
          <w:color w:val="212121"/>
          <w:shd w:val="clear" w:color="auto" w:fill="FFFFFF"/>
        </w:rPr>
        <w:t>;</w:t>
      </w:r>
      <w:proofErr w:type="gramEnd"/>
      <w:r w:rsidR="00414E7C">
        <w:rPr>
          <w:rFonts w:ascii="Segoe UI" w:hAnsi="Segoe UI" w:cs="Segoe UI"/>
          <w:color w:val="212121"/>
          <w:shd w:val="clear" w:color="auto" w:fill="FFFFFF"/>
        </w:rPr>
        <w:t xml:space="preserve"> 182</w:t>
      </w:r>
      <w:r>
        <w:rPr>
          <w:rFonts w:ascii="Segoe UI" w:hAnsi="Segoe UI" w:cs="Segoe UI"/>
          <w:color w:val="212121"/>
          <w:shd w:val="clear" w:color="auto" w:fill="FFFFFF"/>
        </w:rPr>
        <w:t>(2):179-184. doi:10.1001/jamainternmed.2021.7382</w:t>
      </w:r>
    </w:p>
    <w:bookmarkEnd w:id="2"/>
    <w:p w14:paraId="7633DDAF" w14:textId="25F95277" w:rsidR="003B1145" w:rsidRPr="00E9212D" w:rsidRDefault="003B1145" w:rsidP="00564D02">
      <w:pPr>
        <w:pStyle w:val="ListParagraph"/>
        <w:numPr>
          <w:ilvl w:val="0"/>
          <w:numId w:val="4"/>
        </w:numPr>
        <w:bidi w:val="0"/>
        <w:spacing w:line="480" w:lineRule="auto"/>
        <w:rPr>
          <w:rFonts w:cstheme="minorHAnsi"/>
          <w:sz w:val="24"/>
          <w:szCs w:val="24"/>
        </w:rPr>
      </w:pPr>
      <w:r w:rsidRPr="00E9212D">
        <w:rPr>
          <w:rFonts w:cstheme="minorHAnsi"/>
          <w:color w:val="212121"/>
          <w:sz w:val="24"/>
          <w:szCs w:val="24"/>
          <w:shd w:val="clear" w:color="auto" w:fill="FFFFFF"/>
        </w:rPr>
        <w:t>Bar-On YM, Goldberg Y, Mandel M, et al. Protection of BNT162b2 Vaccine Booster against Covid-19 in Israel. </w:t>
      </w:r>
      <w:r w:rsidRPr="00E9212D">
        <w:rPr>
          <w:rFonts w:cstheme="minorHAnsi"/>
          <w:i/>
          <w:iCs/>
          <w:color w:val="212121"/>
          <w:sz w:val="24"/>
          <w:szCs w:val="24"/>
          <w:shd w:val="clear" w:color="auto" w:fill="FFFFFF"/>
        </w:rPr>
        <w:t xml:space="preserve">N </w:t>
      </w:r>
      <w:proofErr w:type="spellStart"/>
      <w:r w:rsidRPr="00E9212D">
        <w:rPr>
          <w:rFonts w:cstheme="minorHAnsi"/>
          <w:i/>
          <w:iCs/>
          <w:color w:val="212121"/>
          <w:sz w:val="24"/>
          <w:szCs w:val="24"/>
          <w:shd w:val="clear" w:color="auto" w:fill="FFFFFF"/>
        </w:rPr>
        <w:t>Engl</w:t>
      </w:r>
      <w:proofErr w:type="spellEnd"/>
      <w:r w:rsidRPr="00E9212D">
        <w:rPr>
          <w:rFonts w:cstheme="minorHAnsi"/>
          <w:i/>
          <w:iCs/>
          <w:color w:val="212121"/>
          <w:sz w:val="24"/>
          <w:szCs w:val="24"/>
          <w:shd w:val="clear" w:color="auto" w:fill="FFFFFF"/>
        </w:rPr>
        <w:t xml:space="preserve"> J Med</w:t>
      </w:r>
      <w:r w:rsidRPr="00E9212D">
        <w:rPr>
          <w:rFonts w:cstheme="minorHAnsi"/>
          <w:color w:val="212121"/>
          <w:sz w:val="24"/>
          <w:szCs w:val="24"/>
          <w:shd w:val="clear" w:color="auto" w:fill="FFFFFF"/>
        </w:rPr>
        <w:t>. 2021</w:t>
      </w:r>
      <w:proofErr w:type="gramStart"/>
      <w:r w:rsidR="00414E7C" w:rsidRPr="00E9212D">
        <w:rPr>
          <w:rFonts w:cstheme="minorHAnsi"/>
          <w:color w:val="212121"/>
          <w:sz w:val="24"/>
          <w:szCs w:val="24"/>
          <w:shd w:val="clear" w:color="auto" w:fill="FFFFFF"/>
        </w:rPr>
        <w:t>;</w:t>
      </w:r>
      <w:proofErr w:type="gramEnd"/>
      <w:r w:rsidR="00414E7C" w:rsidRPr="00E9212D">
        <w:rPr>
          <w:rFonts w:cstheme="minorHAnsi"/>
          <w:color w:val="212121"/>
          <w:sz w:val="24"/>
          <w:szCs w:val="24"/>
          <w:shd w:val="clear" w:color="auto" w:fill="FFFFFF"/>
        </w:rPr>
        <w:t xml:space="preserve"> 385</w:t>
      </w:r>
      <w:r w:rsidRPr="00E9212D">
        <w:rPr>
          <w:rFonts w:cstheme="minorHAnsi"/>
          <w:color w:val="212121"/>
          <w:sz w:val="24"/>
          <w:szCs w:val="24"/>
          <w:shd w:val="clear" w:color="auto" w:fill="FFFFFF"/>
        </w:rPr>
        <w:t>(15):1393-1400. doi:10.1056/NEJMoa2114255</w:t>
      </w:r>
    </w:p>
    <w:p w14:paraId="027081CB" w14:textId="0F479285" w:rsidR="00562659" w:rsidRPr="00C432D8" w:rsidRDefault="00562659" w:rsidP="00C878AA">
      <w:pPr>
        <w:pStyle w:val="ListParagraph"/>
        <w:bidi w:val="0"/>
        <w:spacing w:line="480" w:lineRule="auto"/>
        <w:rPr>
          <w:rFonts w:cstheme="minorHAnsi"/>
          <w:sz w:val="24"/>
          <w:szCs w:val="24"/>
        </w:rPr>
      </w:pPr>
    </w:p>
    <w:sectPr w:rsidR="00562659" w:rsidRPr="00C432D8" w:rsidSect="00414E7C">
      <w:pgSz w:w="11906" w:h="16838"/>
      <w:pgMar w:top="1440" w:right="1800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62666"/>
    <w:multiLevelType w:val="hybridMultilevel"/>
    <w:tmpl w:val="64D84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E59F2"/>
    <w:multiLevelType w:val="hybridMultilevel"/>
    <w:tmpl w:val="D0DADCA0"/>
    <w:lvl w:ilvl="0" w:tplc="FCC0F7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42F3C"/>
    <w:multiLevelType w:val="hybridMultilevel"/>
    <w:tmpl w:val="D3CCE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A562A"/>
    <w:multiLevelType w:val="hybridMultilevel"/>
    <w:tmpl w:val="434C3C0E"/>
    <w:lvl w:ilvl="0" w:tplc="D2BE685E">
      <w:start w:val="24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E6A3E"/>
    <w:multiLevelType w:val="hybridMultilevel"/>
    <w:tmpl w:val="2556A9EA"/>
    <w:lvl w:ilvl="0" w:tplc="D0026A44">
      <w:start w:val="2417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E5F74"/>
    <w:multiLevelType w:val="hybridMultilevel"/>
    <w:tmpl w:val="E7F0878A"/>
    <w:lvl w:ilvl="0" w:tplc="361643B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6E"/>
    <w:rsid w:val="000128A3"/>
    <w:rsid w:val="00015A1F"/>
    <w:rsid w:val="00030151"/>
    <w:rsid w:val="0003111F"/>
    <w:rsid w:val="0003332C"/>
    <w:rsid w:val="00042139"/>
    <w:rsid w:val="000472B6"/>
    <w:rsid w:val="00050A50"/>
    <w:rsid w:val="000518CC"/>
    <w:rsid w:val="0005442F"/>
    <w:rsid w:val="00064E89"/>
    <w:rsid w:val="0008245D"/>
    <w:rsid w:val="00093680"/>
    <w:rsid w:val="00095C7E"/>
    <w:rsid w:val="000A1A13"/>
    <w:rsid w:val="000A27C4"/>
    <w:rsid w:val="000B0D9F"/>
    <w:rsid w:val="000B4ED1"/>
    <w:rsid w:val="000C0E9E"/>
    <w:rsid w:val="000E3448"/>
    <w:rsid w:val="00103246"/>
    <w:rsid w:val="00103AAC"/>
    <w:rsid w:val="00110080"/>
    <w:rsid w:val="0011755A"/>
    <w:rsid w:val="00121A52"/>
    <w:rsid w:val="00125E07"/>
    <w:rsid w:val="001340DD"/>
    <w:rsid w:val="00142EDD"/>
    <w:rsid w:val="00143387"/>
    <w:rsid w:val="00146153"/>
    <w:rsid w:val="00150ED6"/>
    <w:rsid w:val="00157CE0"/>
    <w:rsid w:val="00177147"/>
    <w:rsid w:val="00177219"/>
    <w:rsid w:val="0018068B"/>
    <w:rsid w:val="00196A4B"/>
    <w:rsid w:val="001A69BD"/>
    <w:rsid w:val="001B3395"/>
    <w:rsid w:val="001B7FEC"/>
    <w:rsid w:val="001C433A"/>
    <w:rsid w:val="001D20F7"/>
    <w:rsid w:val="001D4912"/>
    <w:rsid w:val="001E0509"/>
    <w:rsid w:val="001E194E"/>
    <w:rsid w:val="001E3470"/>
    <w:rsid w:val="001E5385"/>
    <w:rsid w:val="001F76A4"/>
    <w:rsid w:val="001F785B"/>
    <w:rsid w:val="00204E9A"/>
    <w:rsid w:val="00206A1B"/>
    <w:rsid w:val="002106D8"/>
    <w:rsid w:val="002137C3"/>
    <w:rsid w:val="002348BE"/>
    <w:rsid w:val="00253E26"/>
    <w:rsid w:val="00263326"/>
    <w:rsid w:val="002702E7"/>
    <w:rsid w:val="00270AD8"/>
    <w:rsid w:val="00282D5C"/>
    <w:rsid w:val="00282D6E"/>
    <w:rsid w:val="00290CA7"/>
    <w:rsid w:val="0029552D"/>
    <w:rsid w:val="002A09E6"/>
    <w:rsid w:val="002C6284"/>
    <w:rsid w:val="002C71CB"/>
    <w:rsid w:val="002E107A"/>
    <w:rsid w:val="003023ED"/>
    <w:rsid w:val="00330AC2"/>
    <w:rsid w:val="00332DEE"/>
    <w:rsid w:val="00340A4B"/>
    <w:rsid w:val="00354BED"/>
    <w:rsid w:val="003627E4"/>
    <w:rsid w:val="003964C2"/>
    <w:rsid w:val="003A4BF5"/>
    <w:rsid w:val="003A72FF"/>
    <w:rsid w:val="003B1145"/>
    <w:rsid w:val="003C0C29"/>
    <w:rsid w:val="003D1902"/>
    <w:rsid w:val="00404163"/>
    <w:rsid w:val="00407C93"/>
    <w:rsid w:val="00410B4B"/>
    <w:rsid w:val="00410B64"/>
    <w:rsid w:val="00414E7C"/>
    <w:rsid w:val="00420E23"/>
    <w:rsid w:val="00445AAB"/>
    <w:rsid w:val="00460C8E"/>
    <w:rsid w:val="00461C66"/>
    <w:rsid w:val="00476269"/>
    <w:rsid w:val="00476973"/>
    <w:rsid w:val="004831CD"/>
    <w:rsid w:val="00494B15"/>
    <w:rsid w:val="0049681E"/>
    <w:rsid w:val="00496FDD"/>
    <w:rsid w:val="004975F7"/>
    <w:rsid w:val="004B7BFA"/>
    <w:rsid w:val="004D4EB0"/>
    <w:rsid w:val="004D66C2"/>
    <w:rsid w:val="004D79F8"/>
    <w:rsid w:val="004E03D0"/>
    <w:rsid w:val="004E0A88"/>
    <w:rsid w:val="004E2971"/>
    <w:rsid w:val="004F0D4D"/>
    <w:rsid w:val="00500335"/>
    <w:rsid w:val="00506CA9"/>
    <w:rsid w:val="0050769D"/>
    <w:rsid w:val="00514D7A"/>
    <w:rsid w:val="0052763D"/>
    <w:rsid w:val="00530E45"/>
    <w:rsid w:val="00531F2B"/>
    <w:rsid w:val="00556D8B"/>
    <w:rsid w:val="0056083F"/>
    <w:rsid w:val="00562659"/>
    <w:rsid w:val="00564D02"/>
    <w:rsid w:val="005661C3"/>
    <w:rsid w:val="0057608D"/>
    <w:rsid w:val="00586D95"/>
    <w:rsid w:val="00593964"/>
    <w:rsid w:val="005A05B1"/>
    <w:rsid w:val="005A117A"/>
    <w:rsid w:val="005A5A93"/>
    <w:rsid w:val="005A7027"/>
    <w:rsid w:val="005B3503"/>
    <w:rsid w:val="005B5ABB"/>
    <w:rsid w:val="005C15AC"/>
    <w:rsid w:val="005C5AD5"/>
    <w:rsid w:val="005E3E29"/>
    <w:rsid w:val="005E68E6"/>
    <w:rsid w:val="00600845"/>
    <w:rsid w:val="00603C28"/>
    <w:rsid w:val="00606416"/>
    <w:rsid w:val="0061748A"/>
    <w:rsid w:val="006233FC"/>
    <w:rsid w:val="006235F9"/>
    <w:rsid w:val="00627F34"/>
    <w:rsid w:val="006303C2"/>
    <w:rsid w:val="00635A8D"/>
    <w:rsid w:val="00645D53"/>
    <w:rsid w:val="00656DA2"/>
    <w:rsid w:val="00657CD7"/>
    <w:rsid w:val="00674F6A"/>
    <w:rsid w:val="0069329B"/>
    <w:rsid w:val="006942F6"/>
    <w:rsid w:val="006946B3"/>
    <w:rsid w:val="00697CC9"/>
    <w:rsid w:val="006A2838"/>
    <w:rsid w:val="006B6CFB"/>
    <w:rsid w:val="006C5566"/>
    <w:rsid w:val="006D1149"/>
    <w:rsid w:val="006D1B6D"/>
    <w:rsid w:val="006D5111"/>
    <w:rsid w:val="006D7F92"/>
    <w:rsid w:val="006F3492"/>
    <w:rsid w:val="006F49B2"/>
    <w:rsid w:val="006F50E8"/>
    <w:rsid w:val="006F5B3D"/>
    <w:rsid w:val="006F6017"/>
    <w:rsid w:val="0070395C"/>
    <w:rsid w:val="0070708D"/>
    <w:rsid w:val="007100EA"/>
    <w:rsid w:val="00711DE2"/>
    <w:rsid w:val="00720EA7"/>
    <w:rsid w:val="00736B9E"/>
    <w:rsid w:val="007530B4"/>
    <w:rsid w:val="007533E7"/>
    <w:rsid w:val="00753C0F"/>
    <w:rsid w:val="007617C4"/>
    <w:rsid w:val="007629DE"/>
    <w:rsid w:val="007735A2"/>
    <w:rsid w:val="00784DC9"/>
    <w:rsid w:val="00793887"/>
    <w:rsid w:val="007B59E1"/>
    <w:rsid w:val="007D5177"/>
    <w:rsid w:val="007E63BB"/>
    <w:rsid w:val="007F38DC"/>
    <w:rsid w:val="007F61D4"/>
    <w:rsid w:val="00806D5B"/>
    <w:rsid w:val="00814C5D"/>
    <w:rsid w:val="00814D62"/>
    <w:rsid w:val="0081522F"/>
    <w:rsid w:val="00817A25"/>
    <w:rsid w:val="00824060"/>
    <w:rsid w:val="008344B3"/>
    <w:rsid w:val="00841824"/>
    <w:rsid w:val="00853C64"/>
    <w:rsid w:val="0085572E"/>
    <w:rsid w:val="00855FB4"/>
    <w:rsid w:val="00870133"/>
    <w:rsid w:val="00871AFD"/>
    <w:rsid w:val="00893FDE"/>
    <w:rsid w:val="00894D18"/>
    <w:rsid w:val="00897EFE"/>
    <w:rsid w:val="008C29FB"/>
    <w:rsid w:val="008D2B05"/>
    <w:rsid w:val="008D40C5"/>
    <w:rsid w:val="008E60FC"/>
    <w:rsid w:val="008E6549"/>
    <w:rsid w:val="008E7FD6"/>
    <w:rsid w:val="008F4484"/>
    <w:rsid w:val="00915093"/>
    <w:rsid w:val="00926338"/>
    <w:rsid w:val="00926E2D"/>
    <w:rsid w:val="00943F10"/>
    <w:rsid w:val="00947D20"/>
    <w:rsid w:val="009512F7"/>
    <w:rsid w:val="00953FA5"/>
    <w:rsid w:val="00956755"/>
    <w:rsid w:val="009622EA"/>
    <w:rsid w:val="00970143"/>
    <w:rsid w:val="009728B0"/>
    <w:rsid w:val="009752F1"/>
    <w:rsid w:val="00982F36"/>
    <w:rsid w:val="0098509D"/>
    <w:rsid w:val="009A7A45"/>
    <w:rsid w:val="009B0A71"/>
    <w:rsid w:val="009C0CA0"/>
    <w:rsid w:val="009D1E47"/>
    <w:rsid w:val="009D781E"/>
    <w:rsid w:val="009E09BF"/>
    <w:rsid w:val="009E5610"/>
    <w:rsid w:val="009F3ADF"/>
    <w:rsid w:val="00A0306B"/>
    <w:rsid w:val="00A03420"/>
    <w:rsid w:val="00A07EF2"/>
    <w:rsid w:val="00A10EF1"/>
    <w:rsid w:val="00A16DF7"/>
    <w:rsid w:val="00A214DD"/>
    <w:rsid w:val="00A24C3C"/>
    <w:rsid w:val="00A26581"/>
    <w:rsid w:val="00A32BB2"/>
    <w:rsid w:val="00A37460"/>
    <w:rsid w:val="00A40FBB"/>
    <w:rsid w:val="00A43557"/>
    <w:rsid w:val="00A43755"/>
    <w:rsid w:val="00A5603B"/>
    <w:rsid w:val="00A6462B"/>
    <w:rsid w:val="00A738BA"/>
    <w:rsid w:val="00A76C41"/>
    <w:rsid w:val="00A80243"/>
    <w:rsid w:val="00A815B5"/>
    <w:rsid w:val="00A93644"/>
    <w:rsid w:val="00AB3453"/>
    <w:rsid w:val="00AB59B8"/>
    <w:rsid w:val="00AC7076"/>
    <w:rsid w:val="00AD1B1C"/>
    <w:rsid w:val="00AD1D3D"/>
    <w:rsid w:val="00AE689F"/>
    <w:rsid w:val="00AE79E3"/>
    <w:rsid w:val="00AF2005"/>
    <w:rsid w:val="00AF3FC6"/>
    <w:rsid w:val="00AF6972"/>
    <w:rsid w:val="00B10F56"/>
    <w:rsid w:val="00B223B4"/>
    <w:rsid w:val="00B234C8"/>
    <w:rsid w:val="00B41F47"/>
    <w:rsid w:val="00B42746"/>
    <w:rsid w:val="00B46C41"/>
    <w:rsid w:val="00B550A8"/>
    <w:rsid w:val="00B57D75"/>
    <w:rsid w:val="00B60DCB"/>
    <w:rsid w:val="00B66C05"/>
    <w:rsid w:val="00B7109C"/>
    <w:rsid w:val="00B73DDE"/>
    <w:rsid w:val="00B7590F"/>
    <w:rsid w:val="00B77D04"/>
    <w:rsid w:val="00B822BB"/>
    <w:rsid w:val="00B96DAF"/>
    <w:rsid w:val="00BB0119"/>
    <w:rsid w:val="00BD239B"/>
    <w:rsid w:val="00BD56E1"/>
    <w:rsid w:val="00C008CA"/>
    <w:rsid w:val="00C01518"/>
    <w:rsid w:val="00C05BBE"/>
    <w:rsid w:val="00C12791"/>
    <w:rsid w:val="00C2682F"/>
    <w:rsid w:val="00C3667E"/>
    <w:rsid w:val="00C432D8"/>
    <w:rsid w:val="00C51628"/>
    <w:rsid w:val="00C609EA"/>
    <w:rsid w:val="00C6476A"/>
    <w:rsid w:val="00C67211"/>
    <w:rsid w:val="00C675BD"/>
    <w:rsid w:val="00C75636"/>
    <w:rsid w:val="00C878AA"/>
    <w:rsid w:val="00C9229E"/>
    <w:rsid w:val="00C9326B"/>
    <w:rsid w:val="00C97B20"/>
    <w:rsid w:val="00CA3256"/>
    <w:rsid w:val="00CA61EB"/>
    <w:rsid w:val="00CB443A"/>
    <w:rsid w:val="00CC584E"/>
    <w:rsid w:val="00CC58E3"/>
    <w:rsid w:val="00CC6E6E"/>
    <w:rsid w:val="00CD2DC7"/>
    <w:rsid w:val="00CD2FB1"/>
    <w:rsid w:val="00CF2A19"/>
    <w:rsid w:val="00CF5F96"/>
    <w:rsid w:val="00CF7BDB"/>
    <w:rsid w:val="00CF7E14"/>
    <w:rsid w:val="00D039D0"/>
    <w:rsid w:val="00D04412"/>
    <w:rsid w:val="00D078E3"/>
    <w:rsid w:val="00D23563"/>
    <w:rsid w:val="00D252EE"/>
    <w:rsid w:val="00D41435"/>
    <w:rsid w:val="00D47B6E"/>
    <w:rsid w:val="00D56178"/>
    <w:rsid w:val="00D65F0B"/>
    <w:rsid w:val="00D66A21"/>
    <w:rsid w:val="00D677D0"/>
    <w:rsid w:val="00D80318"/>
    <w:rsid w:val="00D813DA"/>
    <w:rsid w:val="00D858CD"/>
    <w:rsid w:val="00D87083"/>
    <w:rsid w:val="00D90A7D"/>
    <w:rsid w:val="00D93106"/>
    <w:rsid w:val="00DA52EF"/>
    <w:rsid w:val="00DA7D65"/>
    <w:rsid w:val="00DC12F8"/>
    <w:rsid w:val="00DF616D"/>
    <w:rsid w:val="00DF7683"/>
    <w:rsid w:val="00E11172"/>
    <w:rsid w:val="00E11B59"/>
    <w:rsid w:val="00E209B4"/>
    <w:rsid w:val="00E3739A"/>
    <w:rsid w:val="00E52DB4"/>
    <w:rsid w:val="00E553C8"/>
    <w:rsid w:val="00E55F0B"/>
    <w:rsid w:val="00E74FC6"/>
    <w:rsid w:val="00E76DB6"/>
    <w:rsid w:val="00E829A7"/>
    <w:rsid w:val="00E87BF7"/>
    <w:rsid w:val="00E9012F"/>
    <w:rsid w:val="00E94A5C"/>
    <w:rsid w:val="00EA7CBA"/>
    <w:rsid w:val="00EB1DEE"/>
    <w:rsid w:val="00EC0F7C"/>
    <w:rsid w:val="00EC2D10"/>
    <w:rsid w:val="00EE37A6"/>
    <w:rsid w:val="00EE7BD4"/>
    <w:rsid w:val="00EF1D2A"/>
    <w:rsid w:val="00EF4B72"/>
    <w:rsid w:val="00EF4E14"/>
    <w:rsid w:val="00EF5CC2"/>
    <w:rsid w:val="00EF5EB7"/>
    <w:rsid w:val="00F01110"/>
    <w:rsid w:val="00F05A1E"/>
    <w:rsid w:val="00F10084"/>
    <w:rsid w:val="00F14C2C"/>
    <w:rsid w:val="00F17665"/>
    <w:rsid w:val="00F21C4A"/>
    <w:rsid w:val="00F34506"/>
    <w:rsid w:val="00F35CFF"/>
    <w:rsid w:val="00F4003B"/>
    <w:rsid w:val="00F42C3D"/>
    <w:rsid w:val="00F506BC"/>
    <w:rsid w:val="00F5160F"/>
    <w:rsid w:val="00F55274"/>
    <w:rsid w:val="00F56F91"/>
    <w:rsid w:val="00F6096E"/>
    <w:rsid w:val="00F64E3C"/>
    <w:rsid w:val="00F75724"/>
    <w:rsid w:val="00F84F6E"/>
    <w:rsid w:val="00F96216"/>
    <w:rsid w:val="00FA1826"/>
    <w:rsid w:val="00FA3003"/>
    <w:rsid w:val="00FB197F"/>
    <w:rsid w:val="00FB763D"/>
    <w:rsid w:val="00FC1932"/>
    <w:rsid w:val="00FD27C5"/>
    <w:rsid w:val="00FE212B"/>
    <w:rsid w:val="00FE585B"/>
    <w:rsid w:val="00FE5CA2"/>
    <w:rsid w:val="00FE78B1"/>
    <w:rsid w:val="00FF0E52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CDBC1"/>
  <w15:docId w15:val="{8AE0E542-529F-4BC9-BF3E-17179996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AAB"/>
    <w:pPr>
      <w:ind w:left="720"/>
      <w:contextualSpacing/>
    </w:pPr>
  </w:style>
  <w:style w:type="paragraph" w:styleId="Revision">
    <w:name w:val="Revision"/>
    <w:hidden/>
    <w:uiPriority w:val="99"/>
    <w:semiHidden/>
    <w:rsid w:val="000472B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1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6FD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40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0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0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0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0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3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794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1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ata.gov.il/dataset/covid-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76EBB-65E1-4EB8-A393-7C1C7FB2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1490</Words>
  <Characters>7450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אוסטר יונתן - OSTER YONATAN</dc:creator>
  <cp:lastModifiedBy>מוזס אלון ישיר- MOSES ALLON</cp:lastModifiedBy>
  <cp:revision>5</cp:revision>
  <dcterms:created xsi:type="dcterms:W3CDTF">2022-03-30T11:15:00Z</dcterms:created>
  <dcterms:modified xsi:type="dcterms:W3CDTF">2022-03-30T15:15:00Z</dcterms:modified>
</cp:coreProperties>
</file>