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B28" w14:textId="77777777" w:rsidR="004502AA" w:rsidRPr="00CC5EC1" w:rsidRDefault="004502AA" w:rsidP="004502AA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Supplementary Data</w:t>
      </w:r>
    </w:p>
    <w:p w14:paraId="4E1436BC" w14:textId="77777777" w:rsidR="00E42FA6" w:rsidRPr="00CC5EC1" w:rsidRDefault="00E42FA6" w:rsidP="00E42FA6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Item S1:</w:t>
      </w:r>
      <w:r w:rsidRPr="00CC5EC1">
        <w:rPr>
          <w:rFonts w:ascii="Arial" w:hAnsi="Arial" w:cs="Arial"/>
          <w:sz w:val="22"/>
          <w:szCs w:val="22"/>
          <w:lang w:val="en-US"/>
        </w:rPr>
        <w:t xml:space="preserve"> Detailed description of institutional SARS-CoV-2 vaccination protocol.</w:t>
      </w:r>
    </w:p>
    <w:p w14:paraId="7884B5E4" w14:textId="77777777" w:rsidR="00440986" w:rsidRPr="00CC5EC1" w:rsidRDefault="00E42FA6" w:rsidP="00440986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Figure S1:</w:t>
      </w:r>
      <w:r w:rsidRPr="00CC5EC1">
        <w:rPr>
          <w:rFonts w:ascii="Arial" w:hAnsi="Arial" w:cs="Arial"/>
          <w:sz w:val="22"/>
          <w:szCs w:val="22"/>
          <w:lang w:val="en-US"/>
        </w:rPr>
        <w:t xml:space="preserve"> Graphical representation of the institutional SARS-CoV-2 vaccination protocol.</w:t>
      </w:r>
    </w:p>
    <w:p w14:paraId="1642E5BD" w14:textId="77777777" w:rsidR="00440986" w:rsidRPr="00CC5EC1" w:rsidRDefault="00440986" w:rsidP="00440986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Table S1:</w:t>
      </w:r>
      <w:r w:rsidRPr="00CC5EC1">
        <w:rPr>
          <w:rFonts w:ascii="Arial" w:hAnsi="Arial" w:cs="Arial"/>
          <w:sz w:val="22"/>
          <w:szCs w:val="22"/>
          <w:lang w:val="en-US"/>
        </w:rPr>
        <w:t xml:space="preserve"> Variable definition for descriptive statistics and multivariable analysis.</w:t>
      </w:r>
    </w:p>
    <w:p w14:paraId="1F744B85" w14:textId="77777777" w:rsidR="00440986" w:rsidRPr="00CC5EC1" w:rsidRDefault="00440986" w:rsidP="00440986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Table S2</w:t>
      </w:r>
      <w:r w:rsidRPr="00CC5EC1">
        <w:rPr>
          <w:rFonts w:ascii="Arial" w:hAnsi="Arial" w:cs="Arial"/>
          <w:sz w:val="22"/>
          <w:szCs w:val="22"/>
          <w:lang w:val="en-US"/>
        </w:rPr>
        <w:t xml:space="preserve">: Detailed analysis of all </w:t>
      </w:r>
      <w:proofErr w:type="spellStart"/>
      <w:r w:rsidRPr="00CC5EC1">
        <w:rPr>
          <w:rFonts w:ascii="Arial" w:hAnsi="Arial" w:cs="Arial"/>
          <w:sz w:val="22"/>
          <w:szCs w:val="22"/>
          <w:lang w:val="en-US"/>
        </w:rPr>
        <w:t>belatacept</w:t>
      </w:r>
      <w:proofErr w:type="spellEnd"/>
      <w:r w:rsidRPr="00CC5EC1">
        <w:rPr>
          <w:rFonts w:ascii="Arial" w:hAnsi="Arial" w:cs="Arial"/>
          <w:sz w:val="22"/>
          <w:szCs w:val="22"/>
          <w:lang w:val="en-US"/>
        </w:rPr>
        <w:t xml:space="preserve"> patients with sufficient serological response showing special immunological circumstances or reduced immunosuppressive medication in 8 out of 9 patients.</w:t>
      </w:r>
    </w:p>
    <w:p w14:paraId="4B81E836" w14:textId="77777777" w:rsidR="00E42FA6" w:rsidRPr="00CC5EC1" w:rsidRDefault="00E42FA6" w:rsidP="00E42FA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1B6309D" w14:textId="77777777" w:rsidR="00E42FA6" w:rsidRPr="00CC5EC1" w:rsidRDefault="00E42FA6" w:rsidP="00E42FA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Item S1:</w:t>
      </w:r>
    </w:p>
    <w:p w14:paraId="5573DE6F" w14:textId="2731F429" w:rsidR="00E42FA6" w:rsidRPr="00036D1D" w:rsidRDefault="00E42FA6" w:rsidP="00E42FA6">
      <w:pPr>
        <w:spacing w:line="48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CC5EC1">
        <w:rPr>
          <w:rFonts w:ascii="Arial" w:hAnsi="Arial" w:cs="Arial"/>
          <w:sz w:val="22"/>
          <w:szCs w:val="22"/>
          <w:lang w:val="en-US"/>
        </w:rPr>
        <w:t>As per institution protocol, patients, who had no sufficient serological response 4-8 weeks after basic immunization, received a third vaccination dose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. Patients who did not show sufficient serological response 4-8 weeks after third vaccination dose and received CNI + MPA immunosuppression, were treated either with continuation of MPA dose, reduction of MPA dose of 25-50%, or MPA pause with additional 5 mg prednisolone equivalent from 4-7 days before, and until 2-4 weeks after the next vaccination. The individual regimen was dependent on patient-related factors (</w:t>
      </w:r>
      <w:r w:rsidR="00926DFE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such as 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previous MPA dose, erythrocyte IMPDH </w:t>
      </w:r>
      <w:r w:rsidR="00CC5EC1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activity [1]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, presence of DSA, </w:t>
      </w:r>
      <w:r w:rsidR="00BC0BE1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triple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vs. </w:t>
      </w:r>
      <w:r w:rsidR="00BC0BE1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dual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immunosuppression, previous rejection episodes, and patient preference) as well as the treating physician. While </w:t>
      </w:r>
      <w:r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>some physicians performed no MPA pauses, others performed them regularly for fourth and fifth vaccination.</w:t>
      </w:r>
    </w:p>
    <w:p w14:paraId="59293BA3" w14:textId="022D7D1F" w:rsidR="00E42FA6" w:rsidRPr="00CC5EC1" w:rsidRDefault="00E42FA6" w:rsidP="00E42FA6">
      <w:pPr>
        <w:spacing w:line="48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For patients receiving </w:t>
      </w:r>
      <w:proofErr w:type="spellStart"/>
      <w:r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>belatacept</w:t>
      </w:r>
      <w:proofErr w:type="spellEnd"/>
      <w:r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maintenance immunosuppression without sufficient serological response, a fourth and fifth vaccination dose was administered </w:t>
      </w:r>
      <w:r w:rsidR="00926DFE"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without a change in immunosuppression </w:t>
      </w:r>
      <w:r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before December 2021, since </w:t>
      </w:r>
      <w:r w:rsidR="00926DFE" w:rsidRPr="00036D1D">
        <w:rPr>
          <w:rFonts w:ascii="Arial" w:hAnsi="Arial" w:cs="Arial"/>
          <w:sz w:val="22"/>
          <w:szCs w:val="22"/>
          <w:shd w:val="clear" w:color="auto" w:fill="FFFFFF"/>
          <w:lang w:val="en-US"/>
        </w:rPr>
        <w:t>most patients were receiving</w:t>
      </w:r>
      <w:r w:rsidR="00926DFE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926DFE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Belatacept</w:t>
      </w:r>
      <w:proofErr w:type="spellEnd"/>
      <w:r w:rsidR="00926DFE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as “rescue therapy” </w:t>
      </w:r>
      <w:r w:rsid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[2-4]</w:t>
      </w:r>
      <w:r w:rsidR="00926DFE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and 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at that time no monoclonal antibodies were available for pre</w:t>
      </w:r>
      <w:r w:rsidR="00BC0BE1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exposure prophylaxis at our institution.</w:t>
      </w:r>
    </w:p>
    <w:p w14:paraId="1DE1CAF6" w14:textId="77777777" w:rsidR="00E42FA6" w:rsidRPr="00CC5EC1" w:rsidRDefault="00E42FA6" w:rsidP="00E42FA6">
      <w:pPr>
        <w:spacing w:line="48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After December 2021, patients with </w:t>
      </w:r>
      <w:proofErr w:type="spellStart"/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belatacept</w:t>
      </w:r>
      <w:proofErr w:type="spellEnd"/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immunosuppression without sufficient serological response after third, fourth or fifth vaccination dose received pre</w:t>
      </w:r>
      <w:r w:rsidR="00BC0BE1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exposure prophylaxis with monoclonal antibodies. This explains, why only few patients with </w:t>
      </w:r>
      <w:proofErr w:type="spellStart"/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belatacept</w:t>
      </w:r>
      <w:proofErr w:type="spellEnd"/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lastRenderedPageBreak/>
        <w:t>immunosuppression received fifth vaccination without meeting the exclusion criteria</w:t>
      </w:r>
      <w:r w:rsidR="00247FA0"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(one of which was treatment with monoclonal antibodies before vaccination response)</w:t>
      </w:r>
      <w:r w:rsidRPr="00CC5EC1">
        <w:rPr>
          <w:rFonts w:ascii="Arial" w:hAnsi="Arial" w:cs="Arial"/>
          <w:sz w:val="22"/>
          <w:szCs w:val="22"/>
          <w:shd w:val="clear" w:color="auto" w:fill="FFFFFF"/>
          <w:lang w:val="en-US"/>
        </w:rPr>
        <w:t>.</w:t>
      </w:r>
    </w:p>
    <w:p w14:paraId="7A3404AC" w14:textId="77777777" w:rsidR="00E42FA6" w:rsidRPr="00CC5EC1" w:rsidRDefault="00E42FA6" w:rsidP="00E42FA6">
      <w:pPr>
        <w:spacing w:line="48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38A43B5D" w14:textId="77777777" w:rsidR="00E42FA6" w:rsidRPr="00CC5EC1" w:rsidRDefault="00E42FA6" w:rsidP="00E42FA6">
      <w:pPr>
        <w:spacing w:line="480" w:lineRule="auto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CC5EC1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Figure S1:</w:t>
      </w:r>
    </w:p>
    <w:p w14:paraId="0F862273" w14:textId="77777777" w:rsidR="00E42FA6" w:rsidRPr="00CC5EC1" w:rsidRDefault="00E42FA6" w:rsidP="004502AA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5EC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F9CCAB" wp14:editId="102D9A4F">
            <wp:extent cx="5760720" cy="45878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4121" w14:textId="77777777" w:rsidR="00CC5EC1" w:rsidRPr="00CC5EC1" w:rsidRDefault="00CC5EC1" w:rsidP="004502AA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37247DF" w14:textId="77777777" w:rsidR="00CC5EC1" w:rsidRPr="00CC5EC1" w:rsidRDefault="00CC5EC1" w:rsidP="004502AA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7E44A14" w14:textId="7FAC6381" w:rsidR="004502AA" w:rsidRPr="00CC5EC1" w:rsidRDefault="00440986" w:rsidP="004502A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Table S1: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1"/>
      </w:tblGrid>
      <w:tr w:rsidR="004502AA" w:rsidRPr="00CC5EC1" w14:paraId="34B684D3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7BFAB2DC" w14:textId="77777777" w:rsidR="004502AA" w:rsidRPr="00CC5EC1" w:rsidRDefault="004502AA" w:rsidP="00E95A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Candidate Variable</w:t>
            </w:r>
          </w:p>
        </w:tc>
        <w:tc>
          <w:tcPr>
            <w:tcW w:w="1095" w:type="pct"/>
            <w:noWrap/>
            <w:hideMark/>
          </w:tcPr>
          <w:p w14:paraId="5BAC9AB4" w14:textId="77777777" w:rsidR="004502AA" w:rsidRPr="00CC5EC1" w:rsidRDefault="004502AA" w:rsidP="00E95A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Data Type</w:t>
            </w:r>
          </w:p>
        </w:tc>
        <w:tc>
          <w:tcPr>
            <w:tcW w:w="2969" w:type="pct"/>
            <w:noWrap/>
            <w:hideMark/>
          </w:tcPr>
          <w:p w14:paraId="07B7E41B" w14:textId="77777777" w:rsidR="004502AA" w:rsidRPr="00CC5EC1" w:rsidRDefault="004502AA" w:rsidP="00E95A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Definition</w:t>
            </w:r>
          </w:p>
        </w:tc>
      </w:tr>
      <w:tr w:rsidR="004502AA" w:rsidRPr="00CC5EC1" w14:paraId="05028E15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59126226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Sex</w:t>
            </w:r>
          </w:p>
        </w:tc>
        <w:tc>
          <w:tcPr>
            <w:tcW w:w="1095" w:type="pct"/>
            <w:noWrap/>
            <w:hideMark/>
          </w:tcPr>
          <w:p w14:paraId="314C414B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(f/m)</w:t>
            </w:r>
          </w:p>
        </w:tc>
        <w:tc>
          <w:tcPr>
            <w:tcW w:w="2969" w:type="pct"/>
            <w:noWrap/>
            <w:hideMark/>
          </w:tcPr>
          <w:p w14:paraId="5571ACE4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sex (female or male)</w:t>
            </w:r>
          </w:p>
        </w:tc>
      </w:tr>
      <w:tr w:rsidR="004502AA" w:rsidRPr="00CC5EC1" w14:paraId="4E7ABE5A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4E117AA5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Age</w:t>
            </w:r>
          </w:p>
        </w:tc>
        <w:tc>
          <w:tcPr>
            <w:tcW w:w="1095" w:type="pct"/>
            <w:noWrap/>
            <w:hideMark/>
          </w:tcPr>
          <w:p w14:paraId="0F9ADC91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430C6B3C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age at the time of vaccination in years</w:t>
            </w:r>
          </w:p>
        </w:tc>
      </w:tr>
      <w:tr w:rsidR="004502AA" w:rsidRPr="00CC5EC1" w14:paraId="2A95A5C8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55E56F91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BMI </w:t>
            </w:r>
          </w:p>
        </w:tc>
        <w:tc>
          <w:tcPr>
            <w:tcW w:w="1095" w:type="pct"/>
            <w:noWrap/>
            <w:hideMark/>
          </w:tcPr>
          <w:p w14:paraId="5DF5E497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3D4F69AB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body mass index (body mass divided by square of the body height) in kg/m</w:t>
            </w:r>
            <w:r w:rsidRPr="00CC5E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4502AA" w:rsidRPr="00CC5EC1" w14:paraId="5C5C9E1C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4A05A945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mRNA vaccine</w:t>
            </w:r>
          </w:p>
        </w:tc>
        <w:tc>
          <w:tcPr>
            <w:tcW w:w="1095" w:type="pct"/>
            <w:noWrap/>
            <w:hideMark/>
          </w:tcPr>
          <w:p w14:paraId="563B9E12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482C08DB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respective vaccination performed with an mRNA-based SARS-CoV-2 vaccine</w:t>
            </w:r>
          </w:p>
        </w:tc>
      </w:tr>
      <w:tr w:rsidR="004502AA" w:rsidRPr="00CC5EC1" w14:paraId="2ACEFCBD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682A8F3B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Transplant age</w:t>
            </w:r>
          </w:p>
        </w:tc>
        <w:tc>
          <w:tcPr>
            <w:tcW w:w="1095" w:type="pct"/>
            <w:noWrap/>
            <w:hideMark/>
          </w:tcPr>
          <w:p w14:paraId="43C5BC53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13D69997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time since the patient's last kidney transplantation at the time of vaccination in years</w:t>
            </w:r>
          </w:p>
        </w:tc>
      </w:tr>
      <w:tr w:rsidR="004502AA" w:rsidRPr="00CC5EC1" w14:paraId="54FBE4A9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61C2B20E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1095" w:type="pct"/>
            <w:noWrap/>
            <w:hideMark/>
          </w:tcPr>
          <w:p w14:paraId="0535A34C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75C656C6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a diagnosis of diabetes mellitus in the patient's history or current use of antidiabetic medication</w:t>
            </w:r>
          </w:p>
        </w:tc>
      </w:tr>
      <w:tr w:rsidR="004502AA" w:rsidRPr="00CC5EC1" w14:paraId="052D5901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5E80159D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CNI treatment</w:t>
            </w:r>
          </w:p>
        </w:tc>
        <w:tc>
          <w:tcPr>
            <w:tcW w:w="1095" w:type="pct"/>
            <w:noWrap/>
            <w:hideMark/>
          </w:tcPr>
          <w:p w14:paraId="72CA094A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4BD3533E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systemic tacrolimus or cyclosporine as an immunosuppressive medication at the time of vaccination</w:t>
            </w:r>
          </w:p>
        </w:tc>
      </w:tr>
      <w:tr w:rsidR="004502AA" w:rsidRPr="00CC5EC1" w14:paraId="1C1A5DC9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37BC28EC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Steroid treatment</w:t>
            </w:r>
          </w:p>
        </w:tc>
        <w:tc>
          <w:tcPr>
            <w:tcW w:w="1095" w:type="pct"/>
            <w:noWrap/>
            <w:hideMark/>
          </w:tcPr>
          <w:p w14:paraId="487AA9FE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24D86152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systemic steroids as an immunosuppressive medication at the time of vaccination</w:t>
            </w:r>
          </w:p>
        </w:tc>
      </w:tr>
      <w:tr w:rsidR="004502AA" w:rsidRPr="00CC5EC1" w14:paraId="2F7E011E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3A8C9713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</w:p>
        </w:tc>
        <w:tc>
          <w:tcPr>
            <w:tcW w:w="1095" w:type="pct"/>
            <w:noWrap/>
            <w:hideMark/>
          </w:tcPr>
          <w:p w14:paraId="3E8C9070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318DFF0A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use of 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as an immunosuppressive medication at the time of vaccination</w:t>
            </w:r>
          </w:p>
        </w:tc>
      </w:tr>
      <w:tr w:rsidR="004502AA" w:rsidRPr="00CC5EC1" w14:paraId="5558455C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0FFDB79D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MPA</w:t>
            </w:r>
          </w:p>
        </w:tc>
        <w:tc>
          <w:tcPr>
            <w:tcW w:w="1095" w:type="pct"/>
            <w:noWrap/>
            <w:hideMark/>
          </w:tcPr>
          <w:p w14:paraId="1379C21A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41181E89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mycophenolic acid (as mycophenolate sodium or mycophenolate mofetil (MMF)) as an immunosuppressive medication at the time of vaccination</w:t>
            </w:r>
          </w:p>
        </w:tc>
      </w:tr>
      <w:tr w:rsidR="004502AA" w:rsidRPr="00CC5EC1" w14:paraId="6CDD4BFC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3669C139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MPA dose</w:t>
            </w:r>
          </w:p>
        </w:tc>
        <w:tc>
          <w:tcPr>
            <w:tcW w:w="1095" w:type="pct"/>
            <w:noWrap/>
            <w:hideMark/>
          </w:tcPr>
          <w:p w14:paraId="122689A4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6B7B1B90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mycophenolic acid dose in MMF equivalent in g at the time of vaccination</w:t>
            </w:r>
          </w:p>
        </w:tc>
      </w:tr>
      <w:tr w:rsidR="004502AA" w:rsidRPr="00CC5EC1" w14:paraId="76E74527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00B8F950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mTORi</w:t>
            </w:r>
            <w:proofErr w:type="spellEnd"/>
          </w:p>
        </w:tc>
        <w:tc>
          <w:tcPr>
            <w:tcW w:w="1095" w:type="pct"/>
            <w:noWrap/>
            <w:hideMark/>
          </w:tcPr>
          <w:p w14:paraId="534121CA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04BA3747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systemic sirolimus or everolimus as an immunosuppressive medication at the time of vaccination</w:t>
            </w:r>
          </w:p>
        </w:tc>
      </w:tr>
      <w:tr w:rsidR="004502AA" w:rsidRPr="00CC5EC1" w14:paraId="0EBB6C59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2154E95F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Azathioprine</w:t>
            </w:r>
          </w:p>
        </w:tc>
        <w:tc>
          <w:tcPr>
            <w:tcW w:w="1095" w:type="pct"/>
            <w:noWrap/>
            <w:hideMark/>
          </w:tcPr>
          <w:p w14:paraId="5189B342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2AAECB56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systemic azathioprine as an immunosuppressive medication at the time of vaccination</w:t>
            </w:r>
          </w:p>
        </w:tc>
      </w:tr>
      <w:tr w:rsidR="004502AA" w:rsidRPr="00CC5EC1" w14:paraId="2B80635B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47385E76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More than 2 immunosuppressive drugs</w:t>
            </w:r>
          </w:p>
        </w:tc>
        <w:tc>
          <w:tcPr>
            <w:tcW w:w="1095" w:type="pct"/>
            <w:noWrap/>
            <w:hideMark/>
          </w:tcPr>
          <w:p w14:paraId="588C9D52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binary (1/0)</w:t>
            </w:r>
          </w:p>
        </w:tc>
        <w:tc>
          <w:tcPr>
            <w:tcW w:w="2969" w:type="pct"/>
            <w:noWrap/>
            <w:hideMark/>
          </w:tcPr>
          <w:p w14:paraId="257C456E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use of more than two types of immunosuppressive medication at the time of vaccination</w:t>
            </w:r>
          </w:p>
        </w:tc>
      </w:tr>
      <w:tr w:rsidR="004502AA" w:rsidRPr="00CC5EC1" w14:paraId="14C0E3F6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77705E17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eGFR</w:t>
            </w:r>
          </w:p>
        </w:tc>
        <w:tc>
          <w:tcPr>
            <w:tcW w:w="1095" w:type="pct"/>
            <w:noWrap/>
            <w:hideMark/>
          </w:tcPr>
          <w:p w14:paraId="2CD695DD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3F3FFC5A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most recent estimated glomerular filtration rate according to the Chronic Kidney Disease Epidemiology Collaboration (CKD-EPI) equation in ml/min/1.73m² at the time of vaccination (if unavailable, first measurement after vaccination)</w:t>
            </w:r>
          </w:p>
        </w:tc>
      </w:tr>
      <w:tr w:rsidR="004502AA" w:rsidRPr="00CC5EC1" w14:paraId="18825B8F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46F610FC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Leukocytes</w:t>
            </w:r>
          </w:p>
        </w:tc>
        <w:tc>
          <w:tcPr>
            <w:tcW w:w="1095" w:type="pct"/>
            <w:noWrap/>
            <w:hideMark/>
          </w:tcPr>
          <w:p w14:paraId="68F66B5C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5081A421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most recent leukocyte count in /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nl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at the time of vaccination (if unavailable, first measurement after vaccination)</w:t>
            </w:r>
          </w:p>
        </w:tc>
      </w:tr>
      <w:tr w:rsidR="004502AA" w:rsidRPr="00CC5EC1" w14:paraId="6202E2BE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5BFF410F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Hemoglobin</w:t>
            </w:r>
          </w:p>
        </w:tc>
        <w:tc>
          <w:tcPr>
            <w:tcW w:w="1095" w:type="pct"/>
            <w:noWrap/>
            <w:hideMark/>
          </w:tcPr>
          <w:p w14:paraId="6A6FBA8F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5B54DF2F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most recent hemoglobin level in mg/dL at the time of vaccination (if unavailable, first measurement after vaccination)</w:t>
            </w:r>
          </w:p>
        </w:tc>
      </w:tr>
      <w:tr w:rsidR="004502AA" w:rsidRPr="00CC5EC1" w14:paraId="6ADC1E89" w14:textId="77777777" w:rsidTr="00E95A32">
        <w:trPr>
          <w:trHeight w:val="300"/>
        </w:trPr>
        <w:tc>
          <w:tcPr>
            <w:tcW w:w="936" w:type="pct"/>
            <w:noWrap/>
            <w:hideMark/>
          </w:tcPr>
          <w:p w14:paraId="43D87818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Urine albumin creatinine ratio</w:t>
            </w:r>
          </w:p>
        </w:tc>
        <w:tc>
          <w:tcPr>
            <w:tcW w:w="1095" w:type="pct"/>
            <w:noWrap/>
            <w:hideMark/>
          </w:tcPr>
          <w:p w14:paraId="62840370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float</w:t>
            </w:r>
          </w:p>
        </w:tc>
        <w:tc>
          <w:tcPr>
            <w:tcW w:w="2969" w:type="pct"/>
            <w:noWrap/>
            <w:hideMark/>
          </w:tcPr>
          <w:p w14:paraId="7D84CDE7" w14:textId="77777777" w:rsidR="004502AA" w:rsidRPr="00CC5EC1" w:rsidRDefault="004502AA" w:rsidP="00E95A3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most recent urinary albumin-to-creatinine ratio (ACR) in either spot or </w:t>
            </w: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proofErr w:type="gram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24 hour</w:t>
            </w:r>
            <w:proofErr w:type="gram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collection urine in g/g at the time of vaccination (if unavailable, first measurement after vaccination)</w:t>
            </w:r>
          </w:p>
        </w:tc>
      </w:tr>
    </w:tbl>
    <w:p w14:paraId="2FFC7331" w14:textId="21DA9B47" w:rsidR="00CC5EC1" w:rsidRPr="00CC5EC1" w:rsidRDefault="004502AA" w:rsidP="004502A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CC5EC1">
        <w:rPr>
          <w:rFonts w:ascii="Arial" w:hAnsi="Arial" w:cs="Arial"/>
          <w:sz w:val="22"/>
          <w:szCs w:val="22"/>
          <w:lang w:val="en-US"/>
        </w:rPr>
        <w:br/>
      </w:r>
    </w:p>
    <w:p w14:paraId="3A164A35" w14:textId="77777777" w:rsidR="004502AA" w:rsidRPr="00CC5EC1" w:rsidRDefault="004502AA" w:rsidP="004502AA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Table S2</w:t>
      </w:r>
      <w:r w:rsidR="00440986" w:rsidRPr="00CC5EC1"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494"/>
        <w:gridCol w:w="6516"/>
      </w:tblGrid>
      <w:tr w:rsidR="004502AA" w:rsidRPr="00CC5EC1" w14:paraId="55A926BF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9EEF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Patient 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2FBD5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Vaccination 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3FF63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Potential explanation for improved vaccine response</w:t>
            </w:r>
          </w:p>
        </w:tc>
      </w:tr>
      <w:tr w:rsidR="004502AA" w:rsidRPr="00CC5EC1" w14:paraId="07331DE9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0468D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F6EE9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E9266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Vaccination at time of 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uptitration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, no MPA due to severe diarrhea</w:t>
            </w:r>
          </w:p>
        </w:tc>
      </w:tr>
      <w:tr w:rsidR="004502AA" w:rsidRPr="00CC5EC1" w14:paraId="71A3D6DA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F38BA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0238B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5B86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and steroid only, no MPA </w:t>
            </w:r>
          </w:p>
        </w:tc>
      </w:tr>
      <w:tr w:rsidR="004502AA" w:rsidRPr="00CC5EC1" w14:paraId="4DB184A9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6BB9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F5BDF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42E50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Patient received basic immunization before kidney </w:t>
            </w:r>
            <w:proofErr w:type="gram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transplantation, but</w:t>
            </w:r>
            <w:proofErr w:type="gram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returned negative after transplantation and switch to 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502AA" w:rsidRPr="00CC5EC1" w14:paraId="5D3CBDB2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B19D1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946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3FDCF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Low MPA dose (500mg/d MMF equivalent)</w:t>
            </w:r>
          </w:p>
        </w:tc>
      </w:tr>
      <w:tr w:rsidR="004502AA" w:rsidRPr="00CC5EC1" w14:paraId="16FE6BD0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64B26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DE9D0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FB7E4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Low MPA dose (500mg/d MMF equivalent) and reduced dose of </w:t>
            </w:r>
            <w:proofErr w:type="spellStart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belatacept</w:t>
            </w:r>
            <w:proofErr w:type="spellEnd"/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 xml:space="preserve"> (4 mg/kg per 4 weeks) due to recurrent infections</w:t>
            </w:r>
          </w:p>
        </w:tc>
      </w:tr>
      <w:tr w:rsidR="004502AA" w:rsidRPr="00CC5EC1" w14:paraId="41D96585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D711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96C1C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54C34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Low MPA dose (500mg/d MMF equivalent)</w:t>
            </w:r>
          </w:p>
        </w:tc>
      </w:tr>
      <w:tr w:rsidR="004502AA" w:rsidRPr="00CC5EC1" w14:paraId="05B316F4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87842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A46C1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93E98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Low MPA dose (500mg/d MMF equivalent)</w:t>
            </w:r>
          </w:p>
        </w:tc>
      </w:tr>
      <w:tr w:rsidR="004502AA" w:rsidRPr="00CC5EC1" w14:paraId="1C995A9D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437ED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25C28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65B4D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No MPA due to BK virus infection</w:t>
            </w:r>
          </w:p>
        </w:tc>
      </w:tr>
      <w:tr w:rsidR="004502AA" w:rsidRPr="00CC5EC1" w14:paraId="1BDCFE54" w14:textId="77777777" w:rsidTr="00E95A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5F102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BA781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5C82A" w14:textId="77777777" w:rsidR="004502AA" w:rsidRPr="00CC5EC1" w:rsidRDefault="004502AA" w:rsidP="00E95A3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  <w:lang w:val="en-US"/>
              </w:rPr>
              <w:t>No specific explanation, standard immunosuppression.</w:t>
            </w:r>
          </w:p>
        </w:tc>
      </w:tr>
    </w:tbl>
    <w:p w14:paraId="081594CA" w14:textId="02DBF13A" w:rsidR="00FF2CA5" w:rsidRPr="00CC5EC1" w:rsidRDefault="00036D1D">
      <w:pPr>
        <w:rPr>
          <w:rFonts w:ascii="Arial" w:hAnsi="Arial" w:cs="Arial"/>
          <w:sz w:val="22"/>
          <w:szCs w:val="22"/>
          <w:lang w:val="en-US"/>
        </w:rPr>
      </w:pPr>
    </w:p>
    <w:p w14:paraId="4AC1EA0E" w14:textId="0C3CE678" w:rsidR="00CC5EC1" w:rsidRPr="00CC5EC1" w:rsidRDefault="00CC5EC1">
      <w:pPr>
        <w:rPr>
          <w:rFonts w:ascii="Arial" w:hAnsi="Arial" w:cs="Arial"/>
          <w:b/>
          <w:sz w:val="22"/>
          <w:szCs w:val="22"/>
          <w:lang w:val="en-US"/>
        </w:rPr>
      </w:pPr>
    </w:p>
    <w:p w14:paraId="58B627E1" w14:textId="77777777" w:rsidR="00036D1D" w:rsidRDefault="00036D1D">
      <w:pPr>
        <w:rPr>
          <w:rFonts w:ascii="Arial" w:hAnsi="Arial" w:cs="Arial"/>
          <w:b/>
          <w:sz w:val="22"/>
          <w:szCs w:val="22"/>
          <w:lang w:val="en-US"/>
        </w:rPr>
      </w:pPr>
    </w:p>
    <w:p w14:paraId="7F466D4C" w14:textId="5F24CD6F" w:rsidR="00544639" w:rsidRDefault="00CC5EC1">
      <w:pPr>
        <w:rPr>
          <w:rFonts w:ascii="Arial" w:hAnsi="Arial" w:cs="Arial"/>
          <w:b/>
          <w:sz w:val="22"/>
          <w:szCs w:val="22"/>
          <w:lang w:val="en-US"/>
        </w:rPr>
      </w:pPr>
      <w:r w:rsidRPr="00CC5EC1">
        <w:rPr>
          <w:rFonts w:ascii="Arial" w:hAnsi="Arial" w:cs="Arial"/>
          <w:b/>
          <w:sz w:val="22"/>
          <w:szCs w:val="22"/>
          <w:lang w:val="en-US"/>
        </w:rPr>
        <w:t>References</w:t>
      </w:r>
    </w:p>
    <w:p w14:paraId="4027A57C" w14:textId="1BE7C677" w:rsidR="00544639" w:rsidRDefault="00544639">
      <w:pPr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40D5ACB7" w14:textId="10672AFB" w:rsidR="00A77388" w:rsidRDefault="00A77388" w:rsidP="00A77388">
      <w:pPr>
        <w:pStyle w:val="EndNoteBibliography"/>
        <w:spacing w:line="480" w:lineRule="auto"/>
        <w:rPr>
          <w:rFonts w:ascii="Arial" w:hAnsi="Arial" w:cs="Arial"/>
          <w:lang w:val="en-US"/>
        </w:rPr>
      </w:pPr>
      <w:r w:rsidRPr="00DD672D">
        <w:rPr>
          <w:rFonts w:ascii="Arial" w:hAnsi="Arial" w:cs="Arial"/>
          <w:lang w:val="en-US"/>
        </w:rPr>
        <w:t>1.</w:t>
      </w:r>
      <w:r w:rsidRPr="00DD672D">
        <w:rPr>
          <w:rFonts w:ascii="Arial" w:hAnsi="Arial" w:cs="Arial"/>
          <w:lang w:val="en-US"/>
        </w:rPr>
        <w:tab/>
      </w:r>
      <w:r w:rsidRPr="00A77388">
        <w:rPr>
          <w:rFonts w:ascii="Arial" w:hAnsi="Arial" w:cs="Arial"/>
          <w:lang w:val="en-US"/>
        </w:rPr>
        <w:t xml:space="preserve">Liefeldt L, Glander P, Klotsche J, </w:t>
      </w:r>
      <w:r w:rsidR="00036D1D">
        <w:rPr>
          <w:rFonts w:ascii="Arial" w:hAnsi="Arial" w:cs="Arial"/>
          <w:lang w:val="en-US"/>
        </w:rPr>
        <w:t>et al.</w:t>
      </w:r>
      <w:r w:rsidRPr="00A77388">
        <w:rPr>
          <w:rFonts w:ascii="Arial" w:hAnsi="Arial" w:cs="Arial"/>
          <w:lang w:val="en-US"/>
        </w:rPr>
        <w:t xml:space="preserve"> Predictors of Serological Response to SARS-CoV-2 Vaccination in Kidney Transplant Patients: Baseline Characteristics, Immunosuppression, and the Role of IMPDH Monitoring. </w:t>
      </w:r>
      <w:r w:rsidRPr="005156E1">
        <w:rPr>
          <w:rFonts w:ascii="Arial" w:hAnsi="Arial" w:cs="Arial"/>
          <w:i/>
          <w:lang w:val="en-US"/>
        </w:rPr>
        <w:t>J Clin Med. 2022</w:t>
      </w:r>
      <w:r w:rsidRPr="00A77388">
        <w:rPr>
          <w:rFonts w:ascii="Arial" w:hAnsi="Arial" w:cs="Arial"/>
          <w:lang w:val="en-US"/>
        </w:rPr>
        <w:t>; 11(6):1697.</w:t>
      </w:r>
      <w:r>
        <w:rPr>
          <w:rFonts w:ascii="Arial" w:hAnsi="Arial" w:cs="Arial"/>
          <w:lang w:val="en-US"/>
        </w:rPr>
        <w:t xml:space="preserve"> doi:</w:t>
      </w:r>
      <w:r w:rsidRPr="00036D1D">
        <w:rPr>
          <w:rFonts w:ascii="Arial" w:hAnsi="Arial" w:cs="Arial"/>
          <w:lang w:val="en-US"/>
        </w:rPr>
        <w:t>10.3390/jcm11061697</w:t>
      </w:r>
      <w:r>
        <w:rPr>
          <w:rFonts w:ascii="Arial" w:hAnsi="Arial" w:cs="Arial"/>
          <w:lang w:val="en-US"/>
        </w:rPr>
        <w:t>.</w:t>
      </w:r>
    </w:p>
    <w:p w14:paraId="48D8ABBC" w14:textId="77777777" w:rsidR="005156E1" w:rsidRDefault="00A77388" w:rsidP="005156E1">
      <w:pPr>
        <w:pStyle w:val="EndNoteBibliography"/>
        <w:spacing w:line="480" w:lineRule="auto"/>
        <w:rPr>
          <w:rFonts w:ascii="Arial" w:hAnsi="Arial" w:cs="Arial"/>
          <w:lang w:val="en-US"/>
        </w:rPr>
      </w:pPr>
      <w:r w:rsidRPr="00DD672D">
        <w:rPr>
          <w:rFonts w:ascii="Arial" w:hAnsi="Arial" w:cs="Arial"/>
          <w:lang w:val="en-US"/>
        </w:rPr>
        <w:t>2.</w:t>
      </w:r>
      <w:r w:rsidRPr="00DD672D">
        <w:rPr>
          <w:rFonts w:ascii="Arial" w:hAnsi="Arial" w:cs="Arial"/>
          <w:lang w:val="en-US"/>
        </w:rPr>
        <w:tab/>
      </w:r>
      <w:r w:rsidR="005156E1" w:rsidRPr="005156E1">
        <w:rPr>
          <w:rFonts w:ascii="Arial" w:hAnsi="Arial" w:cs="Arial"/>
          <w:lang w:val="en-US"/>
        </w:rPr>
        <w:t xml:space="preserve">Dürr M, Lachmann N, Zukunft B, Schmidt D, Budde K, Brakemeier S. Late Conversion to Belatacept After Kidney Transplantation: Outcome and Prognostic Factors. </w:t>
      </w:r>
      <w:r w:rsidR="005156E1" w:rsidRPr="00036D1D">
        <w:rPr>
          <w:rFonts w:ascii="Arial" w:hAnsi="Arial" w:cs="Arial"/>
          <w:i/>
          <w:lang w:val="en-US"/>
        </w:rPr>
        <w:t>Transplant Proc.</w:t>
      </w:r>
      <w:r w:rsidR="005156E1" w:rsidRPr="005156E1">
        <w:rPr>
          <w:rFonts w:ascii="Arial" w:hAnsi="Arial" w:cs="Arial"/>
          <w:lang w:val="en-US"/>
        </w:rPr>
        <w:t xml:space="preserve"> 2017;49(8):1747-1756.e1. doi:10.1016/j.transproceed.2017.05.013</w:t>
      </w:r>
    </w:p>
    <w:p w14:paraId="3452C63A" w14:textId="70716265" w:rsidR="005156E1" w:rsidRDefault="00A77388" w:rsidP="005156E1">
      <w:pPr>
        <w:pStyle w:val="EndNoteBibliography"/>
        <w:spacing w:line="480" w:lineRule="auto"/>
        <w:rPr>
          <w:rFonts w:ascii="Arial" w:hAnsi="Arial" w:cs="Arial"/>
          <w:lang w:val="en-US"/>
        </w:rPr>
      </w:pPr>
      <w:r w:rsidRPr="00DD672D">
        <w:rPr>
          <w:rFonts w:ascii="Arial" w:hAnsi="Arial" w:cs="Arial"/>
          <w:lang w:val="en-US"/>
        </w:rPr>
        <w:t>3.</w:t>
      </w:r>
      <w:r w:rsidRPr="00DD672D">
        <w:rPr>
          <w:rFonts w:ascii="Arial" w:hAnsi="Arial" w:cs="Arial"/>
          <w:lang w:val="en-US"/>
        </w:rPr>
        <w:tab/>
      </w:r>
      <w:r w:rsidR="005156E1" w:rsidRPr="005156E1">
        <w:rPr>
          <w:rFonts w:ascii="Arial" w:hAnsi="Arial" w:cs="Arial"/>
          <w:lang w:val="en-US"/>
        </w:rPr>
        <w:t xml:space="preserve">Brakemeier S, Kannenkeril D, Dürr M, et al. Experience with belatacept rescue therapy in kidney transplant recipients. </w:t>
      </w:r>
      <w:r w:rsidR="005156E1" w:rsidRPr="00036D1D">
        <w:rPr>
          <w:rFonts w:ascii="Arial" w:hAnsi="Arial" w:cs="Arial"/>
          <w:i/>
          <w:lang w:val="en-US"/>
        </w:rPr>
        <w:t>Transpl Int.</w:t>
      </w:r>
      <w:r w:rsidR="005156E1" w:rsidRPr="005156E1">
        <w:rPr>
          <w:rFonts w:ascii="Arial" w:hAnsi="Arial" w:cs="Arial"/>
          <w:lang w:val="en-US"/>
        </w:rPr>
        <w:t xml:space="preserve"> 2016;29(11):1184-1195. doi:10.1111/tri.12822</w:t>
      </w:r>
    </w:p>
    <w:p w14:paraId="69E40A55" w14:textId="2B814218" w:rsidR="00A77388" w:rsidRPr="00DD672D" w:rsidRDefault="00A77388" w:rsidP="00A77388">
      <w:pPr>
        <w:pStyle w:val="EndNoteBibliography"/>
        <w:spacing w:line="480" w:lineRule="auto"/>
        <w:rPr>
          <w:rFonts w:ascii="Arial" w:hAnsi="Arial" w:cs="Arial"/>
          <w:lang w:val="en-US"/>
        </w:rPr>
      </w:pPr>
      <w:r w:rsidRPr="00DD672D">
        <w:rPr>
          <w:rFonts w:ascii="Arial" w:hAnsi="Arial" w:cs="Arial"/>
          <w:lang w:val="en-US"/>
        </w:rPr>
        <w:t>4.</w:t>
      </w:r>
      <w:r w:rsidRPr="00DD672D">
        <w:rPr>
          <w:rFonts w:ascii="Arial" w:hAnsi="Arial" w:cs="Arial"/>
          <w:lang w:val="en-US"/>
        </w:rPr>
        <w:tab/>
      </w:r>
      <w:r w:rsidR="005156E1" w:rsidRPr="005156E1">
        <w:rPr>
          <w:rFonts w:ascii="Arial" w:hAnsi="Arial" w:cs="Arial"/>
          <w:lang w:val="en-US"/>
        </w:rPr>
        <w:t xml:space="preserve">Darres A, Ulloa C, Brakemeier S, et al. Conversion to Belatacept in Maintenance Kidney Transplant Patients: A Retrospective Multicenter European Study. </w:t>
      </w:r>
      <w:r w:rsidR="005156E1" w:rsidRPr="00036D1D">
        <w:rPr>
          <w:rFonts w:ascii="Arial" w:hAnsi="Arial" w:cs="Arial"/>
          <w:i/>
          <w:lang w:val="en-US"/>
        </w:rPr>
        <w:t xml:space="preserve">Transplantation. </w:t>
      </w:r>
      <w:r w:rsidR="005156E1" w:rsidRPr="005156E1">
        <w:rPr>
          <w:rFonts w:ascii="Arial" w:hAnsi="Arial" w:cs="Arial"/>
          <w:lang w:val="en-US"/>
        </w:rPr>
        <w:t>2018;102(9):1545-1552. doi:10.1097/TP.0000000000002192</w:t>
      </w:r>
    </w:p>
    <w:sectPr w:rsidR="00A77388" w:rsidRPr="00DD6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AA"/>
    <w:rsid w:val="00036D1D"/>
    <w:rsid w:val="00247FA0"/>
    <w:rsid w:val="00440986"/>
    <w:rsid w:val="004502AA"/>
    <w:rsid w:val="005156E1"/>
    <w:rsid w:val="00544639"/>
    <w:rsid w:val="00564DCB"/>
    <w:rsid w:val="00926DFE"/>
    <w:rsid w:val="00A77388"/>
    <w:rsid w:val="00B23CCE"/>
    <w:rsid w:val="00BB6F82"/>
    <w:rsid w:val="00BC0BE1"/>
    <w:rsid w:val="00C06645"/>
    <w:rsid w:val="00C239C5"/>
    <w:rsid w:val="00CC5EC1"/>
    <w:rsid w:val="00E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E6AE"/>
  <w15:chartTrackingRefBased/>
  <w15:docId w15:val="{E8F3C097-A1FE-4A43-AEC1-D88521D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Standard"/>
    <w:link w:val="EndNoteBibliographyZchn"/>
    <w:rsid w:val="00A77388"/>
    <w:pPr>
      <w:jc w:val="both"/>
    </w:pPr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77388"/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773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Osmanodja, Bilgin</dc:creator>
  <cp:keywords/>
  <dc:description/>
  <cp:lastModifiedBy>Osmanodja, Bilgin</cp:lastModifiedBy>
  <cp:revision>3</cp:revision>
  <dcterms:created xsi:type="dcterms:W3CDTF">2022-03-23T16:05:00Z</dcterms:created>
  <dcterms:modified xsi:type="dcterms:W3CDTF">2022-03-23T20:42:00Z</dcterms:modified>
</cp:coreProperties>
</file>