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C3E" w:rsidRDefault="00667C3E" w:rsidP="00667C3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Figure</w:t>
      </w: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759ED">
        <w:rPr>
          <w:rFonts w:ascii="Times New Roman" w:hAnsi="Times New Roman" w:cs="Times New Roman"/>
          <w:sz w:val="24"/>
          <w:szCs w:val="24"/>
          <w:lang w:val="en-GB"/>
        </w:rPr>
        <w:t>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Timeline of the study</w:t>
      </w:r>
      <w:r>
        <w:rPr>
          <w:rFonts w:ascii="Times New Roman" w:hAnsi="Times New Roman" w:cs="Times New Roman"/>
          <w:sz w:val="24"/>
          <w:szCs w:val="24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2pt;height:118.2pt">
            <v:imagedata r:id="rId5" o:title="Figure S1"/>
          </v:shape>
        </w:pict>
      </w:r>
    </w:p>
    <w:p w:rsidR="00667C3E" w:rsidRDefault="00667C3E" w:rsidP="00667C3E"/>
    <w:p w:rsidR="00667C3E" w:rsidRDefault="00667C3E" w:rsidP="00667C3E">
      <w:bookmarkStart w:id="0" w:name="_GoBack"/>
      <w:bookmarkEnd w:id="0"/>
    </w:p>
    <w:p w:rsidR="00667C3E" w:rsidRDefault="00667C3E" w:rsidP="00667C3E"/>
    <w:p w:rsidR="00667C3E" w:rsidRDefault="00667C3E" w:rsidP="00667C3E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931EAB">
        <w:rPr>
          <w:rFonts w:ascii="Times New Roman" w:hAnsi="Times New Roman" w:cs="Times New Roman"/>
          <w:sz w:val="24"/>
          <w:szCs w:val="24"/>
          <w:lang w:val="en-GB"/>
        </w:rPr>
        <w:t>Summary of Demographics and Baseline Characteristics by Adolescent and Young Adults: PPS Subset in CT-COV-22 and Young Adults for Comparison in CT-COV-21</w:t>
      </w:r>
    </w:p>
    <w:p w:rsidR="00667C3E" w:rsidRDefault="00667C3E" w:rsidP="00667C3E">
      <w:pPr>
        <w:rPr>
          <w:b/>
          <w:bCs/>
          <w:sz w:val="23"/>
          <w:szCs w:val="23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1984"/>
        <w:gridCol w:w="2410"/>
      </w:tblGrid>
      <w:tr w:rsidR="00667C3E" w:rsidRPr="00931EAB" w:rsidTr="001260B7">
        <w:trPr>
          <w:trHeight w:val="20"/>
        </w:trPr>
        <w:tc>
          <w:tcPr>
            <w:tcW w:w="3539" w:type="dxa"/>
            <w:shd w:val="clear" w:color="auto" w:fill="E7E6E6" w:themeFill="background2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Adolescents of </w:t>
            </w:r>
          </w:p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1984" w:type="dxa"/>
            <w:shd w:val="clear" w:color="auto" w:fill="E7E6E6" w:themeFill="background2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Young Adults of </w:t>
            </w:r>
          </w:p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210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</w:p>
        </w:tc>
        <w:tc>
          <w:tcPr>
            <w:tcW w:w="2410" w:type="dxa"/>
            <w:shd w:val="clear" w:color="auto" w:fill="E7E6E6" w:themeFill="background2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Total (N=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544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Age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Mean (SD)</w:t>
            </w:r>
          </w:p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CA"/>
              </w:rPr>
            </w:pP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 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M</w:t>
            </w:r>
            <w:r w:rsidRPr="00931EAB">
              <w:rPr>
                <w:rFonts w:ascii="Times New Roman" w:hAnsi="Times New Roman" w:cs="Times New Roman"/>
                <w:sz w:val="16"/>
                <w:lang w:val="en-CA"/>
              </w:rPr>
              <w:t>in ~ Max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14.4 (1.65)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12.0 ~ 17.0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25.9 (2.74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20.0 ~ 30.0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18.8 (6.02)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12.0 ~ 30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.0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Gender, n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Male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188 (56.3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105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50.0)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293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53.9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Female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146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43.7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105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(50.0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251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(46.1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single" w:sz="4" w:space="0" w:color="auto"/>
              <w:bottom w:val="nil"/>
            </w:tcBorders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Race, n (%)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nil"/>
            </w:tcBorders>
          </w:tcPr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Asian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Non-Asian</w:t>
            </w:r>
          </w:p>
        </w:tc>
        <w:tc>
          <w:tcPr>
            <w:tcW w:w="2410" w:type="dxa"/>
            <w:tcBorders>
              <w:top w:val="nil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334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 (100.0)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0 </w:t>
            </w:r>
          </w:p>
        </w:tc>
        <w:tc>
          <w:tcPr>
            <w:tcW w:w="1984" w:type="dxa"/>
            <w:tcBorders>
              <w:top w:val="nil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219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 (100.0)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410" w:type="dxa"/>
            <w:tcBorders>
              <w:top w:val="nil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544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 (100.0)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BMI (kg/m</w:t>
            </w:r>
            <w:r w:rsidRPr="00931EAB">
              <w:rPr>
                <w:rFonts w:ascii="Times New Roman" w:hAnsi="Times New Roman" w:cs="Times New Roman"/>
                <w:b/>
                <w:sz w:val="16"/>
                <w:vertAlign w:val="superscript"/>
                <w:lang w:val="en-GB"/>
              </w:rPr>
              <w:t>2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), 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Mean (SD)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M</w:t>
            </w:r>
            <w:r w:rsidRPr="00931EAB">
              <w:rPr>
                <w:rFonts w:ascii="Times New Roman" w:hAnsi="Times New Roman" w:cs="Times New Roman"/>
                <w:sz w:val="16"/>
                <w:lang w:val="en-CA"/>
              </w:rPr>
              <w:t>in ~ Max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21.2 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(4.2)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15.2 ~ 42.3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23.6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(4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.1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4.4 ~ 40.5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2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2.1 (4.3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14.4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 ~ 42.3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BMI group,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n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 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&lt; 30 kg/m</w:t>
            </w:r>
            <w:r w:rsidRPr="00931EAB"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323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(96.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7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192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(91.4)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515</w:t>
            </w: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(94.7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)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 </w:t>
            </w:r>
            <w:r w:rsidRPr="00931EAB">
              <w:rPr>
                <w:rFonts w:ascii="Calibri" w:hAnsi="Calibri" w:cs="Calibri"/>
                <w:sz w:val="16"/>
                <w:lang w:val="en-GB"/>
              </w:rPr>
              <w:t>≥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 30 kg/m</w:t>
            </w:r>
            <w:r w:rsidRPr="00931EAB">
              <w:rPr>
                <w:rFonts w:ascii="Times New Roman" w:hAnsi="Times New Roman" w:cs="Times New Roman"/>
                <w:sz w:val="16"/>
                <w:vertAlign w:val="superscript"/>
                <w:lang w:val="en-GB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11 (3.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3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18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(8.6)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29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5.3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)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HIV 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a</w:t>
            </w: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ntibody, n (%)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1984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 (0.5)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 (0.5)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Pre-vaccination neutralizing antibody against wild type SARS-CoV-2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(</w:t>
            </w:r>
            <w:r w:rsidRPr="00931EAB">
              <w:rPr>
                <w:rFonts w:ascii="Calibri" w:hAnsi="Calibri" w:cs="Calibri"/>
                <w:b/>
                <w:sz w:val="16"/>
                <w:lang w:val="en-GB"/>
              </w:rPr>
              <w:t>≥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8)</w:t>
            </w: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, n (%)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1984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Pre-vaccination 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anti-SARS-CoV-2 IgG (</w:t>
            </w:r>
            <w:r w:rsidRPr="00931EAB">
              <w:rPr>
                <w:rFonts w:ascii="Calibri" w:hAnsi="Calibri" w:cs="Calibri"/>
                <w:b/>
                <w:sz w:val="16"/>
                <w:lang w:val="en-GB"/>
              </w:rPr>
              <w:t>≥</w:t>
            </w: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100)</w:t>
            </w:r>
            <w:r w:rsidRPr="00931EAB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, n (%)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(2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.7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)</w:t>
            </w:r>
          </w:p>
        </w:tc>
        <w:tc>
          <w:tcPr>
            <w:tcW w:w="1984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9 (4.3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)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18 (3.3</w:t>
            </w:r>
            <w:r w:rsidRPr="00931EAB">
              <w:rPr>
                <w:rFonts w:ascii="Times New Roman" w:hAnsi="Times New Roman" w:cs="Times New Roman" w:hint="eastAsia"/>
                <w:sz w:val="16"/>
                <w:lang w:val="en-GB"/>
              </w:rPr>
              <w:t>)</w:t>
            </w:r>
          </w:p>
        </w:tc>
      </w:tr>
      <w:tr w:rsidR="00667C3E" w:rsidRPr="00931EAB" w:rsidTr="001260B7">
        <w:trPr>
          <w:trHeight w:val="20"/>
        </w:trPr>
        <w:tc>
          <w:tcPr>
            <w:tcW w:w="3539" w:type="dxa"/>
          </w:tcPr>
          <w:p w:rsidR="00667C3E" w:rsidRPr="00931EAB" w:rsidRDefault="00667C3E" w:rsidP="001260B7">
            <w:pPr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lastRenderedPageBreak/>
              <w:t>Comorbidity, n (%)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Any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Cardiovascular disease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Cerebrovascular disease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COPD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Liver cirrhosis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Malignancy</w:t>
            </w:r>
          </w:p>
          <w:p w:rsidR="00667C3E" w:rsidRPr="00931EAB" w:rsidRDefault="00667C3E" w:rsidP="001260B7">
            <w:pPr>
              <w:ind w:firstLineChars="100" w:firstLine="160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HbAlc higher than normal range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6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1.8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6 (1.8)</w:t>
            </w:r>
          </w:p>
        </w:tc>
        <w:tc>
          <w:tcPr>
            <w:tcW w:w="1984" w:type="dxa"/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6 (2.9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 (0.5)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5 (2.4)</w:t>
            </w:r>
          </w:p>
        </w:tc>
        <w:tc>
          <w:tcPr>
            <w:tcW w:w="2410" w:type="dxa"/>
          </w:tcPr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12 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(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2.2</w:t>
            </w: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)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 (0.2)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</w:t>
            </w:r>
          </w:p>
          <w:p w:rsidR="00667C3E" w:rsidRPr="00931EAB" w:rsidRDefault="00667C3E" w:rsidP="001260B7">
            <w:pPr>
              <w:wordWrap w:val="0"/>
              <w:jc w:val="right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11 (2.0)</w:t>
            </w:r>
          </w:p>
        </w:tc>
      </w:tr>
    </w:tbl>
    <w:p w:rsidR="00667C3E" w:rsidRDefault="00667C3E" w:rsidP="00667C3E">
      <w:pPr>
        <w:sectPr w:rsidR="00667C3E" w:rsidSect="00B55C21">
          <w:pgSz w:w="11906" w:h="16838"/>
          <w:pgMar w:top="1440" w:right="1077" w:bottom="1440" w:left="1077" w:header="851" w:footer="992" w:gutter="0"/>
          <w:cols w:space="425"/>
          <w:docGrid w:type="linesAndChars" w:linePitch="360"/>
        </w:sectPr>
      </w:pPr>
    </w:p>
    <w:p w:rsidR="00667C3E" w:rsidRDefault="00667C3E" w:rsidP="00667C3E"/>
    <w:p w:rsidR="00667C3E" w:rsidRPr="004868B9" w:rsidRDefault="00667C3E" w:rsidP="00667C3E">
      <w:pPr>
        <w:pStyle w:val="TableTitle"/>
        <w:keepNext w:val="0"/>
        <w:keepLines w:val="0"/>
        <w:widowControl w:val="0"/>
        <w:ind w:left="1871" w:hanging="1871"/>
        <w:outlineLvl w:val="0"/>
        <w:rPr>
          <w:sz w:val="24"/>
          <w:lang w:val="en-GB" w:eastAsia="zh-TW"/>
        </w:rPr>
      </w:pPr>
      <w:bookmarkStart w:id="1" w:name="_Toc77607926"/>
      <w:r w:rsidRPr="004868B9">
        <w:rPr>
          <w:sz w:val="24"/>
          <w:lang w:val="en-GB" w:eastAsia="zh-TW"/>
        </w:rPr>
        <w:t>Table S</w:t>
      </w:r>
      <w:r>
        <w:rPr>
          <w:sz w:val="24"/>
          <w:lang w:val="en-GB" w:eastAsia="zh-TW"/>
        </w:rPr>
        <w:t>2</w:t>
      </w:r>
      <w:r w:rsidRPr="004868B9">
        <w:rPr>
          <w:sz w:val="24"/>
          <w:lang w:val="en-GB" w:eastAsia="zh-TW"/>
        </w:rPr>
        <w:t xml:space="preserve">. </w:t>
      </w:r>
      <w:r>
        <w:rPr>
          <w:sz w:val="24"/>
          <w:lang w:val="en-GB" w:eastAsia="zh-TW"/>
        </w:rPr>
        <w:t>Summary of s</w:t>
      </w:r>
      <w:r w:rsidRPr="004868B9">
        <w:rPr>
          <w:sz w:val="24"/>
          <w:lang w:val="en-GB" w:eastAsia="zh-TW"/>
        </w:rPr>
        <w:t xml:space="preserve">olicited </w:t>
      </w:r>
      <w:r>
        <w:rPr>
          <w:sz w:val="24"/>
          <w:lang w:val="en-GB" w:eastAsia="zh-TW"/>
        </w:rPr>
        <w:t>a</w:t>
      </w:r>
      <w:r w:rsidRPr="004868B9">
        <w:rPr>
          <w:sz w:val="24"/>
          <w:lang w:val="en-GB" w:eastAsia="zh-TW"/>
        </w:rPr>
        <w:t xml:space="preserve">dverse </w:t>
      </w:r>
      <w:r>
        <w:rPr>
          <w:sz w:val="24"/>
          <w:lang w:val="en-GB" w:eastAsia="zh-TW"/>
        </w:rPr>
        <w:t>e</w:t>
      </w:r>
      <w:r w:rsidRPr="004868B9">
        <w:rPr>
          <w:sz w:val="24"/>
          <w:lang w:val="en-GB" w:eastAsia="zh-TW"/>
        </w:rPr>
        <w:t xml:space="preserve">vents after </w:t>
      </w:r>
      <w:bookmarkEnd w:id="1"/>
      <w:r>
        <w:rPr>
          <w:sz w:val="24"/>
          <w:lang w:val="en-GB" w:eastAsia="zh-TW"/>
        </w:rPr>
        <w:t>each dosing</w:t>
      </w:r>
      <w:r w:rsidRPr="004868B9">
        <w:rPr>
          <w:sz w:val="24"/>
          <w:lang w:val="en-GB" w:eastAsia="zh-TW"/>
        </w:rPr>
        <w:t xml:space="preserve"> </w:t>
      </w:r>
    </w:p>
    <w:tbl>
      <w:tblPr>
        <w:tblStyle w:val="a4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55"/>
        <w:gridCol w:w="1307"/>
        <w:gridCol w:w="1031"/>
        <w:gridCol w:w="1245"/>
        <w:gridCol w:w="1242"/>
        <w:gridCol w:w="1242"/>
        <w:gridCol w:w="1242"/>
        <w:gridCol w:w="1242"/>
        <w:gridCol w:w="1242"/>
        <w:gridCol w:w="1680"/>
      </w:tblGrid>
      <w:tr w:rsidR="00667C3E" w:rsidRPr="00EF4CC1" w:rsidTr="001260B7">
        <w:trPr>
          <w:trHeight w:val="20"/>
          <w:tblHeader/>
          <w:jc w:val="center"/>
        </w:trPr>
        <w:tc>
          <w:tcPr>
            <w:tcW w:w="88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jc w:val="left"/>
              <w:rPr>
                <w:sz w:val="18"/>
                <w:szCs w:val="20"/>
                <w:lang w:val="en-GB"/>
              </w:rPr>
            </w:pPr>
            <w:bookmarkStart w:id="2" w:name="_Hlk74091461"/>
          </w:p>
        </w:tc>
        <w:tc>
          <w:tcPr>
            <w:tcW w:w="1286" w:type="pct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Cs w:val="20"/>
                <w:lang w:val="en-GB" w:eastAsia="ko-KR"/>
              </w:rPr>
            </w:pPr>
            <w:r>
              <w:rPr>
                <w:szCs w:val="20"/>
                <w:lang w:val="en-GB" w:eastAsia="ko-KR"/>
              </w:rPr>
              <w:t>After any dose</w:t>
            </w:r>
          </w:p>
        </w:tc>
        <w:tc>
          <w:tcPr>
            <w:tcW w:w="1338" w:type="pct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Cs w:val="20"/>
                <w:lang w:val="en-GB" w:eastAsia="ko-KR"/>
              </w:rPr>
            </w:pPr>
            <w:r>
              <w:rPr>
                <w:szCs w:val="20"/>
                <w:lang w:val="en-GB" w:eastAsia="ko-KR"/>
              </w:rPr>
              <w:t>After first dose</w:t>
            </w:r>
          </w:p>
        </w:tc>
        <w:tc>
          <w:tcPr>
            <w:tcW w:w="1495" w:type="pct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E7E6E6" w:themeFill="background2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rFonts w:ascii="Calibri" w:hAnsi="Calibri" w:cs="Calibri"/>
                <w:szCs w:val="20"/>
                <w:lang w:val="en-GB" w:eastAsia="ko-KR"/>
              </w:rPr>
            </w:pPr>
            <w:r>
              <w:rPr>
                <w:szCs w:val="20"/>
                <w:lang w:val="en-GB"/>
              </w:rPr>
              <w:t>After second dose</w:t>
            </w:r>
          </w:p>
        </w:tc>
      </w:tr>
      <w:tr w:rsidR="00667C3E" w:rsidRPr="00EF4CC1" w:rsidTr="001260B7">
        <w:trPr>
          <w:trHeight w:val="20"/>
          <w:tblHeader/>
          <w:jc w:val="center"/>
        </w:trPr>
        <w:tc>
          <w:tcPr>
            <w:tcW w:w="88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667C3E" w:rsidRPr="004149F0" w:rsidRDefault="00667C3E" w:rsidP="001260B7">
            <w:pPr>
              <w:rPr>
                <w:sz w:val="18"/>
                <w:szCs w:val="20"/>
                <w:lang w:val="en-GB"/>
              </w:rPr>
            </w:pPr>
          </w:p>
        </w:tc>
        <w:tc>
          <w:tcPr>
            <w:tcW w:w="469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MVC-COV1901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341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370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Placebo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(N = 58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447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Total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399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MVC-COV1901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341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Placebo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58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Total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399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MVC-COV1901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340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446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Placebo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58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603" w:type="pct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Total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398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jc w:val="left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 w:eastAsia="ko-KR"/>
              </w:rPr>
              <w:t xml:space="preserve">Any </w:t>
            </w:r>
            <w:r>
              <w:rPr>
                <w:sz w:val="18"/>
                <w:szCs w:val="20"/>
                <w:lang w:val="en-GB"/>
              </w:rPr>
              <w:t>A</w:t>
            </w:r>
            <w:r w:rsidRPr="004149F0">
              <w:rPr>
                <w:sz w:val="18"/>
                <w:szCs w:val="20"/>
                <w:lang w:val="en-GB"/>
              </w:rPr>
              <w:t>Es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265</w:t>
            </w:r>
            <w:r>
              <w:rPr>
                <w:rFonts w:eastAsia="Malgun Gothic"/>
                <w:sz w:val="18"/>
                <w:szCs w:val="16"/>
                <w:lang w:val="en-GB" w:eastAsia="ko-KR"/>
              </w:rPr>
              <w:t xml:space="preserve"> (77.7)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31 (53.4)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296 (</w:t>
            </w:r>
            <w:r>
              <w:rPr>
                <w:rFonts w:eastAsia="Malgun Gothic"/>
                <w:sz w:val="18"/>
                <w:szCs w:val="16"/>
                <w:lang w:val="en-GB" w:eastAsia="ko-KR"/>
              </w:rPr>
              <w:t>74.2)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240 (70.4)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26 (44.8)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266 (66.7)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757DC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</w:t>
            </w:r>
            <w:r>
              <w:rPr>
                <w:rFonts w:eastAsia="Malgun Gothic"/>
                <w:sz w:val="18"/>
                <w:szCs w:val="14"/>
                <w:lang w:val="en-GB" w:eastAsia="ko-KR"/>
              </w:rPr>
              <w:t>82 (53.5)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757DC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 (27.6)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757DC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198 (49.7)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225 (</w:t>
            </w:r>
            <w:r>
              <w:rPr>
                <w:rFonts w:eastAsia="Malgun Gothic"/>
                <w:sz w:val="18"/>
                <w:szCs w:val="16"/>
                <w:lang w:val="en-GB" w:eastAsia="ko-KR"/>
              </w:rPr>
              <w:t>66.0)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26 (44.8)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251 (</w:t>
            </w:r>
            <w:r>
              <w:rPr>
                <w:rFonts w:eastAsia="Malgun Gothic"/>
                <w:sz w:val="18"/>
                <w:szCs w:val="16"/>
                <w:lang w:val="en-GB" w:eastAsia="ko-KR"/>
              </w:rPr>
              <w:t>62.9)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221 (64.8)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25 (43.1)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246 (61.7)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155 (45.6)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12 (20.7)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167 (42.0)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38 (11.1)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5 (8.6)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43 (10.8)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19 (5.6)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1 (1.7)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20 (5.0)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25 (7.4)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4 (6.9)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29 (7.3)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 (0.6)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 (0.5)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 (0.5)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jc w:val="left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 w:eastAsia="ko-KR"/>
              </w:rPr>
              <w:t xml:space="preserve">Any </w:t>
            </w:r>
            <w:r w:rsidRPr="004149F0">
              <w:rPr>
                <w:sz w:val="18"/>
                <w:szCs w:val="20"/>
                <w:lang w:val="en-GB"/>
              </w:rPr>
              <w:t>S</w:t>
            </w:r>
            <w:r w:rsidRPr="004149F0">
              <w:rPr>
                <w:sz w:val="18"/>
                <w:szCs w:val="20"/>
                <w:lang w:val="en-GB" w:eastAsia="ko-KR"/>
              </w:rPr>
              <w:t xml:space="preserve">olicited Local </w:t>
            </w:r>
            <w:r w:rsidRPr="004149F0">
              <w:rPr>
                <w:sz w:val="18"/>
                <w:szCs w:val="20"/>
                <w:lang w:val="en-GB"/>
              </w:rPr>
              <w:t>AEs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238 (69.8)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19 (32.8)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257 (64.4)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207 (60.7)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12 (20.7)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219 (54.9)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163 (47.9)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14 (24.1)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177 (44.5)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217 (63.6)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18 (31.0)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235 (58.9)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199 (58.4)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12 (20.7)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211 (52.9)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148 (43.5)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13 (22.4)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161 (40.5)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21 (6.2)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1 (1.7)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22 (5.5)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8 (2.3)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8 (2.0)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15 (4.4)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 (1.7)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 (4.0)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b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Pain/Tenderness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238 (69.8)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19 (32.8)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257 (64.4)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205 (60.1)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12 (20.7)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217 (54.4)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162 (47.6)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14 (24.1)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176 (44.2)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218 (63.9)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18 (31.0)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236 (59.1)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197 (57.8)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12 (20.7)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6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6"/>
                <w:lang w:val="en-GB" w:eastAsia="ko-KR"/>
              </w:rPr>
              <w:t>209 (52.4)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148 (43.5)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13 (22.4)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511FB8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161 (40.5)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20 (5.9)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1 (1.7)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21 (5.3)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8 (2.3)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8 (2.0)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14 (4.1)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 (1.7)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15 (3.8)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Induration/Swelling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11 (3.2)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11 (</w:t>
            </w:r>
            <w:r>
              <w:rPr>
                <w:sz w:val="18"/>
                <w:szCs w:val="16"/>
                <w:lang w:val="en-GB"/>
              </w:rPr>
              <w:t>2.8</w:t>
            </w:r>
            <w:r>
              <w:rPr>
                <w:rFonts w:hint="eastAsia"/>
                <w:sz w:val="18"/>
                <w:szCs w:val="16"/>
                <w:lang w:val="en-GB"/>
              </w:rPr>
              <w:t>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7 (2.1)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7 (1.8)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5 (1.5)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5 (1.3)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8 (2.3)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8 (2.0)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6 (1.8)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6"/>
                <w:lang w:val="en-GB"/>
              </w:rPr>
            </w:pPr>
            <w:r>
              <w:rPr>
                <w:rFonts w:hint="eastAsia"/>
                <w:sz w:val="18"/>
                <w:szCs w:val="16"/>
                <w:lang w:val="en-GB"/>
              </w:rPr>
              <w:t>6 (1.5)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3 (0.9)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3 (0.8)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sz w:val="18"/>
                <w:szCs w:val="16"/>
                <w:lang w:val="en-GB"/>
              </w:rPr>
              <w:t>3 (0.9)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sz w:val="18"/>
                <w:szCs w:val="16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sz w:val="18"/>
                <w:szCs w:val="16"/>
                <w:lang w:val="en-GB"/>
              </w:rPr>
              <w:t>3 (0.8)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sz w:val="18"/>
                <w:szCs w:val="16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sz w:val="18"/>
                <w:szCs w:val="16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(0.5)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eastAsia="SimSun" w:cs="Times New Roman"/>
                <w:b/>
                <w:sz w:val="18"/>
                <w:szCs w:val="20"/>
                <w:lang w:val="en-GB" w:eastAsia="zh-CN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Erythema/Redness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4 (1.2)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4 (1.0)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6"/>
                <w:lang w:val="en-GB"/>
              </w:rPr>
              <w:t>2 (0.5)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 (0.5)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4 (1.2)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bCs/>
                <w:color w:val="000000"/>
                <w:sz w:val="18"/>
                <w:szCs w:val="16"/>
                <w:lang w:val="en-GB"/>
              </w:rPr>
              <w:t>4 (1.0)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6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6"/>
                <w:lang w:val="en-GB"/>
              </w:rPr>
              <w:t>2 (0.5)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 (0.5)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jc w:val="left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 w:eastAsia="ko-KR"/>
              </w:rPr>
              <w:lastRenderedPageBreak/>
              <w:t xml:space="preserve">Any </w:t>
            </w:r>
            <w:r w:rsidRPr="004149F0">
              <w:rPr>
                <w:sz w:val="18"/>
                <w:szCs w:val="20"/>
                <w:lang w:val="en-GB"/>
              </w:rPr>
              <w:t>S</w:t>
            </w:r>
            <w:r w:rsidRPr="004149F0">
              <w:rPr>
                <w:sz w:val="18"/>
                <w:szCs w:val="20"/>
                <w:lang w:val="en-GB" w:eastAsia="ko-KR"/>
              </w:rPr>
              <w:t xml:space="preserve">olicited Systemic </w:t>
            </w:r>
            <w:r w:rsidRPr="004149F0">
              <w:rPr>
                <w:sz w:val="18"/>
                <w:szCs w:val="20"/>
                <w:lang w:val="en-GB"/>
              </w:rPr>
              <w:t>AEs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162 (47.5)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26 (44.8)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188 (47.1)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143 (41.9)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22 (37.9)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165 (41.4)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86 (25.3)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12 (20.7)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98 (24.6)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134 (39.3)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21 (36.2)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155 (38.8)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130 (38.1)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21 (36.2)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151 (37.8)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66 (19.4)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8 (13.8)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74 (18.6)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26 (7.6)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5 (8.6)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31 (7.8)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13 (3.8)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 (1.7)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14 (3.5)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18 (5.3)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4 (6.9)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22 (5.5)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 (0.6)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 (0.5)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8F6EA4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2 (0.5)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Malaise/F</w:t>
            </w:r>
            <w:r w:rsidRPr="004149F0">
              <w:rPr>
                <w:rFonts w:cs="Times New Roman"/>
                <w:b/>
                <w:sz w:val="18"/>
                <w:szCs w:val="20"/>
                <w:lang w:val="en-GB"/>
              </w:rPr>
              <w:t>atigue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105 (30.8)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14 (24.1)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119 (29.8)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78 (22.9)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9 (15.5)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87 (21.8)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63 (18.5)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8 913.8)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71 (17.8)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90 (26.4)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12 (20.7)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102 (25.6)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70 (20.5)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9 (15.5)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79 (19.8)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713C6A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54 (15.9)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713C6A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6 (10.3)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713C6A" w:rsidRDefault="00667C3E" w:rsidP="001260B7">
            <w:pPr>
              <w:pStyle w:val="TableCenter"/>
              <w:keepNext w:val="0"/>
              <w:widowControl w:val="0"/>
              <w:rPr>
                <w:rFonts w:eastAsia="Malgun Gothic"/>
                <w:sz w:val="18"/>
                <w:szCs w:val="14"/>
                <w:lang w:val="en-GB" w:eastAsia="ko-KR"/>
              </w:rPr>
            </w:pPr>
            <w:r>
              <w:rPr>
                <w:rFonts w:eastAsia="Malgun Gothic" w:hint="eastAsia"/>
                <w:sz w:val="18"/>
                <w:szCs w:val="14"/>
                <w:lang w:val="en-GB" w:eastAsia="ko-KR"/>
              </w:rPr>
              <w:t>60 (15.1)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14 (4.1)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16 (4.0)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8 (2.3)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8 (2.0)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8 (2.4)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10 (2.5)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 (0.3)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Myalgia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81 (23.8)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13 (22.4)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94 (23.6)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66 (19.4)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10 (17.2)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76 (19.0)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27 (7.9)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6 (10.3)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33 (8.3)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71 (20.8)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11 (19.0)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82 (20.6)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62 (18.2)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9 (15.5)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71 (17.8)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23 (6.8)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3 (5.2)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26 (6.5)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10 (2.9)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12 (3.0)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4 (1.2)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1 (1.7)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5 (1.3)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3 (0.9)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3 (5.2)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sz w:val="18"/>
                <w:szCs w:val="14"/>
                <w:lang w:val="en-GB"/>
              </w:rPr>
              <w:t>6 (1.5)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Headache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58 (17.0)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13 (22.4)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71 (17.8)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49 (14.4)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9 (15.5)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58 (14.5)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 (0.3)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53 (15.5)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10 (17.2)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63 (15.8)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47 (13.8)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9 (15.5)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56 (14.0)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28 (8.2)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 (6.9)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32 (8.0)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4 (1.2)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3 (5.2)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7 (1.8)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 (0.5)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21 (6.2)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3 (5.2)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sz w:val="18"/>
                <w:szCs w:val="14"/>
                <w:lang w:val="en-GB"/>
              </w:rPr>
            </w:pPr>
            <w:r>
              <w:rPr>
                <w:rFonts w:hint="eastAsia"/>
                <w:sz w:val="18"/>
                <w:szCs w:val="14"/>
                <w:lang w:val="en-GB"/>
              </w:rPr>
              <w:t>24 (6.0)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3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7 (2.1)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 (1.7)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8 (2.0)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b/>
                <w:sz w:val="18"/>
                <w:szCs w:val="20"/>
                <w:lang w:val="en-GB"/>
              </w:rPr>
            </w:pPr>
            <w:r>
              <w:rPr>
                <w:rFonts w:cs="Times New Roman"/>
                <w:b/>
                <w:sz w:val="18"/>
                <w:szCs w:val="20"/>
                <w:lang w:val="en-GB" w:eastAsia="ko-KR"/>
              </w:rPr>
              <w:t>Diarrhoea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44 (12.9)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5 (8.6)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49 (12.3)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34 (10.)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 (6.9)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38 (9.5)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18 (5.3)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20 (5.0)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41 (12.0)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5 (8.6)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46 (11.5)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34 (10.)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 (6.9)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38 (9.5)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15 (4.4)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17 (4.3)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lastRenderedPageBreak/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3 (0.9)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3 (0.8)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 xml:space="preserve"> 3 (0.9)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3 (0.8)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Nausea/Vomiting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22 (6.5)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5 (8.6)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27 (6.8)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17 (5.0)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19 (4.8)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6 (1.8)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 (5.2)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9 (2.3)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18 (5.3)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4 (6.9)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22 (5.5)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15 (4.4)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17 (4.3)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4 (1.2)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(3.4)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6 (1.5)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2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4 (1.2)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 (1.7)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5 (1.3)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(0.5)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2 (0.6)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 (1.7)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3 (0.8)</w:t>
            </w:r>
          </w:p>
        </w:tc>
      </w:tr>
      <w:tr w:rsidR="00667C3E" w:rsidRPr="006B0A67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rPr>
                <w:rFonts w:cs="Times New Roman"/>
                <w:b/>
                <w:sz w:val="18"/>
                <w:szCs w:val="20"/>
                <w:lang w:val="en-GB"/>
              </w:rPr>
            </w:pPr>
            <w:r w:rsidRPr="004149F0">
              <w:rPr>
                <w:rFonts w:cs="Times New Roman"/>
                <w:b/>
                <w:sz w:val="18"/>
                <w:szCs w:val="20"/>
                <w:lang w:val="en-GB" w:eastAsia="ko-KR"/>
              </w:rPr>
              <w:t>Fever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 w:rsidRPr="00DE59C1"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 (1.2)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 w:rsidRPr="00DE59C1"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DE59C1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 w:rsidRPr="00DE59C1"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4 (1.0)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 w:rsidRPr="006B0A67"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 (0.9)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 (0.8)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1 (0.3)</w:t>
            </w:r>
          </w:p>
        </w:tc>
      </w:tr>
      <w:tr w:rsidR="00667C3E" w:rsidRPr="00EF4CC1" w:rsidTr="001260B7">
        <w:trPr>
          <w:trHeight w:val="20"/>
          <w:jc w:val="center"/>
        </w:trPr>
        <w:tc>
          <w:tcPr>
            <w:tcW w:w="88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Left"/>
              <w:keepNext w:val="0"/>
              <w:widowControl w:val="0"/>
              <w:jc w:val="right"/>
              <w:rPr>
                <w:rFonts w:cs="Times New Roman"/>
                <w:sz w:val="18"/>
                <w:szCs w:val="20"/>
                <w:lang w:val="en-GB" w:eastAsia="ko-KR"/>
              </w:rPr>
            </w:pPr>
            <w:r w:rsidRPr="004149F0">
              <w:rPr>
                <w:rFonts w:cs="Times New Roman"/>
                <w:color w:val="000000"/>
                <w:sz w:val="18"/>
                <w:szCs w:val="20"/>
                <w:lang w:val="en-GB"/>
              </w:rPr>
              <w:t>Grade 1</w:t>
            </w: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4 (1.2)</w:t>
            </w:r>
          </w:p>
        </w:tc>
        <w:tc>
          <w:tcPr>
            <w:tcW w:w="3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4 (1.0)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 w:rsidRPr="006B0A67"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 (0.9)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6B0A67" w:rsidRDefault="00667C3E" w:rsidP="001260B7">
            <w:pPr>
              <w:pStyle w:val="TableCenter"/>
              <w:keepNext w:val="0"/>
              <w:widowControl w:val="0"/>
              <w:rPr>
                <w:bCs/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bCs/>
                <w:color w:val="000000"/>
                <w:sz w:val="18"/>
                <w:szCs w:val="14"/>
                <w:lang w:val="en-GB"/>
              </w:rPr>
              <w:t>3 (0.8)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 (0.3)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0</w:t>
            </w:r>
          </w:p>
        </w:tc>
        <w:tc>
          <w:tcPr>
            <w:tcW w:w="6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67C3E" w:rsidRPr="004149F0" w:rsidRDefault="00667C3E" w:rsidP="001260B7">
            <w:pPr>
              <w:pStyle w:val="TableCenter"/>
              <w:keepNext w:val="0"/>
              <w:widowControl w:val="0"/>
              <w:rPr>
                <w:color w:val="000000"/>
                <w:sz w:val="18"/>
                <w:szCs w:val="14"/>
                <w:lang w:val="en-GB"/>
              </w:rPr>
            </w:pPr>
            <w:r>
              <w:rPr>
                <w:rFonts w:hint="eastAsia"/>
                <w:color w:val="000000"/>
                <w:sz w:val="18"/>
                <w:szCs w:val="14"/>
                <w:lang w:val="en-GB"/>
              </w:rPr>
              <w:t>1 (0.3)</w:t>
            </w:r>
          </w:p>
        </w:tc>
      </w:tr>
      <w:bookmarkEnd w:id="2"/>
    </w:tbl>
    <w:p w:rsidR="00667C3E" w:rsidRPr="004149F0" w:rsidRDefault="00667C3E" w:rsidP="00667C3E">
      <w:pPr>
        <w:rPr>
          <w:b/>
          <w:lang w:val="en-GB"/>
        </w:rPr>
        <w:sectPr w:rsidR="00667C3E" w:rsidRPr="004149F0" w:rsidSect="00354592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667C3E" w:rsidRPr="004868B9" w:rsidRDefault="00667C3E" w:rsidP="00667C3E">
      <w:pPr>
        <w:pStyle w:val="TableTitle"/>
        <w:keepNext w:val="0"/>
        <w:keepLines w:val="0"/>
        <w:widowControl w:val="0"/>
        <w:ind w:left="1871" w:hanging="1871"/>
        <w:outlineLvl w:val="0"/>
        <w:rPr>
          <w:color w:val="auto"/>
          <w:sz w:val="24"/>
          <w:lang w:val="en-GB"/>
        </w:rPr>
      </w:pPr>
      <w:bookmarkStart w:id="3" w:name="_Toc77607929"/>
      <w:r w:rsidRPr="004868B9">
        <w:rPr>
          <w:color w:val="auto"/>
          <w:sz w:val="24"/>
          <w:lang w:val="en-GB"/>
        </w:rPr>
        <w:lastRenderedPageBreak/>
        <w:t>Table S</w:t>
      </w:r>
      <w:r>
        <w:rPr>
          <w:color w:val="auto"/>
          <w:sz w:val="24"/>
          <w:lang w:val="en-GB"/>
        </w:rPr>
        <w:t>3.</w:t>
      </w:r>
      <w:r w:rsidRPr="004868B9">
        <w:rPr>
          <w:color w:val="auto"/>
          <w:sz w:val="24"/>
          <w:lang w:val="en-GB"/>
        </w:rPr>
        <w:t xml:space="preserve"> Summary of </w:t>
      </w:r>
      <w:r>
        <w:rPr>
          <w:color w:val="auto"/>
          <w:sz w:val="24"/>
          <w:lang w:val="en-GB"/>
        </w:rPr>
        <w:t>u</w:t>
      </w:r>
      <w:r w:rsidRPr="004868B9">
        <w:rPr>
          <w:color w:val="auto"/>
          <w:sz w:val="24"/>
          <w:lang w:val="en-GB"/>
        </w:rPr>
        <w:t xml:space="preserve">nsolicited </w:t>
      </w:r>
      <w:r>
        <w:rPr>
          <w:color w:val="auto"/>
          <w:sz w:val="24"/>
          <w:lang w:val="en-GB"/>
        </w:rPr>
        <w:t>a</w:t>
      </w:r>
      <w:r w:rsidRPr="004868B9">
        <w:rPr>
          <w:color w:val="auto"/>
          <w:sz w:val="24"/>
          <w:lang w:val="en-GB"/>
        </w:rPr>
        <w:t xml:space="preserve">dverse </w:t>
      </w:r>
      <w:r>
        <w:rPr>
          <w:color w:val="auto"/>
          <w:sz w:val="24"/>
          <w:lang w:val="en-GB"/>
        </w:rPr>
        <w:t>e</w:t>
      </w:r>
      <w:r w:rsidRPr="004868B9">
        <w:rPr>
          <w:color w:val="auto"/>
          <w:sz w:val="24"/>
          <w:lang w:val="en-GB"/>
        </w:rPr>
        <w:t xml:space="preserve">vents and </w:t>
      </w:r>
      <w:r>
        <w:rPr>
          <w:color w:val="auto"/>
          <w:sz w:val="24"/>
          <w:lang w:val="en-GB"/>
        </w:rPr>
        <w:t>o</w:t>
      </w:r>
      <w:r w:rsidRPr="004868B9">
        <w:rPr>
          <w:color w:val="auto"/>
          <w:sz w:val="24"/>
          <w:lang w:val="en-GB"/>
        </w:rPr>
        <w:t xml:space="preserve">ther </w:t>
      </w:r>
      <w:r>
        <w:rPr>
          <w:color w:val="auto"/>
          <w:sz w:val="24"/>
          <w:lang w:val="en-GB"/>
        </w:rPr>
        <w:t>a</w:t>
      </w:r>
      <w:r w:rsidRPr="004868B9">
        <w:rPr>
          <w:color w:val="auto"/>
          <w:sz w:val="24"/>
          <w:lang w:val="en-GB"/>
        </w:rPr>
        <w:t xml:space="preserve">dverse </w:t>
      </w:r>
      <w:r>
        <w:rPr>
          <w:color w:val="auto"/>
          <w:sz w:val="24"/>
          <w:lang w:val="en-GB"/>
        </w:rPr>
        <w:t>e</w:t>
      </w:r>
      <w:r w:rsidRPr="004868B9">
        <w:rPr>
          <w:color w:val="auto"/>
          <w:sz w:val="24"/>
          <w:lang w:val="en-GB"/>
        </w:rPr>
        <w:t>vents</w:t>
      </w:r>
      <w:bookmarkEnd w:id="3"/>
      <w:r w:rsidRPr="004868B9">
        <w:rPr>
          <w:color w:val="auto"/>
          <w:sz w:val="24"/>
          <w:lang w:val="en-GB"/>
        </w:rPr>
        <w:t xml:space="preserve"> </w:t>
      </w:r>
    </w:p>
    <w:tbl>
      <w:tblPr>
        <w:tblW w:w="2545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990"/>
        <w:gridCol w:w="853"/>
        <w:gridCol w:w="943"/>
      </w:tblGrid>
      <w:tr w:rsidR="00667C3E" w:rsidRPr="00EF4CC1" w:rsidTr="001260B7">
        <w:trPr>
          <w:cantSplit/>
          <w:trHeight w:val="57"/>
          <w:tblHeader/>
        </w:trPr>
        <w:tc>
          <w:tcPr>
            <w:tcW w:w="238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2612" w:type="pct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Cs w:val="20"/>
                <w:lang w:val="en-GB" w:eastAsia="ko-KR"/>
              </w:rPr>
            </w:pPr>
            <w:r>
              <w:rPr>
                <w:szCs w:val="20"/>
                <w:lang w:val="en-GB" w:eastAsia="ko-KR"/>
              </w:rPr>
              <w:t>After any dose, n (%)</w:t>
            </w:r>
          </w:p>
        </w:tc>
      </w:tr>
      <w:tr w:rsidR="00667C3E" w:rsidRPr="00EF4CC1" w:rsidTr="001260B7">
        <w:trPr>
          <w:cantSplit/>
          <w:trHeight w:val="57"/>
          <w:tblHeader/>
        </w:trPr>
        <w:tc>
          <w:tcPr>
            <w:tcW w:w="238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667C3E" w:rsidRPr="004149F0" w:rsidRDefault="00667C3E" w:rsidP="001260B7">
            <w:pP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20"/>
                <w:lang w:val="en-GB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MVC-COV1901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341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spacing w:after="6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Placebo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>
              <w:rPr>
                <w:sz w:val="18"/>
                <w:szCs w:val="20"/>
                <w:lang w:val="en-GB"/>
              </w:rPr>
              <w:t>(N = 58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Total</w:t>
            </w:r>
          </w:p>
          <w:p w:rsidR="00667C3E" w:rsidRPr="004149F0" w:rsidRDefault="00667C3E" w:rsidP="001260B7">
            <w:pPr>
              <w:pStyle w:val="TableHead"/>
              <w:keepNext w:val="0"/>
              <w:widowControl w:val="0"/>
              <w:rPr>
                <w:sz w:val="18"/>
                <w:szCs w:val="20"/>
                <w:lang w:val="en-GB"/>
              </w:rPr>
            </w:pPr>
            <w:r w:rsidRPr="004149F0">
              <w:rPr>
                <w:sz w:val="18"/>
                <w:szCs w:val="20"/>
                <w:lang w:val="en-GB"/>
              </w:rPr>
              <w:t>(N = </w:t>
            </w:r>
            <w:r>
              <w:rPr>
                <w:sz w:val="18"/>
                <w:szCs w:val="20"/>
                <w:lang w:val="en-GB"/>
              </w:rPr>
              <w:t>399</w:t>
            </w:r>
            <w:r w:rsidRPr="004149F0">
              <w:rPr>
                <w:sz w:val="18"/>
                <w:szCs w:val="20"/>
                <w:lang w:val="en-GB"/>
              </w:rPr>
              <w:t>)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Unsolicited AEs</w:t>
            </w:r>
          </w:p>
        </w:tc>
        <w:tc>
          <w:tcPr>
            <w:tcW w:w="100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84 (24.6)</w:t>
            </w:r>
          </w:p>
        </w:tc>
        <w:tc>
          <w:tcPr>
            <w:tcW w:w="803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20 (34.5)</w:t>
            </w:r>
          </w:p>
        </w:tc>
        <w:tc>
          <w:tcPr>
            <w:tcW w:w="80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104 (26.1)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Related unsolicited AEs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31 (9.1)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7 (12.1)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38 (9.5)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Unsolicited AEs ≥ Grade 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6 (1.8)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2 (3.4)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8 (2.0)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Related unsolicited AEs ≥ Grade 3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SAEs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Related SAEs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AESI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VAED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AEs leading to study intervention discontinuation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AEs leading to study withdrawal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  <w:tr w:rsidR="00667C3E" w:rsidRPr="00EF4CC1" w:rsidTr="001260B7">
        <w:trPr>
          <w:cantSplit/>
          <w:trHeight w:val="57"/>
        </w:trPr>
        <w:tc>
          <w:tcPr>
            <w:tcW w:w="2388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C3E" w:rsidRPr="004149F0" w:rsidRDefault="00667C3E" w:rsidP="001260B7">
            <w:pPr>
              <w:adjustRightInd w:val="0"/>
              <w:spacing w:before="40" w:after="40"/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</w:pPr>
            <w:r w:rsidRPr="004149F0">
              <w:rPr>
                <w:rFonts w:ascii="Times New Roman" w:hAnsi="Times New Roman" w:cs="Times New Roman"/>
                <w:color w:val="000000"/>
                <w:sz w:val="18"/>
                <w:szCs w:val="20"/>
                <w:lang w:val="en-GB"/>
              </w:rPr>
              <w:t>Death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80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7C3E" w:rsidRPr="004149F0" w:rsidRDefault="00667C3E" w:rsidP="001260B7">
            <w:pPr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18"/>
                <w:szCs w:val="18"/>
                <w:lang w:val="en-GB"/>
              </w:rPr>
              <w:t>0</w:t>
            </w:r>
          </w:p>
        </w:tc>
      </w:tr>
    </w:tbl>
    <w:p w:rsidR="00667C3E" w:rsidRDefault="00667C3E" w:rsidP="00667C3E">
      <w:pPr>
        <w:pStyle w:val="TableFootnoteSymbol"/>
        <w:widowControl w:val="0"/>
        <w:spacing w:before="0" w:after="0"/>
        <w:rPr>
          <w:lang w:val="en-GB"/>
        </w:rPr>
      </w:pPr>
      <w:r w:rsidRPr="004149F0">
        <w:rPr>
          <w:lang w:val="en-GB"/>
        </w:rPr>
        <w:t>Abbreviations: AE = adverse event; AESI = adverse events of special interest; N = number of participants in the population; n = number of participants with events; SAE = serious adverse event; VAED = vaccine-associated enhanced disease</w:t>
      </w:r>
      <w:r>
        <w:rPr>
          <w:lang w:val="en-GB"/>
        </w:rPr>
        <w:t xml:space="preserve"> </w:t>
      </w:r>
    </w:p>
    <w:p w:rsidR="00667C3E" w:rsidRPr="009529D0" w:rsidRDefault="00667C3E" w:rsidP="00667C3E">
      <w:pPr>
        <w:pStyle w:val="TableFootnoteSymbol"/>
        <w:widowControl w:val="0"/>
        <w:spacing w:before="0" w:after="0"/>
        <w:rPr>
          <w:lang w:val="en-GB"/>
        </w:rPr>
      </w:pPr>
    </w:p>
    <w:p w:rsidR="00667C3E" w:rsidRPr="004C1E6C" w:rsidRDefault="00667C3E" w:rsidP="00667C3E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GB"/>
        </w:rPr>
        <w:t>S4</w:t>
      </w: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149A1">
        <w:rPr>
          <w:rFonts w:ascii="Times New Roman" w:hAnsi="Times New Roman" w:cs="Times New Roman"/>
          <w:sz w:val="24"/>
          <w:szCs w:val="24"/>
          <w:lang w:val="en-GB"/>
        </w:rPr>
        <w:t xml:space="preserve">Summary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GMT and GMT ratio 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GB"/>
        </w:rPr>
        <w:t>live SARS-COV-2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eutralizing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ntibody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iter by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reatment </w:t>
      </w: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>roup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(IU/mL)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95"/>
        <w:gridCol w:w="2238"/>
        <w:gridCol w:w="1984"/>
        <w:gridCol w:w="1833"/>
        <w:gridCol w:w="1220"/>
      </w:tblGrid>
      <w:tr w:rsidR="00667C3E" w:rsidRPr="00931EAB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Visit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2 (Day 1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Ratio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tcBorders>
              <w:bottom w:val="single" w:sz="4" w:space="0" w:color="auto"/>
            </w:tcBorders>
          </w:tcPr>
          <w:p w:rsidR="00667C3E" w:rsidRPr="009529D0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Median (IQR)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5.04 (0)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5.04 (0)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123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Q1 ~ Q3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~ 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~ 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Min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~</w:t>
            </w: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 Max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~ 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~ 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GMT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95% CI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5.04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~ 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5.04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 xml:space="preserve"> ~ 5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.04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1.00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1.00 ~ 1.00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N/A</w:t>
            </w:r>
          </w:p>
        </w:tc>
      </w:tr>
      <w:tr w:rsidR="00667C3E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Visit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6 (Day 57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Ratio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Pr="009529D0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Median (IQR)</w:t>
            </w:r>
          </w:p>
        </w:tc>
        <w:tc>
          <w:tcPr>
            <w:tcW w:w="1111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643.62 (619.59)</w:t>
            </w:r>
          </w:p>
        </w:tc>
        <w:tc>
          <w:tcPr>
            <w:tcW w:w="985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5.04 (0)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123"/>
        </w:trPr>
        <w:tc>
          <w:tcPr>
            <w:tcW w:w="1388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Q1 ~ Q3</w:t>
            </w:r>
          </w:p>
        </w:tc>
        <w:tc>
          <w:tcPr>
            <w:tcW w:w="1111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429.67 ~ 964.11</w:t>
            </w:r>
          </w:p>
        </w:tc>
        <w:tc>
          <w:tcPr>
            <w:tcW w:w="985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5.04 ~ 5.04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Min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~</w:t>
            </w: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 Max</w:t>
            </w:r>
          </w:p>
        </w:tc>
        <w:tc>
          <w:tcPr>
            <w:tcW w:w="1111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136.20 ~ 3466.39</w:t>
            </w:r>
          </w:p>
        </w:tc>
        <w:tc>
          <w:tcPr>
            <w:tcW w:w="985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5.04 ~ 787.75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GMT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95% CI</w:t>
            </w:r>
          </w:p>
        </w:tc>
        <w:tc>
          <w:tcPr>
            <w:tcW w:w="1111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648.47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608.62 ~ 690.93</w:t>
            </w:r>
          </w:p>
        </w:tc>
        <w:tc>
          <w:tcPr>
            <w:tcW w:w="985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5.63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4.51 ~ 7.02</w:t>
            </w:r>
          </w:p>
        </w:tc>
        <w:tc>
          <w:tcPr>
            <w:tcW w:w="910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115.18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P &lt; 0.001*</w:t>
            </w:r>
          </w:p>
        </w:tc>
      </w:tr>
    </w:tbl>
    <w:p w:rsidR="00667C3E" w:rsidRPr="006444CC" w:rsidRDefault="00667C3E" w:rsidP="00667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18"/>
          <w:szCs w:val="18"/>
        </w:rPr>
        <w:t>*T</w:t>
      </w:r>
      <w:r w:rsidRPr="006444CC">
        <w:rPr>
          <w:rFonts w:ascii="Times New Roman" w:hAnsi="Times New Roman" w:cs="Times New Roman"/>
          <w:iCs/>
          <w:sz w:val="18"/>
          <w:szCs w:val="18"/>
        </w:rPr>
        <w:t>wo sample t-</w:t>
      </w:r>
      <w:r>
        <w:rPr>
          <w:rFonts w:ascii="Times New Roman" w:hAnsi="Times New Roman" w:cs="Times New Roman"/>
          <w:iCs/>
          <w:sz w:val="18"/>
          <w:szCs w:val="18"/>
        </w:rPr>
        <w:t>test</w:t>
      </w:r>
    </w:p>
    <w:p w:rsidR="00667C3E" w:rsidRDefault="00667C3E" w:rsidP="00667C3E"/>
    <w:p w:rsidR="00667C3E" w:rsidRPr="004C1E6C" w:rsidRDefault="00667C3E" w:rsidP="00667C3E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GB"/>
        </w:rPr>
        <w:t>S5</w:t>
      </w: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7149A1">
        <w:rPr>
          <w:rFonts w:ascii="Times New Roman" w:hAnsi="Times New Roman" w:cs="Times New Roman"/>
          <w:sz w:val="24"/>
          <w:szCs w:val="24"/>
          <w:lang w:val="en-GB"/>
        </w:rPr>
        <w:t xml:space="preserve">Summary of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GMT and GMT ratio 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GB"/>
        </w:rPr>
        <w:t>anti-S-2P IgG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iter by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 xml:space="preserve">reatment </w:t>
      </w: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4C1E6C">
        <w:rPr>
          <w:rFonts w:ascii="Times New Roman" w:hAnsi="Times New Roman" w:cs="Times New Roman"/>
          <w:sz w:val="24"/>
          <w:szCs w:val="24"/>
          <w:lang w:val="en-GB"/>
        </w:rPr>
        <w:t>roup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(BAU/mL)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95"/>
        <w:gridCol w:w="2238"/>
        <w:gridCol w:w="1984"/>
        <w:gridCol w:w="1833"/>
        <w:gridCol w:w="1220"/>
      </w:tblGrid>
      <w:tr w:rsidR="00667C3E" w:rsidRPr="00931EAB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Visit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2 (Day 1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Ratio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tcBorders>
              <w:bottom w:val="single" w:sz="4" w:space="0" w:color="auto"/>
            </w:tcBorders>
          </w:tcPr>
          <w:p w:rsidR="00667C3E" w:rsidRPr="009529D0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Median (IQR)</w:t>
            </w:r>
          </w:p>
        </w:tc>
        <w:tc>
          <w:tcPr>
            <w:tcW w:w="1111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4.56 (0)</w:t>
            </w: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(0)</w:t>
            </w:r>
          </w:p>
        </w:tc>
        <w:tc>
          <w:tcPr>
            <w:tcW w:w="910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123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Q1 ~ Q3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4.56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4.56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Min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~</w:t>
            </w: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 Max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36.02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22.34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GMT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95% CI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4.70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4.60 ~ 4.80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4.82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4.45 ~ 5.22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0.98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0.90 ~ 1.06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0.5557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*</w:t>
            </w:r>
          </w:p>
        </w:tc>
      </w:tr>
      <w:tr w:rsidR="00667C3E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lastRenderedPageBreak/>
              <w:t xml:space="preserve">Visit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4 (Day 29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lastRenderedPageBreak/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Ratio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Pr="009529D0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Median (IQR)</w:t>
            </w:r>
          </w:p>
        </w:tc>
        <w:tc>
          <w:tcPr>
            <w:tcW w:w="1111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148.38 (181.76)</w:t>
            </w:r>
          </w:p>
        </w:tc>
        <w:tc>
          <w:tcPr>
            <w:tcW w:w="985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(0)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123"/>
        </w:trPr>
        <w:tc>
          <w:tcPr>
            <w:tcW w:w="1388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Q1 ~ Q3</w:t>
            </w:r>
          </w:p>
        </w:tc>
        <w:tc>
          <w:tcPr>
            <w:tcW w:w="1111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71.59 ~ 253.35</w:t>
            </w:r>
          </w:p>
        </w:tc>
        <w:tc>
          <w:tcPr>
            <w:tcW w:w="985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4.56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Min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~</w:t>
            </w: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 Max</w:t>
            </w:r>
          </w:p>
        </w:tc>
        <w:tc>
          <w:tcPr>
            <w:tcW w:w="1111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10.67 ~ 2810.69</w:t>
            </w:r>
          </w:p>
        </w:tc>
        <w:tc>
          <w:tcPr>
            <w:tcW w:w="985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24.44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GMT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95% CI</w:t>
            </w:r>
          </w:p>
        </w:tc>
        <w:tc>
          <w:tcPr>
            <w:tcW w:w="1111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136.00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122.85 ~ 150.55</w:t>
            </w:r>
          </w:p>
        </w:tc>
        <w:tc>
          <w:tcPr>
            <w:tcW w:w="985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4.90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4.49 ~ 5.35</w:t>
            </w:r>
          </w:p>
        </w:tc>
        <w:tc>
          <w:tcPr>
            <w:tcW w:w="910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27.76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24.30 ~ 31.71</w:t>
            </w:r>
          </w:p>
        </w:tc>
        <w:tc>
          <w:tcPr>
            <w:tcW w:w="606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P &lt; 0.0001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*</w:t>
            </w:r>
          </w:p>
        </w:tc>
      </w:tr>
      <w:tr w:rsidR="00667C3E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Visit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6 (Day 57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Ratio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Pr="009529D0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Median (IQR)</w:t>
            </w:r>
          </w:p>
        </w:tc>
        <w:tc>
          <w:tcPr>
            <w:tcW w:w="1111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1637.72 (1548.30)</w:t>
            </w:r>
          </w:p>
        </w:tc>
        <w:tc>
          <w:tcPr>
            <w:tcW w:w="985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(0)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123"/>
        </w:trPr>
        <w:tc>
          <w:tcPr>
            <w:tcW w:w="1388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Q1 ~ Q3</w:t>
            </w:r>
          </w:p>
        </w:tc>
        <w:tc>
          <w:tcPr>
            <w:tcW w:w="1111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1024.54 ~ 2572.84</w:t>
            </w:r>
          </w:p>
        </w:tc>
        <w:tc>
          <w:tcPr>
            <w:tcW w:w="985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4.56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Min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~</w:t>
            </w: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 xml:space="preserve"> Max</w:t>
            </w:r>
          </w:p>
        </w:tc>
        <w:tc>
          <w:tcPr>
            <w:tcW w:w="1111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281.26 ~ 8530.76</w:t>
            </w:r>
          </w:p>
        </w:tc>
        <w:tc>
          <w:tcPr>
            <w:tcW w:w="985" w:type="pct"/>
          </w:tcPr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4.56 ~ 7640.28</w:t>
            </w:r>
          </w:p>
        </w:tc>
        <w:tc>
          <w:tcPr>
            <w:tcW w:w="910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  <w:tc>
          <w:tcPr>
            <w:tcW w:w="606" w:type="pct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GMT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>95% CI</w:t>
            </w:r>
          </w:p>
        </w:tc>
        <w:tc>
          <w:tcPr>
            <w:tcW w:w="1111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1631.96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1514.93 ~ 1758.04</w:t>
            </w:r>
          </w:p>
        </w:tc>
        <w:tc>
          <w:tcPr>
            <w:tcW w:w="985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6.42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4.24 ~ 9.71</w:t>
            </w:r>
          </w:p>
        </w:tc>
        <w:tc>
          <w:tcPr>
            <w:tcW w:w="910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254.37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167.08 ~ 387.25</w:t>
            </w:r>
          </w:p>
        </w:tc>
        <w:tc>
          <w:tcPr>
            <w:tcW w:w="606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sz w:val="16"/>
                <w:lang w:val="en-GB"/>
              </w:rPr>
              <w:t>P &lt; 0.0001*</w:t>
            </w:r>
          </w:p>
        </w:tc>
      </w:tr>
    </w:tbl>
    <w:p w:rsidR="00667C3E" w:rsidRPr="006444CC" w:rsidRDefault="00667C3E" w:rsidP="00667C3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sz w:val="18"/>
          <w:szCs w:val="18"/>
        </w:rPr>
        <w:t>*T</w:t>
      </w:r>
      <w:r w:rsidRPr="006444CC">
        <w:rPr>
          <w:rFonts w:ascii="Times New Roman" w:hAnsi="Times New Roman" w:cs="Times New Roman"/>
          <w:iCs/>
          <w:sz w:val="18"/>
          <w:szCs w:val="18"/>
        </w:rPr>
        <w:t>wo sample t-</w:t>
      </w:r>
      <w:r>
        <w:rPr>
          <w:rFonts w:ascii="Times New Roman" w:hAnsi="Times New Roman" w:cs="Times New Roman"/>
          <w:iCs/>
          <w:sz w:val="18"/>
          <w:szCs w:val="18"/>
        </w:rPr>
        <w:t>test</w:t>
      </w:r>
    </w:p>
    <w:p w:rsidR="00667C3E" w:rsidRDefault="00667C3E" w:rsidP="00667C3E"/>
    <w:p w:rsidR="00667C3E" w:rsidRDefault="00667C3E" w:rsidP="00667C3E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sz w:val="24"/>
          <w:szCs w:val="24"/>
          <w:lang w:val="en-GB"/>
        </w:rPr>
        <w:t>S6</w:t>
      </w:r>
      <w:r w:rsidRPr="000759E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Seroconversion </w:t>
      </w:r>
      <w:r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ate </w:t>
      </w: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ased on </w:t>
      </w:r>
      <w:r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eutralizing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ntibody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iters </w:t>
      </w:r>
      <w:r>
        <w:rPr>
          <w:rFonts w:ascii="Times New Roman" w:hAnsi="Times New Roman" w:cs="Times New Roman"/>
          <w:sz w:val="24"/>
          <w:szCs w:val="24"/>
          <w:lang w:val="en-GB"/>
        </w:rPr>
        <w:t>and anti-S-2P IgG titers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  <w:r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 xml:space="preserve">reatment </w:t>
      </w: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226BD5">
        <w:rPr>
          <w:rFonts w:ascii="Times New Roman" w:hAnsi="Times New Roman" w:cs="Times New Roman"/>
          <w:sz w:val="24"/>
          <w:szCs w:val="24"/>
          <w:lang w:val="en-GB"/>
        </w:rPr>
        <w:t>roup</w:t>
      </w:r>
    </w:p>
    <w:p w:rsidR="00667C3E" w:rsidRDefault="00667C3E" w:rsidP="00667C3E">
      <w:pPr>
        <w:jc w:val="both"/>
        <w:rPr>
          <w:b/>
          <w:bCs/>
          <w:sz w:val="23"/>
          <w:szCs w:val="23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795"/>
        <w:gridCol w:w="2238"/>
        <w:gridCol w:w="1984"/>
        <w:gridCol w:w="1833"/>
        <w:gridCol w:w="1220"/>
      </w:tblGrid>
      <w:tr w:rsidR="00667C3E" w:rsidRPr="00931EAB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 w:hint="eastAsia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Visit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4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(Day 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29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)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(IgG)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Difference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 w:hint="eastAsia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SCR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, n (%)</w:t>
            </w:r>
          </w:p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 w:hint="eastAsia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95% CI </w:t>
            </w:r>
          </w:p>
        </w:tc>
        <w:tc>
          <w:tcPr>
            <w:tcW w:w="1111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325 (97.3%)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94.95 ~ 98.76%</w:t>
            </w:r>
          </w:p>
        </w:tc>
        <w:tc>
          <w:tcPr>
            <w:tcW w:w="985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 (0%)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</w:p>
        </w:tc>
        <w:tc>
          <w:tcPr>
            <w:tcW w:w="910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97.31%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95.57 ~ 99.04%</w:t>
            </w:r>
          </w:p>
        </w:tc>
        <w:tc>
          <w:tcPr>
            <w:tcW w:w="606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P &lt; 0.0001**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 w:hint="eastAsia"/>
                <w:b/>
                <w:sz w:val="16"/>
                <w:lang w:val="en-GB"/>
              </w:rPr>
            </w:pP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Visit 6 (Day 57)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(Neutralization assay)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Difference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SCR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, n (%)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95% CI </w:t>
            </w:r>
          </w:p>
        </w:tc>
        <w:tc>
          <w:tcPr>
            <w:tcW w:w="1111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334 (100%)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98.90 ~ 100.00%</w:t>
            </w:r>
          </w:p>
        </w:tc>
        <w:tc>
          <w:tcPr>
            <w:tcW w:w="985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1 (2.2%)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0.06 ~ 11.53%</w:t>
            </w:r>
          </w:p>
        </w:tc>
        <w:tc>
          <w:tcPr>
            <w:tcW w:w="910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97.83%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93.61 ~ 102.04%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P &lt; 0.0001**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  <w:tr w:rsidR="00667C3E" w:rsidTr="001260B7">
        <w:trPr>
          <w:trHeight w:val="20"/>
        </w:trPr>
        <w:tc>
          <w:tcPr>
            <w:tcW w:w="1388" w:type="pct"/>
            <w:shd w:val="clear" w:color="auto" w:fill="E7E6E6" w:themeFill="background2"/>
          </w:tcPr>
          <w:p w:rsidR="00667C3E" w:rsidRPr="0033740F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Per protocol set (PPS)</w:t>
            </w: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</w:t>
            </w:r>
          </w:p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 w:rsidRPr="0033740F">
              <w:rPr>
                <w:rFonts w:ascii="Times New Roman" w:hAnsi="Times New Roman" w:cs="Times New Roman"/>
                <w:b/>
                <w:sz w:val="16"/>
                <w:lang w:val="en-GB"/>
              </w:rPr>
              <w:t>Visit 6 (Day 57)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(IgG)</w:t>
            </w:r>
          </w:p>
        </w:tc>
        <w:tc>
          <w:tcPr>
            <w:tcW w:w="1111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 w:rsidRPr="00931EAB">
              <w:rPr>
                <w:rFonts w:ascii="Times New Roman" w:hAnsi="Times New Roman" w:cs="Times New Roman"/>
                <w:b/>
                <w:sz w:val="16"/>
                <w:lang w:val="en-GB"/>
              </w:rPr>
              <w:t>MVC-COV1901 (N=334)</w:t>
            </w:r>
          </w:p>
        </w:tc>
        <w:tc>
          <w:tcPr>
            <w:tcW w:w="985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Placebo (N=46)</w:t>
            </w:r>
          </w:p>
        </w:tc>
        <w:tc>
          <w:tcPr>
            <w:tcW w:w="910" w:type="pct"/>
            <w:shd w:val="clear" w:color="auto" w:fill="E7E6E6" w:themeFill="background2"/>
          </w:tcPr>
          <w:p w:rsidR="00667C3E" w:rsidRPr="00931EAB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Difference MVC/Placebo</w:t>
            </w:r>
          </w:p>
        </w:tc>
        <w:tc>
          <w:tcPr>
            <w:tcW w:w="606" w:type="pct"/>
            <w:shd w:val="clear" w:color="auto" w:fill="E7E6E6" w:themeFill="background2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P-value</w:t>
            </w:r>
          </w:p>
        </w:tc>
      </w:tr>
      <w:tr w:rsidR="00667C3E" w:rsidRPr="00931EAB" w:rsidTr="001260B7">
        <w:trPr>
          <w:trHeight w:val="20"/>
        </w:trPr>
        <w:tc>
          <w:tcPr>
            <w:tcW w:w="1388" w:type="pct"/>
          </w:tcPr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 w:hint="eastAsia"/>
                <w:b/>
                <w:sz w:val="16"/>
                <w:lang w:val="en-GB"/>
              </w:rPr>
              <w:t>SCR</w:t>
            </w: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>, n (%)</w:t>
            </w:r>
          </w:p>
          <w:p w:rsidR="00667C3E" w:rsidRDefault="00667C3E" w:rsidP="001260B7">
            <w:pPr>
              <w:jc w:val="both"/>
              <w:rPr>
                <w:rFonts w:ascii="Times New Roman" w:hAnsi="Times New Roman" w:cs="Times New Roman"/>
                <w:b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16"/>
                <w:lang w:val="en-GB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lang w:val="en-GB"/>
              </w:rPr>
              <w:t xml:space="preserve">95% CI </w:t>
            </w:r>
          </w:p>
        </w:tc>
        <w:tc>
          <w:tcPr>
            <w:tcW w:w="1111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334 (100%)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98.90 ~ 100.00%</w:t>
            </w:r>
          </w:p>
        </w:tc>
        <w:tc>
          <w:tcPr>
            <w:tcW w:w="985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2 (4.3%)</w:t>
            </w:r>
          </w:p>
          <w:p w:rsidR="00667C3E" w:rsidRPr="009529D0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0.53 ~ 14.84%</w:t>
            </w:r>
          </w:p>
        </w:tc>
        <w:tc>
          <w:tcPr>
            <w:tcW w:w="910" w:type="pct"/>
          </w:tcPr>
          <w:p w:rsidR="00667C3E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95.65%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89.76 ~ 101.55%</w:t>
            </w:r>
          </w:p>
        </w:tc>
        <w:tc>
          <w:tcPr>
            <w:tcW w:w="606" w:type="pct"/>
          </w:tcPr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  <w:r>
              <w:rPr>
                <w:rFonts w:ascii="Times New Roman" w:hAnsi="Times New Roman" w:cs="Times New Roman"/>
                <w:sz w:val="16"/>
                <w:lang w:val="en-GB"/>
              </w:rPr>
              <w:t>P &lt; 0.0001**</w:t>
            </w:r>
          </w:p>
          <w:p w:rsidR="00667C3E" w:rsidRPr="00931EAB" w:rsidRDefault="00667C3E" w:rsidP="001260B7">
            <w:pPr>
              <w:wordWrap w:val="0"/>
              <w:jc w:val="both"/>
              <w:rPr>
                <w:rFonts w:ascii="Times New Roman" w:hAnsi="Times New Roman" w:cs="Times New Roman"/>
                <w:sz w:val="16"/>
                <w:lang w:val="en-GB"/>
              </w:rPr>
            </w:pPr>
          </w:p>
        </w:tc>
      </w:tr>
    </w:tbl>
    <w:p w:rsidR="00667C3E" w:rsidRDefault="00667C3E" w:rsidP="00667C3E">
      <w:pPr>
        <w:pStyle w:val="Default"/>
        <w:jc w:val="both"/>
        <w:rPr>
          <w:iCs/>
          <w:sz w:val="18"/>
          <w:szCs w:val="18"/>
        </w:rPr>
      </w:pPr>
      <w:r>
        <w:rPr>
          <w:rFonts w:hint="eastAsia"/>
          <w:iCs/>
          <w:sz w:val="18"/>
          <w:szCs w:val="18"/>
        </w:rPr>
        <w:t>*</w:t>
      </w:r>
      <w:r w:rsidRPr="007E02F7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Exact </w:t>
      </w:r>
      <w:r w:rsidRPr="007E02F7">
        <w:rPr>
          <w:iCs/>
          <w:sz w:val="18"/>
          <w:szCs w:val="18"/>
        </w:rPr>
        <w:t xml:space="preserve">CI </w:t>
      </w:r>
      <w:r>
        <w:rPr>
          <w:iCs/>
          <w:sz w:val="18"/>
          <w:szCs w:val="18"/>
        </w:rPr>
        <w:t>of</w:t>
      </w:r>
      <w:r w:rsidRPr="0033740F">
        <w:rPr>
          <w:iCs/>
          <w:sz w:val="18"/>
          <w:szCs w:val="18"/>
        </w:rPr>
        <w:t xml:space="preserve"> binomial proportion of</w:t>
      </w:r>
      <w:r>
        <w:rPr>
          <w:iCs/>
          <w:sz w:val="18"/>
          <w:szCs w:val="18"/>
        </w:rPr>
        <w:t xml:space="preserve"> #</w:t>
      </w:r>
    </w:p>
    <w:p w:rsidR="00667C3E" w:rsidRDefault="00667C3E" w:rsidP="00667C3E">
      <w:r>
        <w:rPr>
          <w:iCs/>
          <w:sz w:val="18"/>
          <w:szCs w:val="18"/>
        </w:rPr>
        <w:t>**</w:t>
      </w:r>
      <w:r>
        <w:rPr>
          <w:rFonts w:ascii="Times New Roman" w:hAnsi="Times New Roman" w:cs="Times New Roman"/>
          <w:iCs/>
          <w:sz w:val="18"/>
          <w:szCs w:val="18"/>
        </w:rPr>
        <w:t>Chi-square test</w:t>
      </w:r>
    </w:p>
    <w:p w:rsidR="00667C3E" w:rsidRDefault="00667C3E" w:rsidP="00667C3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67C3E" w:rsidRDefault="00667C3E" w:rsidP="00667C3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667C3E" w:rsidRDefault="00667C3E" w:rsidP="00667C3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</w:rPr>
        <w:sectPr w:rsidR="00667C3E" w:rsidSect="0033740F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667C3E" w:rsidRPr="00C27906" w:rsidRDefault="00667C3E" w:rsidP="00667C3E">
      <w:pPr>
        <w:pStyle w:val="a5"/>
        <w:spacing w:line="360" w:lineRule="auto"/>
        <w:ind w:leftChars="0"/>
        <w:jc w:val="both"/>
        <w:rPr>
          <w:rFonts w:ascii="Times New Roman" w:hAnsi="Times New Roman" w:cs="Times New Roman"/>
          <w:bCs/>
        </w:rPr>
      </w:pPr>
    </w:p>
    <w:p w:rsidR="00C86A3F" w:rsidRDefault="00667C3E"/>
    <w:sectPr w:rsidR="00C86A3F" w:rsidSect="0033740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17F35"/>
    <w:multiLevelType w:val="hybridMultilevel"/>
    <w:tmpl w:val="909E7BDC"/>
    <w:lvl w:ilvl="0" w:tplc="5CC449DA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8947D5"/>
    <w:multiLevelType w:val="hybridMultilevel"/>
    <w:tmpl w:val="AE36D8E2"/>
    <w:lvl w:ilvl="0" w:tplc="6E8EA31A">
      <w:start w:val="4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4F65B78"/>
    <w:multiLevelType w:val="hybridMultilevel"/>
    <w:tmpl w:val="8A2C39B4"/>
    <w:lvl w:ilvl="0" w:tplc="5F34BEB4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3" w15:restartNumberingAfterBreak="0">
    <w:nsid w:val="4C692F7A"/>
    <w:multiLevelType w:val="hybridMultilevel"/>
    <w:tmpl w:val="3586B5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881EDE"/>
    <w:multiLevelType w:val="hybridMultilevel"/>
    <w:tmpl w:val="B7D64236"/>
    <w:lvl w:ilvl="0" w:tplc="5F34BEB4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C3E"/>
    <w:rsid w:val="00126C0D"/>
    <w:rsid w:val="00667C3E"/>
    <w:rsid w:val="00A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4A2FF-6295-4252-B1CA-6057D7B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C3E"/>
    <w:rPr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67C3E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7C3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667C3E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  <w:lang w:eastAsia="en-US"/>
    </w:rPr>
  </w:style>
  <w:style w:type="character" w:styleId="a3">
    <w:name w:val="Emphasis"/>
    <w:basedOn w:val="a0"/>
    <w:uiPriority w:val="20"/>
    <w:qFormat/>
    <w:rsid w:val="00667C3E"/>
    <w:rPr>
      <w:i/>
      <w:iCs/>
    </w:rPr>
  </w:style>
  <w:style w:type="table" w:styleId="a4">
    <w:name w:val="Table Grid"/>
    <w:basedOn w:val="a1"/>
    <w:uiPriority w:val="59"/>
    <w:rsid w:val="006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67C3E"/>
    <w:pPr>
      <w:ind w:leftChars="200" w:left="480"/>
    </w:pPr>
  </w:style>
  <w:style w:type="paragraph" w:customStyle="1" w:styleId="Paragraph">
    <w:name w:val="Paragraph"/>
    <w:link w:val="ParagraphChar"/>
    <w:qFormat/>
    <w:rsid w:val="00667C3E"/>
    <w:pPr>
      <w:spacing w:after="240"/>
    </w:pPr>
    <w:rPr>
      <w:rFonts w:ascii="Times New Roman" w:hAnsi="Times New Roman" w:cs="Times New Roman"/>
      <w:kern w:val="0"/>
      <w:szCs w:val="24"/>
      <w:lang w:eastAsia="en-US"/>
    </w:rPr>
  </w:style>
  <w:style w:type="character" w:customStyle="1" w:styleId="ParagraphChar">
    <w:name w:val="Paragraph Char"/>
    <w:basedOn w:val="a0"/>
    <w:link w:val="Paragraph"/>
    <w:rsid w:val="00667C3E"/>
    <w:rPr>
      <w:rFonts w:ascii="Times New Roman" w:hAnsi="Times New Roman" w:cs="Times New Roman"/>
      <w:kern w:val="0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66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67C3E"/>
    <w:rPr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667C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67C3E"/>
    <w:rPr>
      <w:kern w:val="0"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667C3E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67C3E"/>
    <w:rPr>
      <w:color w:val="954F72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667C3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67C3E"/>
  </w:style>
  <w:style w:type="character" w:customStyle="1" w:styleId="ae">
    <w:name w:val="註解文字 字元"/>
    <w:basedOn w:val="a0"/>
    <w:link w:val="ad"/>
    <w:uiPriority w:val="99"/>
    <w:semiHidden/>
    <w:rsid w:val="00667C3E"/>
    <w:rPr>
      <w:kern w:val="0"/>
      <w:szCs w:val="24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67C3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667C3E"/>
    <w:rPr>
      <w:b/>
      <w:bCs/>
      <w:kern w:val="0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667C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667C3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3">
    <w:name w:val="Revision"/>
    <w:hidden/>
    <w:uiPriority w:val="99"/>
    <w:semiHidden/>
    <w:rsid w:val="00667C3E"/>
    <w:rPr>
      <w:kern w:val="0"/>
      <w:szCs w:val="24"/>
      <w:lang w:eastAsia="en-US"/>
    </w:rPr>
  </w:style>
  <w:style w:type="paragraph" w:customStyle="1" w:styleId="TableTitle">
    <w:name w:val="Table Title"/>
    <w:next w:val="a"/>
    <w:qFormat/>
    <w:rsid w:val="00667C3E"/>
    <w:pPr>
      <w:keepNext/>
      <w:keepLines/>
      <w:tabs>
        <w:tab w:val="left" w:pos="1872"/>
      </w:tabs>
      <w:spacing w:before="120" w:after="240"/>
      <w:ind w:left="1872" w:hanging="1872"/>
    </w:pPr>
    <w:rPr>
      <w:rFonts w:ascii="Times New Roman" w:hAnsi="Times New Roman" w:cs="Times New Roman"/>
      <w:b/>
      <w:color w:val="000000"/>
      <w:kern w:val="0"/>
      <w:sz w:val="22"/>
      <w:szCs w:val="24"/>
      <w:lang w:eastAsia="en-US"/>
    </w:rPr>
  </w:style>
  <w:style w:type="paragraph" w:customStyle="1" w:styleId="TableHead">
    <w:name w:val="Table Head"/>
    <w:basedOn w:val="a"/>
    <w:qFormat/>
    <w:rsid w:val="00667C3E"/>
    <w:pPr>
      <w:keepNext/>
      <w:spacing w:before="40" w:after="40"/>
      <w:jc w:val="center"/>
    </w:pPr>
    <w:rPr>
      <w:rFonts w:ascii="Times New Roman" w:hAnsi="Times New Roman" w:cs="Times New Roman"/>
      <w:b/>
      <w:sz w:val="20"/>
      <w:szCs w:val="48"/>
    </w:rPr>
  </w:style>
  <w:style w:type="paragraph" w:customStyle="1" w:styleId="TableFootnoteSymbol">
    <w:name w:val="Table Footnote Symbol"/>
    <w:basedOn w:val="a"/>
    <w:qFormat/>
    <w:rsid w:val="00667C3E"/>
    <w:pPr>
      <w:spacing w:before="40" w:after="40"/>
    </w:pPr>
    <w:rPr>
      <w:rFonts w:ascii="Times New Roman" w:hAnsi="Times New Roman" w:cs="Times New Roman"/>
      <w:sz w:val="20"/>
      <w:szCs w:val="48"/>
    </w:rPr>
  </w:style>
  <w:style w:type="paragraph" w:customStyle="1" w:styleId="TableCenter">
    <w:name w:val="Table Center"/>
    <w:basedOn w:val="a"/>
    <w:qFormat/>
    <w:rsid w:val="00667C3E"/>
    <w:pPr>
      <w:keepNext/>
      <w:spacing w:before="40" w:after="40"/>
      <w:jc w:val="center"/>
    </w:pPr>
    <w:rPr>
      <w:rFonts w:ascii="Times New Roman" w:hAnsi="Times New Roman" w:cs="Times New Roman"/>
      <w:sz w:val="20"/>
      <w:szCs w:val="20"/>
    </w:rPr>
  </w:style>
  <w:style w:type="paragraph" w:customStyle="1" w:styleId="TableLeft">
    <w:name w:val="Table Left"/>
    <w:basedOn w:val="a"/>
    <w:qFormat/>
    <w:rsid w:val="00667C3E"/>
    <w:pPr>
      <w:keepNext/>
      <w:spacing w:before="40" w:after="40"/>
    </w:pPr>
    <w:rPr>
      <w:rFonts w:ascii="Times New Roman" w:hAnsi="Times New Roman" w:cs="Arial"/>
      <w:bCs/>
      <w:sz w:val="20"/>
      <w:szCs w:val="14"/>
    </w:rPr>
  </w:style>
  <w:style w:type="paragraph" w:styleId="Web">
    <w:name w:val="Normal (Web)"/>
    <w:basedOn w:val="a"/>
    <w:uiPriority w:val="99"/>
    <w:unhideWhenUsed/>
    <w:rsid w:val="00667C3E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  <w:style w:type="paragraph" w:styleId="af4">
    <w:name w:val="TOC Heading"/>
    <w:basedOn w:val="1"/>
    <w:next w:val="a"/>
    <w:uiPriority w:val="39"/>
    <w:unhideWhenUsed/>
    <w:qFormat/>
    <w:rsid w:val="00667C3E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667C3E"/>
    <w:pPr>
      <w:spacing w:after="100" w:line="259" w:lineRule="auto"/>
      <w:ind w:left="220"/>
    </w:pPr>
    <w:rPr>
      <w:rFonts w:cs="Times New Roman"/>
      <w:sz w:val="22"/>
      <w:szCs w:val="22"/>
      <w:lang w:eastAsia="zh-TW"/>
    </w:rPr>
  </w:style>
  <w:style w:type="paragraph" w:styleId="11">
    <w:name w:val="toc 1"/>
    <w:basedOn w:val="a"/>
    <w:next w:val="a"/>
    <w:autoRedefine/>
    <w:uiPriority w:val="39"/>
    <w:unhideWhenUsed/>
    <w:rsid w:val="00667C3E"/>
    <w:pPr>
      <w:spacing w:after="100" w:line="259" w:lineRule="auto"/>
    </w:pPr>
    <w:rPr>
      <w:rFonts w:cs="Times New Roman"/>
      <w:sz w:val="22"/>
      <w:szCs w:val="22"/>
      <w:lang w:eastAsia="zh-TW"/>
    </w:rPr>
  </w:style>
  <w:style w:type="paragraph" w:styleId="3">
    <w:name w:val="toc 3"/>
    <w:basedOn w:val="a"/>
    <w:next w:val="a"/>
    <w:autoRedefine/>
    <w:uiPriority w:val="39"/>
    <w:unhideWhenUsed/>
    <w:rsid w:val="00667C3E"/>
    <w:pPr>
      <w:spacing w:after="100" w:line="259" w:lineRule="auto"/>
      <w:ind w:left="440"/>
    </w:pPr>
    <w:rPr>
      <w:rFonts w:cs="Times New Roman"/>
      <w:sz w:val="2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1196</Words>
  <Characters>6820</Characters>
  <Application>Microsoft Office Word</Application>
  <DocSecurity>0</DocSecurity>
  <Lines>56</Lines>
  <Paragraphs>15</Paragraphs>
  <ScaleCrop>false</ScaleCrop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LukeLiu劉紫祁</dc:creator>
  <cp:keywords/>
  <dc:description/>
  <cp:lastModifiedBy>LukeLiu劉紫祁</cp:lastModifiedBy>
  <cp:revision>1</cp:revision>
  <dcterms:created xsi:type="dcterms:W3CDTF">2022-03-14T09:12:00Z</dcterms:created>
  <dcterms:modified xsi:type="dcterms:W3CDTF">2022-03-14T09:13:00Z</dcterms:modified>
</cp:coreProperties>
</file>