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4E12" w14:textId="6022C82C" w:rsidR="006D2B49" w:rsidRPr="006D2B49" w:rsidRDefault="009809D6" w:rsidP="006D2B49">
      <w:pPr>
        <w:rPr>
          <w:b/>
          <w:bCs/>
        </w:rPr>
      </w:pPr>
      <w:r w:rsidRPr="009809D6">
        <w:rPr>
          <w:b/>
          <w:bCs/>
        </w:rPr>
        <w:t>Genetic modifiers of penetrance of haemochromatosis HFE variants to clinical disease: polygenic risk score associations in UK Biobank</w:t>
      </w:r>
    </w:p>
    <w:p w14:paraId="68015421" w14:textId="249FEB0D" w:rsidR="001368D1" w:rsidRDefault="006D2B49" w:rsidP="006D2B49">
      <w:r>
        <w:t xml:space="preserve">Luke C. Pilling, </w:t>
      </w:r>
      <w:r w:rsidR="00B466CF" w:rsidRPr="00B466CF">
        <w:t>Janice L. Atkins, David Melzer</w:t>
      </w:r>
    </w:p>
    <w:p w14:paraId="2E471663" w14:textId="77777777" w:rsidR="003B674D" w:rsidRDefault="003B674D" w:rsidP="006D2B49"/>
    <w:p w14:paraId="79E64842" w14:textId="40C5AF12" w:rsidR="006D2B49" w:rsidRPr="003B674D" w:rsidRDefault="006D2B49" w:rsidP="006D2B49">
      <w:pPr>
        <w:rPr>
          <w:b/>
          <w:bCs/>
        </w:rPr>
      </w:pPr>
      <w:r w:rsidRPr="003B674D">
        <w:rPr>
          <w:b/>
          <w:bCs/>
        </w:rPr>
        <w:t>Supplementary Information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19457616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B338C3C" w14:textId="7832A4CF" w:rsidR="003B674D" w:rsidRDefault="003B674D">
          <w:pPr>
            <w:pStyle w:val="TOCHeading"/>
          </w:pPr>
        </w:p>
        <w:p w14:paraId="386E2EA1" w14:textId="06006101" w:rsidR="003B674D" w:rsidRDefault="003B674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4207290" w:history="1">
            <w:r w:rsidRPr="00FD5789">
              <w:rPr>
                <w:rStyle w:val="Hyperlink"/>
                <w:noProof/>
              </w:rPr>
              <w:t xml:space="preserve">Supplementary Figure 1: Iron PRS associations with HH co-morbidities in UK Biobank males of European ancestry, stratified by </w:t>
            </w:r>
            <w:r w:rsidRPr="00FD5789">
              <w:rPr>
                <w:rStyle w:val="Hyperlink"/>
                <w:i/>
                <w:iCs/>
                <w:noProof/>
              </w:rPr>
              <w:t xml:space="preserve">HFE </w:t>
            </w:r>
            <w:r w:rsidRPr="00FD5789">
              <w:rPr>
                <w:rStyle w:val="Hyperlink"/>
                <w:noProof/>
              </w:rPr>
              <w:t>genotype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_Toc94207290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97876E" w14:textId="75FF9BA5" w:rsidR="003B674D" w:rsidRDefault="003B674D">
          <w:r>
            <w:rPr>
              <w:b/>
              <w:bCs/>
              <w:noProof/>
            </w:rPr>
            <w:fldChar w:fldCharType="end"/>
          </w:r>
        </w:p>
      </w:sdtContent>
    </w:sdt>
    <w:p w14:paraId="0CB99D24" w14:textId="77777777" w:rsidR="003B674D" w:rsidRDefault="003B674D" w:rsidP="006D2B49"/>
    <w:p w14:paraId="46A68FBD" w14:textId="00322122" w:rsidR="003B674D" w:rsidRDefault="003B674D">
      <w:r>
        <w:br w:type="page"/>
      </w:r>
    </w:p>
    <w:p w14:paraId="391B4A79" w14:textId="00967BE5" w:rsidR="006D2B49" w:rsidRDefault="006D2B49" w:rsidP="006D2B49">
      <w:pPr>
        <w:pStyle w:val="Heading1"/>
        <w:rPr>
          <w:b w:val="0"/>
          <w:bCs w:val="0"/>
        </w:rPr>
      </w:pPr>
      <w:bookmarkStart w:id="0" w:name="_Toc94207290"/>
      <w:r>
        <w:lastRenderedPageBreak/>
        <w:t xml:space="preserve">Supplementary Figure 1: </w:t>
      </w:r>
      <w:r w:rsidR="003830EF">
        <w:t xml:space="preserve">Iron </w:t>
      </w:r>
      <w:r w:rsidR="003830EF" w:rsidRPr="003830EF">
        <w:t xml:space="preserve">PRS associations with HH co-morbidities in </w:t>
      </w:r>
      <w:r w:rsidR="003B674D">
        <w:t xml:space="preserve">UK Biobank </w:t>
      </w:r>
      <w:r w:rsidR="003830EF" w:rsidRPr="003830EF">
        <w:t>males</w:t>
      </w:r>
      <w:r w:rsidR="003B674D">
        <w:t xml:space="preserve"> of European ancestry, stratified by </w:t>
      </w:r>
      <w:r w:rsidR="003B674D">
        <w:rPr>
          <w:i/>
          <w:iCs/>
        </w:rPr>
        <w:t xml:space="preserve">HFE </w:t>
      </w:r>
      <w:r w:rsidR="003B674D">
        <w:t>genotype</w:t>
      </w:r>
      <w:bookmarkEnd w:id="0"/>
    </w:p>
    <w:p w14:paraId="4810AC95" w14:textId="32F08770" w:rsidR="003B674D" w:rsidRDefault="005619A3" w:rsidP="003B674D">
      <w:r w:rsidRPr="005619A3">
        <w:rPr>
          <w:noProof/>
        </w:rPr>
        <w:drawing>
          <wp:inline distT="0" distB="0" distL="0" distR="0" wp14:anchorId="5088AAFA" wp14:editId="18BEB085">
            <wp:extent cx="5731510" cy="6436360"/>
            <wp:effectExtent l="0" t="0" r="2540" b="2540"/>
            <wp:docPr id="1" name="Picture 1" descr="Scatter 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atter chart&#10;&#10;Description automatically generated with low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43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3A307" w14:textId="77777777" w:rsidR="003B674D" w:rsidRPr="003B674D" w:rsidRDefault="003B674D" w:rsidP="003B674D"/>
    <w:sectPr w:rsidR="003B674D" w:rsidRPr="003B674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B21D1" w14:textId="77777777" w:rsidR="008B6BE8" w:rsidRDefault="008B6BE8" w:rsidP="00E924D4">
      <w:pPr>
        <w:spacing w:after="0" w:line="240" w:lineRule="auto"/>
      </w:pPr>
      <w:r>
        <w:separator/>
      </w:r>
    </w:p>
  </w:endnote>
  <w:endnote w:type="continuationSeparator" w:id="0">
    <w:p w14:paraId="24A5FD55" w14:textId="77777777" w:rsidR="008B6BE8" w:rsidRDefault="008B6BE8" w:rsidP="00E92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5041A" w14:textId="77777777" w:rsidR="00E924D4" w:rsidRDefault="00E924D4" w:rsidP="00E924D4">
    <w:pPr>
      <w:pStyle w:val="Footer"/>
      <w:jc w:val="right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4A2227A2" w14:textId="77777777" w:rsidR="00E924D4" w:rsidRDefault="00E92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489EB" w14:textId="77777777" w:rsidR="008B6BE8" w:rsidRDefault="008B6BE8" w:rsidP="00E924D4">
      <w:pPr>
        <w:spacing w:after="0" w:line="240" w:lineRule="auto"/>
      </w:pPr>
      <w:r>
        <w:separator/>
      </w:r>
    </w:p>
  </w:footnote>
  <w:footnote w:type="continuationSeparator" w:id="0">
    <w:p w14:paraId="113FEBE1" w14:textId="77777777" w:rsidR="008B6BE8" w:rsidRDefault="008B6BE8" w:rsidP="00E92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06"/>
    <w:rsid w:val="00056706"/>
    <w:rsid w:val="001368D1"/>
    <w:rsid w:val="003830EF"/>
    <w:rsid w:val="003B674D"/>
    <w:rsid w:val="005619A3"/>
    <w:rsid w:val="006D2B49"/>
    <w:rsid w:val="008B6BE8"/>
    <w:rsid w:val="009809D6"/>
    <w:rsid w:val="00A61606"/>
    <w:rsid w:val="00B466CF"/>
    <w:rsid w:val="00E9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3239"/>
  <w15:chartTrackingRefBased/>
  <w15:docId w15:val="{BAD89F28-D50D-4752-B075-33DABCC9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B49"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B49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3B674D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B67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B67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4D4"/>
  </w:style>
  <w:style w:type="paragraph" w:styleId="Footer">
    <w:name w:val="footer"/>
    <w:basedOn w:val="Normal"/>
    <w:link w:val="FooterChar"/>
    <w:uiPriority w:val="99"/>
    <w:unhideWhenUsed/>
    <w:rsid w:val="00E92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952A59B94A441B167AEEBBEC60D92" ma:contentTypeVersion="11" ma:contentTypeDescription="Create a new document." ma:contentTypeScope="" ma:versionID="14f89aa5bc8d47db84b9ceaf1623baef">
  <xsd:schema xmlns:xsd="http://www.w3.org/2001/XMLSchema" xmlns:xs="http://www.w3.org/2001/XMLSchema" xmlns:p="http://schemas.microsoft.com/office/2006/metadata/properties" xmlns:ns2="6891a5b8-d17a-4ec5-824b-b4a51c4a1738" xmlns:ns3="5c02da51-e8f4-493a-af2f-4fa0f5b4441a" targetNamespace="http://schemas.microsoft.com/office/2006/metadata/properties" ma:root="true" ma:fieldsID="d60cfbfc0d1e23c04294f9c3c7f28177" ns2:_="" ns3:_="">
    <xsd:import namespace="6891a5b8-d17a-4ec5-824b-b4a51c4a1738"/>
    <xsd:import namespace="5c02da51-e8f4-493a-af2f-4fa0f5b44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a5b8-d17a-4ec5-824b-b4a51c4a1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2da51-e8f4-493a-af2f-4fa0f5b4441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FFAFBF-2EAB-4EAC-B61E-DB0F2B2DA4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D63FF8-5A55-4056-B09D-E1A5C36380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86DC27-447B-41F4-855B-729D380CB4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81A141-1CC8-4752-8B39-8C5FCB255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91a5b8-d17a-4ec5-824b-b4a51c4a1738"/>
    <ds:schemaRef ds:uri="5c02da51-e8f4-493a-af2f-4fa0f5b44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Pilling, Luke</dc:creator>
  <cp:keywords/>
  <dc:description/>
  <cp:lastModifiedBy>Pilling, Luke</cp:lastModifiedBy>
  <cp:revision>9</cp:revision>
  <dcterms:created xsi:type="dcterms:W3CDTF">2022-01-27T20:18:00Z</dcterms:created>
  <dcterms:modified xsi:type="dcterms:W3CDTF">2022-02-16T09:25:00Z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0x010100154952A59B94A441B167AEEBBEC60D92</vt:lpwstr>
  </property>
</Properties>
</file>