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7541" w14:textId="3CA1B603" w:rsidR="00506707" w:rsidRPr="00C85AAD" w:rsidRDefault="00506707" w:rsidP="00506707">
      <w:pPr>
        <w:spacing w:after="0" w:line="360" w:lineRule="auto"/>
        <w:rPr>
          <w:rFonts w:ascii="Arial" w:hAnsi="Arial" w:cs="Arial"/>
          <w:b/>
          <w:bCs/>
        </w:rPr>
      </w:pPr>
      <w:r>
        <w:rPr>
          <w:rFonts w:ascii="Arial" w:hAnsi="Arial" w:cs="Arial"/>
          <w:b/>
          <w:bCs/>
        </w:rPr>
        <w:t xml:space="preserve">Supplementary </w:t>
      </w:r>
      <w:r w:rsidRPr="00C85AAD">
        <w:rPr>
          <w:rFonts w:ascii="Arial" w:hAnsi="Arial" w:cs="Arial"/>
          <w:b/>
          <w:bCs/>
        </w:rPr>
        <w:t xml:space="preserve">Table </w:t>
      </w:r>
      <w:r>
        <w:rPr>
          <w:rFonts w:ascii="Arial" w:hAnsi="Arial" w:cs="Arial"/>
          <w:b/>
          <w:bCs/>
        </w:rPr>
        <w:t>S1</w:t>
      </w:r>
      <w:r w:rsidRPr="00C85AAD">
        <w:rPr>
          <w:rFonts w:ascii="Arial" w:hAnsi="Arial" w:cs="Arial"/>
          <w:b/>
          <w:bCs/>
        </w:rPr>
        <w:t xml:space="preserve">. </w:t>
      </w:r>
      <w:r>
        <w:rPr>
          <w:rFonts w:ascii="Arial" w:hAnsi="Arial" w:cs="Arial"/>
          <w:b/>
          <w:bCs/>
        </w:rPr>
        <w:t>Definition of interventions</w:t>
      </w:r>
    </w:p>
    <w:tbl>
      <w:tblPr>
        <w:tblStyle w:val="PlainTable4"/>
        <w:tblW w:w="0" w:type="auto"/>
        <w:tblBorders>
          <w:insideH w:val="single" w:sz="4" w:space="0" w:color="auto"/>
        </w:tblBorders>
        <w:tblLook w:val="04A0" w:firstRow="1" w:lastRow="0" w:firstColumn="1" w:lastColumn="0" w:noHBand="0" w:noVBand="1"/>
      </w:tblPr>
      <w:tblGrid>
        <w:gridCol w:w="3402"/>
        <w:gridCol w:w="7064"/>
      </w:tblGrid>
      <w:tr w:rsidR="00506707" w:rsidRPr="002E5A6F" w14:paraId="1270204D" w14:textId="77777777" w:rsidTr="00552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77F8D4" w14:textId="77777777" w:rsidR="00506707" w:rsidRPr="002E5A6F" w:rsidRDefault="00506707" w:rsidP="00D06226">
            <w:pPr>
              <w:spacing w:line="360" w:lineRule="auto"/>
              <w:rPr>
                <w:rFonts w:ascii="Arial" w:hAnsi="Arial" w:cs="Arial"/>
                <w:sz w:val="18"/>
                <w:szCs w:val="18"/>
              </w:rPr>
            </w:pPr>
            <w:r w:rsidRPr="002E5A6F">
              <w:rPr>
                <w:rFonts w:ascii="Arial" w:hAnsi="Arial" w:cs="Arial"/>
                <w:sz w:val="18"/>
                <w:szCs w:val="18"/>
              </w:rPr>
              <w:t>Therapeutic anticoagulation</w:t>
            </w:r>
          </w:p>
        </w:tc>
        <w:tc>
          <w:tcPr>
            <w:tcW w:w="10348" w:type="dxa"/>
          </w:tcPr>
          <w:p w14:paraId="5C91E263" w14:textId="77777777" w:rsidR="00506707" w:rsidRPr="007E755F" w:rsidRDefault="00506707"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7E755F">
              <w:rPr>
                <w:rFonts w:ascii="Arial" w:hAnsi="Arial" w:cs="Arial"/>
                <w:b w:val="0"/>
                <w:bCs w:val="0"/>
                <w:color w:val="000000"/>
                <w:sz w:val="18"/>
                <w:szCs w:val="18"/>
              </w:rPr>
              <w:t xml:space="preserve">Agents: unfractionated heparin (UFH), low molecular weight heparin (LMWH), fondaparinux, heparinoids (including </w:t>
            </w:r>
            <w:proofErr w:type="spellStart"/>
            <w:r w:rsidRPr="007E755F">
              <w:rPr>
                <w:rFonts w:ascii="Arial" w:hAnsi="Arial" w:cs="Arial"/>
                <w:b w:val="0"/>
                <w:bCs w:val="0"/>
                <w:color w:val="000000"/>
                <w:sz w:val="18"/>
                <w:szCs w:val="18"/>
              </w:rPr>
              <w:t>sulodexide</w:t>
            </w:r>
            <w:proofErr w:type="spellEnd"/>
            <w:r w:rsidRPr="007E755F">
              <w:rPr>
                <w:rFonts w:ascii="Arial" w:hAnsi="Arial" w:cs="Arial"/>
                <w:b w:val="0"/>
                <w:bCs w:val="0"/>
                <w:color w:val="000000"/>
                <w:sz w:val="18"/>
                <w:szCs w:val="18"/>
              </w:rPr>
              <w:t xml:space="preserve"> and </w:t>
            </w:r>
            <w:proofErr w:type="spellStart"/>
            <w:r w:rsidRPr="007E755F">
              <w:rPr>
                <w:rFonts w:ascii="Arial" w:hAnsi="Arial" w:cs="Arial"/>
                <w:b w:val="0"/>
                <w:bCs w:val="0"/>
                <w:color w:val="000000"/>
                <w:sz w:val="18"/>
                <w:szCs w:val="18"/>
              </w:rPr>
              <w:t>dociparstat</w:t>
            </w:r>
            <w:proofErr w:type="spellEnd"/>
            <w:r w:rsidRPr="007E755F">
              <w:rPr>
                <w:rFonts w:ascii="Arial" w:hAnsi="Arial" w:cs="Arial"/>
                <w:b w:val="0"/>
                <w:bCs w:val="0"/>
                <w:color w:val="000000"/>
                <w:sz w:val="18"/>
                <w:szCs w:val="18"/>
              </w:rPr>
              <w:t xml:space="preserve"> and </w:t>
            </w:r>
            <w:proofErr w:type="spellStart"/>
            <w:r w:rsidRPr="007E755F">
              <w:rPr>
                <w:rFonts w:ascii="Arial" w:hAnsi="Arial" w:cs="Arial"/>
                <w:b w:val="0"/>
                <w:bCs w:val="0"/>
                <w:color w:val="000000"/>
                <w:sz w:val="18"/>
                <w:szCs w:val="18"/>
              </w:rPr>
              <w:t>nafamostat</w:t>
            </w:r>
            <w:proofErr w:type="spellEnd"/>
            <w:r w:rsidRPr="007E755F">
              <w:rPr>
                <w:rFonts w:ascii="Arial" w:hAnsi="Arial" w:cs="Arial"/>
                <w:b w:val="0"/>
                <w:bCs w:val="0"/>
                <w:color w:val="000000"/>
                <w:sz w:val="18"/>
                <w:szCs w:val="18"/>
              </w:rPr>
              <w:t xml:space="preserve">), parenteral direct thrombin inhibitors (DTIs) and direct oral anticoagulants (DOACs). </w:t>
            </w:r>
          </w:p>
          <w:p w14:paraId="59683950" w14:textId="77777777" w:rsidR="00506707" w:rsidRDefault="00506707"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ZA"/>
              </w:rPr>
            </w:pPr>
            <w:r w:rsidRPr="007E755F">
              <w:rPr>
                <w:rFonts w:ascii="Arial" w:hAnsi="Arial" w:cs="Arial"/>
                <w:b w:val="0"/>
                <w:bCs w:val="0"/>
                <w:sz w:val="18"/>
                <w:szCs w:val="18"/>
                <w:lang w:val="en-ZA"/>
              </w:rPr>
              <w:t xml:space="preserve">Dosing as per </w:t>
            </w:r>
            <w:r>
              <w:rPr>
                <w:rFonts w:ascii="Arial" w:hAnsi="Arial" w:cs="Arial"/>
                <w:b w:val="0"/>
                <w:bCs w:val="0"/>
                <w:sz w:val="18"/>
                <w:szCs w:val="18"/>
                <w:lang w:val="en-ZA"/>
              </w:rPr>
              <w:t>trial</w:t>
            </w:r>
            <w:r w:rsidRPr="007E755F">
              <w:rPr>
                <w:rFonts w:ascii="Arial" w:hAnsi="Arial" w:cs="Arial"/>
                <w:b w:val="0"/>
                <w:bCs w:val="0"/>
                <w:sz w:val="18"/>
                <w:szCs w:val="18"/>
                <w:lang w:val="en-ZA"/>
              </w:rPr>
              <w:t xml:space="preserve"> protocol, in alignment with international recommendations for the treatment of acute venous thromboembolism.</w:t>
            </w:r>
            <w:r w:rsidRPr="002E5A6F">
              <w:rPr>
                <w:rFonts w:ascii="Arial" w:hAnsi="Arial" w:cs="Arial"/>
                <w:sz w:val="18"/>
                <w:szCs w:val="18"/>
                <w:lang w:val="en-ZA"/>
              </w:rPr>
              <w:t xml:space="preserve"> </w:t>
            </w:r>
          </w:p>
          <w:p w14:paraId="63A6D617" w14:textId="6845D0CD" w:rsidR="0055257B" w:rsidRPr="002E5A6F" w:rsidRDefault="0055257B"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506707" w:rsidRPr="002E5A6F" w14:paraId="747EED5E" w14:textId="77777777" w:rsidTr="0055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293EBAF" w14:textId="3D4D28B4" w:rsidR="00506707" w:rsidRPr="002E5A6F" w:rsidRDefault="00506707" w:rsidP="00D06226">
            <w:pPr>
              <w:spacing w:line="360" w:lineRule="auto"/>
              <w:rPr>
                <w:rFonts w:ascii="Arial" w:hAnsi="Arial" w:cs="Arial"/>
                <w:sz w:val="18"/>
                <w:szCs w:val="18"/>
              </w:rPr>
            </w:pPr>
            <w:r w:rsidRPr="002E5A6F">
              <w:rPr>
                <w:rFonts w:ascii="Arial" w:hAnsi="Arial" w:cs="Arial"/>
                <w:sz w:val="18"/>
                <w:szCs w:val="18"/>
              </w:rPr>
              <w:t>Intermediate-dose anticoagulation</w:t>
            </w:r>
          </w:p>
        </w:tc>
        <w:tc>
          <w:tcPr>
            <w:tcW w:w="10348" w:type="dxa"/>
          </w:tcPr>
          <w:p w14:paraId="2FC57DE1" w14:textId="77777777" w:rsidR="00506707" w:rsidRPr="002E5A6F" w:rsidRDefault="00506707"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E5A6F">
              <w:rPr>
                <w:rFonts w:ascii="Arial" w:hAnsi="Arial" w:cs="Arial"/>
                <w:color w:val="000000"/>
                <w:sz w:val="18"/>
                <w:szCs w:val="18"/>
              </w:rPr>
              <w:t xml:space="preserve">Agents: unfractionated heparin (UFH), low molecular weight heparin (LMWH), fondaparinux, heparinoids (including </w:t>
            </w:r>
            <w:proofErr w:type="spellStart"/>
            <w:r w:rsidRPr="002E5A6F">
              <w:rPr>
                <w:rFonts w:ascii="Arial" w:hAnsi="Arial" w:cs="Arial"/>
                <w:color w:val="000000"/>
                <w:sz w:val="18"/>
                <w:szCs w:val="18"/>
              </w:rPr>
              <w:t>sulodexide</w:t>
            </w:r>
            <w:proofErr w:type="spellEnd"/>
            <w:r w:rsidRPr="002E5A6F">
              <w:rPr>
                <w:rFonts w:ascii="Arial" w:hAnsi="Arial" w:cs="Arial"/>
                <w:color w:val="000000"/>
                <w:sz w:val="18"/>
                <w:szCs w:val="18"/>
              </w:rPr>
              <w:t xml:space="preserve"> and </w:t>
            </w:r>
            <w:proofErr w:type="spellStart"/>
            <w:r w:rsidRPr="002E5A6F">
              <w:rPr>
                <w:rFonts w:ascii="Arial" w:hAnsi="Arial" w:cs="Arial"/>
                <w:color w:val="000000"/>
                <w:sz w:val="18"/>
                <w:szCs w:val="18"/>
              </w:rPr>
              <w:t>dociparstat</w:t>
            </w:r>
            <w:proofErr w:type="spellEnd"/>
            <w:r w:rsidRPr="002E5A6F">
              <w:rPr>
                <w:rFonts w:ascii="Arial" w:hAnsi="Arial" w:cs="Arial"/>
                <w:color w:val="000000"/>
                <w:sz w:val="18"/>
                <w:szCs w:val="18"/>
              </w:rPr>
              <w:t xml:space="preserve"> and </w:t>
            </w:r>
            <w:proofErr w:type="spellStart"/>
            <w:r w:rsidRPr="002E5A6F">
              <w:rPr>
                <w:rFonts w:ascii="Arial" w:hAnsi="Arial" w:cs="Arial"/>
                <w:color w:val="000000"/>
                <w:sz w:val="18"/>
                <w:szCs w:val="18"/>
              </w:rPr>
              <w:t>nafamostat</w:t>
            </w:r>
            <w:proofErr w:type="spellEnd"/>
            <w:r w:rsidRPr="002E5A6F">
              <w:rPr>
                <w:rFonts w:ascii="Arial" w:hAnsi="Arial" w:cs="Arial"/>
                <w:color w:val="000000"/>
                <w:sz w:val="18"/>
                <w:szCs w:val="18"/>
              </w:rPr>
              <w:t xml:space="preserve">), parenteral direct thrombin inhibitors (DTIs) and direct oral anticoagulants (DOACs). </w:t>
            </w:r>
          </w:p>
          <w:p w14:paraId="09143BC6" w14:textId="77777777" w:rsidR="00506707" w:rsidRDefault="00506707"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rPr>
            </w:pPr>
            <w:r w:rsidRPr="002E5A6F">
              <w:rPr>
                <w:rFonts w:ascii="Arial" w:hAnsi="Arial" w:cs="Arial"/>
                <w:sz w:val="18"/>
                <w:szCs w:val="18"/>
                <w:lang w:val="en-ZA"/>
              </w:rPr>
              <w:t xml:space="preserve">Dosing as per study or local protocol, at doses higher than that required for prevention of acute venous thromboembolism, but not reaching dosing required for treatment of confirmed venous thromboembolism as per international guidelines. </w:t>
            </w:r>
          </w:p>
          <w:p w14:paraId="467AEA65" w14:textId="46E2E266" w:rsidR="0055257B" w:rsidRPr="002E5A6F" w:rsidRDefault="0055257B"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06707" w:rsidRPr="002E5A6F" w14:paraId="29D0961F" w14:textId="77777777" w:rsidTr="0055257B">
        <w:tc>
          <w:tcPr>
            <w:cnfStyle w:val="001000000000" w:firstRow="0" w:lastRow="0" w:firstColumn="1" w:lastColumn="0" w:oddVBand="0" w:evenVBand="0" w:oddHBand="0" w:evenHBand="0" w:firstRowFirstColumn="0" w:firstRowLastColumn="0" w:lastRowFirstColumn="0" w:lastRowLastColumn="0"/>
            <w:tcW w:w="4536" w:type="dxa"/>
          </w:tcPr>
          <w:p w14:paraId="446536B2" w14:textId="77777777" w:rsidR="00506707" w:rsidRPr="002E5A6F" w:rsidRDefault="00506707" w:rsidP="00D06226">
            <w:pPr>
              <w:spacing w:line="360" w:lineRule="auto"/>
              <w:rPr>
                <w:rFonts w:ascii="Arial" w:hAnsi="Arial" w:cs="Arial"/>
                <w:sz w:val="18"/>
                <w:szCs w:val="18"/>
              </w:rPr>
            </w:pPr>
            <w:r w:rsidRPr="002E5A6F">
              <w:rPr>
                <w:rFonts w:ascii="Arial" w:hAnsi="Arial" w:cs="Arial"/>
                <w:sz w:val="18"/>
                <w:szCs w:val="18"/>
              </w:rPr>
              <w:t>Standard low-dose prophylaxis</w:t>
            </w:r>
          </w:p>
        </w:tc>
        <w:tc>
          <w:tcPr>
            <w:tcW w:w="10348" w:type="dxa"/>
          </w:tcPr>
          <w:p w14:paraId="79F014C4" w14:textId="77777777" w:rsidR="00506707" w:rsidRPr="002E5A6F" w:rsidRDefault="00506707"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E5A6F">
              <w:rPr>
                <w:rFonts w:ascii="Arial" w:hAnsi="Arial" w:cs="Arial"/>
                <w:color w:val="000000"/>
                <w:sz w:val="18"/>
                <w:szCs w:val="18"/>
              </w:rPr>
              <w:t xml:space="preserve">Agents: unfractionated heparin (UFH), low molecular weight heparin (LMWH), fondaparinux, heparinoids (including </w:t>
            </w:r>
            <w:proofErr w:type="spellStart"/>
            <w:r w:rsidRPr="002E5A6F">
              <w:rPr>
                <w:rFonts w:ascii="Arial" w:hAnsi="Arial" w:cs="Arial"/>
                <w:color w:val="000000"/>
                <w:sz w:val="18"/>
                <w:szCs w:val="18"/>
              </w:rPr>
              <w:t>sulodexide</w:t>
            </w:r>
            <w:proofErr w:type="spellEnd"/>
            <w:r w:rsidRPr="002E5A6F">
              <w:rPr>
                <w:rFonts w:ascii="Arial" w:hAnsi="Arial" w:cs="Arial"/>
                <w:color w:val="000000"/>
                <w:sz w:val="18"/>
                <w:szCs w:val="18"/>
              </w:rPr>
              <w:t xml:space="preserve"> and </w:t>
            </w:r>
            <w:proofErr w:type="spellStart"/>
            <w:r w:rsidRPr="002E5A6F">
              <w:rPr>
                <w:rFonts w:ascii="Arial" w:hAnsi="Arial" w:cs="Arial"/>
                <w:color w:val="000000"/>
                <w:sz w:val="18"/>
                <w:szCs w:val="18"/>
              </w:rPr>
              <w:t>dociparstat</w:t>
            </w:r>
            <w:proofErr w:type="spellEnd"/>
            <w:r w:rsidRPr="002E5A6F">
              <w:rPr>
                <w:rFonts w:ascii="Arial" w:hAnsi="Arial" w:cs="Arial"/>
                <w:color w:val="000000"/>
                <w:sz w:val="18"/>
                <w:szCs w:val="18"/>
              </w:rPr>
              <w:t xml:space="preserve"> and </w:t>
            </w:r>
            <w:proofErr w:type="spellStart"/>
            <w:r w:rsidRPr="002E5A6F">
              <w:rPr>
                <w:rFonts w:ascii="Arial" w:hAnsi="Arial" w:cs="Arial"/>
                <w:color w:val="000000"/>
                <w:sz w:val="18"/>
                <w:szCs w:val="18"/>
              </w:rPr>
              <w:t>nafamostat</w:t>
            </w:r>
            <w:proofErr w:type="spellEnd"/>
            <w:r w:rsidRPr="002E5A6F">
              <w:rPr>
                <w:rFonts w:ascii="Arial" w:hAnsi="Arial" w:cs="Arial"/>
                <w:color w:val="000000"/>
                <w:sz w:val="18"/>
                <w:szCs w:val="18"/>
              </w:rPr>
              <w:t xml:space="preserve">), parenteral direct thrombin inhibitors (DTIs) and direct oral anticoagulants (DOACs). </w:t>
            </w:r>
          </w:p>
          <w:p w14:paraId="054F1B9C" w14:textId="3BC443C3" w:rsidR="00506707" w:rsidRDefault="00506707" w:rsidP="00D0622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rPr>
            </w:pPr>
            <w:r w:rsidRPr="002E5A6F">
              <w:rPr>
                <w:rFonts w:ascii="Arial" w:hAnsi="Arial" w:cs="Arial"/>
                <w:sz w:val="18"/>
                <w:szCs w:val="18"/>
                <w:lang w:val="en-ZA"/>
              </w:rPr>
              <w:t xml:space="preserve">Dosing as per </w:t>
            </w:r>
            <w:r>
              <w:rPr>
                <w:rFonts w:ascii="Arial" w:hAnsi="Arial" w:cs="Arial"/>
                <w:sz w:val="18"/>
                <w:szCs w:val="18"/>
                <w:lang w:val="en-ZA"/>
              </w:rPr>
              <w:t>t</w:t>
            </w:r>
            <w:r w:rsidR="00BE51FA">
              <w:rPr>
                <w:rFonts w:ascii="Arial" w:hAnsi="Arial" w:cs="Arial"/>
                <w:sz w:val="18"/>
                <w:szCs w:val="18"/>
                <w:lang w:val="en-ZA"/>
              </w:rPr>
              <w:t>ri</w:t>
            </w:r>
            <w:r>
              <w:rPr>
                <w:rFonts w:ascii="Arial" w:hAnsi="Arial" w:cs="Arial"/>
                <w:sz w:val="18"/>
                <w:szCs w:val="18"/>
                <w:lang w:val="en-ZA"/>
              </w:rPr>
              <w:t>al</w:t>
            </w:r>
            <w:r w:rsidRPr="002E5A6F">
              <w:rPr>
                <w:rFonts w:ascii="Arial" w:hAnsi="Arial" w:cs="Arial"/>
                <w:sz w:val="18"/>
                <w:szCs w:val="18"/>
                <w:lang w:val="en-ZA"/>
              </w:rPr>
              <w:t xml:space="preserve"> protocol, in alignment with international recommendations for the prevention of acute venous thromboembolism.</w:t>
            </w:r>
          </w:p>
          <w:p w14:paraId="0A5995B2" w14:textId="56AB50FF" w:rsidR="0055257B" w:rsidRPr="002E5A6F" w:rsidRDefault="0055257B" w:rsidP="00D0622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06707" w:rsidRPr="002E5A6F" w14:paraId="48479A14" w14:textId="77777777" w:rsidTr="0055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21BEF8A" w14:textId="77777777" w:rsidR="00506707" w:rsidRPr="002E5A6F" w:rsidRDefault="00506707" w:rsidP="00D06226">
            <w:pPr>
              <w:spacing w:line="360" w:lineRule="auto"/>
              <w:rPr>
                <w:rFonts w:ascii="Arial" w:hAnsi="Arial" w:cs="Arial"/>
                <w:sz w:val="18"/>
                <w:szCs w:val="18"/>
              </w:rPr>
            </w:pPr>
            <w:r w:rsidRPr="002E5A6F">
              <w:rPr>
                <w:rFonts w:ascii="Arial" w:hAnsi="Arial" w:cs="Arial"/>
                <w:sz w:val="18"/>
                <w:szCs w:val="18"/>
              </w:rPr>
              <w:t xml:space="preserve">Intensified anticoagulation </w:t>
            </w:r>
          </w:p>
        </w:tc>
        <w:tc>
          <w:tcPr>
            <w:tcW w:w="10348" w:type="dxa"/>
          </w:tcPr>
          <w:p w14:paraId="18E2FA5C" w14:textId="541F62DF" w:rsidR="00506707" w:rsidRDefault="00506707"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E5A6F">
              <w:rPr>
                <w:rFonts w:ascii="Arial" w:hAnsi="Arial" w:cs="Arial"/>
                <w:color w:val="000000"/>
                <w:sz w:val="18"/>
                <w:szCs w:val="18"/>
              </w:rPr>
              <w:t xml:space="preserve">Therapeutic or intermediate-dose anticoagulation </w:t>
            </w:r>
          </w:p>
          <w:p w14:paraId="44C15786" w14:textId="79750237" w:rsidR="0055257B" w:rsidRPr="002E5A6F" w:rsidRDefault="0055257B"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506707" w:rsidRPr="002E5A6F" w14:paraId="0F0FC393" w14:textId="77777777" w:rsidTr="0055257B">
        <w:tc>
          <w:tcPr>
            <w:cnfStyle w:val="001000000000" w:firstRow="0" w:lastRow="0" w:firstColumn="1" w:lastColumn="0" w:oddVBand="0" w:evenVBand="0" w:oddHBand="0" w:evenHBand="0" w:firstRowFirstColumn="0" w:firstRowLastColumn="0" w:lastRowFirstColumn="0" w:lastRowLastColumn="0"/>
            <w:tcW w:w="4536" w:type="dxa"/>
          </w:tcPr>
          <w:p w14:paraId="7DEEC867" w14:textId="77777777" w:rsidR="00506707" w:rsidRPr="002E5A6F" w:rsidRDefault="00506707" w:rsidP="00D06226">
            <w:pPr>
              <w:spacing w:line="360" w:lineRule="auto"/>
              <w:rPr>
                <w:rFonts w:ascii="Arial" w:hAnsi="Arial" w:cs="Arial"/>
                <w:sz w:val="18"/>
                <w:szCs w:val="18"/>
              </w:rPr>
            </w:pPr>
            <w:r w:rsidRPr="002E5A6F">
              <w:rPr>
                <w:rFonts w:ascii="Arial" w:hAnsi="Arial" w:cs="Arial"/>
                <w:sz w:val="18"/>
                <w:szCs w:val="18"/>
              </w:rPr>
              <w:t xml:space="preserve">Organ support </w:t>
            </w:r>
          </w:p>
        </w:tc>
        <w:tc>
          <w:tcPr>
            <w:tcW w:w="10348" w:type="dxa"/>
          </w:tcPr>
          <w:p w14:paraId="4C8B2123" w14:textId="77777777" w:rsidR="00506707" w:rsidRPr="002E5A6F" w:rsidRDefault="00506707"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E5A6F">
              <w:rPr>
                <w:rFonts w:ascii="Arial" w:hAnsi="Arial" w:cs="Arial"/>
                <w:sz w:val="18"/>
                <w:szCs w:val="18"/>
              </w:rPr>
              <w:t>Non-invasive (including high flow nasal cannula support), invasive mechanical ventilation, extracorporeal membrane oxygenation, inotrope or vasopressor support, renal replacement therapy).</w:t>
            </w:r>
          </w:p>
          <w:p w14:paraId="520D8A1E" w14:textId="77777777" w:rsidR="00506707" w:rsidRDefault="00506707"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E5A6F">
              <w:rPr>
                <w:rFonts w:ascii="Arial" w:hAnsi="Arial" w:cs="Arial"/>
                <w:sz w:val="18"/>
                <w:szCs w:val="18"/>
              </w:rPr>
              <w:t xml:space="preserve">ICU-level support including care offered within ICU as well as organ-support offered in non-ICU settings. </w:t>
            </w:r>
          </w:p>
          <w:p w14:paraId="1083102A" w14:textId="0E6BA109" w:rsidR="0055257B" w:rsidRPr="002E5A6F" w:rsidRDefault="0055257B"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618F56F9" w14:textId="77777777" w:rsidR="00BB6FF6" w:rsidRDefault="00BB6FF6">
      <w:pPr>
        <w:rPr>
          <w:rFonts w:ascii="Arial" w:hAnsi="Arial" w:cs="Arial"/>
          <w:b/>
          <w:bCs/>
        </w:rPr>
      </w:pPr>
    </w:p>
    <w:p w14:paraId="3FEAE831" w14:textId="77777777" w:rsidR="00F17022" w:rsidRDefault="00F17022">
      <w:pPr>
        <w:rPr>
          <w:rFonts w:ascii="Arial" w:hAnsi="Arial" w:cs="Arial"/>
          <w:b/>
          <w:bCs/>
        </w:rPr>
      </w:pPr>
    </w:p>
    <w:p w14:paraId="24C72245" w14:textId="77777777" w:rsidR="00F17022" w:rsidRDefault="00F17022">
      <w:pPr>
        <w:rPr>
          <w:rFonts w:ascii="Arial" w:hAnsi="Arial" w:cs="Arial"/>
          <w:b/>
          <w:bCs/>
        </w:rPr>
      </w:pPr>
    </w:p>
    <w:p w14:paraId="242A4F3C" w14:textId="77777777" w:rsidR="00F17022" w:rsidRDefault="00F17022">
      <w:pPr>
        <w:rPr>
          <w:rFonts w:ascii="Arial" w:hAnsi="Arial" w:cs="Arial"/>
          <w:b/>
          <w:bCs/>
        </w:rPr>
      </w:pPr>
    </w:p>
    <w:p w14:paraId="66CC4F4D" w14:textId="77777777" w:rsidR="000F3727" w:rsidRDefault="000F3727">
      <w:pPr>
        <w:rPr>
          <w:rFonts w:ascii="Arial" w:hAnsi="Arial" w:cs="Arial"/>
          <w:b/>
          <w:bCs/>
        </w:rPr>
      </w:pPr>
    </w:p>
    <w:p w14:paraId="1425A54F" w14:textId="77777777" w:rsidR="000F3727" w:rsidRDefault="000F3727">
      <w:pPr>
        <w:rPr>
          <w:rFonts w:ascii="Arial" w:hAnsi="Arial" w:cs="Arial"/>
          <w:b/>
          <w:bCs/>
        </w:rPr>
      </w:pPr>
    </w:p>
    <w:p w14:paraId="4FF5D237" w14:textId="77777777" w:rsidR="000F3727" w:rsidRDefault="000F3727">
      <w:pPr>
        <w:rPr>
          <w:rFonts w:ascii="Arial" w:hAnsi="Arial" w:cs="Arial"/>
          <w:b/>
          <w:bCs/>
        </w:rPr>
      </w:pPr>
    </w:p>
    <w:p w14:paraId="0753E68F" w14:textId="77777777" w:rsidR="000F3727" w:rsidRDefault="000F3727">
      <w:pPr>
        <w:rPr>
          <w:rFonts w:ascii="Arial" w:hAnsi="Arial" w:cs="Arial"/>
          <w:b/>
          <w:bCs/>
        </w:rPr>
      </w:pPr>
    </w:p>
    <w:p w14:paraId="54DCE5D6" w14:textId="77777777" w:rsidR="000F3727" w:rsidRDefault="000F3727">
      <w:pPr>
        <w:rPr>
          <w:rFonts w:ascii="Arial" w:hAnsi="Arial" w:cs="Arial"/>
          <w:b/>
          <w:bCs/>
        </w:rPr>
      </w:pPr>
    </w:p>
    <w:p w14:paraId="36EE50C4" w14:textId="77777777" w:rsidR="000F3727" w:rsidRDefault="000F3727">
      <w:pPr>
        <w:rPr>
          <w:rFonts w:ascii="Arial" w:hAnsi="Arial" w:cs="Arial"/>
          <w:b/>
          <w:bCs/>
        </w:rPr>
      </w:pPr>
    </w:p>
    <w:p w14:paraId="00C5B423" w14:textId="77777777" w:rsidR="000F3727" w:rsidRDefault="000F3727">
      <w:pPr>
        <w:rPr>
          <w:rFonts w:ascii="Arial" w:hAnsi="Arial" w:cs="Arial"/>
          <w:b/>
          <w:bCs/>
        </w:rPr>
      </w:pPr>
    </w:p>
    <w:p w14:paraId="3EA6CDA2" w14:textId="77777777" w:rsidR="00F17022" w:rsidRDefault="00F17022">
      <w:pPr>
        <w:rPr>
          <w:rFonts w:ascii="Arial" w:hAnsi="Arial" w:cs="Arial"/>
          <w:b/>
          <w:bCs/>
        </w:rPr>
      </w:pPr>
    </w:p>
    <w:p w14:paraId="4499E2A0" w14:textId="77777777" w:rsidR="00F17022" w:rsidRDefault="00F17022">
      <w:pPr>
        <w:rPr>
          <w:rFonts w:ascii="Arial" w:hAnsi="Arial" w:cs="Arial"/>
          <w:b/>
          <w:bCs/>
        </w:rPr>
      </w:pPr>
    </w:p>
    <w:p w14:paraId="07D59448" w14:textId="77777777" w:rsidR="00F17022" w:rsidRDefault="00F17022">
      <w:pPr>
        <w:rPr>
          <w:rFonts w:ascii="Arial" w:hAnsi="Arial" w:cs="Arial"/>
          <w:b/>
          <w:bCs/>
        </w:rPr>
      </w:pPr>
    </w:p>
    <w:p w14:paraId="31DA2262" w14:textId="77777777" w:rsidR="00F17022" w:rsidRDefault="00F17022">
      <w:pPr>
        <w:rPr>
          <w:rFonts w:ascii="Arial" w:hAnsi="Arial" w:cs="Arial"/>
          <w:b/>
          <w:bCs/>
        </w:rPr>
      </w:pPr>
    </w:p>
    <w:p w14:paraId="19F40E9E" w14:textId="49650725" w:rsidR="00F17022" w:rsidRPr="00C85AAD" w:rsidRDefault="005461D1" w:rsidP="00F17022">
      <w:pPr>
        <w:spacing w:after="0" w:line="360" w:lineRule="auto"/>
        <w:rPr>
          <w:rFonts w:ascii="Arial" w:hAnsi="Arial" w:cs="Arial"/>
          <w:b/>
          <w:bCs/>
        </w:rPr>
      </w:pPr>
      <w:r>
        <w:rPr>
          <w:rFonts w:ascii="Arial" w:hAnsi="Arial" w:cs="Arial"/>
          <w:b/>
          <w:bCs/>
        </w:rPr>
        <w:lastRenderedPageBreak/>
        <w:t xml:space="preserve">Supplementary </w:t>
      </w:r>
      <w:r w:rsidR="00F17022" w:rsidRPr="00C85AAD">
        <w:rPr>
          <w:rFonts w:ascii="Arial" w:hAnsi="Arial" w:cs="Arial"/>
          <w:b/>
          <w:bCs/>
        </w:rPr>
        <w:t xml:space="preserve">Table </w:t>
      </w:r>
      <w:r w:rsidR="00F17022">
        <w:rPr>
          <w:rFonts w:ascii="Arial" w:hAnsi="Arial" w:cs="Arial"/>
          <w:b/>
          <w:bCs/>
        </w:rPr>
        <w:t>S2</w:t>
      </w:r>
      <w:r w:rsidR="00F17022" w:rsidRPr="00C85AAD">
        <w:rPr>
          <w:rFonts w:ascii="Arial" w:hAnsi="Arial" w:cs="Arial"/>
          <w:b/>
          <w:bCs/>
        </w:rPr>
        <w:t>. Search terms</w:t>
      </w:r>
      <w:r w:rsidR="00F17022">
        <w:rPr>
          <w:rFonts w:ascii="Arial" w:hAnsi="Arial" w:cs="Arial"/>
          <w:b/>
          <w:bCs/>
        </w:rPr>
        <w:t>,</w:t>
      </w:r>
      <w:r w:rsidR="00F17022" w:rsidRPr="00C85AAD">
        <w:rPr>
          <w:rFonts w:ascii="Arial" w:hAnsi="Arial" w:cs="Arial"/>
          <w:b/>
          <w:bCs/>
        </w:rPr>
        <w:t xml:space="preserve"> </w:t>
      </w:r>
      <w:r w:rsidR="00F17022">
        <w:rPr>
          <w:rFonts w:ascii="Arial" w:hAnsi="Arial" w:cs="Arial"/>
          <w:b/>
          <w:bCs/>
        </w:rPr>
        <w:t xml:space="preserve">as used in </w:t>
      </w:r>
      <w:proofErr w:type="spellStart"/>
      <w:r w:rsidR="00F17022">
        <w:rPr>
          <w:rFonts w:ascii="Arial" w:hAnsi="Arial" w:cs="Arial"/>
          <w:b/>
          <w:bCs/>
        </w:rPr>
        <w:t>Pubmed</w:t>
      </w:r>
      <w:proofErr w:type="spellEnd"/>
      <w:r w:rsidR="00F17022">
        <w:rPr>
          <w:rFonts w:ascii="Arial" w:hAnsi="Arial" w:cs="Arial"/>
          <w:b/>
          <w:bCs/>
        </w:rPr>
        <w:t xml:space="preserve"> and adapted for use on other platforms</w:t>
      </w:r>
    </w:p>
    <w:tbl>
      <w:tblPr>
        <w:tblStyle w:val="PlainTable4"/>
        <w:tblW w:w="5000" w:type="pct"/>
        <w:tblBorders>
          <w:insideH w:val="single" w:sz="4" w:space="0" w:color="auto"/>
        </w:tblBorders>
        <w:tblLook w:val="04A0" w:firstRow="1" w:lastRow="0" w:firstColumn="1" w:lastColumn="0" w:noHBand="0" w:noVBand="1"/>
      </w:tblPr>
      <w:tblGrid>
        <w:gridCol w:w="1204"/>
        <w:gridCol w:w="9262"/>
      </w:tblGrid>
      <w:tr w:rsidR="00F17022" w:rsidRPr="00177B6B" w14:paraId="21B7B5F4" w14:textId="77777777" w:rsidTr="00D94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2E1760D"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Search query</w:t>
            </w:r>
          </w:p>
        </w:tc>
        <w:tc>
          <w:tcPr>
            <w:tcW w:w="4425" w:type="pct"/>
          </w:tcPr>
          <w:p w14:paraId="5E7AA278" w14:textId="77777777" w:rsidR="00F17022" w:rsidRPr="00177B6B" w:rsidRDefault="00F17022"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77B6B">
              <w:rPr>
                <w:rFonts w:ascii="Arial" w:hAnsi="Arial" w:cs="Arial"/>
                <w:sz w:val="18"/>
                <w:szCs w:val="18"/>
              </w:rPr>
              <w:t>Terms</w:t>
            </w:r>
          </w:p>
        </w:tc>
      </w:tr>
      <w:tr w:rsidR="00F17022" w:rsidRPr="00177B6B" w14:paraId="6B3EA268" w14:textId="77777777" w:rsidTr="00D94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1FCC1BBF"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#1</w:t>
            </w:r>
          </w:p>
        </w:tc>
        <w:tc>
          <w:tcPr>
            <w:tcW w:w="4425" w:type="pct"/>
          </w:tcPr>
          <w:p w14:paraId="0A792E0F" w14:textId="77777777" w:rsidR="00F17022" w:rsidRDefault="00F17022"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7B6B">
              <w:rPr>
                <w:rFonts w:ascii="Arial" w:hAnsi="Arial" w:cs="Arial"/>
                <w:sz w:val="18"/>
                <w:szCs w:val="18"/>
              </w:rPr>
              <w:t>Anticoagulation OR anticoagulant OR Thromboprophylaxis OR Antithrombotic OR Anti-thrombosis</w:t>
            </w:r>
          </w:p>
          <w:p w14:paraId="74513A83" w14:textId="336D7DA0" w:rsidR="0055257B" w:rsidRPr="00177B6B" w:rsidRDefault="0055257B"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17022" w:rsidRPr="00177B6B" w14:paraId="104EF14A" w14:textId="77777777" w:rsidTr="00D94547">
        <w:tc>
          <w:tcPr>
            <w:cnfStyle w:val="001000000000" w:firstRow="0" w:lastRow="0" w:firstColumn="1" w:lastColumn="0" w:oddVBand="0" w:evenVBand="0" w:oddHBand="0" w:evenHBand="0" w:firstRowFirstColumn="0" w:firstRowLastColumn="0" w:lastRowFirstColumn="0" w:lastRowLastColumn="0"/>
            <w:tcW w:w="575" w:type="pct"/>
          </w:tcPr>
          <w:p w14:paraId="5CE9627F"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#2</w:t>
            </w:r>
          </w:p>
        </w:tc>
        <w:tc>
          <w:tcPr>
            <w:tcW w:w="4425" w:type="pct"/>
          </w:tcPr>
          <w:p w14:paraId="27947591" w14:textId="77777777" w:rsidR="00F17022" w:rsidRDefault="00F17022"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177B6B">
              <w:rPr>
                <w:rFonts w:ascii="Arial" w:hAnsi="Arial" w:cs="Arial"/>
                <w:sz w:val="18"/>
                <w:szCs w:val="18"/>
              </w:rPr>
              <w:t xml:space="preserve">heparin OR UFH OR “unfractionated-heparin” OR LMWH OR “low molecular weight heparin” OR </w:t>
            </w:r>
            <w:proofErr w:type="spellStart"/>
            <w:r w:rsidRPr="00177B6B">
              <w:rPr>
                <w:rFonts w:ascii="Arial" w:hAnsi="Arial" w:cs="Arial"/>
                <w:sz w:val="18"/>
                <w:szCs w:val="18"/>
              </w:rPr>
              <w:t>dalteparin</w:t>
            </w:r>
            <w:proofErr w:type="spellEnd"/>
            <w:r w:rsidRPr="00177B6B">
              <w:rPr>
                <w:rFonts w:ascii="Arial" w:hAnsi="Arial" w:cs="Arial"/>
                <w:sz w:val="18"/>
                <w:szCs w:val="18"/>
              </w:rPr>
              <w:t xml:space="preserve"> OR enoxaparin OR nadroparin OR tinzaparin OR </w:t>
            </w:r>
            <w:proofErr w:type="spellStart"/>
            <w:r w:rsidRPr="00177B6B">
              <w:rPr>
                <w:rFonts w:ascii="Arial" w:hAnsi="Arial" w:cs="Arial"/>
                <w:sz w:val="18"/>
                <w:szCs w:val="18"/>
              </w:rPr>
              <w:t>bemiparin</w:t>
            </w:r>
            <w:proofErr w:type="spellEnd"/>
            <w:r w:rsidRPr="00177B6B">
              <w:rPr>
                <w:rFonts w:ascii="Arial" w:hAnsi="Arial" w:cs="Arial"/>
                <w:sz w:val="18"/>
                <w:szCs w:val="18"/>
              </w:rPr>
              <w:t xml:space="preserve"> OR certoparin OR parnaparin OR reviparin OR “indirect factor </w:t>
            </w:r>
            <w:proofErr w:type="spellStart"/>
            <w:r w:rsidRPr="00177B6B">
              <w:rPr>
                <w:rFonts w:ascii="Arial" w:hAnsi="Arial" w:cs="Arial"/>
                <w:sz w:val="18"/>
                <w:szCs w:val="18"/>
              </w:rPr>
              <w:t>Xa</w:t>
            </w:r>
            <w:proofErr w:type="spellEnd"/>
            <w:r w:rsidRPr="00177B6B">
              <w:rPr>
                <w:rFonts w:ascii="Arial" w:hAnsi="Arial" w:cs="Arial"/>
                <w:sz w:val="18"/>
                <w:szCs w:val="18"/>
              </w:rPr>
              <w:t xml:space="preserve"> inhibitor” OR </w:t>
            </w:r>
            <w:r w:rsidRPr="00177B6B">
              <w:rPr>
                <w:rFonts w:ascii="Arial" w:hAnsi="Arial" w:cs="Arial"/>
                <w:color w:val="000000"/>
                <w:sz w:val="18"/>
                <w:szCs w:val="18"/>
              </w:rPr>
              <w:t>fondaparinux OR</w:t>
            </w:r>
            <w:r w:rsidRPr="00177B6B">
              <w:rPr>
                <w:rFonts w:ascii="Arial" w:hAnsi="Arial" w:cs="Arial"/>
                <w:sz w:val="18"/>
                <w:szCs w:val="18"/>
              </w:rPr>
              <w:t xml:space="preserve"> heparinoids OR </w:t>
            </w:r>
            <w:proofErr w:type="spellStart"/>
            <w:r w:rsidRPr="00177B6B">
              <w:rPr>
                <w:rFonts w:ascii="Arial" w:hAnsi="Arial" w:cs="Arial"/>
                <w:color w:val="000000"/>
                <w:sz w:val="18"/>
                <w:szCs w:val="18"/>
              </w:rPr>
              <w:t>sulodexide</w:t>
            </w:r>
            <w:proofErr w:type="spellEnd"/>
            <w:r w:rsidRPr="00177B6B">
              <w:rPr>
                <w:rFonts w:ascii="Arial" w:hAnsi="Arial" w:cs="Arial"/>
                <w:color w:val="000000"/>
                <w:sz w:val="18"/>
                <w:szCs w:val="18"/>
              </w:rPr>
              <w:t xml:space="preserve"> OR </w:t>
            </w:r>
            <w:proofErr w:type="spellStart"/>
            <w:r w:rsidRPr="00177B6B">
              <w:rPr>
                <w:rFonts w:ascii="Arial" w:hAnsi="Arial" w:cs="Arial"/>
                <w:color w:val="000000"/>
                <w:sz w:val="18"/>
                <w:szCs w:val="18"/>
              </w:rPr>
              <w:t>dociparstat</w:t>
            </w:r>
            <w:proofErr w:type="spellEnd"/>
            <w:r w:rsidRPr="00177B6B">
              <w:rPr>
                <w:rFonts w:ascii="Arial" w:hAnsi="Arial" w:cs="Arial"/>
                <w:color w:val="000000"/>
                <w:sz w:val="18"/>
                <w:szCs w:val="18"/>
              </w:rPr>
              <w:t xml:space="preserve"> OR </w:t>
            </w:r>
            <w:proofErr w:type="spellStart"/>
            <w:r w:rsidRPr="00177B6B">
              <w:rPr>
                <w:rFonts w:ascii="Arial" w:hAnsi="Arial" w:cs="Arial"/>
                <w:color w:val="000000"/>
                <w:sz w:val="18"/>
                <w:szCs w:val="18"/>
              </w:rPr>
              <w:t>nafamostat</w:t>
            </w:r>
            <w:proofErr w:type="spellEnd"/>
            <w:r w:rsidRPr="00177B6B">
              <w:rPr>
                <w:rFonts w:ascii="Arial" w:hAnsi="Arial" w:cs="Arial"/>
                <w:color w:val="000000"/>
                <w:sz w:val="18"/>
                <w:szCs w:val="18"/>
              </w:rPr>
              <w:t xml:space="preserve"> OR </w:t>
            </w:r>
            <w:r w:rsidRPr="00177B6B">
              <w:rPr>
                <w:rFonts w:ascii="Arial" w:hAnsi="Arial" w:cs="Arial"/>
                <w:sz w:val="18"/>
                <w:szCs w:val="18"/>
              </w:rPr>
              <w:t>NOAC OR DOAC OR “direct oral anticoagulant” OR “novel oral anticoagulant” OR “</w:t>
            </w:r>
            <w:r w:rsidRPr="00177B6B">
              <w:rPr>
                <w:rFonts w:ascii="Arial" w:hAnsi="Arial" w:cs="Arial"/>
                <w:sz w:val="18"/>
                <w:szCs w:val="18"/>
                <w:shd w:val="clear" w:color="auto" w:fill="FFFFFF"/>
              </w:rPr>
              <w:t xml:space="preserve">non-vitamin K antagonist oral anticoagulant” OR </w:t>
            </w:r>
            <w:r w:rsidRPr="00177B6B">
              <w:rPr>
                <w:rFonts w:ascii="Arial" w:hAnsi="Arial" w:cs="Arial"/>
                <w:sz w:val="18"/>
                <w:szCs w:val="18"/>
              </w:rPr>
              <w:t xml:space="preserve">“direct factor </w:t>
            </w:r>
            <w:proofErr w:type="spellStart"/>
            <w:r w:rsidRPr="00177B6B">
              <w:rPr>
                <w:rFonts w:ascii="Arial" w:hAnsi="Arial" w:cs="Arial"/>
                <w:sz w:val="18"/>
                <w:szCs w:val="18"/>
              </w:rPr>
              <w:t>Xa</w:t>
            </w:r>
            <w:proofErr w:type="spellEnd"/>
            <w:r w:rsidRPr="00177B6B">
              <w:rPr>
                <w:rFonts w:ascii="Arial" w:hAnsi="Arial" w:cs="Arial"/>
                <w:sz w:val="18"/>
                <w:szCs w:val="18"/>
              </w:rPr>
              <w:t xml:space="preserve"> inhibitor” OR apixaban OR rivaroxaban OR </w:t>
            </w:r>
            <w:proofErr w:type="spellStart"/>
            <w:r w:rsidRPr="00177B6B">
              <w:rPr>
                <w:rFonts w:ascii="Arial" w:hAnsi="Arial" w:cs="Arial"/>
                <w:sz w:val="18"/>
                <w:szCs w:val="18"/>
              </w:rPr>
              <w:t>edoxaban</w:t>
            </w:r>
            <w:proofErr w:type="spellEnd"/>
            <w:r w:rsidRPr="00177B6B">
              <w:rPr>
                <w:rFonts w:ascii="Arial" w:hAnsi="Arial" w:cs="Arial"/>
                <w:sz w:val="18"/>
                <w:szCs w:val="18"/>
              </w:rPr>
              <w:t xml:space="preserve"> OR betrixaban OR “parenteral direct thrombin inhibitor” OR DTI OR “direct thrombin inhibitor” OR dabigatran OR bivalirudin OR </w:t>
            </w:r>
            <w:proofErr w:type="spellStart"/>
            <w:r w:rsidRPr="00177B6B">
              <w:rPr>
                <w:rFonts w:ascii="Arial" w:hAnsi="Arial" w:cs="Arial"/>
                <w:sz w:val="18"/>
                <w:szCs w:val="18"/>
              </w:rPr>
              <w:t>argatroban</w:t>
            </w:r>
            <w:proofErr w:type="spellEnd"/>
            <w:r w:rsidRPr="00177B6B">
              <w:rPr>
                <w:rFonts w:ascii="Arial" w:hAnsi="Arial" w:cs="Arial"/>
                <w:sz w:val="18"/>
                <w:szCs w:val="18"/>
              </w:rPr>
              <w:t xml:space="preserve"> OR “</w:t>
            </w:r>
            <w:r w:rsidRPr="00177B6B">
              <w:rPr>
                <w:rFonts w:ascii="Arial" w:hAnsi="Arial" w:cs="Arial"/>
                <w:sz w:val="18"/>
                <w:szCs w:val="18"/>
                <w:shd w:val="clear" w:color="auto" w:fill="FFFFFF"/>
              </w:rPr>
              <w:t>target-specific oral anticoagulant” OR TSOAC OR “oral direct inhibitor” OR ODI</w:t>
            </w:r>
          </w:p>
          <w:p w14:paraId="00747F94" w14:textId="65E89B23" w:rsidR="0055257B" w:rsidRPr="00177B6B" w:rsidRDefault="0055257B"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17022" w:rsidRPr="00177B6B" w14:paraId="13D32D42" w14:textId="77777777" w:rsidTr="00D94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F8B50EB"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#3</w:t>
            </w:r>
          </w:p>
        </w:tc>
        <w:tc>
          <w:tcPr>
            <w:tcW w:w="4425" w:type="pct"/>
          </w:tcPr>
          <w:p w14:paraId="5EAC0CB7" w14:textId="77777777" w:rsidR="00F17022" w:rsidRPr="00177B6B" w:rsidRDefault="00F17022"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177B6B">
              <w:rPr>
                <w:rFonts w:ascii="Arial" w:hAnsi="Arial" w:cs="Arial"/>
                <w:sz w:val="18"/>
                <w:szCs w:val="18"/>
              </w:rPr>
              <w:t>Betacoronavirus</w:t>
            </w:r>
            <w:proofErr w:type="spellEnd"/>
            <w:r w:rsidRPr="00177B6B">
              <w:rPr>
                <w:rFonts w:ascii="Arial" w:hAnsi="Arial" w:cs="Arial"/>
                <w:sz w:val="18"/>
                <w:szCs w:val="18"/>
              </w:rPr>
              <w:t xml:space="preserve"> OR “Corona Virus” OR “Corona Viruses” OR Coronavirus OR COVID OR “coronavirus disease-2019” OR “coronavirus 2019” OR COVID19 OR covid-19 OR “</w:t>
            </w:r>
            <w:r w:rsidRPr="00177B6B">
              <w:rPr>
                <w:rStyle w:val="fontstyle21"/>
                <w:rFonts w:ascii="Arial" w:hAnsi="Arial" w:cs="Arial"/>
              </w:rPr>
              <w:t>2019 novel coronavirus infection” OR “2019 novel coronavirus disease” OR “2019-nCoV disease”</w:t>
            </w:r>
          </w:p>
          <w:p w14:paraId="0970B9A0" w14:textId="77777777" w:rsidR="00F17022" w:rsidRPr="00177B6B" w:rsidRDefault="00F17022"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7B6B">
              <w:rPr>
                <w:rFonts w:ascii="Arial" w:hAnsi="Arial" w:cs="Arial"/>
                <w:sz w:val="18"/>
                <w:szCs w:val="18"/>
              </w:rPr>
              <w:t xml:space="preserve">OR </w:t>
            </w:r>
            <w:proofErr w:type="spellStart"/>
            <w:r w:rsidRPr="00177B6B">
              <w:rPr>
                <w:rFonts w:ascii="Arial" w:hAnsi="Arial" w:cs="Arial"/>
                <w:sz w:val="18"/>
                <w:szCs w:val="18"/>
              </w:rPr>
              <w:t>CoV</w:t>
            </w:r>
            <w:proofErr w:type="spellEnd"/>
            <w:r w:rsidRPr="00177B6B">
              <w:rPr>
                <w:rFonts w:ascii="Arial" w:hAnsi="Arial" w:cs="Arial"/>
                <w:sz w:val="18"/>
                <w:szCs w:val="18"/>
              </w:rPr>
              <w:t xml:space="preserve"> OR CoV2 OR HCoV-19 OR </w:t>
            </w:r>
            <w:proofErr w:type="spellStart"/>
            <w:r w:rsidRPr="00177B6B">
              <w:rPr>
                <w:rFonts w:ascii="Arial" w:hAnsi="Arial" w:cs="Arial"/>
                <w:sz w:val="18"/>
                <w:szCs w:val="18"/>
              </w:rPr>
              <w:t>nCoV</w:t>
            </w:r>
            <w:proofErr w:type="spellEnd"/>
            <w:r w:rsidRPr="00177B6B">
              <w:rPr>
                <w:rFonts w:ascii="Arial" w:hAnsi="Arial" w:cs="Arial"/>
                <w:sz w:val="18"/>
                <w:szCs w:val="18"/>
              </w:rPr>
              <w:t xml:space="preserve"> OR 2019nCoV</w:t>
            </w:r>
          </w:p>
          <w:p w14:paraId="102F0AEC" w14:textId="77777777" w:rsidR="00F17022" w:rsidRDefault="00F17022"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7B6B">
              <w:rPr>
                <w:rFonts w:ascii="Arial" w:hAnsi="Arial" w:cs="Arial"/>
                <w:sz w:val="18"/>
                <w:szCs w:val="18"/>
              </w:rPr>
              <w:t xml:space="preserve">OR “severe acute respiratory syndrome </w:t>
            </w:r>
            <w:proofErr w:type="spellStart"/>
            <w:r w:rsidRPr="00177B6B">
              <w:rPr>
                <w:rFonts w:ascii="Arial" w:hAnsi="Arial" w:cs="Arial"/>
                <w:sz w:val="18"/>
                <w:szCs w:val="18"/>
              </w:rPr>
              <w:t>CoV</w:t>
            </w:r>
            <w:proofErr w:type="spellEnd"/>
            <w:r w:rsidRPr="00177B6B">
              <w:rPr>
                <w:rFonts w:ascii="Arial" w:hAnsi="Arial" w:cs="Arial"/>
                <w:sz w:val="18"/>
                <w:szCs w:val="18"/>
              </w:rPr>
              <w:t xml:space="preserve">” OR “severe acute respiratory syndrome coronavirus 2” OR “SARS </w:t>
            </w:r>
            <w:proofErr w:type="spellStart"/>
            <w:r w:rsidRPr="00177B6B">
              <w:rPr>
                <w:rFonts w:ascii="Arial" w:hAnsi="Arial" w:cs="Arial"/>
                <w:sz w:val="18"/>
                <w:szCs w:val="18"/>
              </w:rPr>
              <w:t>CoV</w:t>
            </w:r>
            <w:proofErr w:type="spellEnd"/>
            <w:r w:rsidRPr="00177B6B">
              <w:rPr>
                <w:rFonts w:ascii="Arial" w:hAnsi="Arial" w:cs="Arial"/>
                <w:sz w:val="18"/>
                <w:szCs w:val="18"/>
              </w:rPr>
              <w:t xml:space="preserve"> 2” OR </w:t>
            </w:r>
            <w:proofErr w:type="spellStart"/>
            <w:r w:rsidRPr="00177B6B">
              <w:rPr>
                <w:rFonts w:ascii="Arial" w:hAnsi="Arial" w:cs="Arial"/>
                <w:sz w:val="18"/>
                <w:szCs w:val="18"/>
              </w:rPr>
              <w:t>SARSCoV</w:t>
            </w:r>
            <w:proofErr w:type="spellEnd"/>
            <w:r w:rsidRPr="00177B6B">
              <w:rPr>
                <w:rFonts w:ascii="Arial" w:hAnsi="Arial" w:cs="Arial"/>
                <w:sz w:val="18"/>
                <w:szCs w:val="18"/>
              </w:rPr>
              <w:t xml:space="preserve"> OR SARS-</w:t>
            </w:r>
            <w:proofErr w:type="spellStart"/>
            <w:r w:rsidRPr="00177B6B">
              <w:rPr>
                <w:rFonts w:ascii="Arial" w:hAnsi="Arial" w:cs="Arial"/>
                <w:sz w:val="18"/>
                <w:szCs w:val="18"/>
              </w:rPr>
              <w:t>CoV</w:t>
            </w:r>
            <w:proofErr w:type="spellEnd"/>
            <w:r w:rsidRPr="00177B6B">
              <w:rPr>
                <w:rFonts w:ascii="Arial" w:hAnsi="Arial" w:cs="Arial"/>
                <w:sz w:val="18"/>
                <w:szCs w:val="18"/>
              </w:rPr>
              <w:t xml:space="preserve"> OR SARS2 OR “Wuhan coronavirus” OR “Wuhan seafood market pneumonia virus”</w:t>
            </w:r>
          </w:p>
          <w:p w14:paraId="448DED3E" w14:textId="056F0C14" w:rsidR="0055257B" w:rsidRPr="00177B6B" w:rsidRDefault="0055257B"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17022" w:rsidRPr="00177B6B" w14:paraId="6BCDBAD2" w14:textId="77777777" w:rsidTr="00D94547">
        <w:tc>
          <w:tcPr>
            <w:cnfStyle w:val="001000000000" w:firstRow="0" w:lastRow="0" w:firstColumn="1" w:lastColumn="0" w:oddVBand="0" w:evenVBand="0" w:oddHBand="0" w:evenHBand="0" w:firstRowFirstColumn="0" w:firstRowLastColumn="0" w:lastRowFirstColumn="0" w:lastRowLastColumn="0"/>
            <w:tcW w:w="575" w:type="pct"/>
          </w:tcPr>
          <w:p w14:paraId="277BE644"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#4</w:t>
            </w:r>
          </w:p>
        </w:tc>
        <w:tc>
          <w:tcPr>
            <w:tcW w:w="4425" w:type="pct"/>
          </w:tcPr>
          <w:p w14:paraId="06644DA2" w14:textId="77777777" w:rsidR="00F17022" w:rsidRDefault="00F17022"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77B6B">
              <w:rPr>
                <w:rFonts w:ascii="Arial" w:hAnsi="Arial" w:cs="Arial"/>
                <w:sz w:val="18"/>
                <w:szCs w:val="18"/>
              </w:rPr>
              <w:t>#1 or #2</w:t>
            </w:r>
          </w:p>
          <w:p w14:paraId="573D7566" w14:textId="77C2C74A" w:rsidR="0055257B" w:rsidRPr="00177B6B" w:rsidRDefault="0055257B"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17022" w:rsidRPr="00177B6B" w14:paraId="5C33351E" w14:textId="77777777" w:rsidTr="00D94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E84F24A"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#5</w:t>
            </w:r>
          </w:p>
        </w:tc>
        <w:tc>
          <w:tcPr>
            <w:tcW w:w="4425" w:type="pct"/>
          </w:tcPr>
          <w:p w14:paraId="7A68A1BC" w14:textId="77777777" w:rsidR="00F17022" w:rsidRDefault="00F17022"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7B6B">
              <w:rPr>
                <w:rFonts w:ascii="Arial" w:hAnsi="Arial" w:cs="Arial"/>
                <w:sz w:val="18"/>
                <w:szCs w:val="18"/>
              </w:rPr>
              <w:t>#4 and #3</w:t>
            </w:r>
          </w:p>
          <w:p w14:paraId="5D4FDF37" w14:textId="5102FB1E" w:rsidR="0055257B" w:rsidRPr="00177B6B" w:rsidRDefault="0055257B"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17022" w:rsidRPr="00177B6B" w14:paraId="08D8C8E0" w14:textId="77777777" w:rsidTr="00D94547">
        <w:tc>
          <w:tcPr>
            <w:cnfStyle w:val="001000000000" w:firstRow="0" w:lastRow="0" w:firstColumn="1" w:lastColumn="0" w:oddVBand="0" w:evenVBand="0" w:oddHBand="0" w:evenHBand="0" w:firstRowFirstColumn="0" w:firstRowLastColumn="0" w:lastRowFirstColumn="0" w:lastRowLastColumn="0"/>
            <w:tcW w:w="575" w:type="pct"/>
          </w:tcPr>
          <w:p w14:paraId="3389AE92" w14:textId="77777777" w:rsidR="00F17022" w:rsidRPr="00177B6B" w:rsidRDefault="00F17022" w:rsidP="00D06226">
            <w:pPr>
              <w:spacing w:line="360" w:lineRule="auto"/>
              <w:rPr>
                <w:rFonts w:ascii="Arial" w:hAnsi="Arial" w:cs="Arial"/>
                <w:sz w:val="18"/>
                <w:szCs w:val="18"/>
              </w:rPr>
            </w:pPr>
            <w:r w:rsidRPr="00177B6B">
              <w:rPr>
                <w:rFonts w:ascii="Arial" w:hAnsi="Arial" w:cs="Arial"/>
                <w:sz w:val="18"/>
                <w:szCs w:val="18"/>
              </w:rPr>
              <w:t xml:space="preserve">Filters applied: </w:t>
            </w:r>
          </w:p>
        </w:tc>
        <w:tc>
          <w:tcPr>
            <w:tcW w:w="4425" w:type="pct"/>
          </w:tcPr>
          <w:p w14:paraId="0E923168" w14:textId="77777777" w:rsidR="00F17022" w:rsidRDefault="00F17022"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77B6B">
              <w:rPr>
                <w:rFonts w:ascii="Arial" w:hAnsi="Arial" w:cs="Arial"/>
                <w:sz w:val="18"/>
                <w:szCs w:val="18"/>
              </w:rPr>
              <w:t xml:space="preserve">Clinical study, Clinical Trial, Comparative Study, Pragmatic Clinical Trial, Randomized Controlled Trial, From 2019/12/1 to </w:t>
            </w:r>
            <w:r w:rsidR="004904BB">
              <w:rPr>
                <w:rFonts w:ascii="Arial" w:hAnsi="Arial" w:cs="Arial"/>
                <w:sz w:val="18"/>
                <w:szCs w:val="18"/>
              </w:rPr>
              <w:t>present</w:t>
            </w:r>
            <w:r w:rsidRPr="00177B6B">
              <w:rPr>
                <w:rFonts w:ascii="Arial" w:hAnsi="Arial" w:cs="Arial"/>
                <w:sz w:val="18"/>
                <w:szCs w:val="18"/>
              </w:rPr>
              <w:t xml:space="preserve">, Humans </w:t>
            </w:r>
          </w:p>
          <w:p w14:paraId="43FAD561" w14:textId="1B11A275" w:rsidR="0055257B" w:rsidRPr="00177B6B" w:rsidRDefault="0055257B"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3685EF1" w14:textId="77777777" w:rsidR="00F17022" w:rsidRDefault="00F17022">
      <w:pPr>
        <w:rPr>
          <w:rFonts w:ascii="Arial" w:hAnsi="Arial" w:cs="Arial"/>
          <w:b/>
          <w:bCs/>
        </w:rPr>
      </w:pPr>
    </w:p>
    <w:p w14:paraId="392D01F0" w14:textId="77777777" w:rsidR="00F17022" w:rsidRDefault="00F17022">
      <w:pPr>
        <w:rPr>
          <w:rFonts w:ascii="Arial" w:hAnsi="Arial" w:cs="Arial"/>
          <w:b/>
          <w:bCs/>
        </w:rPr>
      </w:pPr>
    </w:p>
    <w:p w14:paraId="15E8AAFB" w14:textId="77777777" w:rsidR="00F17022" w:rsidRDefault="00F17022">
      <w:pPr>
        <w:rPr>
          <w:rFonts w:ascii="Arial" w:hAnsi="Arial" w:cs="Arial"/>
          <w:b/>
          <w:bCs/>
        </w:rPr>
      </w:pPr>
    </w:p>
    <w:p w14:paraId="77FF5C20" w14:textId="77777777" w:rsidR="00BB6FF6" w:rsidRDefault="00BB6FF6">
      <w:pPr>
        <w:rPr>
          <w:rFonts w:ascii="Arial" w:hAnsi="Arial" w:cs="Arial"/>
          <w:b/>
          <w:bCs/>
        </w:rPr>
      </w:pPr>
    </w:p>
    <w:p w14:paraId="7827C6A3" w14:textId="77777777" w:rsidR="00BB6FF6" w:rsidRDefault="00BB6FF6">
      <w:pPr>
        <w:rPr>
          <w:rFonts w:ascii="Arial" w:hAnsi="Arial" w:cs="Arial"/>
          <w:b/>
          <w:bCs/>
        </w:rPr>
      </w:pPr>
    </w:p>
    <w:p w14:paraId="73E74E11" w14:textId="77777777" w:rsidR="00BB6FF6" w:rsidRDefault="00BB6FF6">
      <w:pPr>
        <w:rPr>
          <w:rFonts w:ascii="Arial" w:hAnsi="Arial" w:cs="Arial"/>
          <w:b/>
          <w:bCs/>
        </w:rPr>
      </w:pPr>
    </w:p>
    <w:p w14:paraId="3448A5BE" w14:textId="77777777" w:rsidR="00BB6FF6" w:rsidRDefault="00BB6FF6">
      <w:pPr>
        <w:rPr>
          <w:rFonts w:ascii="Arial" w:hAnsi="Arial" w:cs="Arial"/>
          <w:b/>
          <w:bCs/>
        </w:rPr>
      </w:pPr>
    </w:p>
    <w:p w14:paraId="64D975B3" w14:textId="77777777" w:rsidR="000F3727" w:rsidRDefault="000F3727">
      <w:pPr>
        <w:rPr>
          <w:rFonts w:ascii="Arial" w:hAnsi="Arial" w:cs="Arial"/>
          <w:b/>
          <w:bCs/>
        </w:rPr>
        <w:sectPr w:rsidR="000F3727" w:rsidSect="000F3727">
          <w:pgSz w:w="11906" w:h="16838"/>
          <w:pgMar w:top="720" w:right="720" w:bottom="720" w:left="720" w:header="709" w:footer="709" w:gutter="0"/>
          <w:cols w:space="708"/>
          <w:docGrid w:linePitch="360"/>
        </w:sectPr>
      </w:pPr>
    </w:p>
    <w:p w14:paraId="2937D959" w14:textId="77777777" w:rsidR="00954F16" w:rsidRDefault="00954F16">
      <w:pPr>
        <w:rPr>
          <w:rFonts w:ascii="Arial" w:hAnsi="Arial" w:cs="Arial"/>
          <w:b/>
          <w:bCs/>
        </w:rPr>
      </w:pPr>
    </w:p>
    <w:p w14:paraId="4C67ED1D" w14:textId="0BE58517" w:rsidR="00954F16" w:rsidRPr="00C85AAD" w:rsidRDefault="00954F16" w:rsidP="00954F16">
      <w:pPr>
        <w:spacing w:after="0" w:line="360" w:lineRule="auto"/>
        <w:rPr>
          <w:rFonts w:ascii="Arial" w:hAnsi="Arial" w:cs="Arial"/>
          <w:b/>
          <w:bCs/>
        </w:rPr>
      </w:pPr>
      <w:r>
        <w:rPr>
          <w:rFonts w:ascii="Arial" w:hAnsi="Arial" w:cs="Arial"/>
          <w:b/>
          <w:bCs/>
        </w:rPr>
        <w:t xml:space="preserve">Supplementary </w:t>
      </w:r>
      <w:r w:rsidRPr="00C85AAD">
        <w:rPr>
          <w:rFonts w:ascii="Arial" w:hAnsi="Arial" w:cs="Arial"/>
          <w:b/>
          <w:bCs/>
        </w:rPr>
        <w:t xml:space="preserve">Table </w:t>
      </w:r>
      <w:r>
        <w:rPr>
          <w:rFonts w:ascii="Arial" w:hAnsi="Arial" w:cs="Arial"/>
          <w:b/>
          <w:bCs/>
        </w:rPr>
        <w:t>S3</w:t>
      </w:r>
      <w:r w:rsidRPr="00C85AAD">
        <w:rPr>
          <w:rFonts w:ascii="Arial" w:hAnsi="Arial" w:cs="Arial"/>
          <w:b/>
          <w:bCs/>
        </w:rPr>
        <w:t xml:space="preserve">. </w:t>
      </w:r>
      <w:r>
        <w:rPr>
          <w:rFonts w:ascii="Arial" w:hAnsi="Arial" w:cs="Arial"/>
          <w:b/>
          <w:bCs/>
        </w:rPr>
        <w:t xml:space="preserve">Variables </w:t>
      </w:r>
      <w:r w:rsidRPr="00C85AAD">
        <w:rPr>
          <w:rFonts w:ascii="Arial" w:hAnsi="Arial" w:cs="Arial"/>
          <w:b/>
          <w:bCs/>
        </w:rPr>
        <w:t>extracted from included stud</w:t>
      </w:r>
      <w:r>
        <w:rPr>
          <w:rFonts w:ascii="Arial" w:hAnsi="Arial" w:cs="Arial"/>
          <w:b/>
          <w:bCs/>
        </w:rPr>
        <w:t>ies</w:t>
      </w:r>
    </w:p>
    <w:tbl>
      <w:tblPr>
        <w:tblStyle w:val="PlainTable4"/>
        <w:tblW w:w="0" w:type="auto"/>
        <w:tblBorders>
          <w:insideH w:val="single" w:sz="4" w:space="0" w:color="auto"/>
        </w:tblBorders>
        <w:tblLook w:val="04A0" w:firstRow="1" w:lastRow="0" w:firstColumn="1" w:lastColumn="0" w:noHBand="0" w:noVBand="1"/>
      </w:tblPr>
      <w:tblGrid>
        <w:gridCol w:w="2694"/>
        <w:gridCol w:w="12332"/>
      </w:tblGrid>
      <w:tr w:rsidR="00954F16" w:rsidRPr="00B525D0" w14:paraId="562E4E77" w14:textId="77777777" w:rsidTr="00C14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00466E" w14:textId="77777777" w:rsidR="00954F16" w:rsidRPr="00B525D0" w:rsidRDefault="00954F16" w:rsidP="00D06226">
            <w:pPr>
              <w:spacing w:line="360" w:lineRule="auto"/>
              <w:rPr>
                <w:rFonts w:ascii="Arial" w:hAnsi="Arial" w:cs="Arial"/>
                <w:sz w:val="18"/>
                <w:szCs w:val="18"/>
              </w:rPr>
            </w:pPr>
            <w:r w:rsidRPr="007E755F">
              <w:rPr>
                <w:rFonts w:ascii="Arial" w:hAnsi="Arial" w:cs="Arial"/>
                <w:sz w:val="18"/>
                <w:szCs w:val="18"/>
              </w:rPr>
              <w:t>Study</w:t>
            </w:r>
            <w:r w:rsidRPr="00B525D0">
              <w:rPr>
                <w:rFonts w:ascii="Arial" w:hAnsi="Arial" w:cs="Arial"/>
                <w:sz w:val="18"/>
                <w:szCs w:val="18"/>
              </w:rPr>
              <w:t xml:space="preserve"> details</w:t>
            </w:r>
          </w:p>
        </w:tc>
        <w:tc>
          <w:tcPr>
            <w:tcW w:w="12332" w:type="dxa"/>
          </w:tcPr>
          <w:p w14:paraId="41E39D41" w14:textId="77777777" w:rsidR="00954F16" w:rsidRDefault="00954F16"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525D0">
              <w:rPr>
                <w:rFonts w:ascii="Arial" w:hAnsi="Arial" w:cs="Arial"/>
                <w:b w:val="0"/>
                <w:bCs w:val="0"/>
                <w:sz w:val="18"/>
                <w:szCs w:val="18"/>
              </w:rPr>
              <w:t>Author, year of publication, period of study, setting (outpatient, hospitalised non-ICU, ICU), geographical sites, number of enrolled participants in each arm and attrition details (number taken through to analysis), study question, inclusion, exclusion criteria, follow up period/timing of outcome(s) assessment, Trial registration status</w:t>
            </w:r>
          </w:p>
          <w:p w14:paraId="079ABC16" w14:textId="36179609" w:rsidR="00C14897" w:rsidRPr="00B525D0" w:rsidRDefault="00C14897" w:rsidP="00D0622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954F16" w:rsidRPr="00B525D0" w14:paraId="109EDA6E" w14:textId="77777777" w:rsidTr="00C1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9850718" w14:textId="77777777" w:rsidR="00954F16" w:rsidRPr="00B525D0" w:rsidRDefault="00954F16" w:rsidP="00D06226">
            <w:pPr>
              <w:spacing w:line="360" w:lineRule="auto"/>
              <w:rPr>
                <w:rFonts w:ascii="Arial" w:hAnsi="Arial" w:cs="Arial"/>
                <w:sz w:val="18"/>
                <w:szCs w:val="18"/>
              </w:rPr>
            </w:pPr>
            <w:r w:rsidRPr="00B525D0">
              <w:rPr>
                <w:rFonts w:ascii="Arial" w:hAnsi="Arial" w:cs="Arial"/>
                <w:sz w:val="18"/>
                <w:szCs w:val="18"/>
              </w:rPr>
              <w:t>Participant demographics</w:t>
            </w:r>
            <w:r>
              <w:rPr>
                <w:rFonts w:ascii="Arial" w:hAnsi="Arial" w:cs="Arial"/>
                <w:sz w:val="18"/>
                <w:szCs w:val="18"/>
              </w:rPr>
              <w:t xml:space="preserve"> </w:t>
            </w:r>
          </w:p>
        </w:tc>
        <w:tc>
          <w:tcPr>
            <w:tcW w:w="12332" w:type="dxa"/>
          </w:tcPr>
          <w:p w14:paraId="345CAAD5" w14:textId="77777777" w:rsidR="00954F16" w:rsidRDefault="00954F16" w:rsidP="00EF12E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rPr>
            </w:pPr>
            <w:r w:rsidRPr="00B525D0">
              <w:rPr>
                <w:rFonts w:ascii="Arial" w:hAnsi="Arial" w:cs="Arial"/>
                <w:sz w:val="18"/>
                <w:szCs w:val="18"/>
              </w:rPr>
              <w:t xml:space="preserve">Overall: </w:t>
            </w:r>
            <w:r w:rsidR="00EF12EC">
              <w:rPr>
                <w:rFonts w:ascii="Arial" w:hAnsi="Arial" w:cs="Arial"/>
                <w:sz w:val="18"/>
                <w:szCs w:val="18"/>
              </w:rPr>
              <w:t xml:space="preserve">(1) </w:t>
            </w:r>
            <w:r w:rsidRPr="00B525D0">
              <w:rPr>
                <w:rFonts w:ascii="Arial" w:hAnsi="Arial" w:cs="Arial"/>
                <w:sz w:val="18"/>
                <w:szCs w:val="18"/>
              </w:rPr>
              <w:t>mean/median age, (2) proportion</w:t>
            </w:r>
            <w:r>
              <w:rPr>
                <w:rFonts w:ascii="Arial" w:hAnsi="Arial" w:cs="Arial"/>
                <w:sz w:val="18"/>
                <w:szCs w:val="18"/>
                <w:vertAlign w:val="superscript"/>
              </w:rPr>
              <w:t xml:space="preserve"> </w:t>
            </w:r>
            <w:r w:rsidRPr="00B525D0">
              <w:rPr>
                <w:rFonts w:ascii="Arial" w:hAnsi="Arial" w:cs="Arial"/>
                <w:sz w:val="18"/>
                <w:szCs w:val="18"/>
              </w:rPr>
              <w:t>female</w:t>
            </w:r>
            <w:r w:rsidRPr="00B525D0">
              <w:rPr>
                <w:rFonts w:ascii="Arial" w:hAnsi="Arial" w:cs="Arial"/>
                <w:sz w:val="18"/>
                <w:szCs w:val="18"/>
                <w:lang w:val="en-ZA"/>
              </w:rPr>
              <w:t xml:space="preserve">, (3) mean/median number of days from symptom onset, (4) hospitalisation and covid-19 confirmation to randomisation, (5) proportion with baseline D-dimer concentration unknown, low (&lt;2 </w:t>
            </w:r>
            <w:r>
              <w:rPr>
                <w:rFonts w:ascii="Arial" w:hAnsi="Arial" w:cs="Arial"/>
                <w:sz w:val="18"/>
                <w:szCs w:val="18"/>
                <w:lang w:val="en-ZA"/>
              </w:rPr>
              <w:t>ULN</w:t>
            </w:r>
            <w:r w:rsidRPr="00B525D0">
              <w:rPr>
                <w:rFonts w:ascii="Arial" w:hAnsi="Arial" w:cs="Arial"/>
                <w:sz w:val="18"/>
                <w:szCs w:val="18"/>
                <w:lang w:val="en-ZA"/>
              </w:rPr>
              <w:t xml:space="preserve"> as per local laboratory range), or high (≥ 2 times ULN), mean/median D-dimer, (6) proportion of participants at baseline using concomitant antiviral drugs, antiplatelet, corticosteroid drugs, other immune modulators (</w:t>
            </w:r>
            <w:proofErr w:type="spellStart"/>
            <w:r w:rsidRPr="00B525D0">
              <w:rPr>
                <w:rFonts w:ascii="Arial" w:hAnsi="Arial" w:cs="Arial"/>
                <w:sz w:val="18"/>
                <w:szCs w:val="18"/>
                <w:lang w:val="en-ZA"/>
              </w:rPr>
              <w:t>eg</w:t>
            </w:r>
            <w:proofErr w:type="spellEnd"/>
            <w:r w:rsidRPr="00B525D0">
              <w:rPr>
                <w:rFonts w:ascii="Arial" w:hAnsi="Arial" w:cs="Arial"/>
                <w:sz w:val="18"/>
                <w:szCs w:val="18"/>
                <w:lang w:val="en-ZA"/>
              </w:rPr>
              <w:t>, IL-6 antagonists) (7) mean/median BMI OR proportion with recorded elevated BMI (≥25kg/m</w:t>
            </w:r>
            <w:r w:rsidRPr="00B525D0">
              <w:rPr>
                <w:rFonts w:ascii="Arial" w:hAnsi="Arial" w:cs="Arial"/>
                <w:sz w:val="18"/>
                <w:szCs w:val="18"/>
                <w:vertAlign w:val="superscript"/>
                <w:lang w:val="en-ZA"/>
              </w:rPr>
              <w:t>2</w:t>
            </w:r>
            <w:r w:rsidRPr="00B525D0">
              <w:rPr>
                <w:rFonts w:ascii="Arial" w:hAnsi="Arial" w:cs="Arial"/>
                <w:sz w:val="18"/>
                <w:szCs w:val="18"/>
                <w:lang w:val="en-ZA"/>
              </w:rPr>
              <w:t xml:space="preserve">) (8) median/mean number of documented comorbidities OR proportion with documented comorbidities (overall and individually: hypertension, diabetes, hyperlipidaemia, coronary artery disease, obstructive airway disease, heart failure, previous ischaemic cerebrovascular accidents, previous haemorrhagic stroke or venous thromboembolism), (9) baseline disease severity (median APACHE II/SOFA score, proportion requiring organ support </w:t>
            </w:r>
            <w:r w:rsidR="000A0353">
              <w:rPr>
                <w:rFonts w:ascii="Arial" w:hAnsi="Arial" w:cs="Arial"/>
                <w:sz w:val="18"/>
                <w:szCs w:val="18"/>
                <w:lang w:val="en-ZA"/>
              </w:rPr>
              <w:t>[</w:t>
            </w:r>
            <w:r w:rsidRPr="00B525D0">
              <w:rPr>
                <w:rFonts w:ascii="Arial" w:hAnsi="Arial" w:cs="Arial"/>
                <w:sz w:val="18"/>
                <w:szCs w:val="18"/>
                <w:lang w:val="en-ZA"/>
              </w:rPr>
              <w:t>as defined above</w:t>
            </w:r>
            <w:r w:rsidR="000A0353">
              <w:rPr>
                <w:rFonts w:ascii="Arial" w:hAnsi="Arial" w:cs="Arial"/>
                <w:sz w:val="18"/>
                <w:szCs w:val="18"/>
                <w:lang w:val="en-ZA"/>
              </w:rPr>
              <w:t>]</w:t>
            </w:r>
            <w:r w:rsidRPr="00B525D0">
              <w:rPr>
                <w:rFonts w:ascii="Arial" w:hAnsi="Arial" w:cs="Arial"/>
                <w:sz w:val="18"/>
                <w:szCs w:val="18"/>
                <w:lang w:val="en-ZA"/>
              </w:rPr>
              <w:t>, oxygen requirements (median/mean PF ratio, WHO ordinal scale, sO2 &lt; 94%) at time of randomisation/recruitment</w:t>
            </w:r>
            <w:r w:rsidR="000A0353">
              <w:rPr>
                <w:rFonts w:ascii="Arial" w:hAnsi="Arial" w:cs="Arial"/>
                <w:sz w:val="18"/>
                <w:szCs w:val="18"/>
                <w:lang w:val="en-ZA"/>
              </w:rPr>
              <w:t>)</w:t>
            </w:r>
          </w:p>
          <w:p w14:paraId="07DEFD0F" w14:textId="5414931D" w:rsidR="00C14897" w:rsidRPr="00B525D0" w:rsidRDefault="00C14897" w:rsidP="00EF12E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54F16" w:rsidRPr="00B525D0" w14:paraId="441162CE" w14:textId="77777777" w:rsidTr="00C14897">
        <w:tc>
          <w:tcPr>
            <w:cnfStyle w:val="001000000000" w:firstRow="0" w:lastRow="0" w:firstColumn="1" w:lastColumn="0" w:oddVBand="0" w:evenVBand="0" w:oddHBand="0" w:evenHBand="0" w:firstRowFirstColumn="0" w:firstRowLastColumn="0" w:lastRowFirstColumn="0" w:lastRowLastColumn="0"/>
            <w:tcW w:w="2694" w:type="dxa"/>
          </w:tcPr>
          <w:p w14:paraId="392E675B" w14:textId="77777777" w:rsidR="00954F16" w:rsidRPr="00B525D0" w:rsidRDefault="00954F16" w:rsidP="00D06226">
            <w:pPr>
              <w:spacing w:line="360" w:lineRule="auto"/>
              <w:rPr>
                <w:rFonts w:ascii="Arial" w:hAnsi="Arial" w:cs="Arial"/>
                <w:sz w:val="18"/>
                <w:szCs w:val="18"/>
              </w:rPr>
            </w:pPr>
            <w:r w:rsidRPr="00B525D0">
              <w:rPr>
                <w:rFonts w:ascii="Arial" w:hAnsi="Arial" w:cs="Arial"/>
                <w:sz w:val="18"/>
                <w:szCs w:val="18"/>
              </w:rPr>
              <w:t>Intervention and comparator</w:t>
            </w:r>
          </w:p>
        </w:tc>
        <w:tc>
          <w:tcPr>
            <w:tcW w:w="12332" w:type="dxa"/>
          </w:tcPr>
          <w:p w14:paraId="443FED25" w14:textId="513112A8" w:rsidR="00954F16" w:rsidRPr="00B525D0" w:rsidRDefault="00954F16"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25D0">
              <w:rPr>
                <w:rFonts w:ascii="Arial" w:hAnsi="Arial" w:cs="Arial"/>
                <w:sz w:val="18"/>
                <w:szCs w:val="18"/>
              </w:rPr>
              <w:t xml:space="preserve">Intervention and comparator </w:t>
            </w:r>
            <w:r w:rsidR="00181C98">
              <w:rPr>
                <w:rFonts w:ascii="Arial" w:hAnsi="Arial" w:cs="Arial"/>
                <w:sz w:val="18"/>
                <w:szCs w:val="18"/>
              </w:rPr>
              <w:t xml:space="preserve">anticoagulant </w:t>
            </w:r>
            <w:r w:rsidRPr="00B525D0">
              <w:rPr>
                <w:rFonts w:ascii="Arial" w:hAnsi="Arial" w:cs="Arial"/>
                <w:sz w:val="18"/>
                <w:szCs w:val="18"/>
              </w:rPr>
              <w:t>(agent, dose, route, duration)</w:t>
            </w:r>
          </w:p>
          <w:p w14:paraId="63796B2C" w14:textId="77777777" w:rsidR="00954F16" w:rsidRPr="00B525D0" w:rsidRDefault="00954F16"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54F16" w:rsidRPr="00B525D0" w14:paraId="2CA61885" w14:textId="77777777" w:rsidTr="00C1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086149" w14:textId="23CDBD7F" w:rsidR="00954F16" w:rsidRPr="00B525D0" w:rsidRDefault="00954F16" w:rsidP="00D06226">
            <w:pPr>
              <w:spacing w:line="360" w:lineRule="auto"/>
              <w:rPr>
                <w:rFonts w:ascii="Arial" w:hAnsi="Arial" w:cs="Arial"/>
                <w:sz w:val="18"/>
                <w:szCs w:val="18"/>
              </w:rPr>
            </w:pPr>
            <w:r w:rsidRPr="00B525D0">
              <w:rPr>
                <w:rFonts w:ascii="Arial" w:hAnsi="Arial" w:cs="Arial"/>
                <w:sz w:val="18"/>
                <w:szCs w:val="18"/>
              </w:rPr>
              <w:t xml:space="preserve">Efficacy </w:t>
            </w:r>
            <w:proofErr w:type="spellStart"/>
            <w:r w:rsidRPr="00B525D0">
              <w:rPr>
                <w:rFonts w:ascii="Arial" w:hAnsi="Arial" w:cs="Arial"/>
                <w:sz w:val="18"/>
                <w:szCs w:val="18"/>
              </w:rPr>
              <w:t>outcomes</w:t>
            </w:r>
            <w:r w:rsidR="00960D5F" w:rsidRPr="00960D5F">
              <w:rPr>
                <w:rFonts w:ascii="Arial" w:hAnsi="Arial" w:cs="Arial"/>
                <w:sz w:val="18"/>
                <w:szCs w:val="18"/>
                <w:vertAlign w:val="superscript"/>
              </w:rPr>
              <w:t>a</w:t>
            </w:r>
            <w:proofErr w:type="spellEnd"/>
          </w:p>
        </w:tc>
        <w:tc>
          <w:tcPr>
            <w:tcW w:w="12332" w:type="dxa"/>
          </w:tcPr>
          <w:p w14:paraId="5E890F4D" w14:textId="0A017772" w:rsidR="00954F16" w:rsidRPr="00B525D0" w:rsidRDefault="002621AF"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At 30 days</w:t>
            </w:r>
            <w:r w:rsidR="0070731B">
              <w:rPr>
                <w:rFonts w:ascii="Arial" w:hAnsi="Arial" w:cs="Arial"/>
                <w:sz w:val="18"/>
                <w:szCs w:val="18"/>
              </w:rPr>
              <w:t xml:space="preserve"> (or other short-term follow up period, trial defined)</w:t>
            </w:r>
            <w:r w:rsidR="00057EDF">
              <w:rPr>
                <w:rFonts w:ascii="Arial" w:hAnsi="Arial" w:cs="Arial"/>
                <w:sz w:val="18"/>
                <w:szCs w:val="18"/>
              </w:rPr>
              <w:t xml:space="preserve">, </w:t>
            </w:r>
            <w:proofErr w:type="spellStart"/>
            <w:r w:rsidR="00057EDF">
              <w:rPr>
                <w:rFonts w:ascii="Arial" w:hAnsi="Arial" w:cs="Arial"/>
                <w:sz w:val="18"/>
                <w:szCs w:val="18"/>
              </w:rPr>
              <w:t>p</w:t>
            </w:r>
            <w:r w:rsidR="00954F16" w:rsidRPr="00B525D0">
              <w:rPr>
                <w:rFonts w:ascii="Arial" w:hAnsi="Arial" w:cs="Arial"/>
                <w:sz w:val="18"/>
                <w:szCs w:val="18"/>
              </w:rPr>
              <w:t>roportion</w:t>
            </w:r>
            <w:r w:rsidR="00960D5F" w:rsidRPr="00960D5F">
              <w:rPr>
                <w:rFonts w:ascii="Arial" w:hAnsi="Arial" w:cs="Arial"/>
                <w:sz w:val="18"/>
                <w:szCs w:val="18"/>
                <w:vertAlign w:val="superscript"/>
              </w:rPr>
              <w:t>b</w:t>
            </w:r>
            <w:proofErr w:type="spellEnd"/>
            <w:r w:rsidR="00954F16" w:rsidRPr="00B525D0">
              <w:rPr>
                <w:rFonts w:ascii="Arial" w:hAnsi="Arial" w:cs="Arial"/>
                <w:sz w:val="18"/>
                <w:szCs w:val="18"/>
              </w:rPr>
              <w:t xml:space="preserve"> of participants in each intervention and comparator arm with: </w:t>
            </w:r>
          </w:p>
          <w:p w14:paraId="688C51B7" w14:textId="77777777" w:rsidR="0070731B" w:rsidRDefault="00954F16" w:rsidP="005369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5D0">
              <w:rPr>
                <w:rFonts w:ascii="Arial" w:hAnsi="Arial" w:cs="Arial"/>
                <w:sz w:val="18"/>
                <w:szCs w:val="18"/>
              </w:rPr>
              <w:t>(1) any venous thrombosis (2) any arterial thrombosis (3) in-hospital/death (4) any thrombosis (5) confirmed deep venous thrombosis (6) confirmed pulmonary embolism (7) confirmed ischaemic cerebrovascular accident (8) confirmed myocardial infarction (9) confirmed mesenteric is</w:t>
            </w:r>
            <w:r w:rsidR="00BC66A1">
              <w:rPr>
                <w:rFonts w:ascii="Arial" w:hAnsi="Arial" w:cs="Arial"/>
                <w:sz w:val="18"/>
                <w:szCs w:val="18"/>
              </w:rPr>
              <w:t>c</w:t>
            </w:r>
            <w:r w:rsidRPr="00B525D0">
              <w:rPr>
                <w:rFonts w:ascii="Arial" w:hAnsi="Arial" w:cs="Arial"/>
                <w:sz w:val="18"/>
                <w:szCs w:val="18"/>
              </w:rPr>
              <w:t xml:space="preserve">haemia (10) confirmed acute limb ischaemia (11) composite outcome (death or mortality) (12) mean/median duration of supplemental oxygen (13) mean/median duration of hospitalisation (14) mean/median duration of ICU admission (15)  proportion requiring new organ support from baseline (overall and separately) and mean/median number of days requiring organ support: high flow nasal cannula, non-invasive mechanical ventilation, mechanical ventilation, extracorporeal membrane oxygenation, inotrope or vasopressor support, renal replacement therapy) </w:t>
            </w:r>
          </w:p>
          <w:p w14:paraId="4B1CD863" w14:textId="4EA3449E" w:rsidR="00C14897" w:rsidRPr="00B525D0" w:rsidRDefault="00C14897" w:rsidP="005369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54F16" w:rsidRPr="00B525D0" w14:paraId="5695F079" w14:textId="77777777" w:rsidTr="00C14897">
        <w:tc>
          <w:tcPr>
            <w:cnfStyle w:val="001000000000" w:firstRow="0" w:lastRow="0" w:firstColumn="1" w:lastColumn="0" w:oddVBand="0" w:evenVBand="0" w:oddHBand="0" w:evenHBand="0" w:firstRowFirstColumn="0" w:firstRowLastColumn="0" w:lastRowFirstColumn="0" w:lastRowLastColumn="0"/>
            <w:tcW w:w="2694" w:type="dxa"/>
          </w:tcPr>
          <w:p w14:paraId="7B0775E3" w14:textId="0FEB16A7" w:rsidR="00954F16" w:rsidRPr="00B525D0" w:rsidRDefault="00954F16" w:rsidP="00D06226">
            <w:pPr>
              <w:spacing w:line="360" w:lineRule="auto"/>
              <w:rPr>
                <w:rFonts w:ascii="Arial" w:hAnsi="Arial" w:cs="Arial"/>
                <w:sz w:val="18"/>
                <w:szCs w:val="18"/>
              </w:rPr>
            </w:pPr>
            <w:r w:rsidRPr="00B525D0">
              <w:rPr>
                <w:rFonts w:ascii="Arial" w:hAnsi="Arial" w:cs="Arial"/>
                <w:sz w:val="18"/>
                <w:szCs w:val="18"/>
              </w:rPr>
              <w:t xml:space="preserve">Safety </w:t>
            </w:r>
            <w:proofErr w:type="spellStart"/>
            <w:r w:rsidRPr="00B525D0">
              <w:rPr>
                <w:rFonts w:ascii="Arial" w:hAnsi="Arial" w:cs="Arial"/>
                <w:sz w:val="18"/>
                <w:szCs w:val="18"/>
              </w:rPr>
              <w:t>outcomes</w:t>
            </w:r>
            <w:r w:rsidR="00960D5F" w:rsidRPr="00960D5F">
              <w:rPr>
                <w:rFonts w:ascii="Arial" w:hAnsi="Arial" w:cs="Arial"/>
                <w:sz w:val="18"/>
                <w:szCs w:val="18"/>
                <w:vertAlign w:val="superscript"/>
              </w:rPr>
              <w:t>a</w:t>
            </w:r>
            <w:proofErr w:type="spellEnd"/>
          </w:p>
        </w:tc>
        <w:tc>
          <w:tcPr>
            <w:tcW w:w="12332" w:type="dxa"/>
          </w:tcPr>
          <w:p w14:paraId="684281EB" w14:textId="17F294CE" w:rsidR="00954F16" w:rsidRPr="00B525D0" w:rsidRDefault="00BC66A1"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At 30 days (or other short-term follow up period, trial defined), p</w:t>
            </w:r>
            <w:r w:rsidR="00954F16" w:rsidRPr="00B525D0">
              <w:rPr>
                <w:rFonts w:ascii="Arial" w:hAnsi="Arial" w:cs="Arial"/>
                <w:sz w:val="18"/>
                <w:szCs w:val="18"/>
              </w:rPr>
              <w:t>roportion</w:t>
            </w:r>
            <w:r w:rsidR="00A13D0B" w:rsidRPr="00DB2C4B">
              <w:rPr>
                <w:rFonts w:ascii="Arial" w:hAnsi="Arial" w:cs="Arial"/>
                <w:sz w:val="18"/>
                <w:szCs w:val="18"/>
              </w:rPr>
              <w:t>†</w:t>
            </w:r>
            <w:r w:rsidR="00954F16" w:rsidRPr="00B525D0">
              <w:rPr>
                <w:rFonts w:ascii="Arial" w:hAnsi="Arial" w:cs="Arial"/>
                <w:sz w:val="18"/>
                <w:szCs w:val="18"/>
              </w:rPr>
              <w:t xml:space="preserve"> of participants in each intervention and comparator arm with: </w:t>
            </w:r>
          </w:p>
          <w:p w14:paraId="291C3D6D" w14:textId="77777777" w:rsidR="00542C51" w:rsidRDefault="00954F16"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25D0">
              <w:rPr>
                <w:rFonts w:ascii="Arial" w:hAnsi="Arial" w:cs="Arial"/>
                <w:sz w:val="18"/>
                <w:szCs w:val="18"/>
              </w:rPr>
              <w:t>(1) Major (2) non-major but clinically significant bleeding events, (3) any bleeding event</w:t>
            </w:r>
          </w:p>
          <w:p w14:paraId="5A7F0955" w14:textId="6DDBECE7" w:rsidR="00C14897" w:rsidRPr="00B525D0" w:rsidRDefault="00C14897" w:rsidP="00D06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54F16" w:rsidRPr="00B525D0" w14:paraId="64FD0E5C" w14:textId="77777777" w:rsidTr="00C1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372FB1" w14:textId="77777777" w:rsidR="00954F16" w:rsidRPr="00B525D0" w:rsidRDefault="00954F16" w:rsidP="00D06226">
            <w:pPr>
              <w:spacing w:line="360" w:lineRule="auto"/>
              <w:rPr>
                <w:rFonts w:ascii="Arial" w:hAnsi="Arial" w:cs="Arial"/>
                <w:sz w:val="18"/>
                <w:szCs w:val="18"/>
              </w:rPr>
            </w:pPr>
            <w:r w:rsidRPr="00B525D0">
              <w:rPr>
                <w:rFonts w:ascii="Arial" w:hAnsi="Arial" w:cs="Arial"/>
                <w:sz w:val="18"/>
                <w:szCs w:val="18"/>
              </w:rPr>
              <w:t xml:space="preserve">Assessment of bias </w:t>
            </w:r>
          </w:p>
        </w:tc>
        <w:tc>
          <w:tcPr>
            <w:tcW w:w="12332" w:type="dxa"/>
          </w:tcPr>
          <w:p w14:paraId="5BD7FD99" w14:textId="77777777" w:rsidR="00954F16" w:rsidRDefault="00954F16"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5D0">
              <w:rPr>
                <w:rFonts w:ascii="Arial" w:hAnsi="Arial" w:cs="Arial"/>
                <w:sz w:val="18"/>
                <w:szCs w:val="18"/>
              </w:rPr>
              <w:t xml:space="preserve">See details </w:t>
            </w:r>
            <w:r>
              <w:rPr>
                <w:rFonts w:ascii="Arial" w:hAnsi="Arial" w:cs="Arial"/>
                <w:sz w:val="18"/>
                <w:szCs w:val="18"/>
              </w:rPr>
              <w:t>in main text</w:t>
            </w:r>
          </w:p>
          <w:p w14:paraId="4D2D7C0E" w14:textId="3524B246" w:rsidR="00C14897" w:rsidRPr="00B525D0" w:rsidRDefault="00C14897" w:rsidP="00D0622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5B1CC121" w14:textId="0396997C" w:rsidR="00954F16" w:rsidRDefault="00954F16" w:rsidP="00954F16">
      <w:pPr>
        <w:spacing w:after="0" w:line="360" w:lineRule="auto"/>
        <w:rPr>
          <w:rFonts w:ascii="Arial" w:hAnsi="Arial" w:cs="Arial"/>
          <w:sz w:val="18"/>
          <w:szCs w:val="18"/>
        </w:rPr>
      </w:pPr>
      <w:r w:rsidRPr="00D91F83">
        <w:rPr>
          <w:rFonts w:ascii="Arial" w:hAnsi="Arial" w:cs="Arial"/>
          <w:sz w:val="18"/>
          <w:szCs w:val="18"/>
        </w:rPr>
        <w:t xml:space="preserve">APACHE II – Acute Physiology and Chronic Health Evaluation score II, BMI – body mass index, IL-6 – interleukin-6, PF – Partial pressure of arterial oxygen to inspired oxygen ratio, SOFA – Sequential Organ Failure Assessment, S02 – saturation of oxygen, ULN – upper limit of normal, WHO – </w:t>
      </w:r>
      <w:r w:rsidRPr="00625AD1">
        <w:rPr>
          <w:rFonts w:ascii="Arial" w:hAnsi="Arial" w:cs="Arial"/>
          <w:sz w:val="18"/>
          <w:szCs w:val="18"/>
        </w:rPr>
        <w:t xml:space="preserve">World Health Organisation. </w:t>
      </w:r>
      <w:proofErr w:type="spellStart"/>
      <w:r w:rsidR="00A96B5B" w:rsidRPr="00A96B5B">
        <w:rPr>
          <w:rFonts w:ascii="Arial" w:hAnsi="Arial" w:cs="Arial"/>
          <w:sz w:val="18"/>
          <w:szCs w:val="18"/>
          <w:vertAlign w:val="superscript"/>
        </w:rPr>
        <w:t>a</w:t>
      </w:r>
      <w:r w:rsidR="00A96B5B">
        <w:rPr>
          <w:rFonts w:ascii="Arial" w:hAnsi="Arial" w:cs="Arial"/>
          <w:sz w:val="18"/>
          <w:szCs w:val="18"/>
        </w:rPr>
        <w:t>E</w:t>
      </w:r>
      <w:r w:rsidR="00A96B5B" w:rsidRPr="00625AD1">
        <w:rPr>
          <w:rFonts w:ascii="Arial" w:hAnsi="Arial" w:cs="Arial"/>
          <w:sz w:val="18"/>
          <w:szCs w:val="18"/>
        </w:rPr>
        <w:t>mploying</w:t>
      </w:r>
      <w:proofErr w:type="spellEnd"/>
      <w:r w:rsidR="00A96B5B" w:rsidRPr="00D91F83">
        <w:rPr>
          <w:rFonts w:ascii="Arial" w:hAnsi="Arial" w:cs="Arial"/>
          <w:sz w:val="18"/>
          <w:szCs w:val="18"/>
        </w:rPr>
        <w:t xml:space="preserve"> trial-specified definitions for outcomes</w:t>
      </w:r>
      <w:r w:rsidR="00A96B5B" w:rsidRPr="00625AD1">
        <w:rPr>
          <w:rFonts w:ascii="Arial" w:hAnsi="Arial" w:cs="Arial"/>
          <w:sz w:val="18"/>
          <w:szCs w:val="18"/>
        </w:rPr>
        <w:t xml:space="preserve"> </w:t>
      </w:r>
      <w:proofErr w:type="spellStart"/>
      <w:r w:rsidR="00A96B5B" w:rsidRPr="00A96B5B">
        <w:rPr>
          <w:rFonts w:ascii="Arial" w:hAnsi="Arial" w:cs="Arial"/>
          <w:sz w:val="18"/>
          <w:szCs w:val="18"/>
          <w:vertAlign w:val="superscript"/>
        </w:rPr>
        <w:t>b</w:t>
      </w:r>
      <w:r w:rsidR="00884FF3">
        <w:rPr>
          <w:rFonts w:ascii="Arial" w:hAnsi="Arial" w:cs="Arial"/>
          <w:sz w:val="18"/>
          <w:szCs w:val="18"/>
        </w:rPr>
        <w:t>D</w:t>
      </w:r>
      <w:r w:rsidRPr="00625AD1">
        <w:rPr>
          <w:rFonts w:ascii="Arial" w:hAnsi="Arial" w:cs="Arial"/>
          <w:sz w:val="18"/>
          <w:szCs w:val="18"/>
        </w:rPr>
        <w:t>enominator</w:t>
      </w:r>
      <w:proofErr w:type="spellEnd"/>
      <w:r w:rsidRPr="00625AD1">
        <w:rPr>
          <w:rFonts w:ascii="Arial" w:hAnsi="Arial" w:cs="Arial"/>
          <w:sz w:val="18"/>
          <w:szCs w:val="18"/>
        </w:rPr>
        <w:t xml:space="preserve"> for all proportions: as per intention-to-treat analysis</w:t>
      </w:r>
      <w:r w:rsidR="00625AD1" w:rsidRPr="00625AD1">
        <w:rPr>
          <w:rFonts w:ascii="Arial" w:hAnsi="Arial" w:cs="Arial"/>
          <w:sz w:val="18"/>
          <w:szCs w:val="18"/>
        </w:rPr>
        <w:t>; all randomized participants who received at least one dose of assigned treatment</w:t>
      </w:r>
      <w:r w:rsidR="00884FF3">
        <w:rPr>
          <w:rFonts w:ascii="Arial" w:hAnsi="Arial" w:cs="Arial"/>
          <w:sz w:val="18"/>
          <w:szCs w:val="18"/>
        </w:rPr>
        <w:t xml:space="preserve">. </w:t>
      </w:r>
    </w:p>
    <w:p w14:paraId="48B790DA" w14:textId="104A707A" w:rsidR="005D6012" w:rsidRDefault="00C14897">
      <w:pPr>
        <w:rPr>
          <w:rFonts w:ascii="Arial" w:hAnsi="Arial" w:cs="Arial"/>
          <w:b/>
          <w:bCs/>
        </w:rPr>
      </w:pPr>
      <w:r w:rsidRPr="00AF49D9">
        <w:rPr>
          <w:rFonts w:ascii="Arial" w:hAnsi="Arial" w:cs="Arial"/>
          <w:b/>
          <w:bCs/>
        </w:rPr>
        <w:lastRenderedPageBreak/>
        <w:t>Supplementary Table S</w:t>
      </w:r>
      <w:r>
        <w:rPr>
          <w:rFonts w:ascii="Arial" w:hAnsi="Arial" w:cs="Arial"/>
          <w:b/>
          <w:bCs/>
        </w:rPr>
        <w:t>4</w:t>
      </w:r>
      <w:r w:rsidRPr="00AF49D9">
        <w:rPr>
          <w:rFonts w:ascii="Arial" w:hAnsi="Arial" w:cs="Arial"/>
          <w:b/>
          <w:bCs/>
        </w:rPr>
        <w:t>. Included studies</w:t>
      </w:r>
      <w:r>
        <w:rPr>
          <w:rFonts w:ascii="Arial" w:hAnsi="Arial" w:cs="Arial"/>
          <w:b/>
          <w:bCs/>
        </w:rPr>
        <w:t xml:space="preserve">: </w:t>
      </w:r>
      <w:r w:rsidRPr="00AF49D9">
        <w:rPr>
          <w:rFonts w:ascii="Arial" w:hAnsi="Arial" w:cs="Arial"/>
          <w:b/>
          <w:bCs/>
        </w:rPr>
        <w:t>intervention, comparator, enrolment period and setting</w:t>
      </w:r>
    </w:p>
    <w:tbl>
      <w:tblPr>
        <w:tblStyle w:val="PlainTable4"/>
        <w:tblpPr w:leftFromText="180" w:rightFromText="180" w:horzAnchor="margin" w:tblpY="390"/>
        <w:tblW w:w="15412" w:type="dxa"/>
        <w:tblBorders>
          <w:insideH w:val="single" w:sz="4" w:space="0" w:color="auto"/>
        </w:tblBorders>
        <w:tblLook w:val="04A0" w:firstRow="1" w:lastRow="0" w:firstColumn="1" w:lastColumn="0" w:noHBand="0" w:noVBand="1"/>
      </w:tblPr>
      <w:tblGrid>
        <w:gridCol w:w="1957"/>
        <w:gridCol w:w="987"/>
        <w:gridCol w:w="3577"/>
        <w:gridCol w:w="2835"/>
        <w:gridCol w:w="1559"/>
        <w:gridCol w:w="2552"/>
        <w:gridCol w:w="1945"/>
      </w:tblGrid>
      <w:tr w:rsidR="00EB070A" w:rsidRPr="00AF49D9" w14:paraId="279C2A3B" w14:textId="77777777" w:rsidTr="009E07C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57" w:type="dxa"/>
            <w:hideMark/>
          </w:tcPr>
          <w:p w14:paraId="7C6C5083" w14:textId="77777777"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Study (follow up period)</w:t>
            </w:r>
          </w:p>
        </w:tc>
        <w:tc>
          <w:tcPr>
            <w:tcW w:w="987" w:type="dxa"/>
            <w:vAlign w:val="center"/>
          </w:tcPr>
          <w:p w14:paraId="6259BC0E"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sz w:val="18"/>
                <w:szCs w:val="18"/>
              </w:rPr>
              <w:t xml:space="preserve">Sample (ITT analysis) </w:t>
            </w:r>
          </w:p>
        </w:tc>
        <w:tc>
          <w:tcPr>
            <w:tcW w:w="3577" w:type="dxa"/>
            <w:hideMark/>
          </w:tcPr>
          <w:p w14:paraId="279058B4"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Intervention</w:t>
            </w:r>
          </w:p>
        </w:tc>
        <w:tc>
          <w:tcPr>
            <w:tcW w:w="2835" w:type="dxa"/>
            <w:hideMark/>
          </w:tcPr>
          <w:p w14:paraId="67A7AF48"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Comparator</w:t>
            </w:r>
          </w:p>
        </w:tc>
        <w:tc>
          <w:tcPr>
            <w:tcW w:w="1559" w:type="dxa"/>
            <w:hideMark/>
          </w:tcPr>
          <w:p w14:paraId="26FC3859"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Enrolment period</w:t>
            </w:r>
          </w:p>
        </w:tc>
        <w:tc>
          <w:tcPr>
            <w:tcW w:w="2552" w:type="dxa"/>
            <w:hideMark/>
          </w:tcPr>
          <w:p w14:paraId="350A63FB"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Setting</w:t>
            </w:r>
          </w:p>
        </w:tc>
        <w:tc>
          <w:tcPr>
            <w:tcW w:w="1945" w:type="dxa"/>
            <w:hideMark/>
          </w:tcPr>
          <w:p w14:paraId="6AAA701E" w14:textId="77777777" w:rsidR="00BB6FF6" w:rsidRPr="00C14897" w:rsidRDefault="00BB6FF6" w:rsidP="00D0622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Geographic site </w:t>
            </w:r>
          </w:p>
        </w:tc>
      </w:tr>
      <w:tr w:rsidR="00810C9F" w:rsidRPr="00AF49D9" w14:paraId="63BF44AD" w14:textId="77777777" w:rsidTr="009E07C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57" w:type="dxa"/>
            <w:noWrap/>
            <w:hideMark/>
          </w:tcPr>
          <w:p w14:paraId="2D0CF286" w14:textId="2EA9EE97"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INSPIRATION (30 days)</w:t>
            </w:r>
            <w:r w:rsidR="00FF4EC7">
              <w:rPr>
                <w:rFonts w:ascii="Arial" w:eastAsia="Times New Roman" w:hAnsi="Arial" w:cs="Arial"/>
                <w:color w:val="000000"/>
                <w:sz w:val="18"/>
                <w:szCs w:val="18"/>
                <w:lang w:eastAsia="en-GB"/>
              </w:rPr>
              <w:fldChar w:fldCharType="begin" w:fldLock="1"/>
            </w:r>
            <w:r w:rsidR="002630A3">
              <w:rPr>
                <w:rFonts w:ascii="Arial" w:eastAsia="Times New Roman" w:hAnsi="Arial" w:cs="Arial"/>
                <w:color w:val="000000"/>
                <w:sz w:val="18"/>
                <w:szCs w:val="18"/>
                <w:lang w:eastAsia="en-GB"/>
              </w:rPr>
              <w:instrText>ADDIN CSL_CITATION {"citationItems":[{"id":"ITEM-1","itemData":{"DOI":"10.1001/jama.2021.4152","ISSN":"1538-3598 (Electronic)","PMID":"33734299","abstract":"Importance: Thrombotic events are commonly reported in critically ill patients with COVID-19. Limited data exist to guide the intensity of antithrombotic prophylaxis. Objective: To evaluate the effects of intermediate-dose vs standard-dose prophylactic anticoagulation among patients with COVID-19 admitted to the intensive care unit (ICU). Design, Setting, and Participants: Multicenter randomized trial with a 2 × 2 factorial design performed in 10 academic centers in Iran comparing intermediate-dose vs standard-dose prophylactic anticoagulation (first hypothesis) and statin therapy vs matching placebo (second hypothesis; not reported in this article) among adult patients admitted to the ICU with COVID-19. Patients were recruited between July 29, 2020, and November 19, 2020. The final follow-up date for the 30-day primary outcome was December 19, 2020. Interventions: Intermediate-dose (enoxaparin, 1 mg/kg daily) (n = 276) vs standard prophylactic anticoagulation (enoxaparin, 40 mg daily) (n = 286), with modification according to body weight and creatinine clearance. The assigned treatments were planned to be continued until completion of 30-day follow-up. Main Outcomes and Measures: The primary efficacy outcome was a composite of venous or arterial thrombosis, treatment with extracorporeal membrane oxygenation, or mortality within 30 days, assessed in randomized patients who met the eligibility criteria and received at least 1 dose of the assigned treatment. Prespecified safety outcomes included major bleeding according to the Bleeding Academic Research Consortium (type 3 or 5 definition), powered for noninferiority (a noninferiority margin of 1.8 based on odds ratio), and severe thrombocytopenia (platelet count &lt;20 ×103/µL). All outcomes were blindly adjudicated. Results: Among 600 randomized patients, 562 (93.7%) were included in the primary analysis (median [interquartile range] age, 62 [50-71] years; 237 [42.2%] women). The primary efficacy outcome occurred in 126 patients (45.7%) in the intermediate-dose group and 126 patients (44.1%) in the standard-dose prophylaxis group (absolute risk difference, 1.5% [95% CI,-6.6% to 9.8%]; odds ratio, 1.06 [95% CI, 0.76-1.48]; P =.70). Major bleeding occurred in 7 patients (2.5%) in the intermediate-dose group and 4 patients (1.4%) in the standard-dose prophylaxis group (risk difference, 1.1% [1-sided 97.5% CI,-∞ to 3.4%]; odds ratio, 1.83 [1-sided 97.5% CI, 0.00-5.93]), not meeting the noninferiority criteria (…","author":[{"dropping-particle":"","family":"Sadeghipour","given":"Parham","non-dropping-particle":"","parse-names":false,"suffix":""},{"dropping-particle":"","family":"Talasaz","given":"Azita H.","non-dropping-particle":"","parse-names":false,"suffix":""},{"dropping-particle":"","family":"Rashidi","given":"Farid","non-dropping-particle":"","parse-names":false,"suffix":""},{"dropping-particle":"","family":"Sharif-Kashani","given":"Babak","non-dropping-particle":"","parse-names":false,"suffix":""},{"dropping-particle":"","family":"Beigmohammadi","given":"Mohammad Taghi","non-dropping-particle":"","parse-names":false,"suffix":""},{"dropping-particle":"","family":"Farrokhpour","given":"Mohsen","non-dropping-particle":"","parse-names":false,"suffix":""},{"dropping-particle":"","family":"Sezavar","given":"Seyed Hashem","non-dropping-particle":"","parse-names":false,"suffix":""},{"dropping-particle":"","family":"Payandemehr","given":"Pooya","non-dropping-particle":"","parse-names":false,"suffix":""},{"dropping-particle":"","family":"Dabbagh","given":"Ali","non-dropping-particle":"","parse-names":false,"suffix":""},{"dropping-particle":"","family":"Moghadam","given":"Keivan Gohari","non-dropping-particle":"","parse-names":false,"suffix":""},{"dropping-particle":"","family":"Jamalkhani","given":"Sepehr","non-dropping-particle":"","parse-names":false,"suffix":""},{"dropping-particle":"","family":"Khalili","given":"Hossein","non-dropping-particle":"","parse-names":false,"suffix":""},{"dropping-particle":"","family":"Yadollahzadeh","given":"Mahdi","non-dropping-particle":"","parse-names":false,"suffix":""},{"dropping-particle":"","family":"Riahi","given":"Taghi","non-dropping-particle":"","parse-names":false,"suffix":""},{"dropping-particle":"","family":"Rezaeifar","given":"Parisa","non-dropping-particle":"","parse-names":false,"suffix":""},{"dropping-particle":"","family":"Tahamtan","given":"Ouria","non-dropping-particle":"","parse-names":false,"suffix":""},{"dropping-particle":"","family":"Matin","given":"Samira","non-dropping-particle":"","parse-names":false,"suffix":""},{"dropping-particle":"","family":"Abedini","given":"Atefeh","non-dropping-particle":"","parse-names":false,"suffix":""},{"dropping-particle":"","family":"Lookzadeh","given":"Somayeh","non-dropping-particle":"","parse-names":false,"suffix":""},{"dropping-particle":"","family":"Rahmani","given":"Hamid","non-dropping-particle":"","parse-names":false,"suffix":""},{"dropping-particle":"","family":"Zoghi","given":"Elnaz","non-dropping-particle":"","parse-names":false,"suffix":""},{"dropping-particle":"","family":"Mohammadi","given":"Keyhan","non-dropping-particle":"","parse-names":false,"suffix":""},{"dropping-particle":"","family":"Sadeghipour","given":"Pardis Parham Pardis Parham","non-dropping-particle":"","parse-names":false,"suffix":""},{"dropping-particle":"","family":"Abri","given":"Homa","non-dropping-particle":"","parse-names":false,"suffix":""},{"dropping-particle":"","family":"Tabrizi","given":"Sanaz","non-dropping-particle":"","parse-names":false,"suffix":""},{"dropping-particle":"","family":"Mousavian","given":"Seyed Masoud","non-dropping-particle":"","parse-names":false,"suffix":""},{"dropping-particle":"","family":"Shahmirzaei","given":"Shaghayegh","non-dropping-particle":"","parse-names":false,"suffix":""},{"dropping-particle":"","family":"Bakhshandeh","given":"Hooman","non-dropping-particle":"","parse-names":false,"suffix":""},{"dropping-particle":"","family":"Amin","given":"Ahmad","non-dropping-particle":"","parse-names":false,"suffix":""},{"dropping-particle":"","family":"Rafiee","given":"Farnaz","non-dropping-particle":"","parse-names":false,"suffix":""},{"dropping-particle":"","family":"Baghizadeh","given":"Elahe","non-dropping-particle":"","parse-names":false,"suffix":""},{"dropping-particle":"","family":"Mohebbi","given":"Bahram","non-dropping-particle":"","parse-names":false,"suffix":""},{"dropping-particle":"","family":"Parhizgar","given":"Seyed Ehsan","non-dropping-particle":"","parse-names":false,"suffix":""},{"dropping-particle":"","family":"Aliannejad","given":"Rasoul","non-dropping-particle":"","parse-names":false,"suffix":""},{"dropping-particle":"","family":"Eslami","given":"Vahid","non-dropping-particle":"","parse-names":false,"suffix":""},{"dropping-particle":"","family":"Kashefizadeh","given":"Alireza","non-dropping-particle":"","parse-names":false,"suffix":""},{"dropping-particle":"","family":"Kakavand","given":"Hessam","non-dropping-particle":"","parse-names":false,"suffix":""},{"dropping-particle":"","family":"Hosseini","given":"Seyed Hossein","non-dropping-particle":"","parse-names":false,"suffix":""},{"dropping-particle":"","family":"Shafaghi","given":"Shadi","non-dropping-particle":"","parse-names":false,"suffix":""},{"dropping-particle":"","family":"Ghazi","given":"Samrand Fattah","non-dropping-particle":"","parse-names":false,"suffix":""},{"dropping-particle":"","family":"Najafi","given":"Atabak","non-dropping-particle":"","parse-names":false,"suffix":""},{"dropping-particle":"","family":"Jimenez","given":"David","non-dropping-particle":"","parse-names":false,"suffix":""},{"dropping-particle":"","family":"Gupta","given":"Aakriti","non-dropping-particle":"","parse-names":false,"suffix":""},{"dropping-particle":"V.","family":"Madhavan","given":"Mahesh","non-dropping-particle":"","parse-names":false,"suffix":""},{"dropping-particle":"","family":"Sethi","given":"Sanjum S.","non-dropping-particle":"","parse-names":false,"suffix":""},{"dropping-particle":"","family":"Parikh","given":"Sahil A.","non-dropping-particle":"","parse-names":false,"suffix":""},{"dropping-particle":"","family":"Monreal","given":"Manuel","non-dropping-particle":"","parse-names":false,"suffix":""},{"dropping-particle":"","family":"Hadavand","given":"Naser","non-dropping-particle":"","parse-names":false,"suffix":""},{"dropping-particle":"","family":"Hajighasemi","given":"Alireza","non-dropping-particle":"","parse-names":false,"suffix":""},{"dropping-particle":"","family":"Maleki","given":"Majid","non-dropping-particle":"","parse-names":false,"suffix":""},{"dropping-particle":"","family":"Sadeghian","given":"Saeed","non-dropping-particle":"","parse-names":false,"suffix":""},{"dropping-particle":"","family":"Piazza","given":"Gregory","non-dropping-particle":"","parse-names":false,"suffix":""},{"dropping-particle":"","family":"Kirtane","given":"Ajay J.","non-dropping-particle":"","parse-names":false,"suffix":""},{"dropping-particle":"","family":"Tassell","given":"Benjamin W.","non-dropping-particle":"Van","parse-names":false,"suffix":""},{"dropping-particle":"","family":"Dobesh","given":"Paul P.","non-dropping-particle":"","parse-names":false,"suffix":""},{"dropping-particle":"","family":"Stone","given":"Gregg W.","non-dropping-particle":"","parse-names":false,"suffix":""},{"dropping-particle":"","family":"Lip","given":"Gregory Y.H. H","non-dropping-particle":"","parse-names":false,"suffix":""},{"dropping-particle":"","family":"Krumholz","given":"Harlan M.","non-dropping-particle":"","parse-names":false,"suffix":""},{"dropping-particle":"","family":"Goldhaber","given":"Samuel Z.","non-dropping-particle":"","parse-names":false,"suffix":""},{"dropping-particle":"","family":"Bikdeli","given":"Behnood","non-dropping-particle":"","parse-names":false,"suffix":""}],"container-title":"JAMA - Journal of the American Medical Association","id":"ITEM-1","issue":"16","issued":{"date-parts":[["2021","4"]]},"language":"eng","note":"From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3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2 (Effect of Intermediate-Dose vs Standard-Dose Prophylactic Anticoagulation on Thrombotic Events, Extracorporeal Membrane Oxygenation Treatment, or Mortality among Patients with COVID-19 Admitted to the Intensive Care Unit: The INSPIRATION Randomized Clinic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2021","page":"1620-1630","title":"Effect of Intermediate-Dose vs Standard-Dose Prophylactic Anticoagulation on Thrombotic Events, Extracorporeal Membrane Oxygenation Treatment, or Mortality among Patients with COVID-19 Admitted to the Intensive Care Unit: The INSPIRATION Randomized Clinic","type":"article-journal","volume":"325"},"uris":["http://www.mendeley.com/documents/?uuid=fef9cf67-bdfb-4d87-ab2f-800ebfb6ea26"]}],"mendeley":{"formattedCitation":"[1]","plainTextFormattedCitation":"[1]","previouslyFormattedCitation":"[1]"},"properties":{"noteIndex":0},"schema":"https://github.com/citation-style-language/schema/raw/master/csl-citation.json"}</w:instrText>
            </w:r>
            <w:r w:rsidR="00FF4EC7">
              <w:rPr>
                <w:rFonts w:ascii="Arial" w:eastAsia="Times New Roman" w:hAnsi="Arial" w:cs="Arial"/>
                <w:color w:val="000000"/>
                <w:sz w:val="18"/>
                <w:szCs w:val="18"/>
                <w:lang w:eastAsia="en-GB"/>
              </w:rPr>
              <w:fldChar w:fldCharType="separate"/>
            </w:r>
            <w:r w:rsidR="00FF4EC7" w:rsidRPr="00FF4EC7">
              <w:rPr>
                <w:rFonts w:ascii="Arial" w:eastAsia="Times New Roman" w:hAnsi="Arial" w:cs="Arial"/>
                <w:b w:val="0"/>
                <w:noProof/>
                <w:color w:val="000000"/>
                <w:sz w:val="18"/>
                <w:szCs w:val="18"/>
                <w:lang w:eastAsia="en-GB"/>
              </w:rPr>
              <w:t>[1]</w:t>
            </w:r>
            <w:r w:rsidR="00FF4EC7">
              <w:rPr>
                <w:rFonts w:ascii="Arial" w:eastAsia="Times New Roman" w:hAnsi="Arial" w:cs="Arial"/>
                <w:color w:val="000000"/>
                <w:sz w:val="18"/>
                <w:szCs w:val="18"/>
                <w:lang w:eastAsia="en-GB"/>
              </w:rPr>
              <w:fldChar w:fldCharType="end"/>
            </w:r>
          </w:p>
        </w:tc>
        <w:tc>
          <w:tcPr>
            <w:tcW w:w="987" w:type="dxa"/>
          </w:tcPr>
          <w:p w14:paraId="64C0D765"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 xml:space="preserve">562  </w:t>
            </w:r>
          </w:p>
        </w:tc>
        <w:tc>
          <w:tcPr>
            <w:tcW w:w="3577" w:type="dxa"/>
            <w:hideMark/>
          </w:tcPr>
          <w:p w14:paraId="551419ED" w14:textId="5B0A84C5"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Intermediate</w:t>
            </w:r>
            <w:r w:rsidR="005502F6" w:rsidRPr="00C14897">
              <w:rPr>
                <w:rFonts w:ascii="Arial" w:eastAsia="Times New Roman" w:hAnsi="Arial" w:cs="Arial"/>
                <w:color w:val="000000"/>
                <w:sz w:val="18"/>
                <w:szCs w:val="18"/>
                <w:lang w:eastAsia="en-GB"/>
              </w:rPr>
              <w:t>-</w:t>
            </w:r>
            <w:r w:rsidRPr="00C14897">
              <w:rPr>
                <w:rFonts w:ascii="Arial" w:eastAsia="Times New Roman" w:hAnsi="Arial" w:cs="Arial"/>
                <w:color w:val="000000"/>
                <w:sz w:val="18"/>
                <w:szCs w:val="18"/>
                <w:lang w:eastAsia="en-GB"/>
              </w:rPr>
              <w:t xml:space="preserve">dose enoxaparin </w:t>
            </w:r>
          </w:p>
        </w:tc>
        <w:tc>
          <w:tcPr>
            <w:tcW w:w="2835" w:type="dxa"/>
            <w:hideMark/>
          </w:tcPr>
          <w:p w14:paraId="7F3389F0"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Standard low-dose enoxaparin prophylaxis</w:t>
            </w:r>
          </w:p>
        </w:tc>
        <w:tc>
          <w:tcPr>
            <w:tcW w:w="1559" w:type="dxa"/>
            <w:hideMark/>
          </w:tcPr>
          <w:p w14:paraId="773FAB27"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Jul 2020 - Nov 2020</w:t>
            </w:r>
          </w:p>
        </w:tc>
        <w:tc>
          <w:tcPr>
            <w:tcW w:w="2552" w:type="dxa"/>
            <w:hideMark/>
          </w:tcPr>
          <w:p w14:paraId="6095F7D1"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ICU</w:t>
            </w:r>
          </w:p>
        </w:tc>
        <w:tc>
          <w:tcPr>
            <w:tcW w:w="1945" w:type="dxa"/>
            <w:hideMark/>
          </w:tcPr>
          <w:p w14:paraId="7451087B"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10 academic centres in Iran</w:t>
            </w:r>
          </w:p>
        </w:tc>
      </w:tr>
      <w:tr w:rsidR="00EB070A" w:rsidRPr="00AF49D9" w14:paraId="330DA7AF" w14:textId="77777777" w:rsidTr="009E07CF">
        <w:trPr>
          <w:trHeight w:val="1152"/>
        </w:trPr>
        <w:tc>
          <w:tcPr>
            <w:cnfStyle w:val="001000000000" w:firstRow="0" w:lastRow="0" w:firstColumn="1" w:lastColumn="0" w:oddVBand="0" w:evenVBand="0" w:oddHBand="0" w:evenHBand="0" w:firstRowFirstColumn="0" w:firstRowLastColumn="0" w:lastRowFirstColumn="0" w:lastRowLastColumn="0"/>
            <w:tcW w:w="1957" w:type="dxa"/>
            <w:hideMark/>
          </w:tcPr>
          <w:p w14:paraId="3BBA9390" w14:textId="7086ABCD"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(non-critically ill) (21 days)</w:t>
            </w:r>
            <w:r w:rsidR="002075D7">
              <w:rPr>
                <w:rFonts w:ascii="Arial" w:eastAsia="Times New Roman" w:hAnsi="Arial" w:cs="Arial"/>
                <w:color w:val="000000"/>
                <w:sz w:val="18"/>
                <w:szCs w:val="18"/>
                <w:lang w:eastAsia="en-GB"/>
              </w:rPr>
              <w:fldChar w:fldCharType="begin" w:fldLock="1"/>
            </w:r>
            <w:r w:rsidR="00425D62">
              <w:rPr>
                <w:rFonts w:ascii="Arial" w:eastAsia="Times New Roman" w:hAnsi="Arial" w:cs="Arial"/>
                <w:color w:val="000000"/>
                <w:sz w:val="18"/>
                <w:szCs w:val="18"/>
                <w:lang w:eastAsia="en-GB"/>
              </w:rPr>
              <w:instrText>ADDIN CSL_CITATION {"citationItems":[{"id":"ITEM-1","itemData":{"DOI":"10.1056/nejmoa2105911","ISSN":"0028-4793","author":[{"dropping-particle":"","family":"The REMAP-CAP, ACTIV-4a","given":"and ATTACC Investigators*","non-dropping-particle":"","parse-names":false,"suffix":""}],"container-title":"New England Journal of Medicine","id":"ITEM-1","issued":{"date-parts":[["2021"]]},"page":"1-13","title":"Therapeutic Anticoagulation with Heparin in Noncritically Ill Patients with Covid-19","type":"article-journal"},"uris":["http://www.mendeley.com/documents/?uuid=372f90c6-5c58-45e1-9d3b-8244a6a389bb"]}],"mendeley":{"formattedCitation":"[2]","plainTextFormattedCitation":"[2]","previouslyFormattedCitation":"[2]"},"properties":{"noteIndex":0},"schema":"https://github.com/citation-style-language/schema/raw/master/csl-citation.json"}</w:instrText>
            </w:r>
            <w:r w:rsidR="002075D7">
              <w:rPr>
                <w:rFonts w:ascii="Arial" w:eastAsia="Times New Roman" w:hAnsi="Arial" w:cs="Arial"/>
                <w:color w:val="000000"/>
                <w:sz w:val="18"/>
                <w:szCs w:val="18"/>
                <w:lang w:eastAsia="en-GB"/>
              </w:rPr>
              <w:fldChar w:fldCharType="separate"/>
            </w:r>
            <w:r w:rsidR="002075D7" w:rsidRPr="002075D7">
              <w:rPr>
                <w:rFonts w:ascii="Arial" w:eastAsia="Times New Roman" w:hAnsi="Arial" w:cs="Arial"/>
                <w:b w:val="0"/>
                <w:noProof/>
                <w:color w:val="000000"/>
                <w:sz w:val="18"/>
                <w:szCs w:val="18"/>
                <w:lang w:eastAsia="en-GB"/>
              </w:rPr>
              <w:t>[2]</w:t>
            </w:r>
            <w:r w:rsidR="002075D7">
              <w:rPr>
                <w:rFonts w:ascii="Arial" w:eastAsia="Times New Roman" w:hAnsi="Arial" w:cs="Arial"/>
                <w:color w:val="000000"/>
                <w:sz w:val="18"/>
                <w:szCs w:val="18"/>
                <w:lang w:eastAsia="en-GB"/>
              </w:rPr>
              <w:fldChar w:fldCharType="end"/>
            </w:r>
          </w:p>
        </w:tc>
        <w:tc>
          <w:tcPr>
            <w:tcW w:w="987" w:type="dxa"/>
          </w:tcPr>
          <w:p w14:paraId="7FBBD8AB"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2219</w:t>
            </w:r>
          </w:p>
        </w:tc>
        <w:tc>
          <w:tcPr>
            <w:tcW w:w="3577" w:type="dxa"/>
            <w:hideMark/>
          </w:tcPr>
          <w:p w14:paraId="647424C2" w14:textId="1F3B9003"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Therapeutic </w:t>
            </w:r>
            <w:r w:rsidRPr="00C14897">
              <w:rPr>
                <w:rFonts w:ascii="Arial" w:eastAsia="Times New Roman" w:hAnsi="Arial" w:cs="Arial"/>
                <w:color w:val="000000"/>
                <w:sz w:val="18"/>
                <w:szCs w:val="18"/>
                <w:lang w:eastAsia="en-GB"/>
              </w:rPr>
              <w:br/>
            </w:r>
            <w:r w:rsidR="005502F6" w:rsidRPr="00C14897">
              <w:rPr>
                <w:rFonts w:ascii="Arial" w:eastAsia="Times New Roman" w:hAnsi="Arial" w:cs="Arial"/>
                <w:color w:val="000000"/>
                <w:sz w:val="18"/>
                <w:szCs w:val="18"/>
                <w:lang w:eastAsia="en-GB"/>
              </w:rPr>
              <w:t>e</w:t>
            </w:r>
            <w:r w:rsidRPr="00C14897">
              <w:rPr>
                <w:rFonts w:ascii="Arial" w:eastAsia="Times New Roman" w:hAnsi="Arial" w:cs="Arial"/>
                <w:color w:val="000000"/>
                <w:sz w:val="18"/>
                <w:szCs w:val="18"/>
                <w:lang w:eastAsia="en-GB"/>
              </w:rPr>
              <w:t xml:space="preserve">noxaparin or </w:t>
            </w:r>
            <w:r w:rsidR="00F73DC5" w:rsidRPr="00C14897">
              <w:rPr>
                <w:rFonts w:ascii="Arial" w:eastAsia="Times New Roman" w:hAnsi="Arial" w:cs="Arial"/>
                <w:color w:val="000000"/>
                <w:sz w:val="18"/>
                <w:szCs w:val="18"/>
                <w:lang w:eastAsia="en-GB"/>
              </w:rPr>
              <w:t>UFH</w:t>
            </w:r>
            <w:r w:rsidRPr="00C14897">
              <w:rPr>
                <w:rFonts w:ascii="Arial" w:eastAsia="Times New Roman" w:hAnsi="Arial" w:cs="Arial"/>
                <w:color w:val="000000"/>
                <w:sz w:val="18"/>
                <w:szCs w:val="18"/>
                <w:lang w:eastAsia="en-GB"/>
              </w:rPr>
              <w:t xml:space="preserve"> </w:t>
            </w:r>
          </w:p>
        </w:tc>
        <w:tc>
          <w:tcPr>
            <w:tcW w:w="2835" w:type="dxa"/>
            <w:hideMark/>
          </w:tcPr>
          <w:p w14:paraId="56B3246E"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Usual care thromboprophylaxis (low dose or intermediate dose enoxaparin/UFH)</w:t>
            </w:r>
          </w:p>
        </w:tc>
        <w:tc>
          <w:tcPr>
            <w:tcW w:w="1559" w:type="dxa"/>
            <w:noWrap/>
            <w:hideMark/>
          </w:tcPr>
          <w:p w14:paraId="318976C4"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Apr 2020 - Jan 2021</w:t>
            </w:r>
          </w:p>
        </w:tc>
        <w:tc>
          <w:tcPr>
            <w:tcW w:w="2552" w:type="dxa"/>
            <w:noWrap/>
            <w:hideMark/>
          </w:tcPr>
          <w:p w14:paraId="019DF8C6"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Hospitalised, non-ICU</w:t>
            </w:r>
          </w:p>
        </w:tc>
        <w:tc>
          <w:tcPr>
            <w:tcW w:w="1945" w:type="dxa"/>
            <w:hideMark/>
          </w:tcPr>
          <w:p w14:paraId="245D86EB" w14:textId="742E0CA5"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121 sites in 9 Countries</w:t>
            </w:r>
            <w:r w:rsidR="008510E3" w:rsidRPr="00C14897">
              <w:rPr>
                <w:rFonts w:ascii="Arial" w:eastAsia="Times New Roman" w:hAnsi="Arial" w:cs="Arial"/>
                <w:color w:val="000000"/>
                <w:sz w:val="18"/>
                <w:szCs w:val="18"/>
                <w:lang w:eastAsia="en-GB"/>
              </w:rPr>
              <w:t xml:space="preserve"> </w:t>
            </w:r>
            <w:r w:rsidR="008510E3" w:rsidRPr="00C14897">
              <w:rPr>
                <w:rFonts w:ascii="Arial" w:hAnsi="Arial" w:cs="Arial"/>
                <w:sz w:val="18"/>
                <w:szCs w:val="18"/>
              </w:rPr>
              <w:t>†</w:t>
            </w:r>
          </w:p>
        </w:tc>
      </w:tr>
      <w:tr w:rsidR="00810C9F" w:rsidRPr="00AF49D9" w14:paraId="4A1F4CD0" w14:textId="77777777" w:rsidTr="009E07CF">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957" w:type="dxa"/>
            <w:hideMark/>
          </w:tcPr>
          <w:p w14:paraId="2DE6C066" w14:textId="7C3B00EA"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w:t>
            </w:r>
            <w:r w:rsidR="00BB116E" w:rsidRPr="00C14897">
              <w:rPr>
                <w:rFonts w:ascii="Arial" w:eastAsia="Times New Roman" w:hAnsi="Arial" w:cs="Arial"/>
                <w:color w:val="000000"/>
                <w:sz w:val="18"/>
                <w:szCs w:val="18"/>
                <w:lang w:eastAsia="en-GB"/>
              </w:rPr>
              <w:t>c</w:t>
            </w:r>
            <w:r w:rsidRPr="00C14897">
              <w:rPr>
                <w:rFonts w:ascii="Arial" w:eastAsia="Times New Roman" w:hAnsi="Arial" w:cs="Arial"/>
                <w:color w:val="000000"/>
                <w:sz w:val="18"/>
                <w:szCs w:val="18"/>
                <w:lang w:eastAsia="en-GB"/>
              </w:rPr>
              <w:t>ritically ill) (21 days)</w:t>
            </w:r>
            <w:r w:rsidR="00425D62">
              <w:rPr>
                <w:rFonts w:ascii="Arial" w:eastAsia="Times New Roman" w:hAnsi="Arial" w:cs="Arial"/>
                <w:color w:val="000000"/>
                <w:sz w:val="18"/>
                <w:szCs w:val="18"/>
                <w:lang w:eastAsia="en-GB"/>
              </w:rPr>
              <w:fldChar w:fldCharType="begin" w:fldLock="1"/>
            </w:r>
            <w:r w:rsidR="00407D4D">
              <w:rPr>
                <w:rFonts w:ascii="Arial" w:eastAsia="Times New Roman" w:hAnsi="Arial" w:cs="Arial"/>
                <w:color w:val="000000"/>
                <w:sz w:val="18"/>
                <w:szCs w:val="18"/>
                <w:lang w:eastAsia="en-GB"/>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mendeley":{"formattedCitation":"[3]","plainTextFormattedCitation":"[3]","previouslyFormattedCitation":"[3]"},"properties":{"noteIndex":0},"schema":"https://github.com/citation-style-language/schema/raw/master/csl-citation.json"}</w:instrText>
            </w:r>
            <w:r w:rsidR="00425D62">
              <w:rPr>
                <w:rFonts w:ascii="Arial" w:eastAsia="Times New Roman" w:hAnsi="Arial" w:cs="Arial"/>
                <w:color w:val="000000"/>
                <w:sz w:val="18"/>
                <w:szCs w:val="18"/>
                <w:lang w:eastAsia="en-GB"/>
              </w:rPr>
              <w:fldChar w:fldCharType="separate"/>
            </w:r>
            <w:r w:rsidR="00425D62" w:rsidRPr="00425D62">
              <w:rPr>
                <w:rFonts w:ascii="Arial" w:eastAsia="Times New Roman" w:hAnsi="Arial" w:cs="Arial"/>
                <w:b w:val="0"/>
                <w:noProof/>
                <w:color w:val="000000"/>
                <w:sz w:val="18"/>
                <w:szCs w:val="18"/>
                <w:lang w:eastAsia="en-GB"/>
              </w:rPr>
              <w:t>[3]</w:t>
            </w:r>
            <w:r w:rsidR="00425D62">
              <w:rPr>
                <w:rFonts w:ascii="Arial" w:eastAsia="Times New Roman" w:hAnsi="Arial" w:cs="Arial"/>
                <w:color w:val="000000"/>
                <w:sz w:val="18"/>
                <w:szCs w:val="18"/>
                <w:lang w:eastAsia="en-GB"/>
              </w:rPr>
              <w:fldChar w:fldCharType="end"/>
            </w:r>
          </w:p>
        </w:tc>
        <w:tc>
          <w:tcPr>
            <w:tcW w:w="987" w:type="dxa"/>
          </w:tcPr>
          <w:p w14:paraId="086FE6C2"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1098</w:t>
            </w:r>
          </w:p>
        </w:tc>
        <w:tc>
          <w:tcPr>
            <w:tcW w:w="3577" w:type="dxa"/>
            <w:hideMark/>
          </w:tcPr>
          <w:p w14:paraId="47F44634" w14:textId="4B108E3E"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Therapeutic </w:t>
            </w:r>
            <w:r w:rsidRPr="00C14897">
              <w:rPr>
                <w:rFonts w:ascii="Arial" w:eastAsia="Times New Roman" w:hAnsi="Arial" w:cs="Arial"/>
                <w:color w:val="000000"/>
                <w:sz w:val="18"/>
                <w:szCs w:val="18"/>
                <w:lang w:eastAsia="en-GB"/>
              </w:rPr>
              <w:br/>
            </w:r>
            <w:r w:rsidR="00F73DC5" w:rsidRPr="00C14897">
              <w:rPr>
                <w:rFonts w:ascii="Arial" w:eastAsia="Times New Roman" w:hAnsi="Arial" w:cs="Arial"/>
                <w:color w:val="000000"/>
                <w:sz w:val="18"/>
                <w:szCs w:val="18"/>
                <w:lang w:eastAsia="en-GB"/>
              </w:rPr>
              <w:t>e</w:t>
            </w:r>
            <w:r w:rsidRPr="00C14897">
              <w:rPr>
                <w:rFonts w:ascii="Arial" w:eastAsia="Times New Roman" w:hAnsi="Arial" w:cs="Arial"/>
                <w:color w:val="000000"/>
                <w:sz w:val="18"/>
                <w:szCs w:val="18"/>
                <w:lang w:eastAsia="en-GB"/>
              </w:rPr>
              <w:t>noxaparin or</w:t>
            </w:r>
            <w:r w:rsidR="00F73DC5" w:rsidRPr="00C14897">
              <w:rPr>
                <w:rFonts w:ascii="Arial" w:eastAsia="Times New Roman" w:hAnsi="Arial" w:cs="Arial"/>
                <w:color w:val="000000"/>
                <w:sz w:val="18"/>
                <w:szCs w:val="18"/>
                <w:lang w:eastAsia="en-GB"/>
              </w:rPr>
              <w:t xml:space="preserve"> UFH</w:t>
            </w:r>
          </w:p>
        </w:tc>
        <w:tc>
          <w:tcPr>
            <w:tcW w:w="2835" w:type="dxa"/>
            <w:hideMark/>
          </w:tcPr>
          <w:p w14:paraId="0136110C"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Usual care thromboprophylaxis (low dose or intermediate dose enoxaparin/UFH)</w:t>
            </w:r>
          </w:p>
        </w:tc>
        <w:tc>
          <w:tcPr>
            <w:tcW w:w="1559" w:type="dxa"/>
            <w:noWrap/>
            <w:hideMark/>
          </w:tcPr>
          <w:p w14:paraId="1238B48E"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Apr 2020 - Jan 2021</w:t>
            </w:r>
          </w:p>
        </w:tc>
        <w:tc>
          <w:tcPr>
            <w:tcW w:w="2552" w:type="dxa"/>
            <w:noWrap/>
            <w:hideMark/>
          </w:tcPr>
          <w:p w14:paraId="24737219"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ICU-level support </w:t>
            </w:r>
          </w:p>
        </w:tc>
        <w:tc>
          <w:tcPr>
            <w:tcW w:w="1945" w:type="dxa"/>
            <w:hideMark/>
          </w:tcPr>
          <w:p w14:paraId="7BECE522" w14:textId="617E0055" w:rsidR="00BB6FF6" w:rsidRPr="00C14897" w:rsidRDefault="00C7785A"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121 sites in 9 countries </w:t>
            </w:r>
            <w:r w:rsidR="00495BC9" w:rsidRPr="00192CE3">
              <w:rPr>
                <w:rFonts w:ascii="Arial" w:hAnsi="Arial" w:cs="Arial"/>
                <w:sz w:val="18"/>
                <w:szCs w:val="18"/>
                <w:vertAlign w:val="superscript"/>
              </w:rPr>
              <w:t>a</w:t>
            </w:r>
          </w:p>
        </w:tc>
      </w:tr>
      <w:tr w:rsidR="00EB070A" w:rsidRPr="00AF49D9" w14:paraId="111F06BA" w14:textId="77777777" w:rsidTr="009E07CF">
        <w:trPr>
          <w:trHeight w:val="736"/>
        </w:trPr>
        <w:tc>
          <w:tcPr>
            <w:cnfStyle w:val="001000000000" w:firstRow="0" w:lastRow="0" w:firstColumn="1" w:lastColumn="0" w:oddVBand="0" w:evenVBand="0" w:oddHBand="0" w:evenHBand="0" w:firstRowFirstColumn="0" w:firstRowLastColumn="0" w:lastRowFirstColumn="0" w:lastRowLastColumn="0"/>
            <w:tcW w:w="1957" w:type="dxa"/>
            <w:hideMark/>
          </w:tcPr>
          <w:p w14:paraId="2DD2A8BF" w14:textId="27D2A7DF"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RAPID (28 days)</w:t>
            </w:r>
            <w:r w:rsidR="00407D4D">
              <w:rPr>
                <w:rFonts w:ascii="Arial" w:eastAsia="Times New Roman" w:hAnsi="Arial" w:cs="Arial"/>
                <w:color w:val="000000"/>
                <w:sz w:val="18"/>
                <w:szCs w:val="18"/>
                <w:lang w:eastAsia="en-GB"/>
              </w:rPr>
              <w:fldChar w:fldCharType="begin" w:fldLock="1"/>
            </w:r>
            <w:r w:rsidR="00FD1918">
              <w:rPr>
                <w:rFonts w:ascii="Arial" w:eastAsia="Times New Roman" w:hAnsi="Arial" w:cs="Arial"/>
                <w:color w:val="000000"/>
                <w:sz w:val="18"/>
                <w:szCs w:val="18"/>
                <w:lang w:eastAsia="en-GB"/>
              </w:rPr>
              <w:instrText>ADDIN CSL_CITATION {"citationItems":[{"id":"ITEM-1","itemData":{"DOI":"10.1136/bmj.n2400","ISSN":"17561833","PMID":"34649864","abstract":"Objective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BMJ","id":"ITEM-1","issued":{"date-parts":[["2021"]]},"title":"Effectiveness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mendeley":{"formattedCitation":"[4]","plainTextFormattedCitation":"[4]","previouslyFormattedCitation":"[4]"},"properties":{"noteIndex":0},"schema":"https://github.com/citation-style-language/schema/raw/master/csl-citation.json"}</w:instrText>
            </w:r>
            <w:r w:rsidR="00407D4D">
              <w:rPr>
                <w:rFonts w:ascii="Arial" w:eastAsia="Times New Roman" w:hAnsi="Arial" w:cs="Arial"/>
                <w:color w:val="000000"/>
                <w:sz w:val="18"/>
                <w:szCs w:val="18"/>
                <w:lang w:eastAsia="en-GB"/>
              </w:rPr>
              <w:fldChar w:fldCharType="separate"/>
            </w:r>
            <w:r w:rsidR="00407D4D" w:rsidRPr="00407D4D">
              <w:rPr>
                <w:rFonts w:ascii="Arial" w:eastAsia="Times New Roman" w:hAnsi="Arial" w:cs="Arial"/>
                <w:b w:val="0"/>
                <w:noProof/>
                <w:color w:val="000000"/>
                <w:sz w:val="18"/>
                <w:szCs w:val="18"/>
                <w:lang w:eastAsia="en-GB"/>
              </w:rPr>
              <w:t>[4]</w:t>
            </w:r>
            <w:r w:rsidR="00407D4D">
              <w:rPr>
                <w:rFonts w:ascii="Arial" w:eastAsia="Times New Roman" w:hAnsi="Arial" w:cs="Arial"/>
                <w:color w:val="000000"/>
                <w:sz w:val="18"/>
                <w:szCs w:val="18"/>
                <w:lang w:eastAsia="en-GB"/>
              </w:rPr>
              <w:fldChar w:fldCharType="end"/>
            </w:r>
          </w:p>
        </w:tc>
        <w:tc>
          <w:tcPr>
            <w:tcW w:w="987" w:type="dxa"/>
          </w:tcPr>
          <w:p w14:paraId="05A0716B"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465</w:t>
            </w:r>
          </w:p>
        </w:tc>
        <w:tc>
          <w:tcPr>
            <w:tcW w:w="3577" w:type="dxa"/>
            <w:hideMark/>
          </w:tcPr>
          <w:p w14:paraId="772BDB07"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Therapeutic LMWH or UFH</w:t>
            </w:r>
          </w:p>
        </w:tc>
        <w:tc>
          <w:tcPr>
            <w:tcW w:w="2835" w:type="dxa"/>
            <w:hideMark/>
          </w:tcPr>
          <w:p w14:paraId="687E8E7B" w14:textId="0729C716"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Standard </w:t>
            </w:r>
            <w:r w:rsidR="00312EDD" w:rsidRPr="00C14897">
              <w:rPr>
                <w:rFonts w:ascii="Arial" w:eastAsia="Times New Roman" w:hAnsi="Arial" w:cs="Arial"/>
                <w:color w:val="000000"/>
                <w:sz w:val="18"/>
                <w:szCs w:val="18"/>
                <w:lang w:eastAsia="en-GB"/>
              </w:rPr>
              <w:t>low-</w:t>
            </w:r>
            <w:r w:rsidRPr="00C14897">
              <w:rPr>
                <w:rFonts w:ascii="Arial" w:eastAsia="Times New Roman" w:hAnsi="Arial" w:cs="Arial"/>
                <w:color w:val="000000"/>
                <w:sz w:val="18"/>
                <w:szCs w:val="18"/>
                <w:lang w:eastAsia="en-GB"/>
              </w:rPr>
              <w:t>dose, prophylactic</w:t>
            </w:r>
            <w:r w:rsidRPr="00C14897">
              <w:rPr>
                <w:rFonts w:ascii="Arial" w:eastAsia="Times New Roman" w:hAnsi="Arial" w:cs="Arial"/>
                <w:color w:val="000000"/>
                <w:sz w:val="18"/>
                <w:szCs w:val="18"/>
                <w:lang w:eastAsia="en-GB"/>
              </w:rPr>
              <w:br/>
              <w:t>LMWH or</w:t>
            </w:r>
            <w:r w:rsidR="00F73DC5" w:rsidRPr="00C14897">
              <w:rPr>
                <w:rFonts w:ascii="Arial" w:eastAsia="Times New Roman" w:hAnsi="Arial" w:cs="Arial"/>
                <w:color w:val="000000"/>
                <w:sz w:val="18"/>
                <w:szCs w:val="18"/>
                <w:lang w:eastAsia="en-GB"/>
              </w:rPr>
              <w:t xml:space="preserve"> UFH</w:t>
            </w:r>
            <w:r w:rsidRPr="00C14897">
              <w:rPr>
                <w:rFonts w:ascii="Arial" w:eastAsia="Times New Roman" w:hAnsi="Arial" w:cs="Arial"/>
                <w:color w:val="000000"/>
                <w:sz w:val="18"/>
                <w:szCs w:val="18"/>
                <w:lang w:eastAsia="en-GB"/>
              </w:rPr>
              <w:t xml:space="preserve"> </w:t>
            </w:r>
          </w:p>
        </w:tc>
        <w:tc>
          <w:tcPr>
            <w:tcW w:w="1559" w:type="dxa"/>
            <w:noWrap/>
            <w:hideMark/>
          </w:tcPr>
          <w:p w14:paraId="5A2CF719"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 xml:space="preserve">May 2020 – Apr 2021 </w:t>
            </w:r>
          </w:p>
        </w:tc>
        <w:tc>
          <w:tcPr>
            <w:tcW w:w="2552" w:type="dxa"/>
            <w:noWrap/>
            <w:hideMark/>
          </w:tcPr>
          <w:p w14:paraId="0A1061F0"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Hospitalised, non-ICU with elevated D- dimer (moderately ill)</w:t>
            </w:r>
          </w:p>
        </w:tc>
        <w:tc>
          <w:tcPr>
            <w:tcW w:w="1945" w:type="dxa"/>
            <w:hideMark/>
          </w:tcPr>
          <w:p w14:paraId="3189DE39" w14:textId="52F35383" w:rsidR="00BB6FF6" w:rsidRPr="00495BC9"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28 sites in 6 </w:t>
            </w:r>
            <w:proofErr w:type="spellStart"/>
            <w:r w:rsidRPr="00C14897">
              <w:rPr>
                <w:rFonts w:ascii="Arial" w:eastAsia="Times New Roman" w:hAnsi="Arial" w:cs="Arial"/>
                <w:color w:val="000000"/>
                <w:sz w:val="18"/>
                <w:szCs w:val="18"/>
                <w:lang w:eastAsia="en-GB"/>
              </w:rPr>
              <w:t>countries</w:t>
            </w:r>
            <w:r w:rsidR="00495BC9" w:rsidRPr="00495BC9">
              <w:rPr>
                <w:rFonts w:ascii="Arial" w:hAnsi="Arial" w:cs="Arial"/>
                <w:sz w:val="18"/>
                <w:szCs w:val="18"/>
                <w:vertAlign w:val="superscript"/>
              </w:rPr>
              <w:t>b</w:t>
            </w:r>
            <w:proofErr w:type="spellEnd"/>
          </w:p>
        </w:tc>
      </w:tr>
      <w:tr w:rsidR="00810C9F" w:rsidRPr="00AF49D9" w14:paraId="26B3AE7D" w14:textId="77777777" w:rsidTr="009E07CF">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957" w:type="dxa"/>
            <w:noWrap/>
            <w:hideMark/>
          </w:tcPr>
          <w:p w14:paraId="6E51D520" w14:textId="54FF05E7"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HEP-COVID (30 days)</w:t>
            </w:r>
            <w:r w:rsidR="00FD1918">
              <w:rPr>
                <w:rFonts w:ascii="Arial" w:eastAsia="Times New Roman" w:hAnsi="Arial" w:cs="Arial"/>
                <w:color w:val="000000"/>
                <w:sz w:val="18"/>
                <w:szCs w:val="18"/>
                <w:lang w:eastAsia="en-GB"/>
              </w:rPr>
              <w:fldChar w:fldCharType="begin" w:fldLock="1"/>
            </w:r>
            <w:r w:rsidR="005114A0">
              <w:rPr>
                <w:rFonts w:ascii="Arial" w:eastAsia="Times New Roman" w:hAnsi="Arial" w:cs="Arial"/>
                <w:color w:val="000000"/>
                <w:sz w:val="18"/>
                <w:szCs w:val="18"/>
                <w:lang w:eastAsia="en-GB"/>
              </w:rPr>
              <w:instrText>ADDIN CSL_CITATION {"citationItems":[{"id":"ITEM-1","itemData":{"DOI":"10.1001/jamainternmed.2021.6203","ISSN":"2168-6114","PMID":"34617959","abstract":"Importance: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Medicine","id":"ITEM-1","issue":"12","issued":{"date-parts":[["2021"]]},"note":"From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[5]","plainTextFormattedCitation":"[5]","previouslyFormattedCitation":"[5]"},"properties":{"noteIndex":0},"schema":"https://github.com/citation-style-language/schema/raw/master/csl-citation.json"}</w:instrText>
            </w:r>
            <w:r w:rsidR="00FD1918">
              <w:rPr>
                <w:rFonts w:ascii="Arial" w:eastAsia="Times New Roman" w:hAnsi="Arial" w:cs="Arial"/>
                <w:color w:val="000000"/>
                <w:sz w:val="18"/>
                <w:szCs w:val="18"/>
                <w:lang w:eastAsia="en-GB"/>
              </w:rPr>
              <w:fldChar w:fldCharType="separate"/>
            </w:r>
            <w:r w:rsidR="00FD1918" w:rsidRPr="00FD1918">
              <w:rPr>
                <w:rFonts w:ascii="Arial" w:eastAsia="Times New Roman" w:hAnsi="Arial" w:cs="Arial"/>
                <w:b w:val="0"/>
                <w:noProof/>
                <w:color w:val="000000"/>
                <w:sz w:val="18"/>
                <w:szCs w:val="18"/>
                <w:lang w:eastAsia="en-GB"/>
              </w:rPr>
              <w:t>[5]</w:t>
            </w:r>
            <w:r w:rsidR="00FD1918">
              <w:rPr>
                <w:rFonts w:ascii="Arial" w:eastAsia="Times New Roman" w:hAnsi="Arial" w:cs="Arial"/>
                <w:color w:val="000000"/>
                <w:sz w:val="18"/>
                <w:szCs w:val="18"/>
                <w:lang w:eastAsia="en-GB"/>
              </w:rPr>
              <w:fldChar w:fldCharType="end"/>
            </w:r>
          </w:p>
        </w:tc>
        <w:tc>
          <w:tcPr>
            <w:tcW w:w="987" w:type="dxa"/>
          </w:tcPr>
          <w:p w14:paraId="546A185F"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253</w:t>
            </w:r>
          </w:p>
        </w:tc>
        <w:tc>
          <w:tcPr>
            <w:tcW w:w="3577" w:type="dxa"/>
            <w:noWrap/>
            <w:hideMark/>
          </w:tcPr>
          <w:p w14:paraId="0535D626"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Therapeutic enoxaparin</w:t>
            </w:r>
          </w:p>
        </w:tc>
        <w:tc>
          <w:tcPr>
            <w:tcW w:w="2835" w:type="dxa"/>
            <w:hideMark/>
          </w:tcPr>
          <w:p w14:paraId="7D6516EA" w14:textId="77777777" w:rsidR="00BB6FF6" w:rsidRPr="00C14897" w:rsidRDefault="00BB6FF6" w:rsidP="00D06226">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Enoxaparin/UFH/</w:t>
            </w:r>
            <w:proofErr w:type="spellStart"/>
            <w:r w:rsidRPr="00C14897">
              <w:rPr>
                <w:rFonts w:ascii="Arial" w:eastAsia="Times New Roman" w:hAnsi="Arial" w:cs="Arial"/>
                <w:color w:val="000000"/>
                <w:sz w:val="18"/>
                <w:szCs w:val="18"/>
                <w:lang w:eastAsia="en-GB"/>
              </w:rPr>
              <w:t>Dalteparin</w:t>
            </w:r>
            <w:proofErr w:type="spellEnd"/>
            <w:r w:rsidRPr="00C14897">
              <w:rPr>
                <w:rFonts w:ascii="Arial" w:eastAsia="Times New Roman" w:hAnsi="Arial" w:cs="Arial"/>
                <w:color w:val="000000"/>
                <w:sz w:val="18"/>
                <w:szCs w:val="18"/>
                <w:lang w:eastAsia="en-GB"/>
              </w:rPr>
              <w:t xml:space="preserve"> - prophylactic or intermediate-dose </w:t>
            </w:r>
            <w:r w:rsidRPr="00C14897">
              <w:rPr>
                <w:rFonts w:ascii="Arial" w:eastAsia="Times New Roman" w:hAnsi="Arial" w:cs="Arial"/>
                <w:color w:val="000000"/>
                <w:sz w:val="18"/>
                <w:szCs w:val="18"/>
                <w:lang w:eastAsia="en-GB"/>
              </w:rPr>
              <w:br/>
            </w:r>
          </w:p>
        </w:tc>
        <w:tc>
          <w:tcPr>
            <w:tcW w:w="1559" w:type="dxa"/>
            <w:noWrap/>
            <w:hideMark/>
          </w:tcPr>
          <w:p w14:paraId="2A2D082B"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May 2020 – Apr 2021</w:t>
            </w:r>
          </w:p>
        </w:tc>
        <w:tc>
          <w:tcPr>
            <w:tcW w:w="2552" w:type="dxa"/>
            <w:noWrap/>
            <w:hideMark/>
          </w:tcPr>
          <w:p w14:paraId="1C9F2886"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Hospitalised, requiring oxygen, with elevated D-dimer or coagulopathy (33% in ICU)</w:t>
            </w:r>
          </w:p>
        </w:tc>
        <w:tc>
          <w:tcPr>
            <w:tcW w:w="1945" w:type="dxa"/>
            <w:hideMark/>
          </w:tcPr>
          <w:p w14:paraId="20E25A6C" w14:textId="402DC812"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12 </w:t>
            </w:r>
            <w:r w:rsidR="00B75E4A" w:rsidRPr="00C14897">
              <w:rPr>
                <w:rFonts w:ascii="Arial" w:eastAsia="Times New Roman" w:hAnsi="Arial" w:cs="Arial"/>
                <w:color w:val="000000"/>
                <w:sz w:val="18"/>
                <w:szCs w:val="18"/>
                <w:lang w:eastAsia="en-GB"/>
              </w:rPr>
              <w:t>c</w:t>
            </w:r>
            <w:r w:rsidRPr="00C14897">
              <w:rPr>
                <w:rFonts w:ascii="Arial" w:eastAsia="Times New Roman" w:hAnsi="Arial" w:cs="Arial"/>
                <w:color w:val="000000"/>
                <w:sz w:val="18"/>
                <w:szCs w:val="18"/>
                <w:lang w:eastAsia="en-GB"/>
              </w:rPr>
              <w:t>entres</w:t>
            </w:r>
            <w:r w:rsidR="00B75E4A" w:rsidRPr="00C14897">
              <w:rPr>
                <w:rFonts w:ascii="Arial" w:eastAsia="Times New Roman" w:hAnsi="Arial" w:cs="Arial"/>
                <w:color w:val="000000"/>
                <w:sz w:val="18"/>
                <w:szCs w:val="18"/>
                <w:lang w:eastAsia="en-GB"/>
              </w:rPr>
              <w:t>, USA</w:t>
            </w:r>
            <w:r w:rsidRPr="00C14897">
              <w:rPr>
                <w:rFonts w:ascii="Arial" w:eastAsia="Times New Roman" w:hAnsi="Arial" w:cs="Arial"/>
                <w:color w:val="000000"/>
                <w:sz w:val="18"/>
                <w:szCs w:val="18"/>
                <w:lang w:eastAsia="en-GB"/>
              </w:rPr>
              <w:t xml:space="preserve"> </w:t>
            </w:r>
          </w:p>
        </w:tc>
      </w:tr>
      <w:tr w:rsidR="00EB070A" w:rsidRPr="00AF49D9" w14:paraId="47DBF58A" w14:textId="77777777" w:rsidTr="009E07CF">
        <w:trPr>
          <w:trHeight w:val="751"/>
        </w:trPr>
        <w:tc>
          <w:tcPr>
            <w:cnfStyle w:val="001000000000" w:firstRow="0" w:lastRow="0" w:firstColumn="1" w:lastColumn="0" w:oddVBand="0" w:evenVBand="0" w:oddHBand="0" w:evenHBand="0" w:firstRowFirstColumn="0" w:firstRowLastColumn="0" w:lastRowFirstColumn="0" w:lastRowLastColumn="0"/>
            <w:tcW w:w="1957" w:type="dxa"/>
            <w:noWrap/>
            <w:hideMark/>
          </w:tcPr>
          <w:p w14:paraId="5639AF4D" w14:textId="788A41EB" w:rsidR="00BB6FF6" w:rsidRPr="00C14897" w:rsidRDefault="00BB6FF6" w:rsidP="00D06226">
            <w:pPr>
              <w:rPr>
                <w:rFonts w:ascii="Arial" w:eastAsia="Times New Roman" w:hAnsi="Arial" w:cs="Arial"/>
                <w:color w:val="1A1A1A"/>
                <w:sz w:val="18"/>
                <w:szCs w:val="18"/>
                <w:lang w:eastAsia="en-GB"/>
              </w:rPr>
            </w:pPr>
            <w:r w:rsidRPr="00C14897">
              <w:rPr>
                <w:rFonts w:ascii="Arial" w:eastAsia="Times New Roman" w:hAnsi="Arial" w:cs="Arial"/>
                <w:color w:val="1A1A1A"/>
                <w:sz w:val="18"/>
                <w:szCs w:val="18"/>
                <w:lang w:eastAsia="en-GB"/>
              </w:rPr>
              <w:t>ACTIV-4B (45 days)</w:t>
            </w:r>
            <w:r w:rsidR="005114A0">
              <w:rPr>
                <w:rFonts w:ascii="Arial" w:eastAsia="Times New Roman" w:hAnsi="Arial" w:cs="Arial"/>
                <w:color w:val="1A1A1A"/>
                <w:sz w:val="18"/>
                <w:szCs w:val="18"/>
                <w:lang w:eastAsia="en-GB"/>
              </w:rPr>
              <w:fldChar w:fldCharType="begin" w:fldLock="1"/>
            </w:r>
            <w:r w:rsidR="00ED6CA0">
              <w:rPr>
                <w:rFonts w:ascii="Arial" w:eastAsia="Times New Roman" w:hAnsi="Arial" w:cs="Arial"/>
                <w:color w:val="1A1A1A"/>
                <w:sz w:val="18"/>
                <w:szCs w:val="18"/>
                <w:lang w:eastAsia="en-GB"/>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005114A0">
              <w:rPr>
                <w:rFonts w:ascii="Arial" w:eastAsia="Times New Roman" w:hAnsi="Arial" w:cs="Arial"/>
                <w:color w:val="1A1A1A"/>
                <w:sz w:val="18"/>
                <w:szCs w:val="18"/>
                <w:lang w:eastAsia="en-GB"/>
              </w:rPr>
              <w:fldChar w:fldCharType="separate"/>
            </w:r>
            <w:r w:rsidR="005114A0" w:rsidRPr="005114A0">
              <w:rPr>
                <w:rFonts w:ascii="Arial" w:eastAsia="Times New Roman" w:hAnsi="Arial" w:cs="Arial"/>
                <w:b w:val="0"/>
                <w:noProof/>
                <w:color w:val="1A1A1A"/>
                <w:sz w:val="18"/>
                <w:szCs w:val="18"/>
                <w:lang w:eastAsia="en-GB"/>
              </w:rPr>
              <w:t>[6]</w:t>
            </w:r>
            <w:r w:rsidR="005114A0">
              <w:rPr>
                <w:rFonts w:ascii="Arial" w:eastAsia="Times New Roman" w:hAnsi="Arial" w:cs="Arial"/>
                <w:color w:val="1A1A1A"/>
                <w:sz w:val="18"/>
                <w:szCs w:val="18"/>
                <w:lang w:eastAsia="en-GB"/>
              </w:rPr>
              <w:fldChar w:fldCharType="end"/>
            </w:r>
          </w:p>
        </w:tc>
        <w:tc>
          <w:tcPr>
            <w:tcW w:w="987" w:type="dxa"/>
          </w:tcPr>
          <w:p w14:paraId="7E06F828"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278</w:t>
            </w:r>
          </w:p>
        </w:tc>
        <w:tc>
          <w:tcPr>
            <w:tcW w:w="3577" w:type="dxa"/>
            <w:hideMark/>
          </w:tcPr>
          <w:p w14:paraId="6C6B18E7"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Apixaban (therapeutic)</w:t>
            </w:r>
          </w:p>
        </w:tc>
        <w:tc>
          <w:tcPr>
            <w:tcW w:w="2835" w:type="dxa"/>
            <w:hideMark/>
          </w:tcPr>
          <w:p w14:paraId="63A75837"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Apixaban (prophylactic)  </w:t>
            </w:r>
          </w:p>
        </w:tc>
        <w:tc>
          <w:tcPr>
            <w:tcW w:w="1559" w:type="dxa"/>
            <w:hideMark/>
          </w:tcPr>
          <w:p w14:paraId="25F03164"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Sep 2020 - Jun 2021</w:t>
            </w:r>
          </w:p>
        </w:tc>
        <w:tc>
          <w:tcPr>
            <w:tcW w:w="2552" w:type="dxa"/>
            <w:hideMark/>
          </w:tcPr>
          <w:p w14:paraId="0AA38307"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Outpatient at time of diagnosis and treatment</w:t>
            </w:r>
          </w:p>
        </w:tc>
        <w:tc>
          <w:tcPr>
            <w:tcW w:w="1945" w:type="dxa"/>
            <w:hideMark/>
          </w:tcPr>
          <w:p w14:paraId="3DE651C6" w14:textId="633DD175"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52 centres</w:t>
            </w:r>
            <w:r w:rsidR="00B75E4A" w:rsidRPr="00C14897">
              <w:rPr>
                <w:rFonts w:ascii="Arial" w:eastAsia="Times New Roman" w:hAnsi="Arial" w:cs="Arial"/>
                <w:color w:val="000000"/>
                <w:sz w:val="18"/>
                <w:szCs w:val="18"/>
                <w:lang w:eastAsia="en-GB"/>
              </w:rPr>
              <w:t>, USA</w:t>
            </w:r>
          </w:p>
        </w:tc>
      </w:tr>
      <w:tr w:rsidR="00810C9F" w:rsidRPr="00AF49D9" w14:paraId="69654ABA" w14:textId="77777777" w:rsidTr="009E07CF">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957" w:type="dxa"/>
            <w:noWrap/>
            <w:hideMark/>
          </w:tcPr>
          <w:p w14:paraId="5C679C74" w14:textId="67F322D6"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ACTION (30 days)</w:t>
            </w:r>
            <w:r w:rsidR="00ED6CA0">
              <w:rPr>
                <w:rFonts w:ascii="Arial" w:eastAsia="Times New Roman" w:hAnsi="Arial" w:cs="Arial"/>
                <w:color w:val="000000"/>
                <w:sz w:val="18"/>
                <w:szCs w:val="18"/>
                <w:lang w:eastAsia="en-GB"/>
              </w:rPr>
              <w:fldChar w:fldCharType="begin" w:fldLock="1"/>
            </w:r>
            <w:r w:rsidR="00676671">
              <w:rPr>
                <w:rFonts w:ascii="Arial" w:eastAsia="Times New Roman" w:hAnsi="Arial" w:cs="Arial"/>
                <w:color w:val="000000"/>
                <w:sz w:val="18"/>
                <w:szCs w:val="18"/>
                <w:lang w:eastAsia="en-GB"/>
              </w:rPr>
              <w:instrText>ADDIN CSL_CITATION {"citationItems":[{"id":"ITEM-1","itemData":{"DOI":"10.1016/S0140-6736(21)01203-4","ISSN":"1474-547X","PMID":"34097856","abstract":"Background: COVID-19 is associated with a prothrombotic state leading to adverse clinical outcomes. Whether therapeutic anticoagulation improves outcomes in patients hospitalised with COVID-19 is unknown. We aimed to compare the efficacy and safety of therapeutic versus prophylactic anticoagulation in this population. Methods: We did a pragmatic, open-label (with blinded adjudication), multicentre, randomised, controlled trial, at 31 sites in Brazil. Patients (aged ≥18 years) hospitalised with COVID-19 and elevated D-dimer concentration, and who had COVID-19 symptoms for up to 14 days before randomisation, were randomly assigned (1:1) to receive either therapeutic or prophylactic anticoagulation. Therapeutic anticoagulation was in-hospital oral rivaroxaban (20 mg or 15 mg daily) for stable patients, or initial subcutaneous enoxaparin (1 mg/kg twice per day) or intravenous unfractionated heparin (to achieve a 0·3–0·7 IU/mL anti-Xa concentration) for clinically unstable patients, followed by rivaroxaban to day 30. Prophylactic anticoagulation was standard in-hospital enoxaparin or unfractionated heparin. The primary efficacy outcome was a hierarchical analysis of time to death, duration of hospitalisation, or duration of supplemental oxygen to day 30, analysed with the win ratio method (a ratio &gt;1 reflects a better outcome in the therapeutic anticoagulation group) in the intention-to-treat population. The primary safety outcome was major or clinically relevant non-major bleeding through 30 days. This study is registered with ClinicalTrials.gov (NCT04394377) and is completed. Findings: From June 24, 2020, to Feb 26, 2021, 3331 patients were screened and 615 were randomly allocated (311 [50%] to the therapeutic anticoagulation group and 304 [50%] to the prophylactic anticoagulation group). 576 (94%) were clinically stable and 39 (6%) clinically unstable. One patient, in the therapeutic group, was lost to follow-up because of withdrawal of consent and was not included in the primary analysis. The primary efficacy outcome was not different between patients assigned therapeutic or prophylactic anticoagulation, with 28 899 (34·8%) wins in the therapeutic group and 34 288 (41·3%) in the prophylactic group (win ratio 0·86 [95% CI 0·59–1·22], p=0·40). Consistent results were seen in clinically stable and clinically unstable patients. The primary safety outcome of major or clinically relevant non-major bleeding occurred in 26 (8%) patients assigned therapeutic anti…","author":[{"dropping-particle":"","family":"Lopes","given":"Renato D.","non-dropping-particle":"","parse-names":false,"suffix":""},{"dropping-particle":"","family":"Barros E Silva","given":"Pedro Gabriel Melo","non-dropping-particle":"de","parse-names":false,"suffix":""},{"dropping-particle":"","family":"Furtado","given":"Remo H.M. M","non-dropping-particle":"","parse-names":false,"suffix":""},{"dropping-particle":"","family":"Macedo","given":"Ariane Vieira Scarlatelli","non-dropping-particle":"","parse-names":false,"suffix":""},{"dropping-particle":"","family":"Bronhara","given":"Bruna","non-dropping-particle":"","parse-names":false,"suffix":""},{"dropping-particle":"","family":"Damiani","given":"Lucas Petri","non-dropping-particle":"","parse-names":false,"suffix":""},{"dropping-particle":"","family":"Barbosa","given":"Lilian Mazza","non-dropping-particle":"","parse-names":false,"suffix":""},{"dropping-particle":"","family":"Aveiro Morata","given":"Júlia","non-dropping-particle":"de","parse-names":false,"suffix":""},{"dropping-particle":"","family":"Ramacciotti","given":"Eduardo","non-dropping-particle":"","parse-names":false,"suffix":""},{"dropping-particle":"","family":"Aquino Martins","given":"Priscilla","non-dropping-particle":"de","parse-names":false,"suffix":""},{"dropping-particle":"","family":"Oliveira","given":"Aryadne Lyrio","non-dropping-particle":"de","parse-names":false,"suffix":""},{"dropping-particle":"","family":"Nunes","given":"Vinicius Santana","non-dropping-particle":"","parse-names":false,"suffix":""},{"dropping-particle":"","family":"Ritt","given":"Luiz Eduardo Fonteles","non-dropping-particle":"","parse-names":false,"suffix":""},{"dropping-particle":"","family":"Rocha","given":"Ana Thereza","non-dropping-particle":"","parse-names":false,"suffix":""},{"dropping-particle":"","family":"Tramujas","given":"Lucas","non-dropping-particle":"","parse-names":false,"suffix":""},{"dropping-particle":"V.","family":"Santos","given":"Sueli","non-dropping-particle":"","parse-names":false,"suffix":""},{"dropping-particle":"","family":"Diaz","given":"Dario Rafael Abregu","non-dropping-particle":"","parse-names":false,"suffix":""},{"dropping-particle":"","family":"Viana","given":"Lorena Souza","non-dropping-particle":"","parse-names":false,"suffix":""},{"dropping-particle":"","family":"Melro","given":"Lívia Maria Garcia","non-dropping-particle":"","parse-names":false,"suffix":""},{"dropping-particle":"","family":"Alcântara Chaud","given":"Mariana Silveira","non-dropping-particle":"de","parse-names":false,"suffix":""},{"dropping-particle":"","family":"Figueiredo","given":"Estêvão Lanna","non-dropping-particle":"","parse-names":false,"suffix":""},{"dropping-particle":"","family":"Neuenschwander","given":"Fernando Carvalho","non-dropping-particle":"","parse-names":false,"suffix":""},{"dropping-particle":"","family":"Dracoulakis","given":"Marianna Deway Andrade","non-dropping-particle":"","parse-names":false,"suffix":""},{"dropping-particle":"","family":"Lima","given":"Rodolfo Godinho Souza Dourado R.G.S.D.","non-dropping-particle":"","parse-names":false,"suffix":""},{"dropping-particle":"","family":"Souza Dantas","given":"Vicente Cés","non-dropping-particle":"de","parse-names":false,"suffix":""},{"dropping-particle":"","family":"Fernandes","given":"Anne Cristine Silva","non-dropping-particle":"","parse-names":false,"suffix":""},{"dropping-particle":"","family":"Gebara","given":"Otávio Celso Eluf","non-dropping-particle":"","parse-names":false,"suffix":""},{"dropping-particle":"","family":"Hernandes","given":"Mauro Esteves","non-dropping-particle":"","parse-names":false,"suffix":""},{"dropping-particle":"","family":"Queiroz","given":"Diego Aparecido Rios","non-dropping-particle":"","parse-names":false,"suffix":""},{"dropping-particle":"","family":"Veiga","given":"Viviane C.","non-dropping-particle":"","parse-names":false,"suffix":""},{"dropping-particle":"","family":"Canesin","given":"Manoel Fernandes","non-dropping-particle":"","parse-names":false,"suffix":""},{"dropping-particle":"","family":"Faria","given":"Leonardo Meira","non-dropping-particle":"de","parse-names":false,"suffix":""},{"dropping-particle":"","family":"Feitosa-Filho","given":"Gilson Soares","non-dropping-particle":"","parse-names":false,"suffix":""},{"dropping-particle":"","family":"Gazzana","given":"Marcelo Basso","non-dropping-particle":"","parse-names":false,"suffix":""},{"dropping-particle":"","family":"Liporace","given":"Idelzuíta Leandro","non-dropping-particle":"","parse-names":false,"suffix":""},{"dropping-particle":"","family":"Oliveira Twardowsky","given":"Aline","non-dropping-particle":"de","parse-names":false,"suffix":""},{"dropping-particle":"","family":"Maia","given":"Lilia Nigro","non-dropping-particle":"","parse-names":false,"suffix":""},{"dropping-particle":"","family":"Machado","given":"Flávia Ribeiro","non-dropping-particle":"","parse-names":false,"suffix":""},{"dropping-particle":"","family":"Matos Soeiro","given":"Alexandre","non-dropping-particle":"de","parse-names":false,"suffix":""},{"dropping-particle":"","family":"Conceição-Souza","given":"Germano Emílio","non-dropping-particle":"","parse-names":false,"suffix":""},{"dropping-particle":"","family":"Armaganijan","given":"Luciana","non-dropping-particle":"","parse-names":false,"suffix":""},{"dropping-particle":"","family":"Guimarães","given":"Patrícia O.","non-dropping-particle":"","parse-names":false,"suffix":""},{"dropping-particle":"","family":"Rosa","given":"Regis G.","non-dropping-particle":"","parse-names":false,"suffix":""},{"dropping-particle":"","family":"Azevedo","given":"Luciano C.P. P","non-dropping-particle":"","parse-names":false,"suffix":""},{"dropping-particle":"","family":"Alexander","given":"John H.","non-dropping-particle":"","parse-names":false,"suffix":""},{"dropping-particle":"","family":"Avezum","given":"Alvaro","non-dropping-particle":"","parse-names":false,"suffix":""},{"dropping-particle":"","family":"Cavalcanti","given":"Alexandre B.","non-dropping-particle":"","parse-names":false,"suffix":""},{"dropping-particle":"","family":"Berwanger","given":"Otavio","non-dropping-particle":"","parse-names":false,"suffix":""}],"container-title":"The Lancet","id":"ITEM-1","issue":"10291","issued":{"date-parts":[["2021"]]},"language":"en","note":"From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2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2021","page":"2253-2263","publisher-place":"Lopes RD; Duke Clinical Research Institute, Duke University Medical Center, Durham, NC, USA; Brazilian Clinical Research Institute, São Paulo, Brazil. Electronic address: USArenato.lopes@duke.edu.","title":"Therapeutic versus prophylactic anticoagulation for patients admitted to hospital with COVID-19 and elevated D-dimer concentration (ACTION): an open-label, multicentre, randomised, controlled trial","type":"article-journal","volume":"397"},"uris":["http://www.mendeley.com/documents/?uuid=faf91367-5dbe-4654-aba7-ea7d6468829d"]}],"mendeley":{"formattedCitation":"[7]","plainTextFormattedCitation":"[7]","previouslyFormattedCitation":"[7]"},"properties":{"noteIndex":0},"schema":"https://github.com/citation-style-language/schema/raw/master/csl-citation.json"}</w:instrText>
            </w:r>
            <w:r w:rsidR="00ED6CA0">
              <w:rPr>
                <w:rFonts w:ascii="Arial" w:eastAsia="Times New Roman" w:hAnsi="Arial" w:cs="Arial"/>
                <w:color w:val="000000"/>
                <w:sz w:val="18"/>
                <w:szCs w:val="18"/>
                <w:lang w:eastAsia="en-GB"/>
              </w:rPr>
              <w:fldChar w:fldCharType="separate"/>
            </w:r>
            <w:r w:rsidR="00ED6CA0" w:rsidRPr="00ED6CA0">
              <w:rPr>
                <w:rFonts w:ascii="Arial" w:eastAsia="Times New Roman" w:hAnsi="Arial" w:cs="Arial"/>
                <w:b w:val="0"/>
                <w:noProof/>
                <w:color w:val="000000"/>
                <w:sz w:val="18"/>
                <w:szCs w:val="18"/>
                <w:lang w:eastAsia="en-GB"/>
              </w:rPr>
              <w:t>[7]</w:t>
            </w:r>
            <w:r w:rsidR="00ED6CA0">
              <w:rPr>
                <w:rFonts w:ascii="Arial" w:eastAsia="Times New Roman" w:hAnsi="Arial" w:cs="Arial"/>
                <w:color w:val="000000"/>
                <w:sz w:val="18"/>
                <w:szCs w:val="18"/>
                <w:lang w:eastAsia="en-GB"/>
              </w:rPr>
              <w:fldChar w:fldCharType="end"/>
            </w:r>
          </w:p>
        </w:tc>
        <w:tc>
          <w:tcPr>
            <w:tcW w:w="987" w:type="dxa"/>
          </w:tcPr>
          <w:p w14:paraId="0DE9E882"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614</w:t>
            </w:r>
          </w:p>
        </w:tc>
        <w:tc>
          <w:tcPr>
            <w:tcW w:w="3577" w:type="dxa"/>
            <w:hideMark/>
          </w:tcPr>
          <w:p w14:paraId="618978F3" w14:textId="438D4096"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Therapeutic rivaroxaban </w:t>
            </w:r>
            <w:r w:rsidR="00F73DC5" w:rsidRPr="00C14897">
              <w:rPr>
                <w:rFonts w:ascii="Arial" w:eastAsia="Times New Roman" w:hAnsi="Arial" w:cs="Arial"/>
                <w:color w:val="000000"/>
                <w:sz w:val="18"/>
                <w:szCs w:val="18"/>
                <w:lang w:eastAsia="en-GB"/>
              </w:rPr>
              <w:br/>
              <w:t>(</w:t>
            </w:r>
            <w:r w:rsidRPr="00C14897">
              <w:rPr>
                <w:rFonts w:ascii="Arial" w:eastAsia="Times New Roman" w:hAnsi="Arial" w:cs="Arial"/>
                <w:color w:val="000000"/>
                <w:sz w:val="18"/>
                <w:szCs w:val="18"/>
                <w:lang w:eastAsia="en-GB"/>
              </w:rPr>
              <w:t>stable patients</w:t>
            </w:r>
            <w:r w:rsidR="00F73DC5" w:rsidRPr="00C14897">
              <w:rPr>
                <w:rFonts w:ascii="Arial" w:eastAsia="Times New Roman" w:hAnsi="Arial" w:cs="Arial"/>
                <w:color w:val="000000"/>
                <w:sz w:val="18"/>
                <w:szCs w:val="18"/>
                <w:lang w:eastAsia="en-GB"/>
              </w:rPr>
              <w:t>)</w:t>
            </w:r>
            <w:r w:rsidRPr="00C14897">
              <w:rPr>
                <w:rFonts w:ascii="Arial" w:eastAsia="Times New Roman" w:hAnsi="Arial" w:cs="Arial"/>
                <w:color w:val="000000"/>
                <w:sz w:val="18"/>
                <w:szCs w:val="18"/>
                <w:lang w:eastAsia="en-GB"/>
              </w:rPr>
              <w:t xml:space="preserve"> or enoxaparin</w:t>
            </w:r>
            <w:r w:rsidR="00F73DC5" w:rsidRPr="00C14897">
              <w:rPr>
                <w:rFonts w:ascii="Arial" w:eastAsia="Times New Roman" w:hAnsi="Arial" w:cs="Arial"/>
                <w:color w:val="000000"/>
                <w:sz w:val="18"/>
                <w:szCs w:val="18"/>
                <w:lang w:eastAsia="en-GB"/>
              </w:rPr>
              <w:t>/</w:t>
            </w:r>
            <w:r w:rsidRPr="00C14897">
              <w:rPr>
                <w:rFonts w:ascii="Arial" w:eastAsia="Times New Roman" w:hAnsi="Arial" w:cs="Arial"/>
                <w:color w:val="000000"/>
                <w:sz w:val="18"/>
                <w:szCs w:val="18"/>
                <w:lang w:eastAsia="en-GB"/>
              </w:rPr>
              <w:t>UFH</w:t>
            </w:r>
            <w:r w:rsidR="00F73DC5" w:rsidRPr="00C14897">
              <w:rPr>
                <w:rFonts w:ascii="Arial" w:eastAsia="Times New Roman" w:hAnsi="Arial" w:cs="Arial"/>
                <w:color w:val="000000"/>
                <w:sz w:val="18"/>
                <w:szCs w:val="18"/>
                <w:lang w:eastAsia="en-GB"/>
              </w:rPr>
              <w:t xml:space="preserve"> </w:t>
            </w:r>
            <w:r w:rsidR="00E06193" w:rsidRPr="00C14897">
              <w:rPr>
                <w:rFonts w:ascii="Arial" w:eastAsia="Times New Roman" w:hAnsi="Arial" w:cs="Arial"/>
                <w:color w:val="000000"/>
                <w:sz w:val="18"/>
                <w:szCs w:val="18"/>
                <w:lang w:eastAsia="en-GB"/>
              </w:rPr>
              <w:t xml:space="preserve"> followed by rivaroxaban </w:t>
            </w:r>
            <w:r w:rsidR="00F73DC5" w:rsidRPr="00C14897">
              <w:rPr>
                <w:rFonts w:ascii="Arial" w:eastAsia="Times New Roman" w:hAnsi="Arial" w:cs="Arial"/>
                <w:color w:val="000000"/>
                <w:sz w:val="18"/>
                <w:szCs w:val="18"/>
                <w:lang w:eastAsia="en-GB"/>
              </w:rPr>
              <w:t>(</w:t>
            </w:r>
            <w:r w:rsidRPr="00C14897">
              <w:rPr>
                <w:rFonts w:ascii="Arial" w:eastAsia="Times New Roman" w:hAnsi="Arial" w:cs="Arial"/>
                <w:color w:val="000000"/>
                <w:sz w:val="18"/>
                <w:szCs w:val="18"/>
                <w:lang w:eastAsia="en-GB"/>
              </w:rPr>
              <w:t>unstable patients</w:t>
            </w:r>
            <w:r w:rsidR="00F73DC5" w:rsidRPr="00C14897">
              <w:rPr>
                <w:rFonts w:ascii="Arial" w:eastAsia="Times New Roman" w:hAnsi="Arial" w:cs="Arial"/>
                <w:color w:val="000000"/>
                <w:sz w:val="18"/>
                <w:szCs w:val="18"/>
                <w:lang w:eastAsia="en-GB"/>
              </w:rPr>
              <w:t>)</w:t>
            </w:r>
          </w:p>
        </w:tc>
        <w:tc>
          <w:tcPr>
            <w:tcW w:w="2835" w:type="dxa"/>
            <w:hideMark/>
          </w:tcPr>
          <w:p w14:paraId="71F1E52E" w14:textId="317F2F7D"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Standard</w:t>
            </w:r>
            <w:r w:rsidR="00312EDD" w:rsidRPr="00C14897">
              <w:rPr>
                <w:rFonts w:ascii="Arial" w:eastAsia="Times New Roman" w:hAnsi="Arial" w:cs="Arial"/>
                <w:color w:val="000000"/>
                <w:sz w:val="18"/>
                <w:szCs w:val="18"/>
                <w:lang w:eastAsia="en-GB"/>
              </w:rPr>
              <w:t xml:space="preserve"> low-</w:t>
            </w:r>
            <w:r w:rsidRPr="00C14897">
              <w:rPr>
                <w:rFonts w:ascii="Arial" w:eastAsia="Times New Roman" w:hAnsi="Arial" w:cs="Arial"/>
                <w:color w:val="000000"/>
                <w:sz w:val="18"/>
                <w:szCs w:val="18"/>
                <w:lang w:eastAsia="en-GB"/>
              </w:rPr>
              <w:t>dose prophylactic enoxaparin or UFH</w:t>
            </w:r>
          </w:p>
        </w:tc>
        <w:tc>
          <w:tcPr>
            <w:tcW w:w="1559" w:type="dxa"/>
            <w:hideMark/>
          </w:tcPr>
          <w:p w14:paraId="67F20CEB"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Jun 2020 - Feb 2021</w:t>
            </w:r>
          </w:p>
        </w:tc>
        <w:tc>
          <w:tcPr>
            <w:tcW w:w="2552" w:type="dxa"/>
            <w:hideMark/>
          </w:tcPr>
          <w:p w14:paraId="4BE69346"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Hospitalized with elevated D-dimer levels (6% requiring ICU admission).</w:t>
            </w:r>
          </w:p>
        </w:tc>
        <w:tc>
          <w:tcPr>
            <w:tcW w:w="1945" w:type="dxa"/>
            <w:hideMark/>
          </w:tcPr>
          <w:p w14:paraId="67ACC097"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Brazil </w:t>
            </w:r>
          </w:p>
        </w:tc>
      </w:tr>
      <w:tr w:rsidR="00EB070A" w:rsidRPr="00AF49D9" w14:paraId="42C3DA7E" w14:textId="77777777" w:rsidTr="009E07CF">
        <w:trPr>
          <w:trHeight w:val="576"/>
        </w:trPr>
        <w:tc>
          <w:tcPr>
            <w:cnfStyle w:val="001000000000" w:firstRow="0" w:lastRow="0" w:firstColumn="1" w:lastColumn="0" w:oddVBand="0" w:evenVBand="0" w:oddHBand="0" w:evenHBand="0" w:firstRowFirstColumn="0" w:firstRowLastColumn="0" w:lastRowFirstColumn="0" w:lastRowLastColumn="0"/>
            <w:tcW w:w="1957" w:type="dxa"/>
            <w:hideMark/>
          </w:tcPr>
          <w:p w14:paraId="6DF0B4A8" w14:textId="6515CE37" w:rsidR="00BB6FF6" w:rsidRPr="00C14897" w:rsidRDefault="00BB6FF6" w:rsidP="00D06226">
            <w:pPr>
              <w:rPr>
                <w:rFonts w:ascii="Arial" w:eastAsia="Times New Roman" w:hAnsi="Arial" w:cs="Arial"/>
                <w:color w:val="000000"/>
                <w:sz w:val="18"/>
                <w:szCs w:val="18"/>
                <w:lang w:eastAsia="en-GB"/>
              </w:rPr>
            </w:pPr>
            <w:proofErr w:type="spellStart"/>
            <w:r w:rsidRPr="00C14897">
              <w:rPr>
                <w:rFonts w:ascii="Arial" w:eastAsia="Times New Roman" w:hAnsi="Arial" w:cs="Arial"/>
                <w:color w:val="000000"/>
                <w:sz w:val="18"/>
                <w:szCs w:val="18"/>
                <w:lang w:eastAsia="en-GB"/>
              </w:rPr>
              <w:t>Perepu</w:t>
            </w:r>
            <w:proofErr w:type="spellEnd"/>
            <w:r w:rsidRPr="00C14897">
              <w:rPr>
                <w:rFonts w:ascii="Arial" w:eastAsia="Times New Roman" w:hAnsi="Arial" w:cs="Arial"/>
                <w:color w:val="000000"/>
                <w:sz w:val="18"/>
                <w:szCs w:val="18"/>
                <w:lang w:eastAsia="en-GB"/>
              </w:rPr>
              <w:t xml:space="preserve"> et al. (30 days)</w:t>
            </w:r>
            <w:r w:rsidR="00676671">
              <w:rPr>
                <w:rFonts w:ascii="Arial" w:eastAsia="Times New Roman" w:hAnsi="Arial" w:cs="Arial"/>
                <w:color w:val="000000"/>
                <w:sz w:val="18"/>
                <w:szCs w:val="18"/>
                <w:lang w:eastAsia="en-GB"/>
              </w:rPr>
              <w:fldChar w:fldCharType="begin" w:fldLock="1"/>
            </w:r>
            <w:r w:rsidR="00810C9F">
              <w:rPr>
                <w:rFonts w:ascii="Arial" w:eastAsia="Times New Roman" w:hAnsi="Arial" w:cs="Arial"/>
                <w:color w:val="000000"/>
                <w:sz w:val="18"/>
                <w:szCs w:val="18"/>
                <w:lang w:eastAsia="en-GB"/>
              </w:rPr>
              <w:instrText>ADDIN CSL_CITATION {"citationItems":[{"id":"ITEM-1","itemData":{"DOI":"10.1111/jth.15450","ISSN":"1538-7836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Haemostasis","id":"ITEM-1","issue":"9","issued":{"date-parts":[["2021","9"]]},"language":"eng","note":"From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plainTextFormattedCitation":"[8]","previouslyFormattedCitation":"[8]"},"properties":{"noteIndex":0},"schema":"https://github.com/citation-style-language/schema/raw/master/csl-citation.json"}</w:instrText>
            </w:r>
            <w:r w:rsidR="00676671">
              <w:rPr>
                <w:rFonts w:ascii="Arial" w:eastAsia="Times New Roman" w:hAnsi="Arial" w:cs="Arial"/>
                <w:color w:val="000000"/>
                <w:sz w:val="18"/>
                <w:szCs w:val="18"/>
                <w:lang w:eastAsia="en-GB"/>
              </w:rPr>
              <w:fldChar w:fldCharType="separate"/>
            </w:r>
            <w:r w:rsidR="00676671" w:rsidRPr="00676671">
              <w:rPr>
                <w:rFonts w:ascii="Arial" w:eastAsia="Times New Roman" w:hAnsi="Arial" w:cs="Arial"/>
                <w:b w:val="0"/>
                <w:noProof/>
                <w:color w:val="000000"/>
                <w:sz w:val="18"/>
                <w:szCs w:val="18"/>
                <w:lang w:eastAsia="en-GB"/>
              </w:rPr>
              <w:t>[8]</w:t>
            </w:r>
            <w:r w:rsidR="00676671">
              <w:rPr>
                <w:rFonts w:ascii="Arial" w:eastAsia="Times New Roman" w:hAnsi="Arial" w:cs="Arial"/>
                <w:color w:val="000000"/>
                <w:sz w:val="18"/>
                <w:szCs w:val="18"/>
                <w:lang w:eastAsia="en-GB"/>
              </w:rPr>
              <w:fldChar w:fldCharType="end"/>
            </w:r>
          </w:p>
        </w:tc>
        <w:tc>
          <w:tcPr>
            <w:tcW w:w="987" w:type="dxa"/>
          </w:tcPr>
          <w:p w14:paraId="464F913C"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173</w:t>
            </w:r>
          </w:p>
        </w:tc>
        <w:tc>
          <w:tcPr>
            <w:tcW w:w="3577" w:type="dxa"/>
            <w:hideMark/>
          </w:tcPr>
          <w:p w14:paraId="75837C8A" w14:textId="4A03D63A"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Intermediate</w:t>
            </w:r>
            <w:r w:rsidR="00E06193" w:rsidRPr="00C14897">
              <w:rPr>
                <w:rFonts w:ascii="Arial" w:eastAsia="Times New Roman" w:hAnsi="Arial" w:cs="Arial"/>
                <w:color w:val="000000"/>
                <w:sz w:val="18"/>
                <w:szCs w:val="18"/>
                <w:lang w:eastAsia="en-GB"/>
              </w:rPr>
              <w:t>-</w:t>
            </w:r>
            <w:r w:rsidRPr="00C14897">
              <w:rPr>
                <w:rFonts w:ascii="Arial" w:eastAsia="Times New Roman" w:hAnsi="Arial" w:cs="Arial"/>
                <w:color w:val="000000"/>
                <w:sz w:val="18"/>
                <w:szCs w:val="18"/>
                <w:lang w:eastAsia="en-GB"/>
              </w:rPr>
              <w:t>dose enoxaparin</w:t>
            </w:r>
            <w:r w:rsidRPr="00C14897">
              <w:rPr>
                <w:rFonts w:ascii="Arial" w:eastAsia="Times New Roman" w:hAnsi="Arial" w:cs="Arial"/>
                <w:i/>
                <w:iCs/>
                <w:color w:val="FF0000"/>
                <w:sz w:val="18"/>
                <w:szCs w:val="18"/>
                <w:lang w:eastAsia="en-GB"/>
              </w:rPr>
              <w:t xml:space="preserve"> </w:t>
            </w:r>
          </w:p>
        </w:tc>
        <w:tc>
          <w:tcPr>
            <w:tcW w:w="2835" w:type="dxa"/>
            <w:hideMark/>
          </w:tcPr>
          <w:p w14:paraId="504DC0DA" w14:textId="5620315C"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Standard</w:t>
            </w:r>
            <w:r w:rsidR="005502F6" w:rsidRPr="00C14897">
              <w:rPr>
                <w:rFonts w:ascii="Arial" w:eastAsia="Times New Roman" w:hAnsi="Arial" w:cs="Arial"/>
                <w:color w:val="000000"/>
                <w:sz w:val="18"/>
                <w:szCs w:val="18"/>
                <w:lang w:eastAsia="en-GB"/>
              </w:rPr>
              <w:t xml:space="preserve"> low-dose </w:t>
            </w:r>
            <w:r w:rsidRPr="00C14897">
              <w:rPr>
                <w:rFonts w:ascii="Arial" w:eastAsia="Times New Roman" w:hAnsi="Arial" w:cs="Arial"/>
                <w:color w:val="000000"/>
                <w:sz w:val="18"/>
                <w:szCs w:val="18"/>
                <w:lang w:eastAsia="en-GB"/>
              </w:rPr>
              <w:t>prophylactic enoxaparin</w:t>
            </w:r>
          </w:p>
        </w:tc>
        <w:tc>
          <w:tcPr>
            <w:tcW w:w="1559" w:type="dxa"/>
            <w:hideMark/>
          </w:tcPr>
          <w:p w14:paraId="51EC5BD0"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Apr 2020 - Jan 2021</w:t>
            </w:r>
          </w:p>
        </w:tc>
        <w:tc>
          <w:tcPr>
            <w:tcW w:w="2552" w:type="dxa"/>
            <w:hideMark/>
          </w:tcPr>
          <w:p w14:paraId="738B14A0" w14:textId="77777777" w:rsidR="00BB6FF6" w:rsidRPr="00C14897" w:rsidRDefault="00BB6FF6"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GB"/>
              </w:rPr>
            </w:pPr>
            <w:r w:rsidRPr="00C14897">
              <w:rPr>
                <w:rFonts w:ascii="Arial" w:eastAsia="Times New Roman" w:hAnsi="Arial" w:cs="Arial"/>
                <w:sz w:val="18"/>
                <w:szCs w:val="18"/>
                <w:lang w:eastAsia="en-GB"/>
              </w:rPr>
              <w:t>ICU or with lab-confirmed coagulopathy (ISTH Overt DIC score ≥ 3)</w:t>
            </w:r>
          </w:p>
        </w:tc>
        <w:tc>
          <w:tcPr>
            <w:tcW w:w="1945" w:type="dxa"/>
            <w:hideMark/>
          </w:tcPr>
          <w:p w14:paraId="39A324B4" w14:textId="4C01745A" w:rsidR="00BB6FF6" w:rsidRPr="00C14897" w:rsidRDefault="00B75E4A" w:rsidP="00D0622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3 centres, USA</w:t>
            </w:r>
            <w:r w:rsidR="00BB6FF6" w:rsidRPr="00C14897">
              <w:rPr>
                <w:rFonts w:ascii="Arial" w:eastAsia="Times New Roman" w:hAnsi="Arial" w:cs="Arial"/>
                <w:color w:val="000000"/>
                <w:sz w:val="18"/>
                <w:szCs w:val="18"/>
                <w:lang w:eastAsia="en-GB"/>
              </w:rPr>
              <w:t xml:space="preserve"> </w:t>
            </w:r>
          </w:p>
        </w:tc>
      </w:tr>
      <w:tr w:rsidR="001D558F" w:rsidRPr="00AF49D9" w14:paraId="5991A1CE" w14:textId="77777777" w:rsidTr="009E07CF">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957" w:type="dxa"/>
            <w:hideMark/>
          </w:tcPr>
          <w:p w14:paraId="6EA1EA17" w14:textId="5C41956F" w:rsidR="00BB6FF6" w:rsidRPr="00C14897" w:rsidRDefault="00BB6FF6" w:rsidP="00D0622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HESACOVID (28 days)</w:t>
            </w:r>
            <w:r w:rsidR="00810C9F">
              <w:rPr>
                <w:rFonts w:ascii="Arial" w:eastAsia="Times New Roman" w:hAnsi="Arial" w:cs="Arial"/>
                <w:color w:val="000000"/>
                <w:sz w:val="18"/>
                <w:szCs w:val="18"/>
                <w:lang w:eastAsia="en-GB"/>
              </w:rPr>
              <w:fldChar w:fldCharType="begin" w:fldLock="1"/>
            </w:r>
            <w:r w:rsidR="001D558F">
              <w:rPr>
                <w:rFonts w:ascii="Arial" w:eastAsia="Times New Roman" w:hAnsi="Arial" w:cs="Arial"/>
                <w:color w:val="000000"/>
                <w:sz w:val="18"/>
                <w:szCs w:val="18"/>
                <w:lang w:eastAsia="en-GB"/>
              </w:rPr>
              <w:instrText>ADDIN CSL_CITATION {"citationItems":[{"id":"ITEM-1","itemData":{"DOI":"10.1016/j.thromres.2020.09.026","ISSN":"18792472","PMID":"32977137","abstract":"Introduction: Coronavirus disease 2019 (COVID-19) causes a hypercoagulable state. Several autopsy studies have found microthrombi in pulmonary circulation. Methods: In this randomized, open-label, phase II study, we randomized COVID-19 patients requiring mechanical ventilation to receive either therapeutic enoxaparin or the standard anticoagulant thromboprophylaxis. We evaluated the gas exchange over time through the ratio of partial pressure of arterial oxygen (PaO2) to the fraction of inspired oxygen (FiO2) at baseline, 7, and 14 days after randomization, the time until successful liberation from mechanical ventilation, and the ventilator-free days. Results: Ten patients were assigned to the therapeutic enoxaparin and ten patients to prophylactic anticoagulation. There was a statistically significant increase in the PaO2/FiO2 ratio over time in the therapeutic group (163 [95% confidence interval – CI 133–193] at baseline, 209 [95% CI 171–247] after 7 days, and 261 [95% CI 230–293] after 14 days), p = 0.0004. In contrast, we did not observe this improvement over time in the prophylactic group (184 [95% CI 146–222] at baseline, 168 [95% CI 142–195] after 7 days, and 195 [95% CI 128–262] after 14 days), p = 0.487. Patients of the therapeutic group had a higher ratio of successful liberation from mechanical ventilation (hazard ratio: 4.0 [95% CI 1.035–15.053]), p = 0.031 and more ventilator-free days (15 days [interquartile range IQR 6–16] versus 0 days [IQR 0–11]), p = 0.028 when compared to the prophylactic group. Conclusion: Therapeutic enoxaparin improves gas exchange and decreases the need for mechanical ventilation in severe COVID–19. Trial registration: REBEC RBR-949z6v.","author":[{"dropping-particle":"","family":"Lemos","given":"Anna Cristina Bertoldi","non-dropping-particle":"","parse-names":false,"suffix":""},{"dropping-particle":"","family":"Espírito Santo","given":"Douglas Alexandre","non-dropping-particle":"do","parse-names":false,"suffix":""},{"dropping-particle":"","family":"Salvetti","given":"Maísa Cabetti","non-dropping-particle":"","parse-names":false,"suffix":""},{"dropping-particle":"","family":"Gilio","given":"Renato Noffs","non-dropping-particle":"","parse-names":false,"suffix":""},{"dropping-particle":"","family":"Agra","given":"Lucas Barbosa","non-dropping-particle":"","parse-names":false,"suffix":""},{"dropping-particle":"","family":"Pazin-Filho","given":"Antonio","non-dropping-particle":"","parse-names":false,"suffix":""},{"dropping-particle":"","family":"Miranda","given":"Carlos Henrique","non-dropping-particle":"","parse-names":false,"suffix":""}],"container-title":"Thrombosis Research","id":"ITEM-1","issue":"July","issued":{"date-parts":[["2020"]]},"page":"359-366","publisher":"Elsevier","title":"Therapeutic versus prophylactic anticoagulation for severe COVID-19: A randomized phase II clinical trial (HESACOVID)","type":"article-journal","volume":"196"},"uris":["http://www.mendeley.com/documents/?uuid=d7eb46af-f176-4d60-8c8b-40d45603321f"]}],"mendeley":{"formattedCitation":"[9]","plainTextFormattedCitation":"[9]","previouslyFormattedCitation":"[9]"},"properties":{"noteIndex":0},"schema":"https://github.com/citation-style-language/schema/raw/master/csl-citation.json"}</w:instrText>
            </w:r>
            <w:r w:rsidR="00810C9F">
              <w:rPr>
                <w:rFonts w:ascii="Arial" w:eastAsia="Times New Roman" w:hAnsi="Arial" w:cs="Arial"/>
                <w:color w:val="000000"/>
                <w:sz w:val="18"/>
                <w:szCs w:val="18"/>
                <w:lang w:eastAsia="en-GB"/>
              </w:rPr>
              <w:fldChar w:fldCharType="separate"/>
            </w:r>
            <w:r w:rsidR="00810C9F" w:rsidRPr="00810C9F">
              <w:rPr>
                <w:rFonts w:ascii="Arial" w:eastAsia="Times New Roman" w:hAnsi="Arial" w:cs="Arial"/>
                <w:b w:val="0"/>
                <w:noProof/>
                <w:color w:val="000000"/>
                <w:sz w:val="18"/>
                <w:szCs w:val="18"/>
                <w:lang w:eastAsia="en-GB"/>
              </w:rPr>
              <w:t>[9]</w:t>
            </w:r>
            <w:r w:rsidR="00810C9F">
              <w:rPr>
                <w:rFonts w:ascii="Arial" w:eastAsia="Times New Roman" w:hAnsi="Arial" w:cs="Arial"/>
                <w:color w:val="000000"/>
                <w:sz w:val="18"/>
                <w:szCs w:val="18"/>
                <w:lang w:eastAsia="en-GB"/>
              </w:rPr>
              <w:fldChar w:fldCharType="end"/>
            </w:r>
            <w:r w:rsidRPr="00C14897">
              <w:rPr>
                <w:rFonts w:ascii="Arial" w:eastAsia="Times New Roman" w:hAnsi="Arial" w:cs="Arial"/>
                <w:color w:val="000000"/>
                <w:sz w:val="18"/>
                <w:szCs w:val="18"/>
                <w:lang w:eastAsia="en-GB"/>
              </w:rPr>
              <w:t xml:space="preserve"> </w:t>
            </w:r>
          </w:p>
        </w:tc>
        <w:tc>
          <w:tcPr>
            <w:tcW w:w="987" w:type="dxa"/>
          </w:tcPr>
          <w:p w14:paraId="549E57C9"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20</w:t>
            </w:r>
          </w:p>
        </w:tc>
        <w:tc>
          <w:tcPr>
            <w:tcW w:w="3577" w:type="dxa"/>
            <w:hideMark/>
          </w:tcPr>
          <w:p w14:paraId="599A955B" w14:textId="103E5AAC"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Therapeutic enoxaparin</w:t>
            </w:r>
          </w:p>
        </w:tc>
        <w:tc>
          <w:tcPr>
            <w:tcW w:w="2835" w:type="dxa"/>
            <w:hideMark/>
          </w:tcPr>
          <w:p w14:paraId="1A60AE03" w14:textId="77789E1E"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Standard-dose, prophylactic enoxaparin (50%) or </w:t>
            </w:r>
            <w:r w:rsidR="00F73DC5" w:rsidRPr="00C14897">
              <w:rPr>
                <w:rFonts w:ascii="Arial" w:eastAsia="Times New Roman" w:hAnsi="Arial" w:cs="Arial"/>
                <w:color w:val="000000"/>
                <w:sz w:val="18"/>
                <w:szCs w:val="18"/>
                <w:lang w:eastAsia="en-GB"/>
              </w:rPr>
              <w:t>UFH</w:t>
            </w:r>
            <w:r w:rsidRPr="00C14897">
              <w:rPr>
                <w:rFonts w:ascii="Arial" w:eastAsia="Times New Roman" w:hAnsi="Arial" w:cs="Arial"/>
                <w:color w:val="000000"/>
                <w:sz w:val="18"/>
                <w:szCs w:val="18"/>
                <w:lang w:eastAsia="en-GB"/>
              </w:rPr>
              <w:t xml:space="preserve"> (50%) </w:t>
            </w:r>
          </w:p>
        </w:tc>
        <w:tc>
          <w:tcPr>
            <w:tcW w:w="1559" w:type="dxa"/>
            <w:hideMark/>
          </w:tcPr>
          <w:p w14:paraId="0A00566D"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hAnsi="Arial" w:cs="Arial"/>
                <w:color w:val="000000"/>
                <w:sz w:val="18"/>
                <w:szCs w:val="18"/>
              </w:rPr>
              <w:t>Apr 2020 - Jul 2020</w:t>
            </w:r>
          </w:p>
        </w:tc>
        <w:tc>
          <w:tcPr>
            <w:tcW w:w="2552" w:type="dxa"/>
            <w:hideMark/>
          </w:tcPr>
          <w:p w14:paraId="4A0042F4"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ICU</w:t>
            </w:r>
          </w:p>
        </w:tc>
        <w:tc>
          <w:tcPr>
            <w:tcW w:w="1945" w:type="dxa"/>
            <w:hideMark/>
          </w:tcPr>
          <w:p w14:paraId="07155CB1" w14:textId="77777777" w:rsidR="00BB6FF6" w:rsidRPr="00C14897" w:rsidRDefault="00BB6FF6" w:rsidP="00D0622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Brazil</w:t>
            </w:r>
          </w:p>
        </w:tc>
      </w:tr>
      <w:tr w:rsidR="00EB070A" w:rsidRPr="00AF49D9" w14:paraId="65BC36B0" w14:textId="77777777" w:rsidTr="009E07CF">
        <w:trPr>
          <w:trHeight w:val="521"/>
        </w:trPr>
        <w:tc>
          <w:tcPr>
            <w:cnfStyle w:val="001000000000" w:firstRow="0" w:lastRow="0" w:firstColumn="1" w:lastColumn="0" w:oddVBand="0" w:evenVBand="0" w:oddHBand="0" w:evenHBand="0" w:firstRowFirstColumn="0" w:firstRowLastColumn="0" w:lastRowFirstColumn="0" w:lastRowLastColumn="0"/>
            <w:tcW w:w="1957" w:type="dxa"/>
          </w:tcPr>
          <w:p w14:paraId="19F778C9" w14:textId="77777777" w:rsidR="00A719AC" w:rsidRPr="00C14897" w:rsidRDefault="00A719AC" w:rsidP="00A719AC">
            <w:pPr>
              <w:rPr>
                <w:rFonts w:ascii="Arial" w:eastAsia="Times New Roman" w:hAnsi="Arial" w:cs="Arial"/>
                <w:b w:val="0"/>
                <w:bCs w:val="0"/>
                <w:color w:val="000000"/>
                <w:sz w:val="18"/>
                <w:szCs w:val="18"/>
                <w:lang w:eastAsia="en-GB"/>
              </w:rPr>
            </w:pPr>
            <w:r w:rsidRPr="00C14897">
              <w:rPr>
                <w:rFonts w:ascii="Arial" w:eastAsia="Times New Roman" w:hAnsi="Arial" w:cs="Arial"/>
                <w:color w:val="000000"/>
                <w:sz w:val="18"/>
                <w:szCs w:val="18"/>
                <w:lang w:eastAsia="en-GB"/>
              </w:rPr>
              <w:t>BEMICOP</w:t>
            </w:r>
          </w:p>
          <w:p w14:paraId="6812C8C5" w14:textId="270DFC20" w:rsidR="00A719AC" w:rsidRPr="00C14897" w:rsidRDefault="00A719AC" w:rsidP="00A719AC">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(30 days)</w:t>
            </w:r>
            <w:r w:rsidR="001D558F">
              <w:rPr>
                <w:rFonts w:ascii="Arial" w:eastAsia="Times New Roman" w:hAnsi="Arial" w:cs="Arial"/>
                <w:color w:val="000000"/>
                <w:sz w:val="18"/>
                <w:szCs w:val="18"/>
                <w:lang w:eastAsia="en-GB"/>
              </w:rPr>
              <w:fldChar w:fldCharType="begin" w:fldLock="1"/>
            </w:r>
            <w:r w:rsidR="00F60A17">
              <w:rPr>
                <w:rFonts w:ascii="Arial" w:eastAsia="Times New Roman" w:hAnsi="Arial" w:cs="Arial"/>
                <w:color w:val="000000"/>
                <w:sz w:val="18"/>
                <w:szCs w:val="18"/>
                <w:lang w:eastAsia="en-GB"/>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mendeley":{"formattedCitation":"[10]","plainTextFormattedCitation":"[10]","previouslyFormattedCitation":"[10]"},"properties":{"noteIndex":0},"schema":"https://github.com/citation-style-language/schema/raw/master/csl-citation.json"}</w:instrText>
            </w:r>
            <w:r w:rsidR="001D558F">
              <w:rPr>
                <w:rFonts w:ascii="Arial" w:eastAsia="Times New Roman" w:hAnsi="Arial" w:cs="Arial"/>
                <w:color w:val="000000"/>
                <w:sz w:val="18"/>
                <w:szCs w:val="18"/>
                <w:lang w:eastAsia="en-GB"/>
              </w:rPr>
              <w:fldChar w:fldCharType="separate"/>
            </w:r>
            <w:r w:rsidR="001D558F" w:rsidRPr="001D558F">
              <w:rPr>
                <w:rFonts w:ascii="Arial" w:eastAsia="Times New Roman" w:hAnsi="Arial" w:cs="Arial"/>
                <w:b w:val="0"/>
                <w:noProof/>
                <w:color w:val="000000"/>
                <w:sz w:val="18"/>
                <w:szCs w:val="18"/>
                <w:lang w:eastAsia="en-GB"/>
              </w:rPr>
              <w:t>[10]</w:t>
            </w:r>
            <w:r w:rsidR="001D558F">
              <w:rPr>
                <w:rFonts w:ascii="Arial" w:eastAsia="Times New Roman" w:hAnsi="Arial" w:cs="Arial"/>
                <w:color w:val="000000"/>
                <w:sz w:val="18"/>
                <w:szCs w:val="18"/>
                <w:lang w:eastAsia="en-GB"/>
              </w:rPr>
              <w:fldChar w:fldCharType="end"/>
            </w:r>
          </w:p>
        </w:tc>
        <w:tc>
          <w:tcPr>
            <w:tcW w:w="987" w:type="dxa"/>
          </w:tcPr>
          <w:p w14:paraId="33AD2142" w14:textId="774BB2F0"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14897">
              <w:rPr>
                <w:rFonts w:ascii="Arial" w:hAnsi="Arial" w:cs="Arial"/>
                <w:color w:val="000000"/>
                <w:sz w:val="18"/>
                <w:szCs w:val="18"/>
              </w:rPr>
              <w:t>65</w:t>
            </w:r>
          </w:p>
        </w:tc>
        <w:tc>
          <w:tcPr>
            <w:tcW w:w="3577" w:type="dxa"/>
          </w:tcPr>
          <w:p w14:paraId="13E1A5D7" w14:textId="2E1CA30A"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Therapeutic </w:t>
            </w:r>
            <w:proofErr w:type="spellStart"/>
            <w:r w:rsidRPr="00C14897">
              <w:rPr>
                <w:rFonts w:ascii="Arial" w:eastAsia="Times New Roman" w:hAnsi="Arial" w:cs="Arial"/>
                <w:color w:val="000000"/>
                <w:sz w:val="18"/>
                <w:szCs w:val="18"/>
                <w:lang w:eastAsia="en-GB"/>
              </w:rPr>
              <w:t>bemiparin</w:t>
            </w:r>
            <w:proofErr w:type="spellEnd"/>
            <w:r w:rsidRPr="00C14897">
              <w:rPr>
                <w:rFonts w:ascii="Arial" w:eastAsia="Times New Roman" w:hAnsi="Arial" w:cs="Arial"/>
                <w:color w:val="000000"/>
                <w:sz w:val="18"/>
                <w:szCs w:val="18"/>
                <w:lang w:eastAsia="en-GB"/>
              </w:rPr>
              <w:t xml:space="preserve"> </w:t>
            </w:r>
          </w:p>
        </w:tc>
        <w:tc>
          <w:tcPr>
            <w:tcW w:w="2835" w:type="dxa"/>
          </w:tcPr>
          <w:p w14:paraId="52A3D9CF" w14:textId="1BA7883B"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Standard low-dose </w:t>
            </w:r>
            <w:proofErr w:type="spellStart"/>
            <w:r w:rsidRPr="00C14897">
              <w:rPr>
                <w:rFonts w:ascii="Arial" w:eastAsia="Times New Roman" w:hAnsi="Arial" w:cs="Arial"/>
                <w:color w:val="000000"/>
                <w:sz w:val="18"/>
                <w:szCs w:val="18"/>
                <w:lang w:eastAsia="en-GB"/>
              </w:rPr>
              <w:t>bemiparin</w:t>
            </w:r>
            <w:proofErr w:type="spellEnd"/>
            <w:r w:rsidRPr="00C14897">
              <w:rPr>
                <w:rFonts w:ascii="Arial" w:eastAsia="Times New Roman" w:hAnsi="Arial" w:cs="Arial"/>
                <w:color w:val="000000"/>
                <w:sz w:val="18"/>
                <w:szCs w:val="18"/>
                <w:lang w:eastAsia="en-GB"/>
              </w:rPr>
              <w:t xml:space="preserve"> prophylaxis </w:t>
            </w:r>
          </w:p>
        </w:tc>
        <w:tc>
          <w:tcPr>
            <w:tcW w:w="1559" w:type="dxa"/>
          </w:tcPr>
          <w:p w14:paraId="72E7B695" w14:textId="052211DC"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14897">
              <w:rPr>
                <w:rFonts w:ascii="Arial" w:hAnsi="Arial" w:cs="Arial"/>
                <w:color w:val="000000"/>
                <w:sz w:val="18"/>
                <w:szCs w:val="18"/>
              </w:rPr>
              <w:t>Oct 2020 - May 2021</w:t>
            </w:r>
          </w:p>
        </w:tc>
        <w:tc>
          <w:tcPr>
            <w:tcW w:w="2552" w:type="dxa"/>
          </w:tcPr>
          <w:p w14:paraId="3E5470E8" w14:textId="2DC2B4DB"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Hospitalised, </w:t>
            </w:r>
            <w:r w:rsidR="00BE5341" w:rsidRPr="00C14897">
              <w:rPr>
                <w:rFonts w:ascii="Arial" w:eastAsia="Times New Roman" w:hAnsi="Arial" w:cs="Arial"/>
                <w:color w:val="000000"/>
                <w:sz w:val="18"/>
                <w:szCs w:val="18"/>
                <w:lang w:eastAsia="en-GB"/>
              </w:rPr>
              <w:t>non-ICU</w:t>
            </w:r>
            <w:r w:rsidRPr="00C14897">
              <w:rPr>
                <w:rFonts w:ascii="Arial" w:eastAsia="Times New Roman" w:hAnsi="Arial" w:cs="Arial"/>
                <w:color w:val="000000"/>
                <w:sz w:val="18"/>
                <w:szCs w:val="18"/>
                <w:lang w:eastAsia="en-GB"/>
              </w:rPr>
              <w:t xml:space="preserve"> </w:t>
            </w:r>
            <w:r w:rsidR="00BE5341" w:rsidRPr="00C14897">
              <w:rPr>
                <w:rFonts w:ascii="Arial" w:eastAsia="Times New Roman" w:hAnsi="Arial" w:cs="Arial"/>
                <w:color w:val="000000"/>
                <w:sz w:val="18"/>
                <w:szCs w:val="18"/>
                <w:lang w:eastAsia="en-GB"/>
              </w:rPr>
              <w:t>with</w:t>
            </w:r>
            <w:r w:rsidRPr="00C14897">
              <w:rPr>
                <w:rFonts w:ascii="Arial" w:eastAsia="Times New Roman" w:hAnsi="Arial" w:cs="Arial"/>
                <w:color w:val="000000"/>
                <w:sz w:val="18"/>
                <w:szCs w:val="18"/>
                <w:lang w:eastAsia="en-GB"/>
              </w:rPr>
              <w:t xml:space="preserve"> elevated D dimer </w:t>
            </w:r>
          </w:p>
        </w:tc>
        <w:tc>
          <w:tcPr>
            <w:tcW w:w="1945" w:type="dxa"/>
          </w:tcPr>
          <w:p w14:paraId="487C5B02" w14:textId="1E421FA9" w:rsidR="00A719AC" w:rsidRPr="00C14897" w:rsidRDefault="00A719AC" w:rsidP="00A719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5 hospitals in Spain</w:t>
            </w:r>
          </w:p>
        </w:tc>
      </w:tr>
      <w:tr w:rsidR="001D558F" w:rsidRPr="00AF49D9" w14:paraId="4E129B84" w14:textId="77777777" w:rsidTr="00C1489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57" w:type="dxa"/>
          </w:tcPr>
          <w:p w14:paraId="3DECF30D" w14:textId="6101352E" w:rsidR="00A719AC" w:rsidRPr="00C14897" w:rsidRDefault="00A719AC" w:rsidP="00A719AC">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Oliynyk et al.(28 days)</w:t>
            </w:r>
            <w:r w:rsidR="00F60A17">
              <w:rPr>
                <w:rFonts w:ascii="Arial" w:eastAsia="Times New Roman" w:hAnsi="Arial" w:cs="Arial"/>
                <w:color w:val="000000"/>
                <w:sz w:val="18"/>
                <w:szCs w:val="18"/>
                <w:lang w:eastAsia="en-GB"/>
              </w:rPr>
              <w:fldChar w:fldCharType="begin" w:fldLock="1"/>
            </w:r>
            <w:r w:rsidR="00C01E72">
              <w:rPr>
                <w:rFonts w:ascii="Arial" w:eastAsia="Times New Roman" w:hAnsi="Arial" w:cs="Arial"/>
                <w:color w:val="000000"/>
                <w:sz w:val="18"/>
                <w:szCs w:val="18"/>
                <w:lang w:eastAsia="en-GB"/>
              </w:rPr>
              <w:instrText>ADDIN CSL_CITATION {"citationItems":[{"id":"ITEM-1","itemData":{"DOI":"10.3390/life11101032","ISSN":"20751729","abstract":"Background: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-1","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[11]","plainTextFormattedCitation":"[11]","previouslyFormattedCitation":"[11]"},"properties":{"noteIndex":0},"schema":"https://github.com/citation-style-language/schema/raw/master/csl-citation.json"}</w:instrText>
            </w:r>
            <w:r w:rsidR="00F60A17">
              <w:rPr>
                <w:rFonts w:ascii="Arial" w:eastAsia="Times New Roman" w:hAnsi="Arial" w:cs="Arial"/>
                <w:color w:val="000000"/>
                <w:sz w:val="18"/>
                <w:szCs w:val="18"/>
                <w:lang w:eastAsia="en-GB"/>
              </w:rPr>
              <w:fldChar w:fldCharType="separate"/>
            </w:r>
            <w:r w:rsidR="00F60A17" w:rsidRPr="00F60A17">
              <w:rPr>
                <w:rFonts w:ascii="Arial" w:eastAsia="Times New Roman" w:hAnsi="Arial" w:cs="Arial"/>
                <w:b w:val="0"/>
                <w:noProof/>
                <w:color w:val="000000"/>
                <w:sz w:val="18"/>
                <w:szCs w:val="18"/>
                <w:lang w:eastAsia="en-GB"/>
              </w:rPr>
              <w:t>[11]</w:t>
            </w:r>
            <w:r w:rsidR="00F60A17">
              <w:rPr>
                <w:rFonts w:ascii="Arial" w:eastAsia="Times New Roman" w:hAnsi="Arial" w:cs="Arial"/>
                <w:color w:val="000000"/>
                <w:sz w:val="18"/>
                <w:szCs w:val="18"/>
                <w:lang w:eastAsia="en-GB"/>
              </w:rPr>
              <w:fldChar w:fldCharType="end"/>
            </w:r>
          </w:p>
        </w:tc>
        <w:tc>
          <w:tcPr>
            <w:tcW w:w="987" w:type="dxa"/>
          </w:tcPr>
          <w:p w14:paraId="46350121" w14:textId="54E2D151"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14897">
              <w:rPr>
                <w:rFonts w:ascii="Arial" w:hAnsi="Arial" w:cs="Arial"/>
                <w:color w:val="000000"/>
                <w:sz w:val="18"/>
                <w:szCs w:val="18"/>
              </w:rPr>
              <w:t>126</w:t>
            </w:r>
          </w:p>
        </w:tc>
        <w:tc>
          <w:tcPr>
            <w:tcW w:w="3577" w:type="dxa"/>
          </w:tcPr>
          <w:p w14:paraId="7A792CCC" w14:textId="1C84E313"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Therapeutic LMWH or UFH</w:t>
            </w:r>
          </w:p>
        </w:tc>
        <w:tc>
          <w:tcPr>
            <w:tcW w:w="2835" w:type="dxa"/>
          </w:tcPr>
          <w:p w14:paraId="15B877D6" w14:textId="310810CB"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 xml:space="preserve">Standard low-dose prophylactic enoxaparin </w:t>
            </w:r>
          </w:p>
        </w:tc>
        <w:tc>
          <w:tcPr>
            <w:tcW w:w="1559" w:type="dxa"/>
          </w:tcPr>
          <w:p w14:paraId="60DA0B9B" w14:textId="1D78FAC3"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14897">
              <w:rPr>
                <w:rFonts w:ascii="Arial" w:hAnsi="Arial" w:cs="Arial"/>
                <w:color w:val="000000"/>
                <w:sz w:val="18"/>
                <w:szCs w:val="18"/>
              </w:rPr>
              <w:t>Jul 2020 - Mar 2021</w:t>
            </w:r>
          </w:p>
        </w:tc>
        <w:tc>
          <w:tcPr>
            <w:tcW w:w="2552" w:type="dxa"/>
          </w:tcPr>
          <w:p w14:paraId="27FC225C" w14:textId="4538DB76"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ICU; elevated D-dimer, not ventilated at baseline</w:t>
            </w:r>
          </w:p>
        </w:tc>
        <w:tc>
          <w:tcPr>
            <w:tcW w:w="1945" w:type="dxa"/>
          </w:tcPr>
          <w:p w14:paraId="0EBEF03A" w14:textId="314828CB" w:rsidR="00A719AC" w:rsidRPr="00C14897" w:rsidRDefault="00A719AC" w:rsidP="00A719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Ukraine (single site)</w:t>
            </w:r>
          </w:p>
        </w:tc>
      </w:tr>
    </w:tbl>
    <w:p w14:paraId="793C04D8" w14:textId="4963F9B8" w:rsidR="00C7785A" w:rsidRDefault="00C62090" w:rsidP="000F5245">
      <w:pPr>
        <w:rPr>
          <w:rFonts w:ascii="Arial" w:eastAsia="Times New Roman" w:hAnsi="Arial" w:cs="Arial"/>
          <w:color w:val="000000"/>
          <w:sz w:val="18"/>
          <w:szCs w:val="18"/>
          <w:lang w:eastAsia="en-GB"/>
        </w:rPr>
      </w:pPr>
      <w:r w:rsidRPr="00FF2EEB">
        <w:rPr>
          <w:rFonts w:ascii="Arial" w:hAnsi="Arial" w:cs="Arial"/>
          <w:sz w:val="18"/>
          <w:szCs w:val="18"/>
        </w:rPr>
        <w:t xml:space="preserve">DIC – diffuse intravascular coagulopathy, ICU – intensive care unit, </w:t>
      </w:r>
      <w:r w:rsidR="00A05D2D" w:rsidRPr="00FF2EEB">
        <w:rPr>
          <w:rFonts w:ascii="Arial" w:hAnsi="Arial" w:cs="Arial"/>
          <w:sz w:val="18"/>
          <w:szCs w:val="18"/>
        </w:rPr>
        <w:t>ITT</w:t>
      </w:r>
      <w:r w:rsidRPr="00FF2EEB">
        <w:rPr>
          <w:rFonts w:ascii="Arial" w:hAnsi="Arial" w:cs="Arial"/>
          <w:sz w:val="18"/>
          <w:szCs w:val="18"/>
        </w:rPr>
        <w:t xml:space="preserve"> – intention-to-treat, LMWH – low molecular weight heparin, </w:t>
      </w:r>
      <w:r w:rsidR="00A05D2D" w:rsidRPr="00FF2EEB">
        <w:rPr>
          <w:rFonts w:ascii="Arial" w:hAnsi="Arial" w:cs="Arial"/>
          <w:sz w:val="18"/>
          <w:szCs w:val="18"/>
        </w:rPr>
        <w:t xml:space="preserve">UFH </w:t>
      </w:r>
      <w:r w:rsidRPr="00FF2EEB">
        <w:rPr>
          <w:rFonts w:ascii="Arial" w:hAnsi="Arial" w:cs="Arial"/>
          <w:sz w:val="18"/>
          <w:szCs w:val="18"/>
        </w:rPr>
        <w:t>– unfractionated heparin</w:t>
      </w:r>
      <w:r w:rsidR="00367030">
        <w:rPr>
          <w:rFonts w:ascii="Arial" w:hAnsi="Arial" w:cs="Arial"/>
          <w:sz w:val="18"/>
          <w:szCs w:val="18"/>
        </w:rPr>
        <w:t>,</w:t>
      </w:r>
      <w:r w:rsidR="00B75E4A" w:rsidRPr="00FF2EEB">
        <w:rPr>
          <w:rFonts w:ascii="Arial" w:hAnsi="Arial" w:cs="Arial"/>
          <w:sz w:val="18"/>
          <w:szCs w:val="18"/>
        </w:rPr>
        <w:t xml:space="preserve"> USA – United States of America.</w:t>
      </w:r>
      <w:r w:rsidR="002E49DE" w:rsidRPr="00FF2EEB">
        <w:rPr>
          <w:rFonts w:ascii="Arial" w:hAnsi="Arial" w:cs="Arial"/>
          <w:sz w:val="18"/>
          <w:szCs w:val="18"/>
        </w:rPr>
        <w:t xml:space="preserve"> </w:t>
      </w:r>
      <w:proofErr w:type="spellStart"/>
      <w:r w:rsidR="00495BC9" w:rsidRPr="00192CE3">
        <w:rPr>
          <w:rFonts w:ascii="Arial" w:hAnsi="Arial" w:cs="Arial"/>
          <w:sz w:val="18"/>
          <w:szCs w:val="18"/>
          <w:vertAlign w:val="superscript"/>
        </w:rPr>
        <w:t>a</w:t>
      </w:r>
      <w:r w:rsidR="00C7785A" w:rsidRPr="00FF2EEB">
        <w:rPr>
          <w:rFonts w:ascii="Arial" w:eastAsia="Times New Roman" w:hAnsi="Arial" w:cs="Arial"/>
          <w:color w:val="000000"/>
          <w:sz w:val="18"/>
          <w:szCs w:val="18"/>
          <w:lang w:eastAsia="en-GB"/>
        </w:rPr>
        <w:t>United</w:t>
      </w:r>
      <w:proofErr w:type="spellEnd"/>
      <w:r w:rsidR="00C7785A" w:rsidRPr="00FF2EEB">
        <w:rPr>
          <w:rFonts w:ascii="Arial" w:eastAsia="Times New Roman" w:hAnsi="Arial" w:cs="Arial"/>
          <w:color w:val="000000"/>
          <w:sz w:val="18"/>
          <w:szCs w:val="18"/>
          <w:lang w:eastAsia="en-GB"/>
        </w:rPr>
        <w:t xml:space="preserve"> States of America, Canada, United Kingdom, Brazil, Mexico, Nepal, Australia, The Netherlands, Spain</w:t>
      </w:r>
      <w:r w:rsidR="002E49DE" w:rsidRPr="00FF2EEB">
        <w:rPr>
          <w:rFonts w:ascii="Arial" w:eastAsia="Times New Roman" w:hAnsi="Arial" w:cs="Arial"/>
          <w:color w:val="000000"/>
          <w:sz w:val="18"/>
          <w:szCs w:val="18"/>
          <w:lang w:eastAsia="en-GB"/>
        </w:rPr>
        <w:t xml:space="preserve">. </w:t>
      </w:r>
      <w:proofErr w:type="spellStart"/>
      <w:r w:rsidR="00495BC9">
        <w:rPr>
          <w:rFonts w:ascii="Arial" w:hAnsi="Arial" w:cs="Arial"/>
          <w:sz w:val="18"/>
          <w:szCs w:val="18"/>
          <w:vertAlign w:val="superscript"/>
        </w:rPr>
        <w:t>b</w:t>
      </w:r>
      <w:r w:rsidR="009C4C56" w:rsidRPr="00FF2EEB">
        <w:rPr>
          <w:rFonts w:ascii="Arial" w:eastAsia="Times New Roman" w:hAnsi="Arial" w:cs="Arial"/>
          <w:color w:val="000000"/>
          <w:sz w:val="18"/>
          <w:szCs w:val="18"/>
          <w:lang w:eastAsia="en-GB"/>
        </w:rPr>
        <w:t>Brazil</w:t>
      </w:r>
      <w:proofErr w:type="spellEnd"/>
      <w:r w:rsidR="009C4C56" w:rsidRPr="00FF2EEB">
        <w:rPr>
          <w:rFonts w:ascii="Arial" w:eastAsia="Times New Roman" w:hAnsi="Arial" w:cs="Arial"/>
          <w:color w:val="000000"/>
          <w:sz w:val="18"/>
          <w:szCs w:val="18"/>
          <w:lang w:eastAsia="en-GB"/>
        </w:rPr>
        <w:t xml:space="preserve">, Canada, Ireland, Saudi Arabia, United Arab Emirates, United States of America. </w:t>
      </w:r>
    </w:p>
    <w:p w14:paraId="5ED33724" w14:textId="77777777" w:rsidR="00C14897" w:rsidRPr="00FF2EEB" w:rsidRDefault="00C14897" w:rsidP="000F5245">
      <w:pPr>
        <w:rPr>
          <w:rFonts w:ascii="Arial" w:hAnsi="Arial" w:cs="Arial"/>
          <w:sz w:val="18"/>
          <w:szCs w:val="18"/>
        </w:rPr>
      </w:pPr>
    </w:p>
    <w:p w14:paraId="6531E160" w14:textId="16E8897B" w:rsidR="00C6201C" w:rsidRPr="00636666" w:rsidRDefault="00C6201C" w:rsidP="00C6201C">
      <w:pPr>
        <w:rPr>
          <w:rFonts w:ascii="Arial" w:hAnsi="Arial" w:cs="Arial"/>
          <w:b/>
          <w:bCs/>
        </w:rPr>
      </w:pPr>
      <w:r w:rsidRPr="00636666">
        <w:rPr>
          <w:rFonts w:ascii="Arial" w:hAnsi="Arial" w:cs="Arial"/>
          <w:b/>
          <w:bCs/>
        </w:rPr>
        <w:lastRenderedPageBreak/>
        <w:t>Supplementary Table S</w:t>
      </w:r>
      <w:r w:rsidR="00394BE8" w:rsidRPr="00636666">
        <w:rPr>
          <w:rFonts w:ascii="Arial" w:hAnsi="Arial" w:cs="Arial"/>
          <w:b/>
          <w:bCs/>
        </w:rPr>
        <w:t>5</w:t>
      </w:r>
      <w:r w:rsidRPr="00636666">
        <w:rPr>
          <w:rFonts w:ascii="Arial" w:hAnsi="Arial" w:cs="Arial"/>
          <w:b/>
          <w:bCs/>
        </w:rPr>
        <w:t>. Included studies</w:t>
      </w:r>
      <w:r w:rsidR="00EB3667">
        <w:rPr>
          <w:rFonts w:ascii="Arial" w:hAnsi="Arial" w:cs="Arial"/>
          <w:b/>
          <w:bCs/>
        </w:rPr>
        <w:t xml:space="preserve">: </w:t>
      </w:r>
      <w:r w:rsidRPr="00636666">
        <w:rPr>
          <w:rFonts w:ascii="Arial" w:hAnsi="Arial" w:cs="Arial"/>
          <w:b/>
          <w:bCs/>
        </w:rPr>
        <w:t xml:space="preserve">baseline participant </w:t>
      </w:r>
      <w:r w:rsidR="00A95F16" w:rsidRPr="00636666">
        <w:rPr>
          <w:rFonts w:ascii="Arial" w:hAnsi="Arial" w:cs="Arial"/>
          <w:b/>
          <w:bCs/>
        </w:rPr>
        <w:t>characteristics/comorbidities</w:t>
      </w:r>
      <w:r w:rsidRPr="00636666">
        <w:rPr>
          <w:rFonts w:ascii="Arial" w:hAnsi="Arial" w:cs="Arial"/>
          <w:b/>
          <w:bCs/>
        </w:rPr>
        <w:t xml:space="preserve"> </w:t>
      </w:r>
      <w:r w:rsidR="00B27ACE" w:rsidRPr="00636666">
        <w:rPr>
          <w:rFonts w:ascii="Arial" w:hAnsi="Arial" w:cs="Arial"/>
          <w:b/>
          <w:bCs/>
        </w:rPr>
        <w:t xml:space="preserve"> </w:t>
      </w:r>
    </w:p>
    <w:tbl>
      <w:tblPr>
        <w:tblStyle w:val="PlainTable4"/>
        <w:tblW w:w="5000" w:type="pct"/>
        <w:tblBorders>
          <w:insideH w:val="single" w:sz="4" w:space="0" w:color="auto"/>
        </w:tblBorders>
        <w:tblLayout w:type="fixed"/>
        <w:tblLook w:val="04A0" w:firstRow="1" w:lastRow="0" w:firstColumn="1" w:lastColumn="0" w:noHBand="0" w:noVBand="1"/>
      </w:tblPr>
      <w:tblGrid>
        <w:gridCol w:w="2268"/>
        <w:gridCol w:w="2126"/>
        <w:gridCol w:w="1417"/>
        <w:gridCol w:w="2128"/>
        <w:gridCol w:w="1133"/>
        <w:gridCol w:w="1133"/>
        <w:gridCol w:w="1845"/>
        <w:gridCol w:w="1229"/>
        <w:gridCol w:w="2119"/>
      </w:tblGrid>
      <w:tr w:rsidR="00822056" w:rsidRPr="00884FF3" w14:paraId="753BB37F" w14:textId="4F69034B" w:rsidTr="00822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27AB7717" w14:textId="77777777" w:rsidR="0002618A" w:rsidRPr="0095488A" w:rsidRDefault="0002618A" w:rsidP="0002618A">
            <w:pPr>
              <w:rPr>
                <w:rFonts w:ascii="Arial" w:hAnsi="Arial" w:cs="Arial"/>
                <w:sz w:val="18"/>
                <w:szCs w:val="18"/>
              </w:rPr>
            </w:pPr>
            <w:r w:rsidRPr="0095488A">
              <w:rPr>
                <w:rFonts w:ascii="Arial" w:eastAsia="Times New Roman" w:hAnsi="Arial" w:cs="Arial"/>
                <w:color w:val="000000"/>
                <w:sz w:val="18"/>
                <w:szCs w:val="18"/>
                <w:lang w:eastAsia="en-GB"/>
              </w:rPr>
              <w:t>Study (follow up period)</w:t>
            </w:r>
          </w:p>
        </w:tc>
        <w:tc>
          <w:tcPr>
            <w:tcW w:w="690" w:type="pct"/>
          </w:tcPr>
          <w:p w14:paraId="78047AD4" w14:textId="43DC6A61"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Average age (years)</w:t>
            </w:r>
          </w:p>
        </w:tc>
        <w:tc>
          <w:tcPr>
            <w:tcW w:w="460" w:type="pct"/>
          </w:tcPr>
          <w:p w14:paraId="2ED56276" w14:textId="67625B0D"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Female, n (%)</w:t>
            </w:r>
          </w:p>
        </w:tc>
        <w:tc>
          <w:tcPr>
            <w:tcW w:w="691" w:type="pct"/>
          </w:tcPr>
          <w:p w14:paraId="4556F657" w14:textId="7927CF87"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Average BMI (kg/m</w:t>
            </w:r>
            <w:r w:rsidRPr="00884FF3">
              <w:rPr>
                <w:rFonts w:ascii="Arial" w:hAnsi="Arial" w:cs="Arial"/>
                <w:color w:val="000000"/>
                <w:sz w:val="18"/>
                <w:szCs w:val="18"/>
                <w:vertAlign w:val="superscript"/>
              </w:rPr>
              <w:t>2</w:t>
            </w:r>
            <w:r w:rsidRPr="00884FF3">
              <w:rPr>
                <w:rFonts w:ascii="Arial" w:hAnsi="Arial" w:cs="Arial"/>
                <w:color w:val="000000"/>
                <w:sz w:val="18"/>
                <w:szCs w:val="18"/>
              </w:rPr>
              <w:t>)</w:t>
            </w:r>
          </w:p>
        </w:tc>
        <w:tc>
          <w:tcPr>
            <w:tcW w:w="368" w:type="pct"/>
          </w:tcPr>
          <w:p w14:paraId="2E1E5D40" w14:textId="239A2626"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HPT, n (%)</w:t>
            </w:r>
          </w:p>
        </w:tc>
        <w:tc>
          <w:tcPr>
            <w:tcW w:w="368" w:type="pct"/>
          </w:tcPr>
          <w:p w14:paraId="5DEC1DFD" w14:textId="5E77B017"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DM, n (%)</w:t>
            </w:r>
          </w:p>
        </w:tc>
        <w:tc>
          <w:tcPr>
            <w:tcW w:w="599" w:type="pct"/>
          </w:tcPr>
          <w:p w14:paraId="5957DA03" w14:textId="58A13DA1"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84FF3">
              <w:rPr>
                <w:rFonts w:ascii="Arial" w:hAnsi="Arial" w:cs="Arial"/>
                <w:color w:val="000000"/>
                <w:sz w:val="18"/>
                <w:szCs w:val="18"/>
              </w:rPr>
              <w:t>COPD/CLD, n (%)</w:t>
            </w:r>
          </w:p>
        </w:tc>
        <w:tc>
          <w:tcPr>
            <w:tcW w:w="399" w:type="pct"/>
          </w:tcPr>
          <w:p w14:paraId="1A53811B" w14:textId="052DC6B2" w:rsidR="0002618A" w:rsidRPr="00884FF3" w:rsidRDefault="0002618A" w:rsidP="004F090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HF, n (%)</w:t>
            </w:r>
          </w:p>
        </w:tc>
        <w:tc>
          <w:tcPr>
            <w:tcW w:w="688" w:type="pct"/>
          </w:tcPr>
          <w:p w14:paraId="1B8916C8" w14:textId="3CB0366A" w:rsidR="0002618A" w:rsidRPr="00884FF3" w:rsidRDefault="0002618A" w:rsidP="0002618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Current</w:t>
            </w:r>
            <w:r w:rsidR="004F090D" w:rsidRPr="00884FF3">
              <w:rPr>
                <w:rFonts w:ascii="Arial" w:hAnsi="Arial" w:cs="Arial"/>
                <w:color w:val="000000"/>
                <w:sz w:val="18"/>
                <w:szCs w:val="18"/>
              </w:rPr>
              <w:t>/</w:t>
            </w:r>
            <w:r w:rsidRPr="00884FF3">
              <w:rPr>
                <w:rFonts w:ascii="Arial" w:hAnsi="Arial" w:cs="Arial"/>
                <w:color w:val="000000"/>
                <w:sz w:val="18"/>
                <w:szCs w:val="18"/>
              </w:rPr>
              <w:t>previous smoker</w:t>
            </w:r>
            <w:r w:rsidR="00A95F16" w:rsidRPr="00884FF3">
              <w:rPr>
                <w:rFonts w:ascii="Arial" w:hAnsi="Arial" w:cs="Arial"/>
                <w:color w:val="000000"/>
                <w:sz w:val="18"/>
                <w:szCs w:val="18"/>
              </w:rPr>
              <w:t xml:space="preserve">, </w:t>
            </w:r>
            <w:r w:rsidR="004F090D" w:rsidRPr="00884FF3">
              <w:rPr>
                <w:rFonts w:ascii="Arial" w:hAnsi="Arial" w:cs="Arial"/>
                <w:color w:val="000000"/>
                <w:sz w:val="18"/>
                <w:szCs w:val="18"/>
              </w:rPr>
              <w:t>n (%)</w:t>
            </w:r>
            <w:r w:rsidRPr="00884FF3">
              <w:rPr>
                <w:rFonts w:ascii="Arial" w:hAnsi="Arial" w:cs="Arial"/>
                <w:color w:val="000000"/>
                <w:sz w:val="18"/>
                <w:szCs w:val="18"/>
              </w:rPr>
              <w:t xml:space="preserve"> </w:t>
            </w:r>
          </w:p>
        </w:tc>
      </w:tr>
      <w:tr w:rsidR="00F24D16" w:rsidRPr="00884FF3" w14:paraId="1719C8D5" w14:textId="77C37678"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0E61FBDC" w14:textId="68BB18F4"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INSPIRATION (30 days)</w:t>
            </w:r>
            <w:r>
              <w:rPr>
                <w:rFonts w:ascii="Arial" w:eastAsia="Times New Roman" w:hAnsi="Arial" w:cs="Arial"/>
                <w:color w:val="000000"/>
                <w:sz w:val="18"/>
                <w:szCs w:val="18"/>
                <w:lang w:eastAsia="en-GB"/>
              </w:rPr>
              <w:fldChar w:fldCharType="begin" w:fldLock="1"/>
            </w:r>
            <w:r w:rsidR="002630A3">
              <w:rPr>
                <w:rFonts w:ascii="Arial" w:eastAsia="Times New Roman" w:hAnsi="Arial" w:cs="Arial"/>
                <w:color w:val="000000"/>
                <w:sz w:val="18"/>
                <w:szCs w:val="18"/>
                <w:lang w:eastAsia="en-GB"/>
              </w:rPr>
              <w:instrText>ADDIN CSL_CITATION {"citationItems":[{"id":"ITEM-1","itemData":{"DOI":"10.1001/jama.2021.4152","ISSN":"1538-3598 (Electronic)","PMID":"33734299","abstract":"Importance: Thrombotic events are commonly reported in critically ill patients with COVID-19. Limited data exist to guide the intensity of antithrombotic prophylaxis. Objective: To evaluate the effects of intermediate-dose vs standard-dose prophylactic anticoagulation among patients with COVID-19 admitted to the intensive care unit (ICU). Design, Setting, and Participants: Multicenter randomized trial with a 2 × 2 factorial design performed in 10 academic centers in Iran comparing intermediate-dose vs standard-dose prophylactic anticoagulation (first hypothesis) and statin therapy vs matching placebo (second hypothesis; not reported in this article) among adult patients admitted to the ICU with COVID-19. Patients were recruited between July 29, 2020, and November 19, 2020. The final follow-up date for the 30-day primary outcome was December 19, 2020. Interventions: Intermediate-dose (enoxaparin, 1 mg/kg daily) (n = 276) vs standard prophylactic anticoagulation (enoxaparin, 40 mg daily) (n = 286), with modification according to body weight and creatinine clearance. The assigned treatments were planned to be continued until completion of 30-day follow-up. Main Outcomes and Measures: The primary efficacy outcome was a composite of venous or arterial thrombosis, treatment with extracorporeal membrane oxygenation, or mortality within 30 days, assessed in randomized patients who met the eligibility criteria and received at least 1 dose of the assigned treatment. Prespecified safety outcomes included major bleeding according to the Bleeding Academic Research Consortium (type 3 or 5 definition), powered for noninferiority (a noninferiority margin of 1.8 based on odds ratio), and severe thrombocytopenia (platelet count &lt;20 ×103/µL). All outcomes were blindly adjudicated. Results: Among 600 randomized patients, 562 (93.7%) were included in the primary analysis (median [interquartile range] age, 62 [50-71] years; 237 [42.2%] women). The primary efficacy outcome occurred in 126 patients (45.7%) in the intermediate-dose group and 126 patients (44.1%) in the standard-dose prophylaxis group (absolute risk difference, 1.5% [95% CI,-6.6% to 9.8%]; odds ratio, 1.06 [95% CI, 0.76-1.48]; P =.70). Major bleeding occurred in 7 patients (2.5%) in the intermediate-dose group and 4 patients (1.4%) in the standard-dose prophylaxis group (risk difference, 1.1% [1-sided 97.5% CI,-∞ to 3.4%]; odds ratio, 1.83 [1-sided 97.5% CI, 0.00-5.93]), not meeting the noninferiority criteria (…","author":[{"dropping-particle":"","family":"Sadeghipour","given":"Parham","non-dropping-particle":"","parse-names":false,"suffix":""},{"dropping-particle":"","family":"Talasaz","given":"Azita H.","non-dropping-particle":"","parse-names":false,"suffix":""},{"dropping-particle":"","family":"Rashidi","given":"Farid","non-dropping-particle":"","parse-names":false,"suffix":""},{"dropping-particle":"","family":"Sharif-Kashani","given":"Babak","non-dropping-particle":"","parse-names":false,"suffix":""},{"dropping-particle":"","family":"Beigmohammadi","given":"Mohammad Taghi","non-dropping-particle":"","parse-names":false,"suffix":""},{"dropping-particle":"","family":"Farrokhpour","given":"Mohsen","non-dropping-particle":"","parse-names":false,"suffix":""},{"dropping-particle":"","family":"Sezavar","given":"Seyed Hashem","non-dropping-particle":"","parse-names":false,"suffix":""},{"dropping-particle":"","family":"Payandemehr","given":"Pooya","non-dropping-particle":"","parse-names":false,"suffix":""},{"dropping-particle":"","family":"Dabbagh","given":"Ali","non-dropping-particle":"","parse-names":false,"suffix":""},{"dropping-particle":"","family":"Moghadam","given":"Keivan Gohari","non-dropping-particle":"","parse-names":false,"suffix":""},{"dropping-particle":"","family":"Jamalkhani","given":"Sepehr","non-dropping-particle":"","parse-names":false,"suffix":""},{"dropping-particle":"","family":"Khalili","given":"Hossein","non-dropping-particle":"","parse-names":false,"suffix":""},{"dropping-particle":"","family":"Yadollahzadeh","given":"Mahdi","non-dropping-particle":"","parse-names":false,"suffix":""},{"dropping-particle":"","family":"Riahi","given":"Taghi","non-dropping-particle":"","parse-names":false,"suffix":""},{"dropping-particle":"","family":"Rezaeifar","given":"Parisa","non-dropping-particle":"","parse-names":false,"suffix":""},{"dropping-particle":"","family":"Tahamtan","given":"Ouria","non-dropping-particle":"","parse-names":false,"suffix":""},{"dropping-particle":"","family":"Matin","given":"Samira","non-dropping-particle":"","parse-names":false,"suffix":""},{"dropping-particle":"","family":"Abedini","given":"Atefeh","non-dropping-particle":"","parse-names":false,"suffix":""},{"dropping-particle":"","family":"Lookzadeh","given":"Somayeh","non-dropping-particle":"","parse-names":false,"suffix":""},{"dropping-particle":"","family":"Rahmani","given":"Hamid","non-dropping-particle":"","parse-names":false,"suffix":""},{"dropping-particle":"","family":"Zoghi","given":"Elnaz","non-dropping-particle":"","parse-names":false,"suffix":""},{"dropping-particle":"","family":"Mohammadi","given":"Keyhan","non-dropping-particle":"","parse-names":false,"suffix":""},{"dropping-particle":"","family":"Sadeghipour","given":"Pardis Parham Pardis Parham","non-dropping-particle":"","parse-names":false,"suffix":""},{"dropping-particle":"","family":"Abri","given":"Homa","non-dropping-particle":"","parse-names":false,"suffix":""},{"dropping-particle":"","family":"Tabrizi","given":"Sanaz","non-dropping-particle":"","parse-names":false,"suffix":""},{"dropping-particle":"","family":"Mousavian","given":"Seyed Masoud","non-dropping-particle":"","parse-names":false,"suffix":""},{"dropping-particle":"","family":"Shahmirzaei","given":"Shaghayegh","non-dropping-particle":"","parse-names":false,"suffix":""},{"dropping-particle":"","family":"Bakhshandeh","given":"Hooman","non-dropping-particle":"","parse-names":false,"suffix":""},{"dropping-particle":"","family":"Amin","given":"Ahmad","non-dropping-particle":"","parse-names":false,"suffix":""},{"dropping-particle":"","family":"Rafiee","given":"Farnaz","non-dropping-particle":"","parse-names":false,"suffix":""},{"dropping-particle":"","family":"Baghizadeh","given":"Elahe","non-dropping-particle":"","parse-names":false,"suffix":""},{"dropping-particle":"","family":"Mohebbi","given":"Bahram","non-dropping-particle":"","parse-names":false,"suffix":""},{"dropping-particle":"","family":"Parhizgar","given":"Seyed Ehsan","non-dropping-particle":"","parse-names":false,"suffix":""},{"dropping-particle":"","family":"Aliannejad","given":"Rasoul","non-dropping-particle":"","parse-names":false,"suffix":""},{"dropping-particle":"","family":"Eslami","given":"Vahid","non-dropping-particle":"","parse-names":false,"suffix":""},{"dropping-particle":"","family":"Kashefizadeh","given":"Alireza","non-dropping-particle":"","parse-names":false,"suffix":""},{"dropping-particle":"","family":"Kakavand","given":"Hessam","non-dropping-particle":"","parse-names":false,"suffix":""},{"dropping-particle":"","family":"Hosseini","given":"Seyed Hossein","non-dropping-particle":"","parse-names":false,"suffix":""},{"dropping-particle":"","family":"Shafaghi","given":"Shadi","non-dropping-particle":"","parse-names":false,"suffix":""},{"dropping-particle":"","family":"Ghazi","given":"Samrand Fattah","non-dropping-particle":"","parse-names":false,"suffix":""},{"dropping-particle":"","family":"Najafi","given":"Atabak","non-dropping-particle":"","parse-names":false,"suffix":""},{"dropping-particle":"","family":"Jimenez","given":"David","non-dropping-particle":"","parse-names":false,"suffix":""},{"dropping-particle":"","family":"Gupta","given":"Aakriti","non-dropping-particle":"","parse-names":false,"suffix":""},{"dropping-particle":"V.","family":"Madhavan","given":"Mahesh","non-dropping-particle":"","parse-names":false,"suffix":""},{"dropping-particle":"","family":"Sethi","given":"Sanjum S.","non-dropping-particle":"","parse-names":false,"suffix":""},{"dropping-particle":"","family":"Parikh","given":"Sahil A.","non-dropping-particle":"","parse-names":false,"suffix":""},{"dropping-particle":"","family":"Monreal","given":"Manuel","non-dropping-particle":"","parse-names":false,"suffix":""},{"dropping-particle":"","family":"Hadavand","given":"Naser","non-dropping-particle":"","parse-names":false,"suffix":""},{"dropping-particle":"","family":"Hajighasemi","given":"Alireza","non-dropping-particle":"","parse-names":false,"suffix":""},{"dropping-particle":"","family":"Maleki","given":"Majid","non-dropping-particle":"","parse-names":false,"suffix":""},{"dropping-particle":"","family":"Sadeghian","given":"Saeed","non-dropping-particle":"","parse-names":false,"suffix":""},{"dropping-particle":"","family":"Piazza","given":"Gregory","non-dropping-particle":"","parse-names":false,"suffix":""},{"dropping-particle":"","family":"Kirtane","given":"Ajay J.","non-dropping-particle":"","parse-names":false,"suffix":""},{"dropping-particle":"","family":"Tassell","given":"Benjamin W.","non-dropping-particle":"Van","parse-names":false,"suffix":""},{"dropping-particle":"","family":"Dobesh","given":"Paul P.","non-dropping-particle":"","parse-names":false,"suffix":""},{"dropping-particle":"","family":"Stone","given":"Gregg W.","non-dropping-particle":"","parse-names":false,"suffix":""},{"dropping-particle":"","family":"Lip","given":"Gregory Y.H. H","non-dropping-particle":"","parse-names":false,"suffix":""},{"dropping-particle":"","family":"Krumholz","given":"Harlan M.","non-dropping-particle":"","parse-names":false,"suffix":""},{"dropping-particle":"","family":"Goldhaber","given":"Samuel Z.","non-dropping-particle":"","parse-names":false,"suffix":""},{"dropping-particle":"","family":"Bikdeli","given":"Behnood","non-dropping-particle":"","parse-names":false,"suffix":""}],"container-title":"JAMA - Journal of the American Medical Association","id":"ITEM-1","issue":"16","issued":{"date-parts":[["2021","4"]]},"language":"eng","note":"From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3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2 (Effect of Intermediate-Dose vs Standard-Dose Prophylactic Anticoagulation on Thrombotic Events, Extracorporeal Membrane Oxygenation Treatment, or Mortality among Patients with COVID-19 Admitted to the Intensive Care Unit: The INSPIRATION Randomized Clinic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2021","page":"1620-1630","title":"Effect of Intermediate-Dose vs Standard-Dose Prophylactic Anticoagulation on Thrombotic Events, Extracorporeal Membrane Oxygenation Treatment, or Mortality among Patients with COVID-19 Admitted to the Intensive Care Unit: The INSPIRATION Randomized Clinic","type":"article-journal","volume":"325"},"uris":["http://www.mendeley.com/documents/?uuid=fef9cf67-bdfb-4d87-ab2f-800ebfb6ea26"]}],"mendeley":{"formattedCitation":"[1]","plainTextFormattedCitation":"[1]","previouslyFormattedCitation":"[1]"},"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F4EC7">
              <w:rPr>
                <w:rFonts w:ascii="Arial" w:eastAsia="Times New Roman" w:hAnsi="Arial" w:cs="Arial"/>
                <w:b w:val="0"/>
                <w:noProof/>
                <w:color w:val="000000"/>
                <w:sz w:val="18"/>
                <w:szCs w:val="18"/>
                <w:lang w:eastAsia="en-GB"/>
              </w:rPr>
              <w:t>[1]</w:t>
            </w:r>
            <w:r>
              <w:rPr>
                <w:rFonts w:ascii="Arial" w:eastAsia="Times New Roman" w:hAnsi="Arial" w:cs="Arial"/>
                <w:color w:val="000000"/>
                <w:sz w:val="18"/>
                <w:szCs w:val="18"/>
                <w:lang w:eastAsia="en-GB"/>
              </w:rPr>
              <w:fldChar w:fldCharType="end"/>
            </w:r>
          </w:p>
        </w:tc>
        <w:tc>
          <w:tcPr>
            <w:tcW w:w="690" w:type="pct"/>
          </w:tcPr>
          <w:p w14:paraId="6007EFFA" w14:textId="5A8ACE63"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Intermediate-dose: 62</w:t>
            </w:r>
            <w:r w:rsidRPr="00884FF3">
              <w:rPr>
                <w:rFonts w:ascii="Arial" w:hAnsi="Arial" w:cs="Arial"/>
                <w:color w:val="000000"/>
                <w:sz w:val="18"/>
                <w:szCs w:val="18"/>
              </w:rPr>
              <w:br/>
              <w:t>Prophylactic: 61</w:t>
            </w:r>
          </w:p>
        </w:tc>
        <w:tc>
          <w:tcPr>
            <w:tcW w:w="460" w:type="pct"/>
          </w:tcPr>
          <w:p w14:paraId="0DDBAFD4" w14:textId="05B187B5"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237 (42)</w:t>
            </w:r>
          </w:p>
        </w:tc>
        <w:tc>
          <w:tcPr>
            <w:tcW w:w="691" w:type="pct"/>
          </w:tcPr>
          <w:p w14:paraId="07516435" w14:textId="59E7B192"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27</w:t>
            </w:r>
          </w:p>
          <w:p w14:paraId="587E09F6" w14:textId="7777777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4727A31F" w14:textId="026F774B"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368" w:type="pct"/>
          </w:tcPr>
          <w:p w14:paraId="078D7579" w14:textId="61AB8A20"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131 (23)</w:t>
            </w:r>
          </w:p>
        </w:tc>
        <w:tc>
          <w:tcPr>
            <w:tcW w:w="368" w:type="pct"/>
          </w:tcPr>
          <w:p w14:paraId="58E069FD" w14:textId="6D60B7F8"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155 (28)</w:t>
            </w:r>
          </w:p>
        </w:tc>
        <w:tc>
          <w:tcPr>
            <w:tcW w:w="599" w:type="pct"/>
          </w:tcPr>
          <w:p w14:paraId="246068B1" w14:textId="482CB6FB"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39 (7)</w:t>
            </w:r>
          </w:p>
        </w:tc>
        <w:tc>
          <w:tcPr>
            <w:tcW w:w="399" w:type="pct"/>
          </w:tcPr>
          <w:p w14:paraId="219D1BA1" w14:textId="2D104F75"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13 (2)</w:t>
            </w:r>
          </w:p>
        </w:tc>
        <w:tc>
          <w:tcPr>
            <w:tcW w:w="688" w:type="pct"/>
          </w:tcPr>
          <w:p w14:paraId="705C118A" w14:textId="7777777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r>
      <w:tr w:rsidR="00F24D16" w:rsidRPr="00884FF3" w14:paraId="34811F38" w14:textId="4FAC1286" w:rsidTr="00822056">
        <w:tc>
          <w:tcPr>
            <w:cnfStyle w:val="001000000000" w:firstRow="0" w:lastRow="0" w:firstColumn="1" w:lastColumn="0" w:oddVBand="0" w:evenVBand="0" w:oddHBand="0" w:evenHBand="0" w:firstRowFirstColumn="0" w:firstRowLastColumn="0" w:lastRowFirstColumn="0" w:lastRowLastColumn="0"/>
            <w:tcW w:w="736" w:type="pct"/>
          </w:tcPr>
          <w:p w14:paraId="533A43DB" w14:textId="3E7F162D"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(non-critically ill) (21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{"citationItems":[{"id":"ITEM-1","itemData":{"DOI":"10.1056/nejmoa2105911","ISSN":"0028-4793","author":[{"dropping-particle":"","family":"The REMAP-CAP, ACTIV-4a","given":"and ATTACC Investigators*","non-dropping-particle":"","parse-names":false,"suffix":""}],"container-title":"New England Journal of Medicine","id":"ITEM-1","issued":{"date-parts":[["2021"]]},"page":"1-13","title":"Therapeutic Anticoagulation with Heparin in Noncritically Ill Patients with Covid-19","type":"article-journal"},"uris":["http://www.mendeley.com/documents/?uuid=372f90c6-5c58-45e1-9d3b-8244a6a389bb"]}],"mendeley":{"formattedCitation":"[2]","plainTextFormattedCitation":"[2]","previouslyFormattedCitation":"[2]"},"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2075D7">
              <w:rPr>
                <w:rFonts w:ascii="Arial" w:eastAsia="Times New Roman" w:hAnsi="Arial" w:cs="Arial"/>
                <w:b w:val="0"/>
                <w:noProof/>
                <w:color w:val="000000"/>
                <w:sz w:val="18"/>
                <w:szCs w:val="18"/>
                <w:lang w:eastAsia="en-GB"/>
              </w:rPr>
              <w:t>[2]</w:t>
            </w:r>
            <w:r>
              <w:rPr>
                <w:rFonts w:ascii="Arial" w:eastAsia="Times New Roman" w:hAnsi="Arial" w:cs="Arial"/>
                <w:color w:val="000000"/>
                <w:sz w:val="18"/>
                <w:szCs w:val="18"/>
                <w:lang w:eastAsia="en-GB"/>
              </w:rPr>
              <w:fldChar w:fldCharType="end"/>
            </w:r>
          </w:p>
        </w:tc>
        <w:tc>
          <w:tcPr>
            <w:tcW w:w="690" w:type="pct"/>
          </w:tcPr>
          <w:p w14:paraId="7D4A1666" w14:textId="53FDF93B"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Therapeutic: 59</w:t>
            </w:r>
            <w:r w:rsidRPr="00884FF3">
              <w:rPr>
                <w:rFonts w:ascii="Arial" w:hAnsi="Arial" w:cs="Arial"/>
                <w:color w:val="000000"/>
                <w:sz w:val="18"/>
                <w:szCs w:val="18"/>
              </w:rPr>
              <w:br/>
              <w:t>Prophylactic: 59</w:t>
            </w:r>
          </w:p>
        </w:tc>
        <w:tc>
          <w:tcPr>
            <w:tcW w:w="460" w:type="pct"/>
          </w:tcPr>
          <w:p w14:paraId="54760317" w14:textId="617904F2"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921 (42)</w:t>
            </w:r>
          </w:p>
        </w:tc>
        <w:tc>
          <w:tcPr>
            <w:tcW w:w="691" w:type="pct"/>
          </w:tcPr>
          <w:p w14:paraId="08079AFA" w14:textId="6EE6D832"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30</w:t>
            </w:r>
          </w:p>
        </w:tc>
        <w:tc>
          <w:tcPr>
            <w:tcW w:w="368" w:type="pct"/>
          </w:tcPr>
          <w:p w14:paraId="24402DD8" w14:textId="61E83C9C"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993 (45)</w:t>
            </w:r>
          </w:p>
        </w:tc>
        <w:tc>
          <w:tcPr>
            <w:tcW w:w="368" w:type="pct"/>
          </w:tcPr>
          <w:p w14:paraId="4D2B7D9A" w14:textId="378AC9C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663 (30)</w:t>
            </w:r>
          </w:p>
        </w:tc>
        <w:tc>
          <w:tcPr>
            <w:tcW w:w="599" w:type="pct"/>
          </w:tcPr>
          <w:p w14:paraId="764364D0" w14:textId="19D5DC7A"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461 (21)</w:t>
            </w:r>
          </w:p>
        </w:tc>
        <w:tc>
          <w:tcPr>
            <w:tcW w:w="399" w:type="pct"/>
          </w:tcPr>
          <w:p w14:paraId="127F7727" w14:textId="31E92CD9"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244 (11)</w:t>
            </w:r>
          </w:p>
        </w:tc>
        <w:tc>
          <w:tcPr>
            <w:tcW w:w="688" w:type="pct"/>
          </w:tcPr>
          <w:p w14:paraId="4712BA47" w14:textId="7777777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r>
      <w:tr w:rsidR="00F24D16" w:rsidRPr="00884FF3" w14:paraId="0E9C305A" w14:textId="4429E2B2"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897709F" w14:textId="27A62E2C"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(critically ill) (21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mendeley":{"formattedCitation":"[3]","plainTextFormattedCitation":"[3]","previouslyFormattedCitation":"[3]"},"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425D62">
              <w:rPr>
                <w:rFonts w:ascii="Arial" w:eastAsia="Times New Roman" w:hAnsi="Arial" w:cs="Arial"/>
                <w:b w:val="0"/>
                <w:noProof/>
                <w:color w:val="000000"/>
                <w:sz w:val="18"/>
                <w:szCs w:val="18"/>
                <w:lang w:eastAsia="en-GB"/>
              </w:rPr>
              <w:t>[3]</w:t>
            </w:r>
            <w:r>
              <w:rPr>
                <w:rFonts w:ascii="Arial" w:eastAsia="Times New Roman" w:hAnsi="Arial" w:cs="Arial"/>
                <w:color w:val="000000"/>
                <w:sz w:val="18"/>
                <w:szCs w:val="18"/>
                <w:lang w:eastAsia="en-GB"/>
              </w:rPr>
              <w:fldChar w:fldCharType="end"/>
            </w:r>
          </w:p>
        </w:tc>
        <w:tc>
          <w:tcPr>
            <w:tcW w:w="690" w:type="pct"/>
          </w:tcPr>
          <w:p w14:paraId="44C87654" w14:textId="6E3353FF"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 xml:space="preserve">Therapeutic: 60 </w:t>
            </w:r>
            <w:r w:rsidRPr="00884FF3">
              <w:rPr>
                <w:rFonts w:ascii="Arial" w:hAnsi="Arial" w:cs="Arial"/>
                <w:color w:val="000000"/>
                <w:sz w:val="18"/>
                <w:szCs w:val="18"/>
              </w:rPr>
              <w:br/>
              <w:t>Prophylactic: 62</w:t>
            </w:r>
          </w:p>
        </w:tc>
        <w:tc>
          <w:tcPr>
            <w:tcW w:w="460" w:type="pct"/>
          </w:tcPr>
          <w:p w14:paraId="337C564A" w14:textId="36A0C993"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331 (30)</w:t>
            </w:r>
          </w:p>
        </w:tc>
        <w:tc>
          <w:tcPr>
            <w:tcW w:w="691" w:type="pct"/>
          </w:tcPr>
          <w:p w14:paraId="35CFEE02" w14:textId="0B2779D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30</w:t>
            </w:r>
          </w:p>
        </w:tc>
        <w:tc>
          <w:tcPr>
            <w:tcW w:w="368" w:type="pct"/>
          </w:tcPr>
          <w:p w14:paraId="42EB3CB5" w14:textId="0D0B25B6"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c>
          <w:tcPr>
            <w:tcW w:w="368" w:type="pct"/>
          </w:tcPr>
          <w:p w14:paraId="5584C285" w14:textId="034EB1E3"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362 (33)</w:t>
            </w:r>
          </w:p>
        </w:tc>
        <w:tc>
          <w:tcPr>
            <w:tcW w:w="599" w:type="pct"/>
          </w:tcPr>
          <w:p w14:paraId="3132FF42" w14:textId="696F1E33"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258 (23)</w:t>
            </w:r>
          </w:p>
        </w:tc>
        <w:tc>
          <w:tcPr>
            <w:tcW w:w="399" w:type="pct"/>
          </w:tcPr>
          <w:p w14:paraId="0C7749AB" w14:textId="773B290C"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89 (8)</w:t>
            </w:r>
          </w:p>
        </w:tc>
        <w:tc>
          <w:tcPr>
            <w:tcW w:w="688" w:type="pct"/>
          </w:tcPr>
          <w:p w14:paraId="703A7B61" w14:textId="7777777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r>
      <w:tr w:rsidR="00F24D16" w:rsidRPr="00884FF3" w14:paraId="741E9F34" w14:textId="202BB17A" w:rsidTr="00822056">
        <w:tc>
          <w:tcPr>
            <w:cnfStyle w:val="001000000000" w:firstRow="0" w:lastRow="0" w:firstColumn="1" w:lastColumn="0" w:oddVBand="0" w:evenVBand="0" w:oddHBand="0" w:evenHBand="0" w:firstRowFirstColumn="0" w:firstRowLastColumn="0" w:lastRowFirstColumn="0" w:lastRowLastColumn="0"/>
            <w:tcW w:w="736" w:type="pct"/>
          </w:tcPr>
          <w:p w14:paraId="18F7A6C4" w14:textId="7684060E"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RAPID (28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BMJ","id":"ITEM-1","issued":{"date-parts":[["2021"]]},"title":"Effectiveness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mendeley":{"formattedCitation":"[4]","plainTextFormattedCitation":"[4]","previouslyFormattedCitation":"[4]"},"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407D4D">
              <w:rPr>
                <w:rFonts w:ascii="Arial" w:eastAsia="Times New Roman" w:hAnsi="Arial" w:cs="Arial"/>
                <w:b w:val="0"/>
                <w:noProof/>
                <w:color w:val="000000"/>
                <w:sz w:val="18"/>
                <w:szCs w:val="18"/>
                <w:lang w:eastAsia="en-GB"/>
              </w:rPr>
              <w:t>[4]</w:t>
            </w:r>
            <w:r>
              <w:rPr>
                <w:rFonts w:ascii="Arial" w:eastAsia="Times New Roman" w:hAnsi="Arial" w:cs="Arial"/>
                <w:color w:val="000000"/>
                <w:sz w:val="18"/>
                <w:szCs w:val="18"/>
                <w:lang w:eastAsia="en-GB"/>
              </w:rPr>
              <w:fldChar w:fldCharType="end"/>
            </w:r>
          </w:p>
        </w:tc>
        <w:tc>
          <w:tcPr>
            <w:tcW w:w="690" w:type="pct"/>
          </w:tcPr>
          <w:p w14:paraId="6FC57E46" w14:textId="7777777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60</w:t>
            </w:r>
          </w:p>
        </w:tc>
        <w:tc>
          <w:tcPr>
            <w:tcW w:w="460" w:type="pct"/>
          </w:tcPr>
          <w:p w14:paraId="271BD195" w14:textId="6086FF3F"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201 (43)</w:t>
            </w:r>
          </w:p>
        </w:tc>
        <w:tc>
          <w:tcPr>
            <w:tcW w:w="691" w:type="pct"/>
          </w:tcPr>
          <w:p w14:paraId="69CE4091" w14:textId="17481C55"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sz w:val="18"/>
                <w:szCs w:val="18"/>
              </w:rPr>
              <w:t>NR</w:t>
            </w:r>
          </w:p>
        </w:tc>
        <w:tc>
          <w:tcPr>
            <w:tcW w:w="368" w:type="pct"/>
          </w:tcPr>
          <w:p w14:paraId="7EA54E60" w14:textId="2263A6D3"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225 (48)</w:t>
            </w:r>
          </w:p>
        </w:tc>
        <w:tc>
          <w:tcPr>
            <w:tcW w:w="368" w:type="pct"/>
          </w:tcPr>
          <w:p w14:paraId="26BCAEF7" w14:textId="2294946B"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160 (34)</w:t>
            </w:r>
          </w:p>
        </w:tc>
        <w:tc>
          <w:tcPr>
            <w:tcW w:w="599" w:type="pct"/>
          </w:tcPr>
          <w:p w14:paraId="46B22D9E" w14:textId="7D97CA20"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63 (14)</w:t>
            </w:r>
          </w:p>
        </w:tc>
        <w:tc>
          <w:tcPr>
            <w:tcW w:w="399" w:type="pct"/>
          </w:tcPr>
          <w:p w14:paraId="3C8CE136" w14:textId="74415983"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15 (3)</w:t>
            </w:r>
          </w:p>
        </w:tc>
        <w:tc>
          <w:tcPr>
            <w:tcW w:w="688" w:type="pct"/>
          </w:tcPr>
          <w:p w14:paraId="417B3FBC"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9 (2)</w:t>
            </w:r>
          </w:p>
          <w:p w14:paraId="71DADB5E" w14:textId="40E58DBC"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24D16" w:rsidRPr="00884FF3" w14:paraId="182F7F34" w14:textId="62A4FAAE"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5CE8A0C" w14:textId="2CD3DA0B"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HEP-COVID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Medicine","id":"ITEM-1","issue":"12","issued":{"date-parts":[["2021"]]},"note":"From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[5]","plainTextFormattedCitation":"[5]","previouslyFormattedCitation":"[5]"},"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D1918">
              <w:rPr>
                <w:rFonts w:ascii="Arial" w:eastAsia="Times New Roman" w:hAnsi="Arial" w:cs="Arial"/>
                <w:b w:val="0"/>
                <w:noProof/>
                <w:color w:val="000000"/>
                <w:sz w:val="18"/>
                <w:szCs w:val="18"/>
                <w:lang w:eastAsia="en-GB"/>
              </w:rPr>
              <w:t>[5]</w:t>
            </w:r>
            <w:r>
              <w:rPr>
                <w:rFonts w:ascii="Arial" w:eastAsia="Times New Roman" w:hAnsi="Arial" w:cs="Arial"/>
                <w:color w:val="000000"/>
                <w:sz w:val="18"/>
                <w:szCs w:val="18"/>
                <w:lang w:eastAsia="en-GB"/>
              </w:rPr>
              <w:fldChar w:fldCharType="end"/>
            </w:r>
          </w:p>
        </w:tc>
        <w:tc>
          <w:tcPr>
            <w:tcW w:w="690" w:type="pct"/>
          </w:tcPr>
          <w:p w14:paraId="6F92C772" w14:textId="7B04690E"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Therapeutic: 66</w:t>
            </w:r>
            <w:r w:rsidRPr="00884FF3">
              <w:rPr>
                <w:rFonts w:ascii="Arial" w:hAnsi="Arial" w:cs="Arial"/>
                <w:color w:val="000000"/>
                <w:sz w:val="18"/>
                <w:szCs w:val="18"/>
              </w:rPr>
              <w:br/>
              <w:t>Prophylactic: 68</w:t>
            </w:r>
          </w:p>
        </w:tc>
        <w:tc>
          <w:tcPr>
            <w:tcW w:w="460" w:type="pct"/>
          </w:tcPr>
          <w:p w14:paraId="459E0522" w14:textId="435E05B9"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117 (46)</w:t>
            </w:r>
          </w:p>
        </w:tc>
        <w:tc>
          <w:tcPr>
            <w:tcW w:w="691" w:type="pct"/>
          </w:tcPr>
          <w:p w14:paraId="31C5F625" w14:textId="0DE29B59"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Therapeutic: 31</w:t>
            </w:r>
            <w:r w:rsidRPr="00884FF3">
              <w:rPr>
                <w:rFonts w:ascii="Arial" w:hAnsi="Arial" w:cs="Arial"/>
                <w:color w:val="000000"/>
                <w:sz w:val="18"/>
                <w:szCs w:val="18"/>
              </w:rPr>
              <w:br/>
              <w:t>Prophylactic dose: 30</w:t>
            </w:r>
          </w:p>
        </w:tc>
        <w:tc>
          <w:tcPr>
            <w:tcW w:w="368" w:type="pct"/>
          </w:tcPr>
          <w:p w14:paraId="5C2E4102" w14:textId="61498FFC"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151 (60)</w:t>
            </w:r>
          </w:p>
        </w:tc>
        <w:tc>
          <w:tcPr>
            <w:tcW w:w="368" w:type="pct"/>
          </w:tcPr>
          <w:p w14:paraId="7580DAA4" w14:textId="3D5C08A0"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94 (37)</w:t>
            </w:r>
          </w:p>
        </w:tc>
        <w:tc>
          <w:tcPr>
            <w:tcW w:w="599" w:type="pct"/>
          </w:tcPr>
          <w:p w14:paraId="2ED393B4" w14:textId="1CBD68CF"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17 (7)</w:t>
            </w:r>
          </w:p>
        </w:tc>
        <w:tc>
          <w:tcPr>
            <w:tcW w:w="399" w:type="pct"/>
          </w:tcPr>
          <w:p w14:paraId="05D62062" w14:textId="18C0CED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 (1)</w:t>
            </w:r>
          </w:p>
        </w:tc>
        <w:tc>
          <w:tcPr>
            <w:tcW w:w="688" w:type="pct"/>
          </w:tcPr>
          <w:p w14:paraId="144D28D6" w14:textId="77777777" w:rsidR="00F24D16"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p w14:paraId="60D55671" w14:textId="77777777" w:rsidR="00F24D16"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13C56E91" w14:textId="6F245B7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24D16" w:rsidRPr="00884FF3" w14:paraId="45A8E2C4" w14:textId="3A751281" w:rsidTr="00822056">
        <w:tc>
          <w:tcPr>
            <w:cnfStyle w:val="001000000000" w:firstRow="0" w:lastRow="0" w:firstColumn="1" w:lastColumn="0" w:oddVBand="0" w:evenVBand="0" w:oddHBand="0" w:evenHBand="0" w:firstRowFirstColumn="0" w:firstRowLastColumn="0" w:lastRowFirstColumn="0" w:lastRowLastColumn="0"/>
            <w:tcW w:w="736" w:type="pct"/>
          </w:tcPr>
          <w:p w14:paraId="712FAF27" w14:textId="545CE9E4" w:rsidR="00F24D16" w:rsidRPr="00884FF3" w:rsidRDefault="00F24D16" w:rsidP="00F24D16">
            <w:pPr>
              <w:rPr>
                <w:rFonts w:ascii="Arial" w:hAnsi="Arial" w:cs="Arial"/>
                <w:sz w:val="18"/>
                <w:szCs w:val="18"/>
              </w:rPr>
            </w:pPr>
            <w:r w:rsidRPr="00C14897">
              <w:rPr>
                <w:rFonts w:ascii="Arial" w:eastAsia="Times New Roman" w:hAnsi="Arial" w:cs="Arial"/>
                <w:color w:val="1A1A1A"/>
                <w:sz w:val="18"/>
                <w:szCs w:val="18"/>
                <w:lang w:eastAsia="en-GB"/>
              </w:rPr>
              <w:t>ACTIV-4B (45 days)</w:t>
            </w:r>
            <w:r>
              <w:rPr>
                <w:rFonts w:ascii="Arial" w:eastAsia="Times New Roman" w:hAnsi="Arial" w:cs="Arial"/>
                <w:color w:val="1A1A1A"/>
                <w:sz w:val="18"/>
                <w:szCs w:val="18"/>
                <w:lang w:eastAsia="en-GB"/>
              </w:rPr>
              <w:fldChar w:fldCharType="begin" w:fldLock="1"/>
            </w:r>
            <w:r>
              <w:rPr>
                <w:rFonts w:ascii="Arial" w:eastAsia="Times New Roman" w:hAnsi="Arial" w:cs="Arial"/>
                <w:color w:val="1A1A1A"/>
                <w:sz w:val="18"/>
                <w:szCs w:val="18"/>
                <w:lang w:eastAsia="en-GB"/>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Pr>
                <w:rFonts w:ascii="Arial" w:eastAsia="Times New Roman" w:hAnsi="Arial" w:cs="Arial"/>
                <w:color w:val="1A1A1A"/>
                <w:sz w:val="18"/>
                <w:szCs w:val="18"/>
                <w:lang w:eastAsia="en-GB"/>
              </w:rPr>
              <w:fldChar w:fldCharType="separate"/>
            </w:r>
            <w:r w:rsidRPr="005114A0">
              <w:rPr>
                <w:rFonts w:ascii="Arial" w:eastAsia="Times New Roman" w:hAnsi="Arial" w:cs="Arial"/>
                <w:b w:val="0"/>
                <w:noProof/>
                <w:color w:val="1A1A1A"/>
                <w:sz w:val="18"/>
                <w:szCs w:val="18"/>
                <w:lang w:eastAsia="en-GB"/>
              </w:rPr>
              <w:t>[6]</w:t>
            </w:r>
            <w:r>
              <w:rPr>
                <w:rFonts w:ascii="Arial" w:eastAsia="Times New Roman" w:hAnsi="Arial" w:cs="Arial"/>
                <w:color w:val="1A1A1A"/>
                <w:sz w:val="18"/>
                <w:szCs w:val="18"/>
                <w:lang w:eastAsia="en-GB"/>
              </w:rPr>
              <w:fldChar w:fldCharType="end"/>
            </w:r>
          </w:p>
        </w:tc>
        <w:tc>
          <w:tcPr>
            <w:tcW w:w="690" w:type="pct"/>
          </w:tcPr>
          <w:p w14:paraId="4D5F4D06" w14:textId="7777777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Median 52 – 55yrs across 4 arms</w:t>
            </w:r>
          </w:p>
        </w:tc>
        <w:tc>
          <w:tcPr>
            <w:tcW w:w="460" w:type="pct"/>
          </w:tcPr>
          <w:p w14:paraId="164446A8" w14:textId="5E73AC86"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197 (71)</w:t>
            </w:r>
          </w:p>
        </w:tc>
        <w:tc>
          <w:tcPr>
            <w:tcW w:w="691" w:type="pct"/>
          </w:tcPr>
          <w:p w14:paraId="03815B7A" w14:textId="76212F0B"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Median range 30 - 31</w:t>
            </w:r>
          </w:p>
        </w:tc>
        <w:tc>
          <w:tcPr>
            <w:tcW w:w="368" w:type="pct"/>
          </w:tcPr>
          <w:p w14:paraId="0986377D" w14:textId="5DDD4FBA"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177 (64)</w:t>
            </w:r>
          </w:p>
        </w:tc>
        <w:tc>
          <w:tcPr>
            <w:tcW w:w="368" w:type="pct"/>
          </w:tcPr>
          <w:p w14:paraId="7D0B7E1D" w14:textId="2F06E819"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91 (33)</w:t>
            </w:r>
          </w:p>
        </w:tc>
        <w:tc>
          <w:tcPr>
            <w:tcW w:w="599" w:type="pct"/>
          </w:tcPr>
          <w:p w14:paraId="16B53BC9" w14:textId="7777777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c>
          <w:tcPr>
            <w:tcW w:w="399" w:type="pct"/>
          </w:tcPr>
          <w:p w14:paraId="41C33BA7" w14:textId="4E04E21B"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NR</w:t>
            </w:r>
          </w:p>
        </w:tc>
        <w:tc>
          <w:tcPr>
            <w:tcW w:w="688" w:type="pct"/>
          </w:tcPr>
          <w:p w14:paraId="16020439"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92 (33)</w:t>
            </w:r>
          </w:p>
          <w:p w14:paraId="5AA7F9D0"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32782179" w14:textId="6668B9AC"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24D16" w:rsidRPr="00884FF3" w14:paraId="3D1C853B" w14:textId="79F34EAC"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7B1061CD" w14:textId="22A82CD6"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ACTION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{"citationItems":[{"id":"ITEM-1","itemData":{"DOI":"10.1016/S0140-6736(21)01203-4","ISSN":"1474-547X","PMID":"34097856","abstract":"Background: COVID-19 is associated with a prothrombotic state leading to adverse clinical outcomes. Whether therapeutic anticoagulation improves outcomes in patients hospitalised with COVID-19 is unknown. We aimed to compare the efficacy and safety of therapeutic versus prophylactic anticoagulation in this population. Methods: We did a pragmatic, open-label (with blinded adjudication), multicentre, randomised, controlled trial, at 31 sites in Brazil. Patients (aged ≥18 years) hospitalised with COVID-19 and elevated D-dimer concentration, and who had COVID-19 symptoms for up to 14 days before randomisation, were randomly assigned (1:1) to receive either therapeutic or prophylactic anticoagulation. Therapeutic anticoagulation was in-hospital oral rivaroxaban (20 mg or 15 mg daily) for stable patients, or initial subcutaneous enoxaparin (1 mg/kg twice per day) or intravenous unfractionated heparin (to achieve a 0·3–0·7 IU/mL anti-Xa concentration) for clinically unstable patients, followed by rivaroxaban to day 30. Prophylactic anticoagulation was standard in-hospital enoxaparin or unfractionated heparin. The primary efficacy outcome was a hierarchical analysis of time to death, duration of hospitalisation, or duration of supplemental oxygen to day 30, analysed with the win ratio method (a ratio &gt;1 reflects a better outcome in the therapeutic anticoagulation group) in the intention-to-treat population. The primary safety outcome was major or clinically relevant non-major bleeding through 30 days. This study is registered with ClinicalTrials.gov (NCT04394377) and is completed. Findings: From June 24, 2020, to Feb 26, 2021, 3331 patients were screened and 615 were randomly allocated (311 [50%] to the therapeutic anticoagulation group and 304 [50%] to the prophylactic anticoagulation group). 576 (94%) were clinically stable and 39 (6%) clinically unstable. One patient, in the therapeutic group, was lost to follow-up because of withdrawal of consent and was not included in the primary analysis. The primary efficacy outcome was not different between patients assigned therapeutic or prophylactic anticoagulation, with 28 899 (34·8%) wins in the therapeutic group and 34 288 (41·3%) in the prophylactic group (win ratio 0·86 [95% CI 0·59–1·22], p=0·40). Consistent results were seen in clinically stable and clinically unstable patients. The primary safety outcome of major or clinically relevant non-major bleeding occurred in 26 (8%) patients assigned therapeutic anti…","author":[{"dropping-particle":"","family":"Lopes","given":"Renato D.","non-dropping-particle":"","parse-names":false,"suffix":""},{"dropping-particle":"","family":"Barros E Silva","given":"Pedro Gabriel Melo","non-dropping-particle":"de","parse-names":false,"suffix":""},{"dropping-particle":"","family":"Furtado","given":"Remo H.M. M","non-dropping-particle":"","parse-names":false,"suffix":""},{"dropping-particle":"","family":"Macedo","given":"Ariane Vieira Scarlatelli","non-dropping-particle":"","parse-names":false,"suffix":""},{"dropping-particle":"","family":"Bronhara","given":"Bruna","non-dropping-particle":"","parse-names":false,"suffix":""},{"dropping-particle":"","family":"Damiani","given":"Lucas Petri","non-dropping-particle":"","parse-names":false,"suffix":""},{"dropping-particle":"","family":"Barbosa","given":"Lilian Mazza","non-dropping-particle":"","parse-names":false,"suffix":""},{"dropping-particle":"","family":"Aveiro Morata","given":"Júlia","non-dropping-particle":"de","parse-names":false,"suffix":""},{"dropping-particle":"","family":"Ramacciotti","given":"Eduardo","non-dropping-particle":"","parse-names":false,"suffix":""},{"dropping-particle":"","family":"Aquino Martins","given":"Priscilla","non-dropping-particle":"de","parse-names":false,"suffix":""},{"dropping-particle":"","family":"Oliveira","given":"Aryadne Lyrio","non-dropping-particle":"de","parse-names":false,"suffix":""},{"dropping-particle":"","family":"Nunes","given":"Vinicius Santana","non-dropping-particle":"","parse-names":false,"suffix":""},{"dropping-particle":"","family":"Ritt","given":"Luiz Eduardo Fonteles","non-dropping-particle":"","parse-names":false,"suffix":""},{"dropping-particle":"","family":"Rocha","given":"Ana Thereza","non-dropping-particle":"","parse-names":false,"suffix":""},{"dropping-particle":"","family":"Tramujas","given":"Lucas","non-dropping-particle":"","parse-names":false,"suffix":""},{"dropping-particle":"V.","family":"Santos","given":"Sueli","non-dropping-particle":"","parse-names":false,"suffix":""},{"dropping-particle":"","family":"Diaz","given":"Dario Rafael Abregu","non-dropping-particle":"","parse-names":false,"suffix":""},{"dropping-particle":"","family":"Viana","given":"Lorena Souza","non-dropping-particle":"","parse-names":false,"suffix":""},{"dropping-particle":"","family":"Melro","given":"Lívia Maria Garcia","non-dropping-particle":"","parse-names":false,"suffix":""},{"dropping-particle":"","family":"Alcântara Chaud","given":"Mariana Silveira","non-dropping-particle":"de","parse-names":false,"suffix":""},{"dropping-particle":"","family":"Figueiredo","given":"Estêvão Lanna","non-dropping-particle":"","parse-names":false,"suffix":""},{"dropping-particle":"","family":"Neuenschwander","given":"Fernando Carvalho","non-dropping-particle":"","parse-names":false,"suffix":""},{"dropping-particle":"","family":"Dracoulakis","given":"Marianna Deway Andrade","non-dropping-particle":"","parse-names":false,"suffix":""},{"dropping-particle":"","family":"Lima","given":"Rodolfo Godinho Souza Dourado R.G.S.D.","non-dropping-particle":"","parse-names":false,"suffix":""},{"dropping-particle":"","family":"Souza Dantas","given":"Vicente Cés","non-dropping-particle":"de","parse-names":false,"suffix":""},{"dropping-particle":"","family":"Fernandes","given":"Anne Cristine Silva","non-dropping-particle":"","parse-names":false,"suffix":""},{"dropping-particle":"","family":"Gebara","given":"Otávio Celso Eluf","non-dropping-particle":"","parse-names":false,"suffix":""},{"dropping-particle":"","family":"Hernandes","given":"Mauro Esteves","non-dropping-particle":"","parse-names":false,"suffix":""},{"dropping-particle":"","family":"Queiroz","given":"Diego Aparecido Rios","non-dropping-particle":"","parse-names":false,"suffix":""},{"dropping-particle":"","family":"Veiga","given":"Viviane C.","non-dropping-particle":"","parse-names":false,"suffix":""},{"dropping-particle":"","family":"Canesin","given":"Manoel Fernandes","non-dropping-particle":"","parse-names":false,"suffix":""},{"dropping-particle":"","family":"Faria","given":"Leonardo Meira","non-dropping-particle":"de","parse-names":false,"suffix":""},{"dropping-particle":"","family":"Feitosa-Filho","given":"Gilson Soares","non-dropping-particle":"","parse-names":false,"suffix":""},{"dropping-particle":"","family":"Gazzana","given":"Marcelo Basso","non-dropping-particle":"","parse-names":false,"suffix":""},{"dropping-particle":"","family":"Liporace","given":"Idelzuíta Leandro","non-dropping-particle":"","parse-names":false,"suffix":""},{"dropping-particle":"","family":"Oliveira Twardowsky","given":"Aline","non-dropping-particle":"de","parse-names":false,"suffix":""},{"dropping-particle":"","family":"Maia","given":"Lilia Nigro","non-dropping-particle":"","parse-names":false,"suffix":""},{"dropping-particle":"","family":"Machado","given":"Flávia Ribeiro","non-dropping-particle":"","parse-names":false,"suffix":""},{"dropping-particle":"","family":"Matos Soeiro","given":"Alexandre","non-dropping-particle":"de","parse-names":false,"suffix":""},{"dropping-particle":"","family":"Conceição-Souza","given":"Germano Emílio","non-dropping-particle":"","parse-names":false,"suffix":""},{"dropping-particle":"","family":"Armaganijan","given":"Luciana","non-dropping-particle":"","parse-names":false,"suffix":""},{"dropping-particle":"","family":"Guimarães","given":"Patrícia O.","non-dropping-particle":"","parse-names":false,"suffix":""},{"dropping-particle":"","family":"Rosa","given":"Regis G.","non-dropping-particle":"","parse-names":false,"suffix":""},{"dropping-particle":"","family":"Azevedo","given":"Luciano C.P. P","non-dropping-particle":"","parse-names":false,"suffix":""},{"dropping-particle":"","family":"Alexander","given":"John H.","non-dropping-particle":"","parse-names":false,"suffix":""},{"dropping-particle":"","family":"Avezum","given":"Alvaro","non-dropping-particle":"","parse-names":false,"suffix":""},{"dropping-particle":"","family":"Cavalcanti","given":"Alexandre B.","non-dropping-particle":"","parse-names":false,"suffix":""},{"dropping-particle":"","family":"Berwanger","given":"Otavio","non-dropping-particle":"","parse-names":false,"suffix":""}],"container-title":"The Lancet","id":"ITEM-1","issue":"10291","issued":{"date-parts":[["2021"]]},"language":"en","note":"From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2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2021","page":"2253-2263","publisher-place":"Lopes RD; Duke Clinical Research Institute, Duke University Medical Center, Durham, NC, USA; Brazilian Clinical Research Institute, São Paulo, Brazil. Electronic address: USArenato.lopes@duke.edu.","title":"Therapeutic versus prophylactic anticoagulation for patients admitted to hospital with COVID-19 and elevated D-dimer concentration (ACTION): an open-label, multicentre, randomised, controlled trial","type":"article-journal","volume":"397"},"uris":["http://www.mendeley.com/documents/?uuid=faf91367-5dbe-4654-aba7-ea7d6468829d"]}],"mendeley":{"formattedCitation":"[7]","plainTextFormattedCitation":"[7]","previouslyFormattedCitation":"[7]"},"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ED6CA0">
              <w:rPr>
                <w:rFonts w:ascii="Arial" w:eastAsia="Times New Roman" w:hAnsi="Arial" w:cs="Arial"/>
                <w:b w:val="0"/>
                <w:noProof/>
                <w:color w:val="000000"/>
                <w:sz w:val="18"/>
                <w:szCs w:val="18"/>
                <w:lang w:eastAsia="en-GB"/>
              </w:rPr>
              <w:t>[7]</w:t>
            </w:r>
            <w:r>
              <w:rPr>
                <w:rFonts w:ascii="Arial" w:eastAsia="Times New Roman" w:hAnsi="Arial" w:cs="Arial"/>
                <w:color w:val="000000"/>
                <w:sz w:val="18"/>
                <w:szCs w:val="18"/>
                <w:lang w:eastAsia="en-GB"/>
              </w:rPr>
              <w:fldChar w:fldCharType="end"/>
            </w:r>
          </w:p>
        </w:tc>
        <w:tc>
          <w:tcPr>
            <w:tcW w:w="690" w:type="pct"/>
          </w:tcPr>
          <w:p w14:paraId="3E84E531" w14:textId="0B5A298C"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 xml:space="preserve">Therapeutic: 57 </w:t>
            </w:r>
          </w:p>
          <w:p w14:paraId="0B595C0D" w14:textId="3493621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 xml:space="preserve">Prophylactic: 57 </w:t>
            </w:r>
          </w:p>
        </w:tc>
        <w:tc>
          <w:tcPr>
            <w:tcW w:w="460" w:type="pct"/>
          </w:tcPr>
          <w:p w14:paraId="4AAD880C" w14:textId="0FAB7F3F"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247 (40)</w:t>
            </w:r>
          </w:p>
        </w:tc>
        <w:tc>
          <w:tcPr>
            <w:tcW w:w="691" w:type="pct"/>
          </w:tcPr>
          <w:p w14:paraId="7994B226" w14:textId="11BEF3C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b/>
                <w:bCs/>
                <w:color w:val="44546A"/>
                <w:sz w:val="18"/>
                <w:szCs w:val="18"/>
              </w:rPr>
            </w:pPr>
            <w:r w:rsidRPr="00884FF3">
              <w:rPr>
                <w:rFonts w:ascii="Arial" w:hAnsi="Arial" w:cs="Arial"/>
                <w:color w:val="000000"/>
                <w:sz w:val="18"/>
                <w:szCs w:val="18"/>
              </w:rPr>
              <w:t>30</w:t>
            </w:r>
          </w:p>
          <w:p w14:paraId="588346BA" w14:textId="7777777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b/>
                <w:bCs/>
                <w:color w:val="44546A"/>
                <w:sz w:val="18"/>
                <w:szCs w:val="18"/>
              </w:rPr>
            </w:pPr>
          </w:p>
          <w:p w14:paraId="4B7C9E94" w14:textId="7777777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368" w:type="pct"/>
          </w:tcPr>
          <w:p w14:paraId="20FDAD43" w14:textId="5DA66F75"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302 (49)</w:t>
            </w:r>
          </w:p>
        </w:tc>
        <w:tc>
          <w:tcPr>
            <w:tcW w:w="368" w:type="pct"/>
          </w:tcPr>
          <w:p w14:paraId="3EECB709" w14:textId="35131248"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150 (24)</w:t>
            </w:r>
          </w:p>
        </w:tc>
        <w:tc>
          <w:tcPr>
            <w:tcW w:w="599" w:type="pct"/>
          </w:tcPr>
          <w:p w14:paraId="0B112CE0" w14:textId="6F9F5C86"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29 (5)</w:t>
            </w:r>
          </w:p>
        </w:tc>
        <w:tc>
          <w:tcPr>
            <w:tcW w:w="399" w:type="pct"/>
          </w:tcPr>
          <w:p w14:paraId="2CF346FF" w14:textId="3E8A0CBF"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13 (2)</w:t>
            </w:r>
          </w:p>
        </w:tc>
        <w:tc>
          <w:tcPr>
            <w:tcW w:w="688" w:type="pct"/>
          </w:tcPr>
          <w:p w14:paraId="49C8F2EF" w14:textId="3297D4B3"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119 (19)</w:t>
            </w:r>
          </w:p>
        </w:tc>
      </w:tr>
      <w:tr w:rsidR="00F24D16" w:rsidRPr="00884FF3" w14:paraId="31320770" w14:textId="0F692C8E" w:rsidTr="00822056">
        <w:tc>
          <w:tcPr>
            <w:cnfStyle w:val="001000000000" w:firstRow="0" w:lastRow="0" w:firstColumn="1" w:lastColumn="0" w:oddVBand="0" w:evenVBand="0" w:oddHBand="0" w:evenHBand="0" w:firstRowFirstColumn="0" w:firstRowLastColumn="0" w:lastRowFirstColumn="0" w:lastRowLastColumn="0"/>
            <w:tcW w:w="736" w:type="pct"/>
          </w:tcPr>
          <w:p w14:paraId="0A2FEA13" w14:textId="563C438D" w:rsidR="00F24D16" w:rsidRPr="00884FF3" w:rsidRDefault="00F24D16" w:rsidP="00F24D16">
            <w:pPr>
              <w:rPr>
                <w:rFonts w:ascii="Arial" w:hAnsi="Arial" w:cs="Arial"/>
                <w:sz w:val="18"/>
                <w:szCs w:val="18"/>
              </w:rPr>
            </w:pPr>
            <w:proofErr w:type="spellStart"/>
            <w:r w:rsidRPr="00C14897">
              <w:rPr>
                <w:rFonts w:ascii="Arial" w:eastAsia="Times New Roman" w:hAnsi="Arial" w:cs="Arial"/>
                <w:color w:val="000000"/>
                <w:sz w:val="18"/>
                <w:szCs w:val="18"/>
                <w:lang w:eastAsia="en-GB"/>
              </w:rPr>
              <w:t>Perepu</w:t>
            </w:r>
            <w:proofErr w:type="spellEnd"/>
            <w:r w:rsidRPr="00C14897">
              <w:rPr>
                <w:rFonts w:ascii="Arial" w:eastAsia="Times New Roman" w:hAnsi="Arial" w:cs="Arial"/>
                <w:color w:val="000000"/>
                <w:sz w:val="18"/>
                <w:szCs w:val="18"/>
                <w:lang w:eastAsia="en-GB"/>
              </w:rPr>
              <w:t xml:space="preserve"> et al.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Haemostasis","id":"ITEM-1","issue":"9","issued":{"date-parts":[["2021","9"]]},"language":"eng","note":"From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plainTextFormattedCitation":"[8]","previouslyFormattedCitation":"[8]"},"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676671">
              <w:rPr>
                <w:rFonts w:ascii="Arial" w:eastAsia="Times New Roman" w:hAnsi="Arial" w:cs="Arial"/>
                <w:b w:val="0"/>
                <w:noProof/>
                <w:color w:val="000000"/>
                <w:sz w:val="18"/>
                <w:szCs w:val="18"/>
                <w:lang w:eastAsia="en-GB"/>
              </w:rPr>
              <w:t>[8]</w:t>
            </w:r>
            <w:r>
              <w:rPr>
                <w:rFonts w:ascii="Arial" w:eastAsia="Times New Roman" w:hAnsi="Arial" w:cs="Arial"/>
                <w:color w:val="000000"/>
                <w:sz w:val="18"/>
                <w:szCs w:val="18"/>
                <w:lang w:eastAsia="en-GB"/>
              </w:rPr>
              <w:fldChar w:fldCharType="end"/>
            </w:r>
          </w:p>
        </w:tc>
        <w:tc>
          <w:tcPr>
            <w:tcW w:w="690" w:type="pct"/>
          </w:tcPr>
          <w:p w14:paraId="6B3392DF" w14:textId="77777777"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64</w:t>
            </w:r>
          </w:p>
        </w:tc>
        <w:tc>
          <w:tcPr>
            <w:tcW w:w="460" w:type="pct"/>
          </w:tcPr>
          <w:p w14:paraId="59066820" w14:textId="3A6E8F31"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76 (44)</w:t>
            </w:r>
          </w:p>
        </w:tc>
        <w:tc>
          <w:tcPr>
            <w:tcW w:w="691" w:type="pct"/>
          </w:tcPr>
          <w:p w14:paraId="1F129C25" w14:textId="7AA5CE3D"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31</w:t>
            </w:r>
          </w:p>
        </w:tc>
        <w:tc>
          <w:tcPr>
            <w:tcW w:w="368" w:type="pct"/>
          </w:tcPr>
          <w:p w14:paraId="094CC5A1" w14:textId="7ED5C4B6"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104 (60)</w:t>
            </w:r>
          </w:p>
        </w:tc>
        <w:tc>
          <w:tcPr>
            <w:tcW w:w="368" w:type="pct"/>
          </w:tcPr>
          <w:p w14:paraId="61465766" w14:textId="7336C13D"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64 (37)</w:t>
            </w:r>
          </w:p>
        </w:tc>
        <w:tc>
          <w:tcPr>
            <w:tcW w:w="599" w:type="pct"/>
          </w:tcPr>
          <w:p w14:paraId="320E77BA" w14:textId="30CD2E49"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39 (23)</w:t>
            </w:r>
          </w:p>
        </w:tc>
        <w:tc>
          <w:tcPr>
            <w:tcW w:w="399" w:type="pct"/>
          </w:tcPr>
          <w:p w14:paraId="7013D78F" w14:textId="5F2A87F2"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54 (31)</w:t>
            </w:r>
          </w:p>
        </w:tc>
        <w:tc>
          <w:tcPr>
            <w:tcW w:w="688" w:type="pct"/>
          </w:tcPr>
          <w:p w14:paraId="3920F862"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 xml:space="preserve">73 (42) </w:t>
            </w:r>
          </w:p>
          <w:p w14:paraId="7BF9C2CB"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37F79C40" w14:textId="698F4A44"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24D16" w:rsidRPr="00884FF3" w14:paraId="3A448485" w14:textId="16133027"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67541267" w14:textId="34AFBC1C" w:rsidR="00F24D16" w:rsidRPr="00884FF3" w:rsidRDefault="00F24D16" w:rsidP="00F24D16">
            <w:pPr>
              <w:rPr>
                <w:rFonts w:ascii="Arial" w:hAnsi="Arial" w:cs="Arial"/>
                <w:sz w:val="18"/>
                <w:szCs w:val="18"/>
              </w:rPr>
            </w:pPr>
            <w:r w:rsidRPr="00C14897">
              <w:rPr>
                <w:rFonts w:ascii="Arial" w:eastAsia="Times New Roman" w:hAnsi="Arial" w:cs="Arial"/>
                <w:color w:val="000000"/>
                <w:sz w:val="18"/>
                <w:szCs w:val="18"/>
                <w:lang w:eastAsia="en-GB"/>
              </w:rPr>
              <w:t>HESACOVID (28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{"citationItems":[{"id":"ITEM-1","itemData":{"DOI":"10.1016/j.thromres.2020.09.026","ISSN":"18792472","PMID":"32977137","abstract":"Introduction: Coronavirus disease 2019 (COVID-19) causes a hypercoagulable state. Several autopsy studies have found microthrombi in pulmonary circulation. Methods: In this randomized, open-label, phase II study, we randomized COVID-19 patients requiring mechanical ventilation to receive either therapeutic enoxaparin or the standard anticoagulant thromboprophylaxis. We evaluated the gas exchange over time through the ratio of partial pressure of arterial oxygen (PaO2) to the fraction of inspired oxygen (FiO2) at baseline, 7, and 14 days after randomization, the time until successful liberation from mechanical ventilation, and the ventilator-free days. Results: Ten patients were assigned to the therapeutic enoxaparin and ten patients to prophylactic anticoagulation. There was a statistically significant increase in the PaO2/FiO2 ratio over time in the therapeutic group (163 [95% confidence interval – CI 133–193] at baseline, 209 [95% CI 171–247] after 7 days, and 261 [95% CI 230–293] after 14 days), p = 0.0004. In contrast, we did not observe this improvement over time in the prophylactic group (184 [95% CI 146–222] at baseline, 168 [95% CI 142–195] after 7 days, and 195 [95% CI 128–262] after 14 days), p = 0.487. Patients of the therapeutic group had a higher ratio of successful liberation from mechanical ventilation (hazard ratio: 4.0 [95% CI 1.035–15.053]), p = 0.031 and more ventilator-free days (15 days [interquartile range IQR 6–16] versus 0 days [IQR 0–11]), p = 0.028 when compared to the prophylactic group. Conclusion: Therapeutic enoxaparin improves gas exchange and decreases the need for mechanical ventilation in severe COVID–19. Trial registration: REBEC RBR-949z6v.","author":[{"dropping-particle":"","family":"Lemos","given":"Anna Cristina Bertoldi","non-dropping-particle":"","parse-names":false,"suffix":""},{"dropping-particle":"","family":"Espírito Santo","given":"Douglas Alexandre","non-dropping-particle":"do","parse-names":false,"suffix":""},{"dropping-particle":"","family":"Salvetti","given":"Maísa Cabetti","non-dropping-particle":"","parse-names":false,"suffix":""},{"dropping-particle":"","family":"Gilio","given":"Renato Noffs","non-dropping-particle":"","parse-names":false,"suffix":""},{"dropping-particle":"","family":"Agra","given":"Lucas Barbosa","non-dropping-particle":"","parse-names":false,"suffix":""},{"dropping-particle":"","family":"Pazin-Filho","given":"Antonio","non-dropping-particle":"","parse-names":false,"suffix":""},{"dropping-particle":"","family":"Miranda","given":"Carlos Henrique","non-dropping-particle":"","parse-names":false,"suffix":""}],"container-title":"Thrombosis Research","id":"ITEM-1","issue":"July","issued":{"date-parts":[["2020"]]},"page":"359-366","publisher":"Elsevier","title":"Therapeutic versus prophylactic anticoagulation for severe COVID-19: A randomized phase II clinical trial (HESACOVID)","type":"article-journal","volume":"196"},"uris":["http://www.mendeley.com/documents/?uuid=d7eb46af-f176-4d60-8c8b-40d45603321f"]}],"mendeley":{"formattedCitation":"[9]","plainTextFormattedCitation":"[9]","previouslyFormattedCitation":"[9]"},"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810C9F">
              <w:rPr>
                <w:rFonts w:ascii="Arial" w:eastAsia="Times New Roman" w:hAnsi="Arial" w:cs="Arial"/>
                <w:b w:val="0"/>
                <w:noProof/>
                <w:color w:val="000000"/>
                <w:sz w:val="18"/>
                <w:szCs w:val="18"/>
                <w:lang w:eastAsia="en-GB"/>
              </w:rPr>
              <w:t>[9]</w:t>
            </w:r>
            <w:r>
              <w:rPr>
                <w:rFonts w:ascii="Arial" w:eastAsia="Times New Roman" w:hAnsi="Arial" w:cs="Arial"/>
                <w:color w:val="000000"/>
                <w:sz w:val="18"/>
                <w:szCs w:val="18"/>
                <w:lang w:eastAsia="en-GB"/>
              </w:rPr>
              <w:fldChar w:fldCharType="end"/>
            </w:r>
            <w:r w:rsidRPr="00C14897">
              <w:rPr>
                <w:rFonts w:ascii="Arial" w:eastAsia="Times New Roman" w:hAnsi="Arial" w:cs="Arial"/>
                <w:color w:val="000000"/>
                <w:sz w:val="18"/>
                <w:szCs w:val="18"/>
                <w:lang w:eastAsia="en-GB"/>
              </w:rPr>
              <w:t xml:space="preserve"> </w:t>
            </w:r>
          </w:p>
        </w:tc>
        <w:tc>
          <w:tcPr>
            <w:tcW w:w="690" w:type="pct"/>
          </w:tcPr>
          <w:p w14:paraId="1F52D488" w14:textId="152663D2"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 xml:space="preserve">Therapeutic: 55 </w:t>
            </w:r>
          </w:p>
          <w:p w14:paraId="47B03A73" w14:textId="7CD03EDC"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 xml:space="preserve">Prophylactic: 58 </w:t>
            </w:r>
          </w:p>
        </w:tc>
        <w:tc>
          <w:tcPr>
            <w:tcW w:w="460" w:type="pct"/>
          </w:tcPr>
          <w:p w14:paraId="06C6892D" w14:textId="2A2BDF6D"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 xml:space="preserve">4 (20) </w:t>
            </w:r>
          </w:p>
        </w:tc>
        <w:tc>
          <w:tcPr>
            <w:tcW w:w="691" w:type="pct"/>
          </w:tcPr>
          <w:p w14:paraId="17B49DBE" w14:textId="1AC1CDD2"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 xml:space="preserve">Therapeutic: 33 </w:t>
            </w:r>
          </w:p>
          <w:p w14:paraId="0133F335" w14:textId="0208E666"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Prophylactic dose: 34</w:t>
            </w:r>
          </w:p>
        </w:tc>
        <w:tc>
          <w:tcPr>
            <w:tcW w:w="368" w:type="pct"/>
          </w:tcPr>
          <w:p w14:paraId="174E3F57" w14:textId="5000FEF2"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 xml:space="preserve">7 (35) </w:t>
            </w:r>
          </w:p>
        </w:tc>
        <w:tc>
          <w:tcPr>
            <w:tcW w:w="368" w:type="pct"/>
          </w:tcPr>
          <w:p w14:paraId="2FE0A2DB" w14:textId="650A6C91"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 xml:space="preserve">7 (35) </w:t>
            </w:r>
          </w:p>
        </w:tc>
        <w:tc>
          <w:tcPr>
            <w:tcW w:w="599" w:type="pct"/>
          </w:tcPr>
          <w:p w14:paraId="29F75B84" w14:textId="3F74B30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0</w:t>
            </w:r>
            <w:r>
              <w:rPr>
                <w:rFonts w:ascii="Arial" w:hAnsi="Arial" w:cs="Arial"/>
                <w:color w:val="000000"/>
                <w:sz w:val="18"/>
                <w:szCs w:val="18"/>
              </w:rPr>
              <w:t xml:space="preserve"> (0)</w:t>
            </w:r>
          </w:p>
        </w:tc>
        <w:tc>
          <w:tcPr>
            <w:tcW w:w="399" w:type="pct"/>
          </w:tcPr>
          <w:p w14:paraId="117E9380" w14:textId="1934386B"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FF3">
              <w:rPr>
                <w:rFonts w:ascii="Arial" w:hAnsi="Arial" w:cs="Arial"/>
                <w:color w:val="000000"/>
                <w:sz w:val="18"/>
                <w:szCs w:val="18"/>
              </w:rPr>
              <w:t>2 (10)</w:t>
            </w:r>
          </w:p>
        </w:tc>
        <w:tc>
          <w:tcPr>
            <w:tcW w:w="688" w:type="pct"/>
          </w:tcPr>
          <w:p w14:paraId="6207913C" w14:textId="77777777" w:rsidR="00F24D16"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p w14:paraId="6E694276" w14:textId="77777777" w:rsidR="00F24D16"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491B6027" w14:textId="575B8E2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24D16" w:rsidRPr="00884FF3" w14:paraId="76DE4934" w14:textId="77777777" w:rsidTr="00822056">
        <w:tc>
          <w:tcPr>
            <w:cnfStyle w:val="001000000000" w:firstRow="0" w:lastRow="0" w:firstColumn="1" w:lastColumn="0" w:oddVBand="0" w:evenVBand="0" w:oddHBand="0" w:evenHBand="0" w:firstRowFirstColumn="0" w:firstRowLastColumn="0" w:lastRowFirstColumn="0" w:lastRowLastColumn="0"/>
            <w:tcW w:w="736" w:type="pct"/>
          </w:tcPr>
          <w:p w14:paraId="5779E083" w14:textId="77777777" w:rsidR="00F24D16" w:rsidRPr="00C14897" w:rsidRDefault="00F24D16" w:rsidP="00F24D16">
            <w:pPr>
              <w:rPr>
                <w:rFonts w:ascii="Arial" w:eastAsia="Times New Roman" w:hAnsi="Arial" w:cs="Arial"/>
                <w:b w:val="0"/>
                <w:bCs w:val="0"/>
                <w:color w:val="000000"/>
                <w:sz w:val="18"/>
                <w:szCs w:val="18"/>
                <w:lang w:eastAsia="en-GB"/>
              </w:rPr>
            </w:pPr>
            <w:r w:rsidRPr="00C14897">
              <w:rPr>
                <w:rFonts w:ascii="Arial" w:eastAsia="Times New Roman" w:hAnsi="Arial" w:cs="Arial"/>
                <w:color w:val="000000"/>
                <w:sz w:val="18"/>
                <w:szCs w:val="18"/>
                <w:lang w:eastAsia="en-GB"/>
              </w:rPr>
              <w:t>BEMICOP</w:t>
            </w:r>
          </w:p>
          <w:p w14:paraId="142D8C1A" w14:textId="79A6DF66" w:rsidR="00F24D16" w:rsidRPr="00884FF3" w:rsidRDefault="00F24D16" w:rsidP="00F24D1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mendeley":{"formattedCitation":"[10]","plainTextFormattedCitation":"[10]","previouslyFormattedCitation":"[10]"},"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1D558F">
              <w:rPr>
                <w:rFonts w:ascii="Arial" w:eastAsia="Times New Roman" w:hAnsi="Arial" w:cs="Arial"/>
                <w:b w:val="0"/>
                <w:noProof/>
                <w:color w:val="000000"/>
                <w:sz w:val="18"/>
                <w:szCs w:val="18"/>
                <w:lang w:eastAsia="en-GB"/>
              </w:rPr>
              <w:t>[10]</w:t>
            </w:r>
            <w:r>
              <w:rPr>
                <w:rFonts w:ascii="Arial" w:eastAsia="Times New Roman" w:hAnsi="Arial" w:cs="Arial"/>
                <w:color w:val="000000"/>
                <w:sz w:val="18"/>
                <w:szCs w:val="18"/>
                <w:lang w:eastAsia="en-GB"/>
              </w:rPr>
              <w:fldChar w:fldCharType="end"/>
            </w:r>
          </w:p>
        </w:tc>
        <w:tc>
          <w:tcPr>
            <w:tcW w:w="690" w:type="pct"/>
          </w:tcPr>
          <w:p w14:paraId="09DF350D" w14:textId="57FE9E1B" w:rsidR="00F24D16" w:rsidRPr="00884FF3"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Therapeutic:</w:t>
            </w:r>
            <w:r>
              <w:rPr>
                <w:rFonts w:ascii="Arial" w:hAnsi="Arial" w:cs="Arial"/>
                <w:color w:val="000000"/>
                <w:sz w:val="18"/>
                <w:szCs w:val="18"/>
              </w:rPr>
              <w:t xml:space="preserve"> </w:t>
            </w:r>
            <w:r w:rsidRPr="00884FF3">
              <w:rPr>
                <w:rFonts w:ascii="Arial" w:hAnsi="Arial" w:cs="Arial"/>
                <w:color w:val="000000"/>
                <w:sz w:val="18"/>
                <w:szCs w:val="18"/>
              </w:rPr>
              <w:t>32</w:t>
            </w:r>
          </w:p>
          <w:p w14:paraId="326481CF" w14:textId="67BC45FE" w:rsidR="00F24D16" w:rsidRPr="00884FF3"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Prophylactic:</w:t>
            </w:r>
            <w:r>
              <w:rPr>
                <w:rFonts w:ascii="Arial" w:hAnsi="Arial" w:cs="Arial"/>
                <w:color w:val="000000"/>
                <w:sz w:val="18"/>
                <w:szCs w:val="18"/>
              </w:rPr>
              <w:t xml:space="preserve"> </w:t>
            </w:r>
            <w:r w:rsidRPr="00884FF3">
              <w:rPr>
                <w:rFonts w:ascii="Arial" w:hAnsi="Arial" w:cs="Arial"/>
                <w:color w:val="000000"/>
                <w:sz w:val="18"/>
                <w:szCs w:val="18"/>
              </w:rPr>
              <w:t>33</w:t>
            </w:r>
          </w:p>
        </w:tc>
        <w:tc>
          <w:tcPr>
            <w:tcW w:w="460" w:type="pct"/>
          </w:tcPr>
          <w:p w14:paraId="54D4BD29" w14:textId="140107B4"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24 (37)</w:t>
            </w:r>
          </w:p>
        </w:tc>
        <w:tc>
          <w:tcPr>
            <w:tcW w:w="691" w:type="pct"/>
          </w:tcPr>
          <w:p w14:paraId="0069BB5E" w14:textId="3C2B3BC0" w:rsidR="00F24D16" w:rsidRPr="00884FF3"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26</w:t>
            </w:r>
          </w:p>
        </w:tc>
        <w:tc>
          <w:tcPr>
            <w:tcW w:w="368" w:type="pct"/>
          </w:tcPr>
          <w:p w14:paraId="7345C715" w14:textId="0E101AB1"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22 (34)</w:t>
            </w:r>
          </w:p>
        </w:tc>
        <w:tc>
          <w:tcPr>
            <w:tcW w:w="368" w:type="pct"/>
          </w:tcPr>
          <w:p w14:paraId="56F36AD6" w14:textId="1ADCB30C"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5 (8)</w:t>
            </w:r>
          </w:p>
        </w:tc>
        <w:tc>
          <w:tcPr>
            <w:tcW w:w="599" w:type="pct"/>
          </w:tcPr>
          <w:p w14:paraId="535685DB" w14:textId="1FCD966C"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11 (17)</w:t>
            </w:r>
          </w:p>
        </w:tc>
        <w:tc>
          <w:tcPr>
            <w:tcW w:w="399" w:type="pct"/>
          </w:tcPr>
          <w:p w14:paraId="395A14E6" w14:textId="2D107684"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4 (6)</w:t>
            </w:r>
          </w:p>
        </w:tc>
        <w:tc>
          <w:tcPr>
            <w:tcW w:w="688" w:type="pct"/>
          </w:tcPr>
          <w:p w14:paraId="23CAF48A"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26 (40)</w:t>
            </w:r>
          </w:p>
          <w:p w14:paraId="6702A506" w14:textId="77777777" w:rsidR="00F24D16"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FE09C70" w14:textId="3C1404A3" w:rsidR="00F24D16" w:rsidRPr="00884FF3" w:rsidRDefault="00F24D16" w:rsidP="00F24D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F24D16" w:rsidRPr="00884FF3" w14:paraId="31E2CC8B" w14:textId="77777777" w:rsidTr="0082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41D38D28" w14:textId="425601C5" w:rsidR="00F24D16" w:rsidRPr="00884FF3" w:rsidRDefault="00F24D16" w:rsidP="00F24D16">
            <w:pPr>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Oliynyk et al.(28 days)</w:t>
            </w:r>
            <w:r>
              <w:rPr>
                <w:rFonts w:ascii="Arial" w:eastAsia="Times New Roman" w:hAnsi="Arial" w:cs="Arial"/>
                <w:color w:val="000000"/>
                <w:sz w:val="18"/>
                <w:szCs w:val="18"/>
                <w:lang w:eastAsia="en-GB"/>
              </w:rPr>
              <w:fldChar w:fldCharType="begin" w:fldLock="1"/>
            </w:r>
            <w:r w:rsidR="00C01E72">
              <w:rPr>
                <w:rFonts w:ascii="Arial" w:eastAsia="Times New Roman" w:hAnsi="Arial" w:cs="Arial"/>
                <w:color w:val="000000"/>
                <w:sz w:val="18"/>
                <w:szCs w:val="18"/>
                <w:lang w:eastAsia="en-GB"/>
              </w:rPr>
              <w:instrText>ADDIN CSL_CITATION {"citationItems":[{"id":"ITEM-1","itemData":{"DOI":"10.3390/life11101032","ISSN":"20751729","abstract":"Background: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-1","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[11]","plainTextFormattedCitation":"[11]","previouslyFormattedCitation":"[11]"},"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60A17">
              <w:rPr>
                <w:rFonts w:ascii="Arial" w:eastAsia="Times New Roman" w:hAnsi="Arial" w:cs="Arial"/>
                <w:b w:val="0"/>
                <w:noProof/>
                <w:color w:val="000000"/>
                <w:sz w:val="18"/>
                <w:szCs w:val="18"/>
                <w:lang w:eastAsia="en-GB"/>
              </w:rPr>
              <w:t>[11]</w:t>
            </w:r>
            <w:r>
              <w:rPr>
                <w:rFonts w:ascii="Arial" w:eastAsia="Times New Roman" w:hAnsi="Arial" w:cs="Arial"/>
                <w:color w:val="000000"/>
                <w:sz w:val="18"/>
                <w:szCs w:val="18"/>
                <w:lang w:eastAsia="en-GB"/>
              </w:rPr>
              <w:fldChar w:fldCharType="end"/>
            </w:r>
          </w:p>
        </w:tc>
        <w:tc>
          <w:tcPr>
            <w:tcW w:w="690" w:type="pct"/>
          </w:tcPr>
          <w:p w14:paraId="29837AC0" w14:textId="01040816"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Therapeutic LMWH</w:t>
            </w:r>
            <w:r w:rsidRPr="00884FF3">
              <w:rPr>
                <w:rFonts w:ascii="Arial" w:hAnsi="Arial" w:cs="Arial"/>
                <w:color w:val="000000"/>
                <w:sz w:val="18"/>
                <w:szCs w:val="18"/>
              </w:rPr>
              <w:t>: 70</w:t>
            </w:r>
          </w:p>
          <w:p w14:paraId="7A48DE03" w14:textId="783DB20A"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 xml:space="preserve">Prophylactic </w:t>
            </w:r>
            <w:r w:rsidRPr="00884FF3">
              <w:rPr>
                <w:rFonts w:ascii="Arial" w:hAnsi="Arial" w:cs="Arial"/>
                <w:color w:val="000000"/>
                <w:sz w:val="18"/>
                <w:szCs w:val="18"/>
              </w:rPr>
              <w:t>LMWH: 71</w:t>
            </w:r>
          </w:p>
          <w:p w14:paraId="6BDB162A" w14:textId="63CD8FDF"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 xml:space="preserve">Therapeutic </w:t>
            </w:r>
            <w:r w:rsidRPr="00884FF3">
              <w:rPr>
                <w:rFonts w:ascii="Arial" w:hAnsi="Arial" w:cs="Arial"/>
                <w:color w:val="000000"/>
                <w:sz w:val="18"/>
                <w:szCs w:val="18"/>
              </w:rPr>
              <w:t>UFH: 71</w:t>
            </w:r>
          </w:p>
        </w:tc>
        <w:tc>
          <w:tcPr>
            <w:tcW w:w="460" w:type="pct"/>
          </w:tcPr>
          <w:p w14:paraId="4EEE32E8" w14:textId="0C314DAA"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50 (40)</w:t>
            </w:r>
          </w:p>
        </w:tc>
        <w:tc>
          <w:tcPr>
            <w:tcW w:w="691" w:type="pct"/>
          </w:tcPr>
          <w:p w14:paraId="2323CC9E" w14:textId="5A7D3345" w:rsidR="00F24D16" w:rsidRPr="00884FF3"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tc>
        <w:tc>
          <w:tcPr>
            <w:tcW w:w="368" w:type="pct"/>
          </w:tcPr>
          <w:p w14:paraId="2F6D972D" w14:textId="1024D279"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tc>
        <w:tc>
          <w:tcPr>
            <w:tcW w:w="368" w:type="pct"/>
          </w:tcPr>
          <w:p w14:paraId="1A4D61A8" w14:textId="6FAB1311"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tc>
        <w:tc>
          <w:tcPr>
            <w:tcW w:w="599" w:type="pct"/>
          </w:tcPr>
          <w:p w14:paraId="25A82860" w14:textId="11076C5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tc>
        <w:tc>
          <w:tcPr>
            <w:tcW w:w="399" w:type="pct"/>
          </w:tcPr>
          <w:p w14:paraId="3F21A326" w14:textId="64D3EE24"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tc>
        <w:tc>
          <w:tcPr>
            <w:tcW w:w="688" w:type="pct"/>
          </w:tcPr>
          <w:p w14:paraId="6BA72502" w14:textId="77777777" w:rsidR="00F24D16"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84FF3">
              <w:rPr>
                <w:rFonts w:ascii="Arial" w:hAnsi="Arial" w:cs="Arial"/>
                <w:color w:val="000000"/>
                <w:sz w:val="18"/>
                <w:szCs w:val="18"/>
              </w:rPr>
              <w:t>NR</w:t>
            </w:r>
          </w:p>
          <w:p w14:paraId="087CAC18" w14:textId="6B81BFC7" w:rsidR="00F24D16" w:rsidRPr="00884FF3" w:rsidRDefault="00F24D16" w:rsidP="00F24D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bl>
    <w:p w14:paraId="719CBFAD" w14:textId="3AB50F77" w:rsidR="00C6201C" w:rsidRDefault="00C62090" w:rsidP="00444F23">
      <w:pPr>
        <w:tabs>
          <w:tab w:val="left" w:pos="2940"/>
        </w:tabs>
        <w:rPr>
          <w:rFonts w:ascii="Arial" w:hAnsi="Arial" w:cs="Arial"/>
          <w:color w:val="000000"/>
          <w:sz w:val="18"/>
          <w:szCs w:val="18"/>
        </w:rPr>
      </w:pPr>
      <w:r w:rsidRPr="00884FF3">
        <w:rPr>
          <w:rFonts w:ascii="Arial" w:hAnsi="Arial" w:cs="Arial"/>
          <w:sz w:val="18"/>
          <w:szCs w:val="18"/>
        </w:rPr>
        <w:t>BMI</w:t>
      </w:r>
      <w:r w:rsidR="00805AC5" w:rsidRPr="00884FF3">
        <w:rPr>
          <w:rFonts w:ascii="Arial" w:hAnsi="Arial" w:cs="Arial"/>
          <w:sz w:val="18"/>
          <w:szCs w:val="18"/>
        </w:rPr>
        <w:t xml:space="preserve"> – body mass index, CLD – chronic lung disease, COPD – chronic obstructive lung disease, DM – diabetes mellitus,</w:t>
      </w:r>
      <w:r w:rsidRPr="00884FF3">
        <w:rPr>
          <w:rFonts w:ascii="Arial" w:hAnsi="Arial" w:cs="Arial"/>
          <w:sz w:val="18"/>
          <w:szCs w:val="18"/>
        </w:rPr>
        <w:t xml:space="preserve"> HPT</w:t>
      </w:r>
      <w:r w:rsidR="00805AC5" w:rsidRPr="00884FF3">
        <w:rPr>
          <w:rFonts w:ascii="Arial" w:hAnsi="Arial" w:cs="Arial"/>
          <w:sz w:val="18"/>
          <w:szCs w:val="18"/>
        </w:rPr>
        <w:t xml:space="preserve"> – hypertension,</w:t>
      </w:r>
      <w:r w:rsidRPr="00884FF3">
        <w:rPr>
          <w:rFonts w:ascii="Arial" w:hAnsi="Arial" w:cs="Arial"/>
          <w:sz w:val="18"/>
          <w:szCs w:val="18"/>
        </w:rPr>
        <w:t xml:space="preserve"> HF</w:t>
      </w:r>
      <w:r w:rsidR="00805AC5" w:rsidRPr="00884FF3">
        <w:rPr>
          <w:rFonts w:ascii="Arial" w:hAnsi="Arial" w:cs="Arial"/>
          <w:sz w:val="18"/>
          <w:szCs w:val="18"/>
        </w:rPr>
        <w:t xml:space="preserve"> – heart failure, </w:t>
      </w:r>
      <w:r w:rsidR="0095488A" w:rsidRPr="00884FF3">
        <w:rPr>
          <w:rFonts w:ascii="Arial" w:hAnsi="Arial" w:cs="Arial"/>
          <w:color w:val="000000"/>
          <w:sz w:val="18"/>
          <w:szCs w:val="18"/>
        </w:rPr>
        <w:t>LMWH</w:t>
      </w:r>
      <w:r w:rsidR="0095488A">
        <w:rPr>
          <w:rFonts w:ascii="Arial" w:hAnsi="Arial" w:cs="Arial"/>
          <w:color w:val="000000"/>
          <w:sz w:val="18"/>
          <w:szCs w:val="18"/>
        </w:rPr>
        <w:t xml:space="preserve"> – low </w:t>
      </w:r>
      <w:r w:rsidR="0095488A" w:rsidRPr="00884FF3">
        <w:rPr>
          <w:rFonts w:ascii="Arial" w:hAnsi="Arial" w:cs="Arial"/>
          <w:color w:val="000000"/>
          <w:sz w:val="18"/>
          <w:szCs w:val="18"/>
        </w:rPr>
        <w:t xml:space="preserve">molecular weight heparin, </w:t>
      </w:r>
      <w:r w:rsidR="00805AC5" w:rsidRPr="00884FF3">
        <w:rPr>
          <w:rFonts w:ascii="Arial" w:hAnsi="Arial" w:cs="Arial"/>
          <w:sz w:val="18"/>
          <w:szCs w:val="18"/>
        </w:rPr>
        <w:t>NR – not reported</w:t>
      </w:r>
      <w:r w:rsidR="00444F23" w:rsidRPr="00884FF3">
        <w:rPr>
          <w:rFonts w:ascii="Arial" w:hAnsi="Arial" w:cs="Arial"/>
          <w:sz w:val="18"/>
          <w:szCs w:val="18"/>
        </w:rPr>
        <w:t xml:space="preserve">, </w:t>
      </w:r>
      <w:r w:rsidR="0095488A">
        <w:rPr>
          <w:rFonts w:ascii="Arial" w:hAnsi="Arial" w:cs="Arial"/>
          <w:color w:val="000000"/>
          <w:sz w:val="18"/>
          <w:szCs w:val="18"/>
        </w:rPr>
        <w:t xml:space="preserve">UFH – unfractionated heparin </w:t>
      </w:r>
      <w:r w:rsidR="00F80969" w:rsidRPr="00884FF3">
        <w:rPr>
          <w:rFonts w:ascii="Arial" w:hAnsi="Arial" w:cs="Arial"/>
          <w:color w:val="000000"/>
          <w:sz w:val="18"/>
          <w:szCs w:val="18"/>
        </w:rPr>
        <w:t xml:space="preserve"> </w:t>
      </w:r>
    </w:p>
    <w:p w14:paraId="6881109B" w14:textId="77777777" w:rsidR="00884FF3" w:rsidRDefault="00884FF3" w:rsidP="00444F23">
      <w:pPr>
        <w:tabs>
          <w:tab w:val="left" w:pos="2940"/>
        </w:tabs>
        <w:rPr>
          <w:rFonts w:ascii="Arial" w:hAnsi="Arial" w:cs="Arial"/>
          <w:color w:val="000000"/>
          <w:sz w:val="18"/>
          <w:szCs w:val="18"/>
        </w:rPr>
      </w:pPr>
    </w:p>
    <w:p w14:paraId="1D3C1E93" w14:textId="77777777" w:rsidR="00884FF3" w:rsidRDefault="00884FF3" w:rsidP="00444F23">
      <w:pPr>
        <w:tabs>
          <w:tab w:val="left" w:pos="2940"/>
        </w:tabs>
        <w:rPr>
          <w:rFonts w:ascii="Arial" w:hAnsi="Arial" w:cs="Arial"/>
          <w:color w:val="000000"/>
          <w:sz w:val="18"/>
          <w:szCs w:val="18"/>
        </w:rPr>
      </w:pPr>
    </w:p>
    <w:p w14:paraId="5AE9398F" w14:textId="77777777" w:rsidR="00884FF3" w:rsidRDefault="00884FF3" w:rsidP="00444F23">
      <w:pPr>
        <w:tabs>
          <w:tab w:val="left" w:pos="2940"/>
        </w:tabs>
        <w:rPr>
          <w:rFonts w:ascii="Arial" w:hAnsi="Arial" w:cs="Arial"/>
          <w:color w:val="000000"/>
          <w:sz w:val="18"/>
          <w:szCs w:val="18"/>
        </w:rPr>
      </w:pPr>
    </w:p>
    <w:p w14:paraId="25C01305" w14:textId="77777777" w:rsidR="00884FF3" w:rsidRDefault="00884FF3" w:rsidP="00444F23">
      <w:pPr>
        <w:tabs>
          <w:tab w:val="left" w:pos="2940"/>
        </w:tabs>
        <w:rPr>
          <w:rFonts w:ascii="Arial" w:hAnsi="Arial" w:cs="Arial"/>
          <w:color w:val="000000"/>
          <w:sz w:val="18"/>
          <w:szCs w:val="18"/>
        </w:rPr>
      </w:pPr>
    </w:p>
    <w:p w14:paraId="10B9D4B1" w14:textId="77777777" w:rsidR="00884FF3" w:rsidRDefault="00884FF3" w:rsidP="00444F23">
      <w:pPr>
        <w:tabs>
          <w:tab w:val="left" w:pos="2940"/>
        </w:tabs>
        <w:rPr>
          <w:rFonts w:ascii="Arial" w:hAnsi="Arial" w:cs="Arial"/>
          <w:color w:val="000000"/>
          <w:sz w:val="18"/>
          <w:szCs w:val="18"/>
        </w:rPr>
      </w:pPr>
    </w:p>
    <w:p w14:paraId="4E7BF0FC" w14:textId="3FD5277A" w:rsidR="000F5245" w:rsidRPr="00636666" w:rsidRDefault="00003FDA" w:rsidP="000F5245">
      <w:pPr>
        <w:tabs>
          <w:tab w:val="left" w:pos="2940"/>
        </w:tabs>
        <w:rPr>
          <w:rFonts w:ascii="Arial" w:hAnsi="Arial" w:cs="Arial"/>
          <w:b/>
          <w:bCs/>
        </w:rPr>
      </w:pPr>
      <w:r w:rsidRPr="00636666">
        <w:rPr>
          <w:rFonts w:ascii="Arial" w:hAnsi="Arial" w:cs="Arial"/>
          <w:b/>
          <w:bCs/>
        </w:rPr>
        <w:lastRenderedPageBreak/>
        <w:t>Supplementary Table S</w:t>
      </w:r>
      <w:r w:rsidR="00394BE8" w:rsidRPr="00636666">
        <w:rPr>
          <w:rFonts w:ascii="Arial" w:hAnsi="Arial" w:cs="Arial"/>
          <w:b/>
          <w:bCs/>
        </w:rPr>
        <w:t>6</w:t>
      </w:r>
      <w:r w:rsidRPr="00636666">
        <w:rPr>
          <w:rFonts w:ascii="Arial" w:hAnsi="Arial" w:cs="Arial"/>
          <w:b/>
          <w:bCs/>
        </w:rPr>
        <w:t>. Included studies</w:t>
      </w:r>
      <w:r w:rsidR="00EB3667">
        <w:rPr>
          <w:rFonts w:ascii="Arial" w:hAnsi="Arial" w:cs="Arial"/>
          <w:b/>
          <w:bCs/>
        </w:rPr>
        <w:t xml:space="preserve">: </w:t>
      </w:r>
      <w:r w:rsidR="005A314C" w:rsidRPr="00636666">
        <w:rPr>
          <w:rFonts w:ascii="Arial" w:hAnsi="Arial" w:cs="Arial"/>
          <w:b/>
          <w:bCs/>
        </w:rPr>
        <w:t xml:space="preserve">baseline </w:t>
      </w:r>
      <w:r w:rsidR="000F6385" w:rsidRPr="00636666">
        <w:rPr>
          <w:rFonts w:ascii="Arial" w:hAnsi="Arial" w:cs="Arial"/>
          <w:b/>
          <w:bCs/>
        </w:rPr>
        <w:t>participant characteristics</w:t>
      </w:r>
      <w:r w:rsidR="00F423B6" w:rsidRPr="00636666">
        <w:rPr>
          <w:rFonts w:ascii="Arial" w:hAnsi="Arial" w:cs="Arial"/>
          <w:b/>
          <w:bCs/>
        </w:rPr>
        <w:t>/disease severity</w:t>
      </w:r>
    </w:p>
    <w:tbl>
      <w:tblPr>
        <w:tblStyle w:val="PlainTable4"/>
        <w:tblpPr w:leftFromText="180" w:rightFromText="180" w:vertAnchor="text" w:tblpY="1"/>
        <w:tblW w:w="5000" w:type="pct"/>
        <w:tblBorders>
          <w:insideH w:val="single" w:sz="4" w:space="0" w:color="auto"/>
        </w:tblBorders>
        <w:tblLayout w:type="fixed"/>
        <w:tblLook w:val="04A0" w:firstRow="1" w:lastRow="0" w:firstColumn="1" w:lastColumn="0" w:noHBand="0" w:noVBand="1"/>
      </w:tblPr>
      <w:tblGrid>
        <w:gridCol w:w="2224"/>
        <w:gridCol w:w="2029"/>
        <w:gridCol w:w="1842"/>
        <w:gridCol w:w="1558"/>
        <w:gridCol w:w="2836"/>
        <w:gridCol w:w="1561"/>
        <w:gridCol w:w="1700"/>
        <w:gridCol w:w="1648"/>
      </w:tblGrid>
      <w:tr w:rsidR="00C57F6B" w:rsidRPr="001C0965" w14:paraId="6E8A21E8" w14:textId="09760F09" w:rsidTr="00C5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53CEB1EF" w14:textId="7C0C4B69" w:rsidR="006443BF" w:rsidRPr="001C0965" w:rsidRDefault="006443BF" w:rsidP="008C7BC4">
            <w:pPr>
              <w:tabs>
                <w:tab w:val="left" w:pos="2940"/>
              </w:tabs>
              <w:rPr>
                <w:rFonts w:ascii="Arial" w:hAnsi="Arial" w:cs="Arial"/>
                <w:sz w:val="18"/>
                <w:szCs w:val="18"/>
              </w:rPr>
            </w:pPr>
            <w:r w:rsidRPr="001C0965">
              <w:rPr>
                <w:rFonts w:ascii="Arial" w:eastAsia="Times New Roman" w:hAnsi="Arial" w:cs="Arial"/>
                <w:color w:val="000000"/>
                <w:sz w:val="18"/>
                <w:szCs w:val="18"/>
                <w:lang w:eastAsia="en-GB"/>
              </w:rPr>
              <w:t>Study (follow up period)</w:t>
            </w:r>
          </w:p>
        </w:tc>
        <w:tc>
          <w:tcPr>
            <w:tcW w:w="659" w:type="pct"/>
          </w:tcPr>
          <w:p w14:paraId="2A070E3C" w14:textId="7FF39844" w:rsidR="006443BF" w:rsidRPr="001C0965" w:rsidRDefault="006443BF" w:rsidP="008C7BC4">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C0965">
              <w:rPr>
                <w:rFonts w:ascii="Arial" w:hAnsi="Arial" w:cs="Arial"/>
                <w:color w:val="000000"/>
                <w:sz w:val="18"/>
                <w:szCs w:val="18"/>
              </w:rPr>
              <w:t>Average number of days from symptom onset to hospitalisation (days)</w:t>
            </w:r>
          </w:p>
        </w:tc>
        <w:tc>
          <w:tcPr>
            <w:tcW w:w="598" w:type="pct"/>
          </w:tcPr>
          <w:p w14:paraId="13DA3A70" w14:textId="222E5EC6" w:rsidR="006443BF" w:rsidRPr="001C0965" w:rsidRDefault="006443BF" w:rsidP="008C7BC4">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C0965">
              <w:rPr>
                <w:rFonts w:ascii="Arial" w:hAnsi="Arial" w:cs="Arial"/>
                <w:color w:val="000000"/>
                <w:sz w:val="18"/>
                <w:szCs w:val="18"/>
              </w:rPr>
              <w:t xml:space="preserve">Average number of days from symptom onset to enrolment (days) </w:t>
            </w:r>
          </w:p>
        </w:tc>
        <w:tc>
          <w:tcPr>
            <w:tcW w:w="506" w:type="pct"/>
          </w:tcPr>
          <w:p w14:paraId="294A55ED" w14:textId="44DE5258" w:rsidR="006443BF" w:rsidRPr="001C0965" w:rsidRDefault="006443BF" w:rsidP="008C7BC4">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 xml:space="preserve">Average baseline APACHEII/ SOFA score </w:t>
            </w:r>
          </w:p>
        </w:tc>
        <w:tc>
          <w:tcPr>
            <w:tcW w:w="921" w:type="pct"/>
          </w:tcPr>
          <w:p w14:paraId="3E75BC4F" w14:textId="02DFFC5A" w:rsidR="006443BF" w:rsidRPr="001C0965" w:rsidRDefault="006443BF" w:rsidP="008C7BC4">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Organ support at baseline</w:t>
            </w:r>
          </w:p>
        </w:tc>
        <w:tc>
          <w:tcPr>
            <w:tcW w:w="507" w:type="pct"/>
          </w:tcPr>
          <w:p w14:paraId="16F71E54" w14:textId="00592FBE" w:rsidR="006443BF" w:rsidRPr="001C0965" w:rsidRDefault="009D0805" w:rsidP="00521248">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A</w:t>
            </w:r>
            <w:r w:rsidR="006443BF" w:rsidRPr="001C0965">
              <w:rPr>
                <w:rFonts w:ascii="Arial" w:hAnsi="Arial" w:cs="Arial"/>
                <w:color w:val="000000"/>
                <w:sz w:val="18"/>
                <w:szCs w:val="18"/>
              </w:rPr>
              <w:t>ntiviral</w:t>
            </w:r>
            <w:r w:rsidR="003C08C8">
              <w:rPr>
                <w:rFonts w:ascii="Arial" w:hAnsi="Arial" w:cs="Arial"/>
                <w:color w:val="000000"/>
                <w:sz w:val="18"/>
                <w:szCs w:val="18"/>
              </w:rPr>
              <w:t xml:space="preserve"> use</w:t>
            </w:r>
            <w:r w:rsidR="006443BF" w:rsidRPr="001C0965">
              <w:rPr>
                <w:rFonts w:ascii="Arial" w:hAnsi="Arial" w:cs="Arial"/>
                <w:color w:val="000000"/>
                <w:sz w:val="18"/>
                <w:szCs w:val="18"/>
              </w:rPr>
              <w:t xml:space="preserve"> at baseline,</w:t>
            </w:r>
            <w:r w:rsidR="00521248">
              <w:rPr>
                <w:rFonts w:ascii="Arial" w:hAnsi="Arial" w:cs="Arial"/>
                <w:color w:val="000000"/>
                <w:sz w:val="18"/>
                <w:szCs w:val="18"/>
              </w:rPr>
              <w:t xml:space="preserve"> </w:t>
            </w:r>
            <w:r w:rsidR="006443BF" w:rsidRPr="001C0965">
              <w:rPr>
                <w:rFonts w:ascii="Arial" w:hAnsi="Arial" w:cs="Arial"/>
                <w:color w:val="000000"/>
                <w:sz w:val="18"/>
                <w:szCs w:val="18"/>
              </w:rPr>
              <w:t xml:space="preserve">n (%) </w:t>
            </w:r>
          </w:p>
        </w:tc>
        <w:tc>
          <w:tcPr>
            <w:tcW w:w="552" w:type="pct"/>
          </w:tcPr>
          <w:p w14:paraId="59169C6D" w14:textId="372E8F46" w:rsidR="006443BF" w:rsidRPr="001C0965" w:rsidRDefault="009D0805" w:rsidP="008C7BC4">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A</w:t>
            </w:r>
            <w:r w:rsidR="006443BF" w:rsidRPr="001C0965">
              <w:rPr>
                <w:rFonts w:ascii="Arial" w:hAnsi="Arial" w:cs="Arial"/>
                <w:color w:val="000000"/>
                <w:sz w:val="18"/>
                <w:szCs w:val="18"/>
              </w:rPr>
              <w:t xml:space="preserve">ntiplatelet </w:t>
            </w:r>
            <w:r w:rsidR="003C08C8">
              <w:rPr>
                <w:rFonts w:ascii="Arial" w:hAnsi="Arial" w:cs="Arial"/>
                <w:color w:val="000000"/>
                <w:sz w:val="18"/>
                <w:szCs w:val="18"/>
              </w:rPr>
              <w:t xml:space="preserve">use </w:t>
            </w:r>
            <w:r w:rsidR="006443BF" w:rsidRPr="001C0965">
              <w:rPr>
                <w:rFonts w:ascii="Arial" w:hAnsi="Arial" w:cs="Arial"/>
                <w:color w:val="000000"/>
                <w:sz w:val="18"/>
                <w:szCs w:val="18"/>
              </w:rPr>
              <w:t>at baseline, n (%)</w:t>
            </w:r>
          </w:p>
        </w:tc>
        <w:tc>
          <w:tcPr>
            <w:tcW w:w="535" w:type="pct"/>
          </w:tcPr>
          <w:p w14:paraId="6D91593B" w14:textId="5F446A7C" w:rsidR="006443BF" w:rsidRPr="001C0965" w:rsidRDefault="003C08C8" w:rsidP="003C08C8">
            <w:pPr>
              <w:tabs>
                <w:tab w:val="left" w:pos="2940"/>
              </w:tabs>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Corticosteroid use</w:t>
            </w:r>
            <w:r w:rsidR="006443BF" w:rsidRPr="001C0965">
              <w:rPr>
                <w:rFonts w:ascii="Arial" w:hAnsi="Arial" w:cs="Arial"/>
                <w:color w:val="000000"/>
                <w:sz w:val="18"/>
                <w:szCs w:val="18"/>
              </w:rPr>
              <w:t xml:space="preserve"> at baseline, n (%)</w:t>
            </w:r>
          </w:p>
        </w:tc>
      </w:tr>
      <w:tr w:rsidR="00F24D16" w:rsidRPr="001C0965" w14:paraId="517F7527" w14:textId="1080CD10"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04CBA708" w14:textId="158F6E32" w:rsidR="00F24D16" w:rsidRPr="001C0965"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INSPIRATION (30 days)</w:t>
            </w:r>
            <w:r>
              <w:rPr>
                <w:rFonts w:ascii="Arial" w:eastAsia="Times New Roman" w:hAnsi="Arial" w:cs="Arial"/>
                <w:color w:val="000000"/>
                <w:sz w:val="18"/>
                <w:szCs w:val="18"/>
                <w:lang w:eastAsia="en-GB"/>
              </w:rPr>
              <w:fldChar w:fldCharType="begin" w:fldLock="1"/>
            </w:r>
            <w:r w:rsidR="002630A3">
              <w:rPr>
                <w:rFonts w:ascii="Arial" w:eastAsia="Times New Roman" w:hAnsi="Arial" w:cs="Arial"/>
                <w:color w:val="000000"/>
                <w:sz w:val="18"/>
                <w:szCs w:val="18"/>
                <w:lang w:eastAsia="en-GB"/>
              </w:rPr>
              <w:instrText>ADDIN CSL_CITATION {"citationItems":[{"id":"ITEM-1","itemData":{"DOI":"10.1001/jama.2021.4152","ISSN":"1538-3598 (Electronic)","PMID":"33734299","abstract":"Importance: Thrombotic events are commonly reported in critically ill patients with COVID-19. Limited data exist to guide the intensity of antithrombotic prophylaxis. Objective: To evaluate the effects of intermediate-dose vs standard-dose prophylactic anticoagulation among patients with COVID-19 admitted to the intensive care unit (ICU). Design, Setting, and Participants: Multicenter randomized trial with a 2 × 2 factorial design performed in 10 academic centers in Iran comparing intermediate-dose vs standard-dose prophylactic anticoagulation (first hypothesis) and statin therapy vs matching placebo (second hypothesis; not reported in this article) among adult patients admitted to the ICU with COVID-19. Patients were recruited between July 29, 2020, and November 19, 2020. The final follow-up date for the 30-day primary outcome was December 19, 2020. Interventions: Intermediate-dose (enoxaparin, 1 mg/kg daily) (n = 276) vs standard prophylactic anticoagulation (enoxaparin, 40 mg daily) (n = 286), with modification according to body weight and creatinine clearance. The assigned treatments were planned to be continued until completion of 30-day follow-up. Main Outcomes and Measures: The primary efficacy outcome was a composite of venous or arterial thrombosis, treatment with extracorporeal membrane oxygenation, or mortality within 30 days, assessed in randomized patients who met the eligibility criteria and received at least 1 dose of the assigned treatment. Prespecified safety outcomes included major bleeding according to the Bleeding Academic Research Consortium (type 3 or 5 definition), powered for noninferiority (a noninferiority margin of 1.8 based on odds ratio), and severe thrombocytopenia (platelet count &lt;20 ×103/µL). All outcomes were blindly adjudicated. Results: Among 600 randomized patients, 562 (93.7%) were included in the primary analysis (median [interquartile range] age, 62 [50-71] years; 237 [42.2%] women). The primary efficacy outcome occurred in 126 patients (45.7%) in the intermediate-dose group and 126 patients (44.1%) in the standard-dose prophylaxis group (absolute risk difference, 1.5% [95% CI,-6.6% to 9.8%]; odds ratio, 1.06 [95% CI, 0.76-1.48]; P =.70). Major bleeding occurred in 7 patients (2.5%) in the intermediate-dose group and 4 patients (1.4%) in the standard-dose prophylaxis group (risk difference, 1.1% [1-sided 97.5% CI,-∞ to 3.4%]; odds ratio, 1.83 [1-sided 97.5% CI, 0.00-5.93]), not meeting the noninferiority criteria (…","author":[{"dropping-particle":"","family":"Sadeghipour","given":"Parham","non-dropping-particle":"","parse-names":false,"suffix":""},{"dropping-particle":"","family":"Talasaz","given":"Azita H.","non-dropping-particle":"","parse-names":false,"suffix":""},{"dropping-particle":"","family":"Rashidi","given":"Farid","non-dropping-particle":"","parse-names":false,"suffix":""},{"dropping-particle":"","family":"Sharif-Kashani","given":"Babak","non-dropping-particle":"","parse-names":false,"suffix":""},{"dropping-particle":"","family":"Beigmohammadi","given":"Mohammad Taghi","non-dropping-particle":"","parse-names":false,"suffix":""},{"dropping-particle":"","family":"Farrokhpour","given":"Mohsen","non-dropping-particle":"","parse-names":false,"suffix":""},{"dropping-particle":"","family":"Sezavar","given":"Seyed Hashem","non-dropping-particle":"","parse-names":false,"suffix":""},{"dropping-particle":"","family":"Payandemehr","given":"Pooya","non-dropping-particle":"","parse-names":false,"suffix":""},{"dropping-particle":"","family":"Dabbagh","given":"Ali","non-dropping-particle":"","parse-names":false,"suffix":""},{"dropping-particle":"","family":"Moghadam","given":"Keivan Gohari","non-dropping-particle":"","parse-names":false,"suffix":""},{"dropping-particle":"","family":"Jamalkhani","given":"Sepehr","non-dropping-particle":"","parse-names":false,"suffix":""},{"dropping-particle":"","family":"Khalili","given":"Hossein","non-dropping-particle":"","parse-names":false,"suffix":""},{"dropping-particle":"","family":"Yadollahzadeh","given":"Mahdi","non-dropping-particle":"","parse-names":false,"suffix":""},{"dropping-particle":"","family":"Riahi","given":"Taghi","non-dropping-particle":"","parse-names":false,"suffix":""},{"dropping-particle":"","family":"Rezaeifar","given":"Parisa","non-dropping-particle":"","parse-names":false,"suffix":""},{"dropping-particle":"","family":"Tahamtan","given":"Ouria","non-dropping-particle":"","parse-names":false,"suffix":""},{"dropping-particle":"","family":"Matin","given":"Samira","non-dropping-particle":"","parse-names":false,"suffix":""},{"dropping-particle":"","family":"Abedini","given":"Atefeh","non-dropping-particle":"","parse-names":false,"suffix":""},{"dropping-particle":"","family":"Lookzadeh","given":"Somayeh","non-dropping-particle":"","parse-names":false,"suffix":""},{"dropping-particle":"","family":"Rahmani","given":"Hamid","non-dropping-particle":"","parse-names":false,"suffix":""},{"dropping-particle":"","family":"Zoghi","given":"Elnaz","non-dropping-particle":"","parse-names":false,"suffix":""},{"dropping-particle":"","family":"Mohammadi","given":"Keyhan","non-dropping-particle":"","parse-names":false,"suffix":""},{"dropping-particle":"","family":"Sadeghipour","given":"Pardis Parham Pardis Parham","non-dropping-particle":"","parse-names":false,"suffix":""},{"dropping-particle":"","family":"Abri","given":"Homa","non-dropping-particle":"","parse-names":false,"suffix":""},{"dropping-particle":"","family":"Tabrizi","given":"Sanaz","non-dropping-particle":"","parse-names":false,"suffix":""},{"dropping-particle":"","family":"Mousavian","given":"Seyed Masoud","non-dropping-particle":"","parse-names":false,"suffix":""},{"dropping-particle":"","family":"Shahmirzaei","given":"Shaghayegh","non-dropping-particle":"","parse-names":false,"suffix":""},{"dropping-particle":"","family":"Bakhshandeh","given":"Hooman","non-dropping-particle":"","parse-names":false,"suffix":""},{"dropping-particle":"","family":"Amin","given":"Ahmad","non-dropping-particle":"","parse-names":false,"suffix":""},{"dropping-particle":"","family":"Rafiee","given":"Farnaz","non-dropping-particle":"","parse-names":false,"suffix":""},{"dropping-particle":"","family":"Baghizadeh","given":"Elahe","non-dropping-particle":"","parse-names":false,"suffix":""},{"dropping-particle":"","family":"Mohebbi","given":"Bahram","non-dropping-particle":"","parse-names":false,"suffix":""},{"dropping-particle":"","family":"Parhizgar","given":"Seyed Ehsan","non-dropping-particle":"","parse-names":false,"suffix":""},{"dropping-particle":"","family":"Aliannejad","given":"Rasoul","non-dropping-particle":"","parse-names":false,"suffix":""},{"dropping-particle":"","family":"Eslami","given":"Vahid","non-dropping-particle":"","parse-names":false,"suffix":""},{"dropping-particle":"","family":"Kashefizadeh","given":"Alireza","non-dropping-particle":"","parse-names":false,"suffix":""},{"dropping-particle":"","family":"Kakavand","given":"Hessam","non-dropping-particle":"","parse-names":false,"suffix":""},{"dropping-particle":"","family":"Hosseini","given":"Seyed Hossein","non-dropping-particle":"","parse-names":false,"suffix":""},{"dropping-particle":"","family":"Shafaghi","given":"Shadi","non-dropping-particle":"","parse-names":false,"suffix":""},{"dropping-particle":"","family":"Ghazi","given":"Samrand Fattah","non-dropping-particle":"","parse-names":false,"suffix":""},{"dropping-particle":"","family":"Najafi","given":"Atabak","non-dropping-particle":"","parse-names":false,"suffix":""},{"dropping-particle":"","family":"Jimenez","given":"David","non-dropping-particle":"","parse-names":false,"suffix":""},{"dropping-particle":"","family":"Gupta","given":"Aakriti","non-dropping-particle":"","parse-names":false,"suffix":""},{"dropping-particle":"V.","family":"Madhavan","given":"Mahesh","non-dropping-particle":"","parse-names":false,"suffix":""},{"dropping-particle":"","family":"Sethi","given":"Sanjum S.","non-dropping-particle":"","parse-names":false,"suffix":""},{"dropping-particle":"","family":"Parikh","given":"Sahil A.","non-dropping-particle":"","parse-names":false,"suffix":""},{"dropping-particle":"","family":"Monreal","given":"Manuel","non-dropping-particle":"","parse-names":false,"suffix":""},{"dropping-particle":"","family":"Hadavand","given":"Naser","non-dropping-particle":"","parse-names":false,"suffix":""},{"dropping-particle":"","family":"Hajighasemi","given":"Alireza","non-dropping-particle":"","parse-names":false,"suffix":""},{"dropping-particle":"","family":"Maleki","given":"Majid","non-dropping-particle":"","parse-names":false,"suffix":""},{"dropping-particle":"","family":"Sadeghian","given":"Saeed","non-dropping-particle":"","parse-names":false,"suffix":""},{"dropping-particle":"","family":"Piazza","given":"Gregory","non-dropping-particle":"","parse-names":false,"suffix":""},{"dropping-particle":"","family":"Kirtane","given":"Ajay J.","non-dropping-particle":"","parse-names":false,"suffix":""},{"dropping-particle":"","family":"Tassell","given":"Benjamin W.","non-dropping-particle":"Van","parse-names":false,"suffix":""},{"dropping-particle":"","family":"Dobesh","given":"Paul P.","non-dropping-particle":"","parse-names":false,"suffix":""},{"dropping-particle":"","family":"Stone","given":"Gregg W.","non-dropping-particle":"","parse-names":false,"suffix":""},{"dropping-particle":"","family":"Lip","given":"Gregory Y.H. H","non-dropping-particle":"","parse-names":false,"suffix":""},{"dropping-particle":"","family":"Krumholz","given":"Harlan M.","non-dropping-particle":"","parse-names":false,"suffix":""},{"dropping-particle":"","family":"Goldhaber","given":"Samuel Z.","non-dropping-particle":"","parse-names":false,"suffix":""},{"dropping-particle":"","family":"Bikdeli","given":"Behnood","non-dropping-particle":"","parse-names":false,"suffix":""}],"container-title":"JAMA - Journal of the American Medical Association","id":"ITEM-1","issue":"16","issued":{"date-parts":[["2021","4"]]},"language":"eng","note":"From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3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2 (Effect of Intermediate-Dose vs Standard-Dose Prophylactic Anticoagulation on Thrombotic Events, Extracorporeal Membrane Oxygenation Treatment, or Mortality among Patients with COVID-19 Admitted to the Intensive Care Unit: The INSPIRATION Randomized Clinic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2021","page":"1620-1630","title":"Effect of Intermediate-Dose vs Standard-Dose Prophylactic Anticoagulation on Thrombotic Events, Extracorporeal Membrane Oxygenation Treatment, or Mortality among Patients with COVID-19 Admitted to the Intensive Care Unit: The INSPIRATION Randomized Clinic","type":"article-journal","volume":"325"},"uris":["http://www.mendeley.com/documents/?uuid=fef9cf67-bdfb-4d87-ab2f-800ebfb6ea26"]}],"mendeley":{"formattedCitation":"[1]","plainTextFormattedCitation":"[1]","previouslyFormattedCitation":"[1]"},"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F4EC7">
              <w:rPr>
                <w:rFonts w:ascii="Arial" w:eastAsia="Times New Roman" w:hAnsi="Arial" w:cs="Arial"/>
                <w:b w:val="0"/>
                <w:noProof/>
                <w:color w:val="000000"/>
                <w:sz w:val="18"/>
                <w:szCs w:val="18"/>
                <w:lang w:eastAsia="en-GB"/>
              </w:rPr>
              <w:t>[1]</w:t>
            </w:r>
            <w:r>
              <w:rPr>
                <w:rFonts w:ascii="Arial" w:eastAsia="Times New Roman" w:hAnsi="Arial" w:cs="Arial"/>
                <w:color w:val="000000"/>
                <w:sz w:val="18"/>
                <w:szCs w:val="18"/>
                <w:lang w:eastAsia="en-GB"/>
              </w:rPr>
              <w:fldChar w:fldCharType="end"/>
            </w:r>
          </w:p>
        </w:tc>
        <w:tc>
          <w:tcPr>
            <w:tcW w:w="659" w:type="pct"/>
          </w:tcPr>
          <w:p w14:paraId="19C8E73B" w14:textId="547F42C4"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7</w:t>
            </w:r>
          </w:p>
        </w:tc>
        <w:tc>
          <w:tcPr>
            <w:tcW w:w="598" w:type="pct"/>
          </w:tcPr>
          <w:p w14:paraId="11A11C23" w14:textId="3131427B"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7</w:t>
            </w:r>
          </w:p>
        </w:tc>
        <w:tc>
          <w:tcPr>
            <w:tcW w:w="506" w:type="pct"/>
          </w:tcPr>
          <w:p w14:paraId="5E669C47" w14:textId="688FA6BC"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APACHEII 8</w:t>
            </w:r>
          </w:p>
        </w:tc>
        <w:tc>
          <w:tcPr>
            <w:tcW w:w="921" w:type="pct"/>
          </w:tcPr>
          <w:p w14:paraId="35111697" w14:textId="0D72DE7B"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Vasopressor support within 72 hours of enrolment:127/562</w:t>
            </w:r>
            <w:r w:rsidRPr="001C0965">
              <w:rPr>
                <w:rFonts w:ascii="Arial" w:hAnsi="Arial" w:cs="Arial"/>
                <w:color w:val="000000"/>
                <w:sz w:val="18"/>
                <w:szCs w:val="18"/>
              </w:rPr>
              <w:br/>
              <w:t>Fi02 &gt;50% at the time of randomization: 234/562</w:t>
            </w:r>
          </w:p>
        </w:tc>
        <w:tc>
          <w:tcPr>
            <w:tcW w:w="507" w:type="pct"/>
          </w:tcPr>
          <w:p w14:paraId="3D960761" w14:textId="7F6C406D"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443 (79)</w:t>
            </w:r>
          </w:p>
        </w:tc>
        <w:tc>
          <w:tcPr>
            <w:tcW w:w="552" w:type="pct"/>
          </w:tcPr>
          <w:p w14:paraId="06F966E0" w14:textId="10E66112"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172 (31)</w:t>
            </w:r>
          </w:p>
        </w:tc>
        <w:tc>
          <w:tcPr>
            <w:tcW w:w="535" w:type="pct"/>
          </w:tcPr>
          <w:p w14:paraId="7357601E" w14:textId="52378B13"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524 (93)</w:t>
            </w:r>
          </w:p>
        </w:tc>
      </w:tr>
      <w:tr w:rsidR="00F24D16" w:rsidRPr="001C0965" w14:paraId="3A899829" w14:textId="05D60914" w:rsidTr="00C57F6B">
        <w:tc>
          <w:tcPr>
            <w:cnfStyle w:val="001000000000" w:firstRow="0" w:lastRow="0" w:firstColumn="1" w:lastColumn="0" w:oddVBand="0" w:evenVBand="0" w:oddHBand="0" w:evenHBand="0" w:firstRowFirstColumn="0" w:firstRowLastColumn="0" w:lastRowFirstColumn="0" w:lastRowLastColumn="0"/>
            <w:tcW w:w="722" w:type="pct"/>
          </w:tcPr>
          <w:p w14:paraId="261ABE0E" w14:textId="399E87DE" w:rsidR="00F24D16" w:rsidRPr="001C0965"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(non-critically ill) (21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{"citationItems":[{"id":"ITEM-1","itemData":{"DOI":"10.1056/nejmoa2105911","ISSN":"0028-4793","author":[{"dropping-particle":"","family":"The REMAP-CAP, ACTIV-4a","given":"and ATTACC Investigators*","non-dropping-particle":"","parse-names":false,"suffix":""}],"container-title":"New England Journal of Medicine","id":"ITEM-1","issued":{"date-parts":[["2021"]]},"page":"1-13","title":"Therapeutic Anticoagulation with Heparin in Noncritically Ill Patients with Covid-19","type":"article-journal"},"uris":["http://www.mendeley.com/documents/?uuid=372f90c6-5c58-45e1-9d3b-8244a6a389bb"]}],"mendeley":{"formattedCitation":"[2]","plainTextFormattedCitation":"[2]","previouslyFormattedCitation":"[2]"},"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2075D7">
              <w:rPr>
                <w:rFonts w:ascii="Arial" w:eastAsia="Times New Roman" w:hAnsi="Arial" w:cs="Arial"/>
                <w:b w:val="0"/>
                <w:noProof/>
                <w:color w:val="000000"/>
                <w:sz w:val="18"/>
                <w:szCs w:val="18"/>
                <w:lang w:eastAsia="en-GB"/>
              </w:rPr>
              <w:t>[2]</w:t>
            </w:r>
            <w:r>
              <w:rPr>
                <w:rFonts w:ascii="Arial" w:eastAsia="Times New Roman" w:hAnsi="Arial" w:cs="Arial"/>
                <w:color w:val="000000"/>
                <w:sz w:val="18"/>
                <w:szCs w:val="18"/>
                <w:lang w:eastAsia="en-GB"/>
              </w:rPr>
              <w:fldChar w:fldCharType="end"/>
            </w:r>
          </w:p>
        </w:tc>
        <w:tc>
          <w:tcPr>
            <w:tcW w:w="659" w:type="pct"/>
          </w:tcPr>
          <w:p w14:paraId="7193010A" w14:textId="5955B5B1"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NR</w:t>
            </w:r>
          </w:p>
        </w:tc>
        <w:tc>
          <w:tcPr>
            <w:tcW w:w="598" w:type="pct"/>
          </w:tcPr>
          <w:p w14:paraId="2BF7BC1B" w14:textId="482820FD"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NR</w:t>
            </w:r>
          </w:p>
        </w:tc>
        <w:tc>
          <w:tcPr>
            <w:tcW w:w="506" w:type="pct"/>
          </w:tcPr>
          <w:p w14:paraId="2102DA2A" w14:textId="41EA1B86"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NR</w:t>
            </w:r>
          </w:p>
        </w:tc>
        <w:tc>
          <w:tcPr>
            <w:tcW w:w="921" w:type="pct"/>
          </w:tcPr>
          <w:p w14:paraId="46821B48" w14:textId="60042CBE"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 xml:space="preserve">Any organ support: </w:t>
            </w:r>
            <w:r w:rsidRPr="001C0965">
              <w:rPr>
                <w:rFonts w:ascii="Arial" w:hAnsi="Arial" w:cs="Arial"/>
                <w:color w:val="000000"/>
                <w:sz w:val="18"/>
                <w:szCs w:val="18"/>
              </w:rPr>
              <w:t>1740/2231</w:t>
            </w:r>
            <w:r>
              <w:rPr>
                <w:rFonts w:ascii="Arial" w:hAnsi="Arial" w:cs="Arial"/>
                <w:color w:val="000000"/>
                <w:sz w:val="18"/>
                <w:szCs w:val="18"/>
              </w:rPr>
              <w:t xml:space="preserve"> </w:t>
            </w:r>
          </w:p>
        </w:tc>
        <w:tc>
          <w:tcPr>
            <w:tcW w:w="507" w:type="pct"/>
          </w:tcPr>
          <w:p w14:paraId="6DA2C38E" w14:textId="4A0819C2"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811 (37)</w:t>
            </w:r>
          </w:p>
        </w:tc>
        <w:tc>
          <w:tcPr>
            <w:tcW w:w="552" w:type="pct"/>
          </w:tcPr>
          <w:p w14:paraId="7FF09599" w14:textId="471E9358"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259 (12)</w:t>
            </w:r>
          </w:p>
        </w:tc>
        <w:tc>
          <w:tcPr>
            <w:tcW w:w="535" w:type="pct"/>
          </w:tcPr>
          <w:p w14:paraId="0ACC2585" w14:textId="7E9465C7"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894 (40)</w:t>
            </w:r>
          </w:p>
        </w:tc>
      </w:tr>
      <w:tr w:rsidR="00F24D16" w:rsidRPr="001C0965" w14:paraId="473EECD9" w14:textId="7B90C4B4"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53096A4A" w14:textId="539FB045" w:rsidR="00F24D16" w:rsidRPr="001C0965"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REMAP-CAP, ACTIV-4a and ATTACC</w:t>
            </w:r>
            <w:r w:rsidRPr="00C14897">
              <w:rPr>
                <w:rFonts w:ascii="Arial" w:eastAsia="Times New Roman" w:hAnsi="Arial" w:cs="Arial"/>
                <w:color w:val="000000"/>
                <w:sz w:val="18"/>
                <w:szCs w:val="18"/>
                <w:lang w:eastAsia="en-GB"/>
              </w:rPr>
              <w:br/>
              <w:t>(critically ill) (21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mendeley":{"formattedCitation":"[3]","plainTextFormattedCitation":"[3]","previouslyFormattedCitation":"[3]"},"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425D62">
              <w:rPr>
                <w:rFonts w:ascii="Arial" w:eastAsia="Times New Roman" w:hAnsi="Arial" w:cs="Arial"/>
                <w:b w:val="0"/>
                <w:noProof/>
                <w:color w:val="000000"/>
                <w:sz w:val="18"/>
                <w:szCs w:val="18"/>
                <w:lang w:eastAsia="en-GB"/>
              </w:rPr>
              <w:t>[3]</w:t>
            </w:r>
            <w:r>
              <w:rPr>
                <w:rFonts w:ascii="Arial" w:eastAsia="Times New Roman" w:hAnsi="Arial" w:cs="Arial"/>
                <w:color w:val="000000"/>
                <w:sz w:val="18"/>
                <w:szCs w:val="18"/>
                <w:lang w:eastAsia="en-GB"/>
              </w:rPr>
              <w:fldChar w:fldCharType="end"/>
            </w:r>
          </w:p>
        </w:tc>
        <w:tc>
          <w:tcPr>
            <w:tcW w:w="659" w:type="pct"/>
          </w:tcPr>
          <w:p w14:paraId="7BBA4E1C" w14:textId="37AB2A5A"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NR</w:t>
            </w:r>
          </w:p>
        </w:tc>
        <w:tc>
          <w:tcPr>
            <w:tcW w:w="598" w:type="pct"/>
          </w:tcPr>
          <w:p w14:paraId="6DFF877D" w14:textId="3C848D85"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NR</w:t>
            </w:r>
          </w:p>
        </w:tc>
        <w:tc>
          <w:tcPr>
            <w:tcW w:w="506" w:type="pct"/>
          </w:tcPr>
          <w:p w14:paraId="15238B3D" w14:textId="6E4C341D"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APACHEII 14</w:t>
            </w:r>
          </w:p>
        </w:tc>
        <w:tc>
          <w:tcPr>
            <w:tcW w:w="921" w:type="pct"/>
          </w:tcPr>
          <w:p w14:paraId="4CA19BDF" w14:textId="5D920780"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NR</w:t>
            </w:r>
          </w:p>
        </w:tc>
        <w:tc>
          <w:tcPr>
            <w:tcW w:w="507" w:type="pct"/>
          </w:tcPr>
          <w:p w14:paraId="3C8C0570" w14:textId="1E18D0D4"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346 (32)</w:t>
            </w:r>
          </w:p>
        </w:tc>
        <w:tc>
          <w:tcPr>
            <w:tcW w:w="552" w:type="pct"/>
          </w:tcPr>
          <w:p w14:paraId="432DC9FF" w14:textId="13E00D2D"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75 (7)</w:t>
            </w:r>
          </w:p>
        </w:tc>
        <w:tc>
          <w:tcPr>
            <w:tcW w:w="535" w:type="pct"/>
          </w:tcPr>
          <w:p w14:paraId="2A992FE8" w14:textId="7D92C688" w:rsidR="00F24D16" w:rsidRPr="001C0965"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884 (81)</w:t>
            </w:r>
          </w:p>
        </w:tc>
      </w:tr>
      <w:tr w:rsidR="00F24D16" w:rsidRPr="001C0965" w14:paraId="7A10027B" w14:textId="3AEECCFB" w:rsidTr="00C57F6B">
        <w:tc>
          <w:tcPr>
            <w:cnfStyle w:val="001000000000" w:firstRow="0" w:lastRow="0" w:firstColumn="1" w:lastColumn="0" w:oddVBand="0" w:evenVBand="0" w:oddHBand="0" w:evenHBand="0" w:firstRowFirstColumn="0" w:firstRowLastColumn="0" w:lastRowFirstColumn="0" w:lastRowLastColumn="0"/>
            <w:tcW w:w="722" w:type="pct"/>
          </w:tcPr>
          <w:p w14:paraId="7000D8B2" w14:textId="43D615E1" w:rsidR="00F24D16" w:rsidRPr="001C0965"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RAPID (28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BMJ","id":"ITEM-1","issued":{"date-parts":[["2021"]]},"title":"Effectiveness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mendeley":{"formattedCitation":"[4]","plainTextFormattedCitation":"[4]","previouslyFormattedCitation":"[4]"},"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407D4D">
              <w:rPr>
                <w:rFonts w:ascii="Arial" w:eastAsia="Times New Roman" w:hAnsi="Arial" w:cs="Arial"/>
                <w:b w:val="0"/>
                <w:noProof/>
                <w:color w:val="000000"/>
                <w:sz w:val="18"/>
                <w:szCs w:val="18"/>
                <w:lang w:eastAsia="en-GB"/>
              </w:rPr>
              <w:t>[4]</w:t>
            </w:r>
            <w:r>
              <w:rPr>
                <w:rFonts w:ascii="Arial" w:eastAsia="Times New Roman" w:hAnsi="Arial" w:cs="Arial"/>
                <w:color w:val="000000"/>
                <w:sz w:val="18"/>
                <w:szCs w:val="18"/>
                <w:lang w:eastAsia="en-GB"/>
              </w:rPr>
              <w:fldChar w:fldCharType="end"/>
            </w:r>
          </w:p>
        </w:tc>
        <w:tc>
          <w:tcPr>
            <w:tcW w:w="659" w:type="pct"/>
          </w:tcPr>
          <w:p w14:paraId="0CB9D3F8" w14:textId="33F62988"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Therapeutic: 1.5 Prophylactic: 1.4</w:t>
            </w:r>
          </w:p>
        </w:tc>
        <w:tc>
          <w:tcPr>
            <w:tcW w:w="598" w:type="pct"/>
          </w:tcPr>
          <w:p w14:paraId="7101EC66" w14:textId="27875C97"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1C0965">
              <w:rPr>
                <w:rFonts w:ascii="Arial" w:hAnsi="Arial" w:cs="Arial"/>
                <w:color w:val="000000"/>
                <w:sz w:val="18"/>
                <w:szCs w:val="18"/>
              </w:rPr>
              <w:t>NR</w:t>
            </w:r>
          </w:p>
        </w:tc>
        <w:tc>
          <w:tcPr>
            <w:tcW w:w="506" w:type="pct"/>
          </w:tcPr>
          <w:p w14:paraId="2A730B4B" w14:textId="4DEE5F4B"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NR</w:t>
            </w:r>
          </w:p>
        </w:tc>
        <w:tc>
          <w:tcPr>
            <w:tcW w:w="921" w:type="pct"/>
          </w:tcPr>
          <w:p w14:paraId="5791E434" w14:textId="15467B7E"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NR</w:t>
            </w:r>
          </w:p>
        </w:tc>
        <w:tc>
          <w:tcPr>
            <w:tcW w:w="507" w:type="pct"/>
          </w:tcPr>
          <w:p w14:paraId="0A1EFB0D" w14:textId="2D5988C7"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NR</w:t>
            </w:r>
          </w:p>
        </w:tc>
        <w:tc>
          <w:tcPr>
            <w:tcW w:w="552" w:type="pct"/>
          </w:tcPr>
          <w:p w14:paraId="4E26DC46" w14:textId="7E715712"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53 (11)</w:t>
            </w:r>
          </w:p>
        </w:tc>
        <w:tc>
          <w:tcPr>
            <w:tcW w:w="535" w:type="pct"/>
          </w:tcPr>
          <w:p w14:paraId="487C3BD3" w14:textId="41CB4B3A" w:rsidR="00F24D16" w:rsidRPr="001C0965"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C0965">
              <w:rPr>
                <w:rFonts w:ascii="Arial" w:hAnsi="Arial" w:cs="Arial"/>
                <w:color w:val="000000"/>
                <w:sz w:val="18"/>
                <w:szCs w:val="18"/>
              </w:rPr>
              <w:t>323 (69)</w:t>
            </w:r>
          </w:p>
        </w:tc>
      </w:tr>
      <w:tr w:rsidR="00F24D16" w:rsidRPr="001C0965" w14:paraId="7DB2131D" w14:textId="1843BE4C"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15C29893" w14:textId="622AD26A" w:rsidR="00F24D16" w:rsidRPr="00066E6E"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HEP-COVID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Medicine","id":"ITEM-1","issue":"12","issued":{"date-parts":[["2021"]]},"note":"From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[5]","plainTextFormattedCitation":"[5]","previouslyFormattedCitation":"[5]"},"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D1918">
              <w:rPr>
                <w:rFonts w:ascii="Arial" w:eastAsia="Times New Roman" w:hAnsi="Arial" w:cs="Arial"/>
                <w:b w:val="0"/>
                <w:noProof/>
                <w:color w:val="000000"/>
                <w:sz w:val="18"/>
                <w:szCs w:val="18"/>
                <w:lang w:eastAsia="en-GB"/>
              </w:rPr>
              <w:t>[5]</w:t>
            </w:r>
            <w:r>
              <w:rPr>
                <w:rFonts w:ascii="Arial" w:eastAsia="Times New Roman" w:hAnsi="Arial" w:cs="Arial"/>
                <w:color w:val="000000"/>
                <w:sz w:val="18"/>
                <w:szCs w:val="18"/>
                <w:lang w:eastAsia="en-GB"/>
              </w:rPr>
              <w:fldChar w:fldCharType="end"/>
            </w:r>
          </w:p>
        </w:tc>
        <w:tc>
          <w:tcPr>
            <w:tcW w:w="659" w:type="pct"/>
          </w:tcPr>
          <w:p w14:paraId="3D9B90AA" w14:textId="53DABDAF"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98" w:type="pct"/>
          </w:tcPr>
          <w:p w14:paraId="4BB376E0" w14:textId="09ABCA34"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06" w:type="pct"/>
          </w:tcPr>
          <w:p w14:paraId="6434903D" w14:textId="4D58F7AE"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921" w:type="pct"/>
          </w:tcPr>
          <w:p w14:paraId="21FD452C" w14:textId="465C7CB0"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07" w:type="pct"/>
          </w:tcPr>
          <w:p w14:paraId="296F8C24" w14:textId="41F51832"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178 (70)</w:t>
            </w:r>
          </w:p>
        </w:tc>
        <w:tc>
          <w:tcPr>
            <w:tcW w:w="552" w:type="pct"/>
          </w:tcPr>
          <w:p w14:paraId="2A078357" w14:textId="13C2302D"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64 (25)</w:t>
            </w:r>
          </w:p>
        </w:tc>
        <w:tc>
          <w:tcPr>
            <w:tcW w:w="535" w:type="pct"/>
          </w:tcPr>
          <w:p w14:paraId="5B4315CC" w14:textId="77777777" w:rsidR="00F24D16"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204 (81)</w:t>
            </w:r>
          </w:p>
          <w:p w14:paraId="5417B106" w14:textId="2A6E0F06"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F24D16" w:rsidRPr="001C0965" w14:paraId="5E446F36" w14:textId="123D1554" w:rsidTr="00C57F6B">
        <w:tc>
          <w:tcPr>
            <w:cnfStyle w:val="001000000000" w:firstRow="0" w:lastRow="0" w:firstColumn="1" w:lastColumn="0" w:oddVBand="0" w:evenVBand="0" w:oddHBand="0" w:evenHBand="0" w:firstRowFirstColumn="0" w:firstRowLastColumn="0" w:lastRowFirstColumn="0" w:lastRowLastColumn="0"/>
            <w:tcW w:w="722" w:type="pct"/>
          </w:tcPr>
          <w:p w14:paraId="7FC1BED2" w14:textId="1C179C96" w:rsidR="00F24D16" w:rsidRPr="00066E6E" w:rsidRDefault="00F24D16" w:rsidP="00F24D16">
            <w:pPr>
              <w:tabs>
                <w:tab w:val="left" w:pos="2940"/>
              </w:tabs>
              <w:rPr>
                <w:rFonts w:ascii="Arial" w:hAnsi="Arial" w:cs="Arial"/>
                <w:sz w:val="18"/>
                <w:szCs w:val="18"/>
              </w:rPr>
            </w:pPr>
            <w:r w:rsidRPr="00C14897">
              <w:rPr>
                <w:rFonts w:ascii="Arial" w:eastAsia="Times New Roman" w:hAnsi="Arial" w:cs="Arial"/>
                <w:color w:val="1A1A1A"/>
                <w:sz w:val="18"/>
                <w:szCs w:val="18"/>
                <w:lang w:eastAsia="en-GB"/>
              </w:rPr>
              <w:t>ACTIV-4B (45 days)</w:t>
            </w:r>
            <w:r>
              <w:rPr>
                <w:rFonts w:ascii="Arial" w:eastAsia="Times New Roman" w:hAnsi="Arial" w:cs="Arial"/>
                <w:color w:val="1A1A1A"/>
                <w:sz w:val="18"/>
                <w:szCs w:val="18"/>
                <w:lang w:eastAsia="en-GB"/>
              </w:rPr>
              <w:fldChar w:fldCharType="begin" w:fldLock="1"/>
            </w:r>
            <w:r>
              <w:rPr>
                <w:rFonts w:ascii="Arial" w:eastAsia="Times New Roman" w:hAnsi="Arial" w:cs="Arial"/>
                <w:color w:val="1A1A1A"/>
                <w:sz w:val="18"/>
                <w:szCs w:val="18"/>
                <w:lang w:eastAsia="en-GB"/>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Pr>
                <w:rFonts w:ascii="Arial" w:eastAsia="Times New Roman" w:hAnsi="Arial" w:cs="Arial"/>
                <w:color w:val="1A1A1A"/>
                <w:sz w:val="18"/>
                <w:szCs w:val="18"/>
                <w:lang w:eastAsia="en-GB"/>
              </w:rPr>
              <w:fldChar w:fldCharType="separate"/>
            </w:r>
            <w:r w:rsidRPr="005114A0">
              <w:rPr>
                <w:rFonts w:ascii="Arial" w:eastAsia="Times New Roman" w:hAnsi="Arial" w:cs="Arial"/>
                <w:b w:val="0"/>
                <w:noProof/>
                <w:color w:val="1A1A1A"/>
                <w:sz w:val="18"/>
                <w:szCs w:val="18"/>
                <w:lang w:eastAsia="en-GB"/>
              </w:rPr>
              <w:t>[6]</w:t>
            </w:r>
            <w:r>
              <w:rPr>
                <w:rFonts w:ascii="Arial" w:eastAsia="Times New Roman" w:hAnsi="Arial" w:cs="Arial"/>
                <w:color w:val="1A1A1A"/>
                <w:sz w:val="18"/>
                <w:szCs w:val="18"/>
                <w:lang w:eastAsia="en-GB"/>
              </w:rPr>
              <w:fldChar w:fldCharType="end"/>
            </w:r>
          </w:p>
        </w:tc>
        <w:tc>
          <w:tcPr>
            <w:tcW w:w="659" w:type="pct"/>
          </w:tcPr>
          <w:p w14:paraId="72A8E7DA" w14:textId="14329323"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98" w:type="pct"/>
          </w:tcPr>
          <w:p w14:paraId="6888DA69" w14:textId="734351EB"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06" w:type="pct"/>
          </w:tcPr>
          <w:p w14:paraId="19384421" w14:textId="7CF821B3"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921" w:type="pct"/>
          </w:tcPr>
          <w:p w14:paraId="058B1A5F" w14:textId="47661A65"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Any organ support: 0/493</w:t>
            </w:r>
          </w:p>
        </w:tc>
        <w:tc>
          <w:tcPr>
            <w:tcW w:w="507" w:type="pct"/>
          </w:tcPr>
          <w:p w14:paraId="3F16F347" w14:textId="41B09F09"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52" w:type="pct"/>
          </w:tcPr>
          <w:p w14:paraId="012CD62C" w14:textId="248B098B"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0</w:t>
            </w:r>
          </w:p>
        </w:tc>
        <w:tc>
          <w:tcPr>
            <w:tcW w:w="535" w:type="pct"/>
          </w:tcPr>
          <w:p w14:paraId="02D8639F" w14:textId="77777777" w:rsidR="00F24D16"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p w14:paraId="520152E4" w14:textId="134CC2C3"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F24D16" w:rsidRPr="001C0965" w14:paraId="13C15A6F" w14:textId="67A0AF21"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613B97AF" w14:textId="120BFD5F" w:rsidR="00F24D16" w:rsidRPr="00066E6E"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ACTION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{"citationItems":[{"id":"ITEM-1","itemData":{"DOI":"10.1016/S0140-6736(21)01203-4","ISSN":"1474-547X","PMID":"34097856","abstract":"Background: COVID-19 is associated with a prothrombotic state leading to adverse clinical outcomes. Whether therapeutic anticoagulation improves outcomes in patients hospitalised with COVID-19 is unknown. We aimed to compare the efficacy and safety of therapeutic versus prophylactic anticoagulation in this population. Methods: We did a pragmatic, open-label (with blinded adjudication), multicentre, randomised, controlled trial, at 31 sites in Brazil. Patients (aged ≥18 years) hospitalised with COVID-19 and elevated D-dimer concentration, and who had COVID-19 symptoms for up to 14 days before randomisation, were randomly assigned (1:1) to receive either therapeutic or prophylactic anticoagulation. Therapeutic anticoagulation was in-hospital oral rivaroxaban (20 mg or 15 mg daily) for stable patients, or initial subcutaneous enoxaparin (1 mg/kg twice per day) or intravenous unfractionated heparin (to achieve a 0·3–0·7 IU/mL anti-Xa concentration) for clinically unstable patients, followed by rivaroxaban to day 30. Prophylactic anticoagulation was standard in-hospital enoxaparin or unfractionated heparin. The primary efficacy outcome was a hierarchical analysis of time to death, duration of hospitalisation, or duration of supplemental oxygen to day 30, analysed with the win ratio method (a ratio &gt;1 reflects a better outcome in the therapeutic anticoagulation group) in the intention-to-treat population. The primary safety outcome was major or clinically relevant non-major bleeding through 30 days. This study is registered with ClinicalTrials.gov (NCT04394377) and is completed. Findings: From June 24, 2020, to Feb 26, 2021, 3331 patients were screened and 615 were randomly allocated (311 [50%] to the therapeutic anticoagulation group and 304 [50%] to the prophylactic anticoagulation group). 576 (94%) were clinically stable and 39 (6%) clinically unstable. One patient, in the therapeutic group, was lost to follow-up because of withdrawal of consent and was not included in the primary analysis. The primary efficacy outcome was not different between patients assigned therapeutic or prophylactic anticoagulation, with 28 899 (34·8%) wins in the therapeutic group and 34 288 (41·3%) in the prophylactic group (win ratio 0·86 [95% CI 0·59–1·22], p=0·40). Consistent results were seen in clinically stable and clinically unstable patients. The primary safety outcome of major or clinically relevant non-major bleeding occurred in 26 (8%) patients assigned therapeutic anti…","author":[{"dropping-particle":"","family":"Lopes","given":"Renato D.","non-dropping-particle":"","parse-names":false,"suffix":""},{"dropping-particle":"","family":"Barros E Silva","given":"Pedro Gabriel Melo","non-dropping-particle":"de","parse-names":false,"suffix":""},{"dropping-particle":"","family":"Furtado","given":"Remo H.M. M","non-dropping-particle":"","parse-names":false,"suffix":""},{"dropping-particle":"","family":"Macedo","given":"Ariane Vieira Scarlatelli","non-dropping-particle":"","parse-names":false,"suffix":""},{"dropping-particle":"","family":"Bronhara","given":"Bruna","non-dropping-particle":"","parse-names":false,"suffix":""},{"dropping-particle":"","family":"Damiani","given":"Lucas Petri","non-dropping-particle":"","parse-names":false,"suffix":""},{"dropping-particle":"","family":"Barbosa","given":"Lilian Mazza","non-dropping-particle":"","parse-names":false,"suffix":""},{"dropping-particle":"","family":"Aveiro Morata","given":"Júlia","non-dropping-particle":"de","parse-names":false,"suffix":""},{"dropping-particle":"","family":"Ramacciotti","given":"Eduardo","non-dropping-particle":"","parse-names":false,"suffix":""},{"dropping-particle":"","family":"Aquino Martins","given":"Priscilla","non-dropping-particle":"de","parse-names":false,"suffix":""},{"dropping-particle":"","family":"Oliveira","given":"Aryadne Lyrio","non-dropping-particle":"de","parse-names":false,"suffix":""},{"dropping-particle":"","family":"Nunes","given":"Vinicius Santana","non-dropping-particle":"","parse-names":false,"suffix":""},{"dropping-particle":"","family":"Ritt","given":"Luiz Eduardo Fonteles","non-dropping-particle":"","parse-names":false,"suffix":""},{"dropping-particle":"","family":"Rocha","given":"Ana Thereza","non-dropping-particle":"","parse-names":false,"suffix":""},{"dropping-particle":"","family":"Tramujas","given":"Lucas","non-dropping-particle":"","parse-names":false,"suffix":""},{"dropping-particle":"V.","family":"Santos","given":"Sueli","non-dropping-particle":"","parse-names":false,"suffix":""},{"dropping-particle":"","family":"Diaz","given":"Dario Rafael Abregu","non-dropping-particle":"","parse-names":false,"suffix":""},{"dropping-particle":"","family":"Viana","given":"Lorena Souza","non-dropping-particle":"","parse-names":false,"suffix":""},{"dropping-particle":"","family":"Melro","given":"Lívia Maria Garcia","non-dropping-particle":"","parse-names":false,"suffix":""},{"dropping-particle":"","family":"Alcântara Chaud","given":"Mariana Silveira","non-dropping-particle":"de","parse-names":false,"suffix":""},{"dropping-particle":"","family":"Figueiredo","given":"Estêvão Lanna","non-dropping-particle":"","parse-names":false,"suffix":""},{"dropping-particle":"","family":"Neuenschwander","given":"Fernando Carvalho","non-dropping-particle":"","parse-names":false,"suffix":""},{"dropping-particle":"","family":"Dracoulakis","given":"Marianna Deway Andrade","non-dropping-particle":"","parse-names":false,"suffix":""},{"dropping-particle":"","family":"Lima","given":"Rodolfo Godinho Souza Dourado R.G.S.D.","non-dropping-particle":"","parse-names":false,"suffix":""},{"dropping-particle":"","family":"Souza Dantas","given":"Vicente Cés","non-dropping-particle":"de","parse-names":false,"suffix":""},{"dropping-particle":"","family":"Fernandes","given":"Anne Cristine Silva","non-dropping-particle":"","parse-names":false,"suffix":""},{"dropping-particle":"","family":"Gebara","given":"Otávio Celso Eluf","non-dropping-particle":"","parse-names":false,"suffix":""},{"dropping-particle":"","family":"Hernandes","given":"Mauro Esteves","non-dropping-particle":"","parse-names":false,"suffix":""},{"dropping-particle":"","family":"Queiroz","given":"Diego Aparecido Rios","non-dropping-particle":"","parse-names":false,"suffix":""},{"dropping-particle":"","family":"Veiga","given":"Viviane C.","non-dropping-particle":"","parse-names":false,"suffix":""},{"dropping-particle":"","family":"Canesin","given":"Manoel Fernandes","non-dropping-particle":"","parse-names":false,"suffix":""},{"dropping-particle":"","family":"Faria","given":"Leonardo Meira","non-dropping-particle":"de","parse-names":false,"suffix":""},{"dropping-particle":"","family":"Feitosa-Filho","given":"Gilson Soares","non-dropping-particle":"","parse-names":false,"suffix":""},{"dropping-particle":"","family":"Gazzana","given":"Marcelo Basso","non-dropping-particle":"","parse-names":false,"suffix":""},{"dropping-particle":"","family":"Liporace","given":"Idelzuíta Leandro","non-dropping-particle":"","parse-names":false,"suffix":""},{"dropping-particle":"","family":"Oliveira Twardowsky","given":"Aline","non-dropping-particle":"de","parse-names":false,"suffix":""},{"dropping-particle":"","family":"Maia","given":"Lilia Nigro","non-dropping-particle":"","parse-names":false,"suffix":""},{"dropping-particle":"","family":"Machado","given":"Flávia Ribeiro","non-dropping-particle":"","parse-names":false,"suffix":""},{"dropping-particle":"","family":"Matos Soeiro","given":"Alexandre","non-dropping-particle":"de","parse-names":false,"suffix":""},{"dropping-particle":"","family":"Conceição-Souza","given":"Germano Emílio","non-dropping-particle":"","parse-names":false,"suffix":""},{"dropping-particle":"","family":"Armaganijan","given":"Luciana","non-dropping-particle":"","parse-names":false,"suffix":""},{"dropping-particle":"","family":"Guimarães","given":"Patrícia O.","non-dropping-particle":"","parse-names":false,"suffix":""},{"dropping-particle":"","family":"Rosa","given":"Regis G.","non-dropping-particle":"","parse-names":false,"suffix":""},{"dropping-particle":"","family":"Azevedo","given":"Luciano C.P. P","non-dropping-particle":"","parse-names":false,"suffix":""},{"dropping-particle":"","family":"Alexander","given":"John H.","non-dropping-particle":"","parse-names":false,"suffix":""},{"dropping-particle":"","family":"Avezum","given":"Alvaro","non-dropping-particle":"","parse-names":false,"suffix":""},{"dropping-particle":"","family":"Cavalcanti","given":"Alexandre B.","non-dropping-particle":"","parse-names":false,"suffix":""},{"dropping-particle":"","family":"Berwanger","given":"Otavio","non-dropping-particle":"","parse-names":false,"suffix":""}],"container-title":"The Lancet","id":"ITEM-1","issue":"10291","issued":{"date-parts":[["2021"]]},"language":"en","note":"From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2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2021","page":"2253-2263","publisher-place":"Lopes RD; Duke Clinical Research Institute, Duke University Medical Center, Durham, NC, USA; Brazilian Clinical Research Institute, São Paulo, Brazil. Electronic address: USArenato.lopes@duke.edu.","title":"Therapeutic versus prophylactic anticoagulation for patients admitted to hospital with COVID-19 and elevated D-dimer concentration (ACTION): an open-label, multicentre, randomised, controlled trial","type":"article-journal","volume":"397"},"uris":["http://www.mendeley.com/documents/?uuid=faf91367-5dbe-4654-aba7-ea7d6468829d"]}],"mendeley":{"formattedCitation":"[7]","plainTextFormattedCitation":"[7]","previouslyFormattedCitation":"[7]"},"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ED6CA0">
              <w:rPr>
                <w:rFonts w:ascii="Arial" w:eastAsia="Times New Roman" w:hAnsi="Arial" w:cs="Arial"/>
                <w:b w:val="0"/>
                <w:noProof/>
                <w:color w:val="000000"/>
                <w:sz w:val="18"/>
                <w:szCs w:val="18"/>
                <w:lang w:eastAsia="en-GB"/>
              </w:rPr>
              <w:t>[7]</w:t>
            </w:r>
            <w:r>
              <w:rPr>
                <w:rFonts w:ascii="Arial" w:eastAsia="Times New Roman" w:hAnsi="Arial" w:cs="Arial"/>
                <w:color w:val="000000"/>
                <w:sz w:val="18"/>
                <w:szCs w:val="18"/>
                <w:lang w:eastAsia="en-GB"/>
              </w:rPr>
              <w:fldChar w:fldCharType="end"/>
            </w:r>
          </w:p>
        </w:tc>
        <w:tc>
          <w:tcPr>
            <w:tcW w:w="659" w:type="pct"/>
          </w:tcPr>
          <w:p w14:paraId="296A6BD2" w14:textId="03D4E9CE"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1A1A1A"/>
                <w:sz w:val="18"/>
                <w:szCs w:val="18"/>
              </w:rPr>
            </w:pPr>
            <w:r w:rsidRPr="00066E6E">
              <w:rPr>
                <w:rFonts w:ascii="Arial" w:hAnsi="Arial" w:cs="Arial"/>
                <w:color w:val="000000"/>
                <w:sz w:val="18"/>
                <w:szCs w:val="18"/>
              </w:rPr>
              <w:t>Therapeutic: 8 Prophylactic: 7</w:t>
            </w:r>
          </w:p>
          <w:p w14:paraId="530FF7F6" w14:textId="51ACA996"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598" w:type="pct"/>
          </w:tcPr>
          <w:p w14:paraId="63AB8D1E" w14:textId="1B56E38A"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10</w:t>
            </w:r>
          </w:p>
        </w:tc>
        <w:tc>
          <w:tcPr>
            <w:tcW w:w="506" w:type="pct"/>
          </w:tcPr>
          <w:p w14:paraId="209A7F1C" w14:textId="10B1123B"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NR </w:t>
            </w:r>
          </w:p>
        </w:tc>
        <w:tc>
          <w:tcPr>
            <w:tcW w:w="921" w:type="pct"/>
          </w:tcPr>
          <w:p w14:paraId="460B7B35" w14:textId="01EA8CF8"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Oxygen support: 460/615 </w:t>
            </w:r>
          </w:p>
          <w:p w14:paraId="4AF19DB5" w14:textId="146D7418"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Mechanically ventilated: 39/615 </w:t>
            </w:r>
          </w:p>
        </w:tc>
        <w:tc>
          <w:tcPr>
            <w:tcW w:w="507" w:type="pct"/>
          </w:tcPr>
          <w:p w14:paraId="03B8733F" w14:textId="75BB85DE"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10 (2)</w:t>
            </w:r>
          </w:p>
        </w:tc>
        <w:tc>
          <w:tcPr>
            <w:tcW w:w="552" w:type="pct"/>
          </w:tcPr>
          <w:p w14:paraId="5DC0268A" w14:textId="4D685895"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48 (8)</w:t>
            </w:r>
          </w:p>
        </w:tc>
        <w:tc>
          <w:tcPr>
            <w:tcW w:w="535" w:type="pct"/>
          </w:tcPr>
          <w:p w14:paraId="0F5A1270" w14:textId="0EDFB7E4"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510 (83)</w:t>
            </w:r>
          </w:p>
        </w:tc>
      </w:tr>
      <w:tr w:rsidR="00F24D16" w:rsidRPr="001C0965" w14:paraId="067E2923" w14:textId="0AC6B77A" w:rsidTr="00C57F6B">
        <w:tc>
          <w:tcPr>
            <w:cnfStyle w:val="001000000000" w:firstRow="0" w:lastRow="0" w:firstColumn="1" w:lastColumn="0" w:oddVBand="0" w:evenVBand="0" w:oddHBand="0" w:evenHBand="0" w:firstRowFirstColumn="0" w:firstRowLastColumn="0" w:lastRowFirstColumn="0" w:lastRowLastColumn="0"/>
            <w:tcW w:w="722" w:type="pct"/>
          </w:tcPr>
          <w:p w14:paraId="2B3EEC69" w14:textId="3AF03BDC" w:rsidR="00F24D16" w:rsidRPr="00066E6E" w:rsidRDefault="00F24D16" w:rsidP="00F24D16">
            <w:pPr>
              <w:tabs>
                <w:tab w:val="left" w:pos="2940"/>
              </w:tabs>
              <w:rPr>
                <w:rFonts w:ascii="Arial" w:hAnsi="Arial" w:cs="Arial"/>
                <w:sz w:val="18"/>
                <w:szCs w:val="18"/>
              </w:rPr>
            </w:pPr>
            <w:proofErr w:type="spellStart"/>
            <w:r w:rsidRPr="00C14897">
              <w:rPr>
                <w:rFonts w:ascii="Arial" w:eastAsia="Times New Roman" w:hAnsi="Arial" w:cs="Arial"/>
                <w:color w:val="000000"/>
                <w:sz w:val="18"/>
                <w:szCs w:val="18"/>
                <w:lang w:eastAsia="en-GB"/>
              </w:rPr>
              <w:t>Perepu</w:t>
            </w:r>
            <w:proofErr w:type="spellEnd"/>
            <w:r w:rsidRPr="00C14897">
              <w:rPr>
                <w:rFonts w:ascii="Arial" w:eastAsia="Times New Roman" w:hAnsi="Arial" w:cs="Arial"/>
                <w:color w:val="000000"/>
                <w:sz w:val="18"/>
                <w:szCs w:val="18"/>
                <w:lang w:eastAsia="en-GB"/>
              </w:rPr>
              <w:t xml:space="preserve"> et al. (30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Haemostasis","id":"ITEM-1","issue":"9","issued":{"date-parts":[["2021","9"]]},"language":"eng","note":"From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plainTextFormattedCitation":"[8]","previouslyFormattedCitation":"[8]"},"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676671">
              <w:rPr>
                <w:rFonts w:ascii="Arial" w:eastAsia="Times New Roman" w:hAnsi="Arial" w:cs="Arial"/>
                <w:b w:val="0"/>
                <w:noProof/>
                <w:color w:val="000000"/>
                <w:sz w:val="18"/>
                <w:szCs w:val="18"/>
                <w:lang w:eastAsia="en-GB"/>
              </w:rPr>
              <w:t>[8]</w:t>
            </w:r>
            <w:r>
              <w:rPr>
                <w:rFonts w:ascii="Arial" w:eastAsia="Times New Roman" w:hAnsi="Arial" w:cs="Arial"/>
                <w:color w:val="000000"/>
                <w:sz w:val="18"/>
                <w:szCs w:val="18"/>
                <w:lang w:eastAsia="en-GB"/>
              </w:rPr>
              <w:fldChar w:fldCharType="end"/>
            </w:r>
          </w:p>
        </w:tc>
        <w:tc>
          <w:tcPr>
            <w:tcW w:w="659" w:type="pct"/>
          </w:tcPr>
          <w:p w14:paraId="06713216" w14:textId="45AFCC6F"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98" w:type="pct"/>
          </w:tcPr>
          <w:p w14:paraId="7E4E6C29" w14:textId="0442A5F4"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06" w:type="pct"/>
          </w:tcPr>
          <w:p w14:paraId="0A38217C" w14:textId="50D114DE"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921" w:type="pct"/>
          </w:tcPr>
          <w:p w14:paraId="62993750" w14:textId="0ACDCE3B"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In ICU at baseline: 107/173 </w:t>
            </w:r>
          </w:p>
          <w:p w14:paraId="42833D3C" w14:textId="109F40F8"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Mechanical ventilation: 40/173  </w:t>
            </w:r>
          </w:p>
        </w:tc>
        <w:tc>
          <w:tcPr>
            <w:tcW w:w="507" w:type="pct"/>
          </w:tcPr>
          <w:p w14:paraId="44AE965F" w14:textId="2E51C710"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105 (61)</w:t>
            </w:r>
          </w:p>
        </w:tc>
        <w:tc>
          <w:tcPr>
            <w:tcW w:w="552" w:type="pct"/>
          </w:tcPr>
          <w:p w14:paraId="07CE5B96" w14:textId="6B462BB5"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35" w:type="pct"/>
          </w:tcPr>
          <w:p w14:paraId="7091B4AF" w14:textId="77777777" w:rsidR="00F24D16"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130 (75)</w:t>
            </w:r>
          </w:p>
          <w:p w14:paraId="07145C1E" w14:textId="77777777" w:rsidR="00F24D16"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50809772" w14:textId="20CD8281"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F24D16" w:rsidRPr="001C0965" w14:paraId="6C4B9B08" w14:textId="5885F5BB"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047CDAB9" w14:textId="6E3ED34E" w:rsidR="00F24D16" w:rsidRPr="00066E6E" w:rsidRDefault="00F24D16" w:rsidP="00F24D16">
            <w:pPr>
              <w:tabs>
                <w:tab w:val="left" w:pos="2940"/>
              </w:tabs>
              <w:rPr>
                <w:rFonts w:ascii="Arial" w:hAnsi="Arial" w:cs="Arial"/>
                <w:sz w:val="18"/>
                <w:szCs w:val="18"/>
              </w:rPr>
            </w:pPr>
            <w:r w:rsidRPr="00C14897">
              <w:rPr>
                <w:rFonts w:ascii="Arial" w:eastAsia="Times New Roman" w:hAnsi="Arial" w:cs="Arial"/>
                <w:color w:val="000000"/>
                <w:sz w:val="18"/>
                <w:szCs w:val="18"/>
                <w:lang w:eastAsia="en-GB"/>
              </w:rPr>
              <w:t>HESACOVID (28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{"citationItems":[{"id":"ITEM-1","itemData":{"DOI":"10.1016/j.thromres.2020.09.026","ISSN":"18792472","PMID":"32977137","abstract":"Introduction: Coronavirus disease 2019 (COVID-19) causes a hypercoagulable state. Several autopsy studies have found microthrombi in pulmonary circulation. Methods: In this randomized, open-label, phase II study, we randomized COVID-19 patients requiring mechanical ventilation to receive either therapeutic enoxaparin or the standard anticoagulant thromboprophylaxis. We evaluated the gas exchange over time through the ratio of partial pressure of arterial oxygen (PaO2) to the fraction of inspired oxygen (FiO2) at baseline, 7, and 14 days after randomization, the time until successful liberation from mechanical ventilation, and the ventilator-free days. Results: Ten patients were assigned to the therapeutic enoxaparin and ten patients to prophylactic anticoagulation. There was a statistically significant increase in the PaO2/FiO2 ratio over time in the therapeutic group (163 [95% confidence interval – CI 133–193] at baseline, 209 [95% CI 171–247] after 7 days, and 261 [95% CI 230–293] after 14 days), p = 0.0004. In contrast, we did not observe this improvement over time in the prophylactic group (184 [95% CI 146–222] at baseline, 168 [95% CI 142–195] after 7 days, and 195 [95% CI 128–262] after 14 days), p = 0.487. Patients of the therapeutic group had a higher ratio of successful liberation from mechanical ventilation (hazard ratio: 4.0 [95% CI 1.035–15.053]), p = 0.031 and more ventilator-free days (15 days [interquartile range IQR 6–16] versus 0 days [IQR 0–11]), p = 0.028 when compared to the prophylactic group. Conclusion: Therapeutic enoxaparin improves gas exchange and decreases the need for mechanical ventilation in severe COVID–19. Trial registration: REBEC RBR-949z6v.","author":[{"dropping-particle":"","family":"Lemos","given":"Anna Cristina Bertoldi","non-dropping-particle":"","parse-names":false,"suffix":""},{"dropping-particle":"","family":"Espírito Santo","given":"Douglas Alexandre","non-dropping-particle":"do","parse-names":false,"suffix":""},{"dropping-particle":"","family":"Salvetti","given":"Maísa Cabetti","non-dropping-particle":"","parse-names":false,"suffix":""},{"dropping-particle":"","family":"Gilio","given":"Renato Noffs","non-dropping-particle":"","parse-names":false,"suffix":""},{"dropping-particle":"","family":"Agra","given":"Lucas Barbosa","non-dropping-particle":"","parse-names":false,"suffix":""},{"dropping-particle":"","family":"Pazin-Filho","given":"Antonio","non-dropping-particle":"","parse-names":false,"suffix":""},{"dropping-particle":"","family":"Miranda","given":"Carlos Henrique","non-dropping-particle":"","parse-names":false,"suffix":""}],"container-title":"Thrombosis Research","id":"ITEM-1","issue":"July","issued":{"date-parts":[["2020"]]},"page":"359-366","publisher":"Elsevier","title":"Therapeutic versus prophylactic anticoagulation for severe COVID-19: A randomized phase II clinical trial (HESACOVID)","type":"article-journal","volume":"196"},"uris":["http://www.mendeley.com/documents/?uuid=d7eb46af-f176-4d60-8c8b-40d45603321f"]}],"mendeley":{"formattedCitation":"[9]","plainTextFormattedCitation":"[9]","previouslyFormattedCitation":"[9]"},"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810C9F">
              <w:rPr>
                <w:rFonts w:ascii="Arial" w:eastAsia="Times New Roman" w:hAnsi="Arial" w:cs="Arial"/>
                <w:b w:val="0"/>
                <w:noProof/>
                <w:color w:val="000000"/>
                <w:sz w:val="18"/>
                <w:szCs w:val="18"/>
                <w:lang w:eastAsia="en-GB"/>
              </w:rPr>
              <w:t>[9]</w:t>
            </w:r>
            <w:r>
              <w:rPr>
                <w:rFonts w:ascii="Arial" w:eastAsia="Times New Roman" w:hAnsi="Arial" w:cs="Arial"/>
                <w:color w:val="000000"/>
                <w:sz w:val="18"/>
                <w:szCs w:val="18"/>
                <w:lang w:eastAsia="en-GB"/>
              </w:rPr>
              <w:fldChar w:fldCharType="end"/>
            </w:r>
            <w:r w:rsidRPr="00C14897">
              <w:rPr>
                <w:rFonts w:ascii="Arial" w:eastAsia="Times New Roman" w:hAnsi="Arial" w:cs="Arial"/>
                <w:color w:val="000000"/>
                <w:sz w:val="18"/>
                <w:szCs w:val="18"/>
                <w:lang w:eastAsia="en-GB"/>
              </w:rPr>
              <w:t xml:space="preserve"> </w:t>
            </w:r>
          </w:p>
        </w:tc>
        <w:tc>
          <w:tcPr>
            <w:tcW w:w="659" w:type="pct"/>
          </w:tcPr>
          <w:p w14:paraId="41D751B8" w14:textId="7ACE8979"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1A1A1A"/>
                <w:sz w:val="18"/>
                <w:szCs w:val="18"/>
              </w:rPr>
            </w:pPr>
            <w:r w:rsidRPr="00066E6E">
              <w:rPr>
                <w:rFonts w:ascii="Arial" w:hAnsi="Arial" w:cs="Arial"/>
                <w:color w:val="000000"/>
                <w:sz w:val="18"/>
                <w:szCs w:val="18"/>
              </w:rPr>
              <w:t>Therapeutic: 7 Prophylactic: 6</w:t>
            </w:r>
          </w:p>
          <w:p w14:paraId="148A6273" w14:textId="09CD5419"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598" w:type="pct"/>
          </w:tcPr>
          <w:p w14:paraId="3BF10F9E" w14:textId="56CDC2AC"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66E6E">
              <w:rPr>
                <w:rFonts w:ascii="Arial" w:hAnsi="Arial" w:cs="Arial"/>
                <w:color w:val="000000"/>
                <w:sz w:val="18"/>
                <w:szCs w:val="18"/>
              </w:rPr>
              <w:t>NR</w:t>
            </w:r>
          </w:p>
        </w:tc>
        <w:tc>
          <w:tcPr>
            <w:tcW w:w="506" w:type="pct"/>
          </w:tcPr>
          <w:p w14:paraId="45E20DA6" w14:textId="03A3D490"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SOFA 10</w:t>
            </w:r>
          </w:p>
        </w:tc>
        <w:tc>
          <w:tcPr>
            <w:tcW w:w="921" w:type="pct"/>
          </w:tcPr>
          <w:p w14:paraId="6011D51B" w14:textId="5E4D98FB"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Mechanical ventilation: 20/20</w:t>
            </w:r>
          </w:p>
        </w:tc>
        <w:tc>
          <w:tcPr>
            <w:tcW w:w="507" w:type="pct"/>
          </w:tcPr>
          <w:p w14:paraId="765E64EE" w14:textId="61EE779A"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0</w:t>
            </w:r>
          </w:p>
        </w:tc>
        <w:tc>
          <w:tcPr>
            <w:tcW w:w="552" w:type="pct"/>
          </w:tcPr>
          <w:p w14:paraId="1893CB44" w14:textId="4520B364"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0</w:t>
            </w:r>
          </w:p>
        </w:tc>
        <w:tc>
          <w:tcPr>
            <w:tcW w:w="535" w:type="pct"/>
          </w:tcPr>
          <w:p w14:paraId="0746DA3A" w14:textId="59CF10B2"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14 (70)</w:t>
            </w:r>
          </w:p>
        </w:tc>
      </w:tr>
      <w:tr w:rsidR="00F24D16" w:rsidRPr="001C0965" w14:paraId="580A9CB3" w14:textId="77777777" w:rsidTr="00C57F6B">
        <w:tc>
          <w:tcPr>
            <w:cnfStyle w:val="001000000000" w:firstRow="0" w:lastRow="0" w:firstColumn="1" w:lastColumn="0" w:oddVBand="0" w:evenVBand="0" w:oddHBand="0" w:evenHBand="0" w:firstRowFirstColumn="0" w:firstRowLastColumn="0" w:lastRowFirstColumn="0" w:lastRowLastColumn="0"/>
            <w:tcW w:w="722" w:type="pct"/>
          </w:tcPr>
          <w:p w14:paraId="774389B1" w14:textId="77777777" w:rsidR="00F24D16" w:rsidRPr="00C14897" w:rsidRDefault="00F24D16" w:rsidP="00F24D16">
            <w:pPr>
              <w:rPr>
                <w:rFonts w:ascii="Arial" w:eastAsia="Times New Roman" w:hAnsi="Arial" w:cs="Arial"/>
                <w:b w:val="0"/>
                <w:bCs w:val="0"/>
                <w:color w:val="000000"/>
                <w:sz w:val="18"/>
                <w:szCs w:val="18"/>
                <w:lang w:eastAsia="en-GB"/>
              </w:rPr>
            </w:pPr>
            <w:r w:rsidRPr="00C14897">
              <w:rPr>
                <w:rFonts w:ascii="Arial" w:eastAsia="Times New Roman" w:hAnsi="Arial" w:cs="Arial"/>
                <w:color w:val="000000"/>
                <w:sz w:val="18"/>
                <w:szCs w:val="18"/>
                <w:lang w:eastAsia="en-GB"/>
              </w:rPr>
              <w:t>BEMICOP</w:t>
            </w:r>
          </w:p>
          <w:p w14:paraId="63C96ABE" w14:textId="75064DBF" w:rsidR="00F24D16" w:rsidRPr="00066E6E" w:rsidRDefault="00F24D16" w:rsidP="00F24D16">
            <w:pPr>
              <w:tabs>
                <w:tab w:val="left" w:pos="2940"/>
              </w:tabs>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(30 days)</w:t>
            </w:r>
            <w:r>
              <w:rPr>
                <w:rFonts w:ascii="Arial" w:eastAsia="Times New Roman" w:hAnsi="Arial" w:cs="Arial"/>
                <w:color w:val="000000"/>
                <w:sz w:val="18"/>
                <w:szCs w:val="18"/>
                <w:lang w:eastAsia="en-GB"/>
              </w:rPr>
              <w:fldChar w:fldCharType="begin" w:fldLock="1"/>
            </w:r>
            <w:r>
              <w:rPr>
                <w:rFonts w:ascii="Arial" w:eastAsia="Times New Roman" w:hAnsi="Arial" w:cs="Arial"/>
                <w:color w:val="000000"/>
                <w:sz w:val="18"/>
                <w:szCs w:val="18"/>
                <w:lang w:eastAsia="en-GB"/>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mendeley":{"formattedCitation":"[10]","plainTextFormattedCitation":"[10]","previouslyFormattedCitation":"[10]"},"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1D558F">
              <w:rPr>
                <w:rFonts w:ascii="Arial" w:eastAsia="Times New Roman" w:hAnsi="Arial" w:cs="Arial"/>
                <w:b w:val="0"/>
                <w:noProof/>
                <w:color w:val="000000"/>
                <w:sz w:val="18"/>
                <w:szCs w:val="18"/>
                <w:lang w:eastAsia="en-GB"/>
              </w:rPr>
              <w:t>[10]</w:t>
            </w:r>
            <w:r>
              <w:rPr>
                <w:rFonts w:ascii="Arial" w:eastAsia="Times New Roman" w:hAnsi="Arial" w:cs="Arial"/>
                <w:color w:val="000000"/>
                <w:sz w:val="18"/>
                <w:szCs w:val="18"/>
                <w:lang w:eastAsia="en-GB"/>
              </w:rPr>
              <w:fldChar w:fldCharType="end"/>
            </w:r>
          </w:p>
        </w:tc>
        <w:tc>
          <w:tcPr>
            <w:tcW w:w="659" w:type="pct"/>
          </w:tcPr>
          <w:p w14:paraId="4110F7C8" w14:textId="4429E2EB"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98" w:type="pct"/>
          </w:tcPr>
          <w:p w14:paraId="42FE77B1" w14:textId="15F33CD2"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8</w:t>
            </w:r>
          </w:p>
        </w:tc>
        <w:tc>
          <w:tcPr>
            <w:tcW w:w="506" w:type="pct"/>
          </w:tcPr>
          <w:p w14:paraId="37429871" w14:textId="2F7109E6"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921" w:type="pct"/>
          </w:tcPr>
          <w:p w14:paraId="10DF0A69" w14:textId="63189F2E"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Oxygen support: 38/65 </w:t>
            </w:r>
          </w:p>
        </w:tc>
        <w:tc>
          <w:tcPr>
            <w:tcW w:w="507" w:type="pct"/>
          </w:tcPr>
          <w:p w14:paraId="579F0C13" w14:textId="6A3EE34D"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9 (14)</w:t>
            </w:r>
          </w:p>
        </w:tc>
        <w:tc>
          <w:tcPr>
            <w:tcW w:w="552" w:type="pct"/>
          </w:tcPr>
          <w:p w14:paraId="0B9F1C02" w14:textId="09A30380"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0</w:t>
            </w:r>
          </w:p>
        </w:tc>
        <w:tc>
          <w:tcPr>
            <w:tcW w:w="535" w:type="pct"/>
          </w:tcPr>
          <w:p w14:paraId="2FBD7C0D" w14:textId="77777777" w:rsidR="00F24D16"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62 (95)</w:t>
            </w:r>
          </w:p>
          <w:p w14:paraId="252DF8DC" w14:textId="77777777" w:rsidR="00F24D16"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720229CD" w14:textId="5CB891C8" w:rsidR="00F24D16" w:rsidRPr="00066E6E" w:rsidRDefault="00F24D16" w:rsidP="00F24D16">
            <w:pPr>
              <w:tabs>
                <w:tab w:val="left" w:pos="2940"/>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F24D16" w:rsidRPr="001C0965" w14:paraId="15322D51" w14:textId="77777777" w:rsidTr="00C5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64AE536F" w14:textId="3EF8203B" w:rsidR="00F24D16" w:rsidRPr="00066E6E" w:rsidRDefault="00F24D16" w:rsidP="00F24D16">
            <w:pPr>
              <w:tabs>
                <w:tab w:val="left" w:pos="2940"/>
              </w:tabs>
              <w:rPr>
                <w:rFonts w:ascii="Arial" w:eastAsia="Times New Roman" w:hAnsi="Arial" w:cs="Arial"/>
                <w:color w:val="000000"/>
                <w:sz w:val="18"/>
                <w:szCs w:val="18"/>
                <w:lang w:eastAsia="en-GB"/>
              </w:rPr>
            </w:pPr>
            <w:r w:rsidRPr="00C14897">
              <w:rPr>
                <w:rFonts w:ascii="Arial" w:eastAsia="Times New Roman" w:hAnsi="Arial" w:cs="Arial"/>
                <w:color w:val="000000"/>
                <w:sz w:val="18"/>
                <w:szCs w:val="18"/>
                <w:lang w:eastAsia="en-GB"/>
              </w:rPr>
              <w:t>Oliynyk et al.(28 days)</w:t>
            </w:r>
            <w:r>
              <w:rPr>
                <w:rFonts w:ascii="Arial" w:eastAsia="Times New Roman" w:hAnsi="Arial" w:cs="Arial"/>
                <w:color w:val="000000"/>
                <w:sz w:val="18"/>
                <w:szCs w:val="18"/>
                <w:lang w:eastAsia="en-GB"/>
              </w:rPr>
              <w:fldChar w:fldCharType="begin" w:fldLock="1"/>
            </w:r>
            <w:r w:rsidR="00C01E72">
              <w:rPr>
                <w:rFonts w:ascii="Arial" w:eastAsia="Times New Roman" w:hAnsi="Arial" w:cs="Arial"/>
                <w:color w:val="000000"/>
                <w:sz w:val="18"/>
                <w:szCs w:val="18"/>
                <w:lang w:eastAsia="en-GB"/>
              </w:rPr>
              <w:instrText>ADDIN CSL_CITATION {"citationItems":[{"id":"ITEM-1","itemData":{"DOI":"10.3390/life11101032","ISSN":"20751729","abstract":"Background: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-1","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[11]","plainTextFormattedCitation":"[11]","previouslyFormattedCitation":"[11]"},"properties":{"noteIndex":0},"schema":"https://github.com/citation-style-language/schema/raw/master/csl-citation.json"}</w:instrText>
            </w:r>
            <w:r>
              <w:rPr>
                <w:rFonts w:ascii="Arial" w:eastAsia="Times New Roman" w:hAnsi="Arial" w:cs="Arial"/>
                <w:color w:val="000000"/>
                <w:sz w:val="18"/>
                <w:szCs w:val="18"/>
                <w:lang w:eastAsia="en-GB"/>
              </w:rPr>
              <w:fldChar w:fldCharType="separate"/>
            </w:r>
            <w:r w:rsidRPr="00F60A17">
              <w:rPr>
                <w:rFonts w:ascii="Arial" w:eastAsia="Times New Roman" w:hAnsi="Arial" w:cs="Arial"/>
                <w:b w:val="0"/>
                <w:noProof/>
                <w:color w:val="000000"/>
                <w:sz w:val="18"/>
                <w:szCs w:val="18"/>
                <w:lang w:eastAsia="en-GB"/>
              </w:rPr>
              <w:t>[11]</w:t>
            </w:r>
            <w:r>
              <w:rPr>
                <w:rFonts w:ascii="Arial" w:eastAsia="Times New Roman" w:hAnsi="Arial" w:cs="Arial"/>
                <w:color w:val="000000"/>
                <w:sz w:val="18"/>
                <w:szCs w:val="18"/>
                <w:lang w:eastAsia="en-GB"/>
              </w:rPr>
              <w:fldChar w:fldCharType="end"/>
            </w:r>
          </w:p>
        </w:tc>
        <w:tc>
          <w:tcPr>
            <w:tcW w:w="659" w:type="pct"/>
          </w:tcPr>
          <w:p w14:paraId="0EC3AB8F" w14:textId="599C1FC3"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98" w:type="pct"/>
          </w:tcPr>
          <w:p w14:paraId="03994573" w14:textId="557B73E0"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06" w:type="pct"/>
          </w:tcPr>
          <w:p w14:paraId="7C1931C3" w14:textId="77777777"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p w14:paraId="2A09FE9B" w14:textId="77777777"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921" w:type="pct"/>
          </w:tcPr>
          <w:p w14:paraId="6D96FA6D" w14:textId="716339C6"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 xml:space="preserve">Oxygen support: 126/126  </w:t>
            </w:r>
          </w:p>
          <w:p w14:paraId="5C795221" w14:textId="44B7FB71"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(Inclusion criteria PaO</w:t>
            </w:r>
            <w:r w:rsidRPr="00066E6E">
              <w:rPr>
                <w:rFonts w:ascii="Arial" w:hAnsi="Arial" w:cs="Arial"/>
                <w:color w:val="000000"/>
                <w:sz w:val="18"/>
                <w:szCs w:val="18"/>
                <w:vertAlign w:val="subscript"/>
              </w:rPr>
              <w:t>2</w:t>
            </w:r>
            <w:r>
              <w:rPr>
                <w:rFonts w:ascii="Arial" w:hAnsi="Arial" w:cs="Arial"/>
                <w:color w:val="000000"/>
                <w:sz w:val="18"/>
                <w:szCs w:val="18"/>
                <w:vertAlign w:val="subscript"/>
              </w:rPr>
              <w:t xml:space="preserve"> </w:t>
            </w:r>
            <w:r w:rsidRPr="00066E6E">
              <w:rPr>
                <w:rFonts w:ascii="Arial" w:hAnsi="Arial" w:cs="Arial"/>
                <w:color w:val="000000"/>
                <w:sz w:val="18"/>
                <w:szCs w:val="18"/>
              </w:rPr>
              <w:t>&lt;</w:t>
            </w:r>
            <w:r>
              <w:rPr>
                <w:rFonts w:ascii="Arial" w:hAnsi="Arial" w:cs="Arial"/>
                <w:color w:val="000000"/>
                <w:sz w:val="18"/>
                <w:szCs w:val="18"/>
              </w:rPr>
              <w:t xml:space="preserve"> </w:t>
            </w:r>
            <w:r w:rsidRPr="00066E6E">
              <w:rPr>
                <w:rFonts w:ascii="Arial" w:hAnsi="Arial" w:cs="Arial"/>
                <w:color w:val="000000"/>
                <w:sz w:val="18"/>
                <w:szCs w:val="18"/>
              </w:rPr>
              <w:t>60mmHg</w:t>
            </w:r>
            <w:r>
              <w:rPr>
                <w:rFonts w:ascii="Arial" w:hAnsi="Arial" w:cs="Arial"/>
                <w:color w:val="000000"/>
                <w:sz w:val="18"/>
                <w:szCs w:val="18"/>
              </w:rPr>
              <w:t xml:space="preserve">, </w:t>
            </w:r>
            <w:r w:rsidRPr="00066E6E">
              <w:rPr>
                <w:rFonts w:ascii="Arial" w:hAnsi="Arial" w:cs="Arial"/>
                <w:color w:val="000000"/>
                <w:sz w:val="18"/>
                <w:szCs w:val="18"/>
              </w:rPr>
              <w:t>but not mechanically ventilated)</w:t>
            </w:r>
          </w:p>
        </w:tc>
        <w:tc>
          <w:tcPr>
            <w:tcW w:w="507" w:type="pct"/>
          </w:tcPr>
          <w:p w14:paraId="3550A351" w14:textId="55714D88"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52" w:type="pct"/>
          </w:tcPr>
          <w:p w14:paraId="71962068" w14:textId="76B84241"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c>
          <w:tcPr>
            <w:tcW w:w="535" w:type="pct"/>
          </w:tcPr>
          <w:p w14:paraId="276628A6" w14:textId="15D2AE61" w:rsidR="00F24D16" w:rsidRPr="00066E6E" w:rsidRDefault="00F24D16" w:rsidP="00F24D16">
            <w:pPr>
              <w:tabs>
                <w:tab w:val="left" w:pos="2940"/>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66E6E">
              <w:rPr>
                <w:rFonts w:ascii="Arial" w:hAnsi="Arial" w:cs="Arial"/>
                <w:color w:val="000000"/>
                <w:sz w:val="18"/>
                <w:szCs w:val="18"/>
              </w:rPr>
              <w:t>NR</w:t>
            </w:r>
          </w:p>
        </w:tc>
      </w:tr>
    </w:tbl>
    <w:p w14:paraId="24CB8BBF" w14:textId="02C15DFE" w:rsidR="000F5245" w:rsidRDefault="00DF59FB" w:rsidP="00AF49D9">
      <w:pPr>
        <w:tabs>
          <w:tab w:val="left" w:pos="2940"/>
        </w:tabs>
        <w:rPr>
          <w:rFonts w:ascii="Arial" w:hAnsi="Arial" w:cs="Arial"/>
          <w:sz w:val="18"/>
          <w:szCs w:val="18"/>
        </w:rPr>
      </w:pPr>
      <w:r w:rsidRPr="001C0965">
        <w:rPr>
          <w:rFonts w:ascii="Arial" w:hAnsi="Arial" w:cs="Arial"/>
          <w:sz w:val="18"/>
          <w:szCs w:val="18"/>
        </w:rPr>
        <w:t xml:space="preserve">APACHEII </w:t>
      </w:r>
      <w:r w:rsidR="00636227" w:rsidRPr="001C0965">
        <w:rPr>
          <w:rFonts w:ascii="Arial" w:hAnsi="Arial" w:cs="Arial"/>
          <w:sz w:val="18"/>
          <w:szCs w:val="18"/>
        </w:rPr>
        <w:t xml:space="preserve">- Acute Physiology and Chronic Health Evaluation score II, </w:t>
      </w:r>
      <w:r w:rsidR="00113645" w:rsidRPr="001C0965">
        <w:rPr>
          <w:rFonts w:ascii="Arial" w:hAnsi="Arial" w:cs="Arial"/>
          <w:sz w:val="18"/>
          <w:szCs w:val="18"/>
        </w:rPr>
        <w:t xml:space="preserve">Fi02 – fraction of oxygen in inspired air, NR – not reported, </w:t>
      </w:r>
      <w:r w:rsidR="00010536" w:rsidRPr="00066E6E">
        <w:rPr>
          <w:rFonts w:ascii="Arial" w:hAnsi="Arial" w:cs="Arial"/>
          <w:color w:val="000000"/>
          <w:sz w:val="18"/>
          <w:szCs w:val="18"/>
        </w:rPr>
        <w:t>PaO</w:t>
      </w:r>
      <w:r w:rsidR="00010536" w:rsidRPr="00066E6E">
        <w:rPr>
          <w:rFonts w:ascii="Arial" w:hAnsi="Arial" w:cs="Arial"/>
          <w:color w:val="000000"/>
          <w:sz w:val="18"/>
          <w:szCs w:val="18"/>
          <w:vertAlign w:val="subscript"/>
        </w:rPr>
        <w:t>2</w:t>
      </w:r>
      <w:r w:rsidR="006427F4">
        <w:rPr>
          <w:rFonts w:ascii="Arial" w:hAnsi="Arial" w:cs="Arial"/>
          <w:color w:val="000000"/>
          <w:sz w:val="18"/>
          <w:szCs w:val="18"/>
          <w:vertAlign w:val="subscript"/>
        </w:rPr>
        <w:t xml:space="preserve"> </w:t>
      </w:r>
      <w:r w:rsidR="006427F4">
        <w:rPr>
          <w:rFonts w:ascii="Arial" w:hAnsi="Arial" w:cs="Arial"/>
          <w:sz w:val="18"/>
          <w:szCs w:val="18"/>
        </w:rPr>
        <w:t xml:space="preserve">– partial pressure </w:t>
      </w:r>
      <w:r w:rsidR="006B728D">
        <w:rPr>
          <w:rFonts w:ascii="Arial" w:hAnsi="Arial" w:cs="Arial"/>
          <w:sz w:val="18"/>
          <w:szCs w:val="18"/>
        </w:rPr>
        <w:t xml:space="preserve">of oxygen in arterial blood, </w:t>
      </w:r>
      <w:r w:rsidR="00A807EC" w:rsidRPr="001C0965">
        <w:rPr>
          <w:rFonts w:ascii="Arial" w:hAnsi="Arial" w:cs="Arial"/>
          <w:sz w:val="18"/>
          <w:szCs w:val="18"/>
        </w:rPr>
        <w:t>SOFA – Sequential Organ Failure Assessment</w:t>
      </w:r>
    </w:p>
    <w:p w14:paraId="3E53EE16" w14:textId="77777777" w:rsidR="001C0965" w:rsidRDefault="001C0965" w:rsidP="00AF49D9">
      <w:pPr>
        <w:tabs>
          <w:tab w:val="left" w:pos="2940"/>
        </w:tabs>
        <w:rPr>
          <w:rFonts w:ascii="Arial" w:hAnsi="Arial" w:cs="Arial"/>
          <w:sz w:val="18"/>
          <w:szCs w:val="18"/>
        </w:rPr>
      </w:pPr>
    </w:p>
    <w:p w14:paraId="4ADCB1D0" w14:textId="77777777" w:rsidR="001C0965" w:rsidRDefault="001C0965" w:rsidP="00AF49D9">
      <w:pPr>
        <w:tabs>
          <w:tab w:val="left" w:pos="2940"/>
        </w:tabs>
        <w:rPr>
          <w:rFonts w:ascii="Arial" w:hAnsi="Arial" w:cs="Arial"/>
          <w:sz w:val="18"/>
          <w:szCs w:val="18"/>
        </w:rPr>
      </w:pPr>
    </w:p>
    <w:p w14:paraId="49D7338D" w14:textId="77777777" w:rsidR="001C0965" w:rsidRDefault="001C0965" w:rsidP="00AF49D9">
      <w:pPr>
        <w:tabs>
          <w:tab w:val="left" w:pos="2940"/>
        </w:tabs>
        <w:rPr>
          <w:rFonts w:ascii="Arial" w:hAnsi="Arial" w:cs="Arial"/>
          <w:sz w:val="18"/>
          <w:szCs w:val="18"/>
        </w:rPr>
      </w:pPr>
    </w:p>
    <w:p w14:paraId="6BCB5483" w14:textId="77777777" w:rsidR="001C0965" w:rsidRDefault="001C0965" w:rsidP="00AF49D9">
      <w:pPr>
        <w:tabs>
          <w:tab w:val="left" w:pos="2940"/>
        </w:tabs>
        <w:rPr>
          <w:rFonts w:ascii="Arial" w:hAnsi="Arial" w:cs="Arial"/>
          <w:sz w:val="18"/>
          <w:szCs w:val="18"/>
        </w:rPr>
      </w:pPr>
    </w:p>
    <w:p w14:paraId="7F0D206E" w14:textId="27489ABA" w:rsidR="000F5245" w:rsidRDefault="0056222F" w:rsidP="000F5245">
      <w:pPr>
        <w:rPr>
          <w:rFonts w:ascii="Arial" w:hAnsi="Arial" w:cs="Arial"/>
          <w:b/>
          <w:bCs/>
        </w:rPr>
      </w:pPr>
      <w:r>
        <w:rPr>
          <w:rFonts w:ascii="Arial" w:hAnsi="Arial" w:cs="Arial"/>
          <w:b/>
          <w:bCs/>
        </w:rPr>
        <w:t xml:space="preserve">Supplementary </w:t>
      </w:r>
      <w:r w:rsidR="0075415B">
        <w:rPr>
          <w:rFonts w:ascii="Arial" w:hAnsi="Arial" w:cs="Arial"/>
          <w:b/>
          <w:bCs/>
        </w:rPr>
        <w:t>Table</w:t>
      </w:r>
      <w:r>
        <w:rPr>
          <w:rFonts w:ascii="Arial" w:hAnsi="Arial" w:cs="Arial"/>
          <w:b/>
          <w:bCs/>
        </w:rPr>
        <w:t xml:space="preserve"> S</w:t>
      </w:r>
      <w:r w:rsidR="00394BE8">
        <w:rPr>
          <w:rFonts w:ascii="Arial" w:hAnsi="Arial" w:cs="Arial"/>
          <w:b/>
          <w:bCs/>
        </w:rPr>
        <w:t>7</w:t>
      </w:r>
      <w:r>
        <w:rPr>
          <w:rFonts w:ascii="Arial" w:hAnsi="Arial" w:cs="Arial"/>
          <w:b/>
          <w:bCs/>
        </w:rPr>
        <w:t>. Assessment of bias in individual studies</w:t>
      </w:r>
    </w:p>
    <w:tbl>
      <w:tblPr>
        <w:tblStyle w:val="TableGrid"/>
        <w:tblW w:w="5000" w:type="pct"/>
        <w:tblLook w:val="04A0" w:firstRow="1" w:lastRow="0" w:firstColumn="1" w:lastColumn="0" w:noHBand="0" w:noVBand="1"/>
      </w:tblPr>
      <w:tblGrid>
        <w:gridCol w:w="2973"/>
        <w:gridCol w:w="1557"/>
        <w:gridCol w:w="2410"/>
        <w:gridCol w:w="2410"/>
        <w:gridCol w:w="1560"/>
        <w:gridCol w:w="1843"/>
        <w:gridCol w:w="1702"/>
        <w:gridCol w:w="933"/>
      </w:tblGrid>
      <w:tr w:rsidR="00777A7F" w14:paraId="2F573F08" w14:textId="77777777" w:rsidTr="00B44341">
        <w:tc>
          <w:tcPr>
            <w:tcW w:w="966" w:type="pct"/>
          </w:tcPr>
          <w:p w14:paraId="2C8DF0A3" w14:textId="3CB94A7A" w:rsidR="00D03AC0" w:rsidRPr="00F96D6B" w:rsidRDefault="00D03AC0" w:rsidP="00D03AC0">
            <w:pPr>
              <w:rPr>
                <w:rFonts w:ascii="Arial" w:hAnsi="Arial" w:cs="Arial"/>
                <w:b/>
                <w:bCs/>
                <w:sz w:val="20"/>
                <w:szCs w:val="20"/>
              </w:rPr>
            </w:pPr>
            <w:r w:rsidRPr="00F96D6B">
              <w:rPr>
                <w:rFonts w:ascii="Arial" w:eastAsia="Times New Roman" w:hAnsi="Arial" w:cs="Arial"/>
                <w:b/>
                <w:bCs/>
                <w:color w:val="000000"/>
                <w:sz w:val="20"/>
                <w:szCs w:val="20"/>
                <w:lang w:eastAsia="en-GB"/>
              </w:rPr>
              <w:t>Study (follow up period)</w:t>
            </w:r>
          </w:p>
        </w:tc>
        <w:tc>
          <w:tcPr>
            <w:tcW w:w="506" w:type="pct"/>
          </w:tcPr>
          <w:p w14:paraId="6C373F36" w14:textId="2AB81B34" w:rsidR="00D03AC0" w:rsidRPr="00614309" w:rsidRDefault="00D03AC0" w:rsidP="00D03AC0">
            <w:pPr>
              <w:rPr>
                <w:rFonts w:ascii="Arial" w:hAnsi="Arial" w:cs="Arial"/>
                <w:b/>
                <w:bCs/>
              </w:rPr>
            </w:pPr>
            <w:r w:rsidRPr="00614309">
              <w:rPr>
                <w:rFonts w:ascii="Calibri" w:hAnsi="Calibri" w:cs="Calibri"/>
                <w:b/>
                <w:bCs/>
                <w:color w:val="000000"/>
              </w:rPr>
              <w:t>Risk of bias arising from randomization process</w:t>
            </w:r>
          </w:p>
        </w:tc>
        <w:tc>
          <w:tcPr>
            <w:tcW w:w="783" w:type="pct"/>
          </w:tcPr>
          <w:p w14:paraId="1E80E624" w14:textId="73F86A96" w:rsidR="00D03AC0" w:rsidRPr="00614309" w:rsidRDefault="00D03AC0" w:rsidP="00D03AC0">
            <w:pPr>
              <w:rPr>
                <w:rFonts w:ascii="Arial" w:hAnsi="Arial" w:cs="Arial"/>
                <w:b/>
                <w:bCs/>
              </w:rPr>
            </w:pPr>
            <w:r w:rsidRPr="00614309">
              <w:rPr>
                <w:rFonts w:ascii="Calibri" w:hAnsi="Calibri" w:cs="Calibri"/>
                <w:b/>
                <w:bCs/>
                <w:color w:val="000000"/>
              </w:rPr>
              <w:t>Risk of bias due to deviations from the intended interventions (effect of assignment to invention)</w:t>
            </w:r>
          </w:p>
        </w:tc>
        <w:tc>
          <w:tcPr>
            <w:tcW w:w="783" w:type="pct"/>
          </w:tcPr>
          <w:p w14:paraId="5209BFBB" w14:textId="1C1DEE63" w:rsidR="00D03AC0" w:rsidRPr="00614309" w:rsidRDefault="00D03AC0" w:rsidP="00D03AC0">
            <w:pPr>
              <w:rPr>
                <w:rFonts w:ascii="Arial" w:hAnsi="Arial" w:cs="Arial"/>
                <w:b/>
                <w:bCs/>
              </w:rPr>
            </w:pPr>
            <w:r w:rsidRPr="00614309">
              <w:rPr>
                <w:rFonts w:ascii="Calibri" w:hAnsi="Calibri" w:cs="Calibri"/>
                <w:b/>
                <w:bCs/>
                <w:color w:val="000000"/>
              </w:rPr>
              <w:t xml:space="preserve">Risk of bias due to deviations from the intended interventions (effect of adhering to intervention) </w:t>
            </w:r>
          </w:p>
        </w:tc>
        <w:tc>
          <w:tcPr>
            <w:tcW w:w="507" w:type="pct"/>
          </w:tcPr>
          <w:p w14:paraId="5B0D3BCE" w14:textId="434F030A" w:rsidR="00D03AC0" w:rsidRPr="00614309" w:rsidRDefault="00D03AC0" w:rsidP="00D03AC0">
            <w:pPr>
              <w:rPr>
                <w:rFonts w:ascii="Arial" w:hAnsi="Arial" w:cs="Arial"/>
                <w:b/>
                <w:bCs/>
              </w:rPr>
            </w:pPr>
            <w:r w:rsidRPr="00614309">
              <w:rPr>
                <w:rFonts w:ascii="Calibri" w:hAnsi="Calibri" w:cs="Calibri"/>
                <w:b/>
                <w:bCs/>
                <w:color w:val="000000"/>
              </w:rPr>
              <w:t>Risk of bias due to missing outcome data</w:t>
            </w:r>
          </w:p>
        </w:tc>
        <w:tc>
          <w:tcPr>
            <w:tcW w:w="599" w:type="pct"/>
          </w:tcPr>
          <w:p w14:paraId="25BC23A1" w14:textId="49345D84" w:rsidR="00D03AC0" w:rsidRPr="00614309" w:rsidRDefault="00D03AC0" w:rsidP="00D03AC0">
            <w:pPr>
              <w:rPr>
                <w:rFonts w:ascii="Arial" w:hAnsi="Arial" w:cs="Arial"/>
                <w:b/>
                <w:bCs/>
              </w:rPr>
            </w:pPr>
            <w:r w:rsidRPr="00614309">
              <w:rPr>
                <w:rFonts w:ascii="Calibri" w:hAnsi="Calibri" w:cs="Calibri"/>
                <w:b/>
                <w:bCs/>
                <w:color w:val="000000"/>
              </w:rPr>
              <w:t>Risk of bias in measurement of outcome</w:t>
            </w:r>
          </w:p>
        </w:tc>
        <w:tc>
          <w:tcPr>
            <w:tcW w:w="553" w:type="pct"/>
          </w:tcPr>
          <w:p w14:paraId="3DAFB081" w14:textId="78F46458" w:rsidR="00D03AC0" w:rsidRPr="00614309" w:rsidRDefault="00D03AC0" w:rsidP="00D03AC0">
            <w:pPr>
              <w:rPr>
                <w:rFonts w:ascii="Arial" w:hAnsi="Arial" w:cs="Arial"/>
                <w:b/>
                <w:bCs/>
              </w:rPr>
            </w:pPr>
            <w:r w:rsidRPr="00614309">
              <w:rPr>
                <w:rFonts w:ascii="Calibri" w:hAnsi="Calibri" w:cs="Calibri"/>
                <w:b/>
                <w:bCs/>
                <w:color w:val="000000"/>
              </w:rPr>
              <w:t xml:space="preserve">Risk of bias in selection of reported results </w:t>
            </w:r>
          </w:p>
        </w:tc>
        <w:tc>
          <w:tcPr>
            <w:tcW w:w="303" w:type="pct"/>
          </w:tcPr>
          <w:p w14:paraId="1813169D" w14:textId="52BA8A8A" w:rsidR="00D03AC0" w:rsidRPr="00614309" w:rsidRDefault="00D03AC0" w:rsidP="00D03AC0">
            <w:pPr>
              <w:rPr>
                <w:rFonts w:ascii="Arial" w:hAnsi="Arial" w:cs="Arial"/>
                <w:b/>
                <w:bCs/>
              </w:rPr>
            </w:pPr>
            <w:r w:rsidRPr="00614309">
              <w:rPr>
                <w:rFonts w:ascii="Calibri" w:hAnsi="Calibri" w:cs="Calibri"/>
                <w:b/>
                <w:bCs/>
                <w:color w:val="000000"/>
              </w:rPr>
              <w:t xml:space="preserve">Overall risk </w:t>
            </w:r>
          </w:p>
        </w:tc>
      </w:tr>
      <w:tr w:rsidR="00F24D16" w14:paraId="15B0EF3A" w14:textId="77777777" w:rsidTr="00B44341">
        <w:trPr>
          <w:trHeight w:val="511"/>
        </w:trPr>
        <w:tc>
          <w:tcPr>
            <w:tcW w:w="966" w:type="pct"/>
          </w:tcPr>
          <w:p w14:paraId="50728DCC" w14:textId="49589A0D"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INSPIRATION (30 days)</w:t>
            </w:r>
            <w:r w:rsidRPr="00F24D16">
              <w:rPr>
                <w:rFonts w:ascii="Arial" w:eastAsia="Times New Roman" w:hAnsi="Arial" w:cs="Arial"/>
                <w:b/>
                <w:bCs/>
                <w:color w:val="000000"/>
                <w:sz w:val="20"/>
                <w:szCs w:val="20"/>
                <w:lang w:eastAsia="en-GB"/>
              </w:rPr>
              <w:fldChar w:fldCharType="begin" w:fldLock="1"/>
            </w:r>
            <w:r w:rsidR="002630A3">
              <w:rPr>
                <w:rFonts w:ascii="Arial" w:eastAsia="Times New Roman" w:hAnsi="Arial" w:cs="Arial"/>
                <w:b/>
                <w:bCs/>
                <w:color w:val="000000"/>
                <w:sz w:val="20"/>
                <w:szCs w:val="20"/>
                <w:lang w:eastAsia="en-GB"/>
              </w:rPr>
              <w:instrText>ADDIN CSL_CITATION {"citationItems":[{"id":"ITEM-1","itemData":{"DOI":"10.1001/jama.2021.4152","ISSN":"1538-3598 (Electronic)","PMID":"33734299","abstract":"Importance: Thrombotic events are commonly reported in critically ill patients with COVID-19. Limited data exist to guide the intensity of antithrombotic prophylaxis. Objective: To evaluate the effects of intermediate-dose vs standard-dose prophylactic anticoagulation among patients with COVID-19 admitted to the intensive care unit (ICU). Design, Setting, and Participants: Multicenter randomized trial with a 2 × 2 factorial design performed in 10 academic centers in Iran comparing intermediate-dose vs standard-dose prophylactic anticoagulation (first hypothesis) and statin therapy vs matching placebo (second hypothesis; not reported in this article) among adult patients admitted to the ICU with COVID-19. Patients were recruited between July 29, 2020, and November 19, 2020. The final follow-up date for the 30-day primary outcome was December 19, 2020. Interventions: Intermediate-dose (enoxaparin, 1 mg/kg daily) (n = 276) vs standard prophylactic anticoagulation (enoxaparin, 40 mg daily) (n = 286), with modification according to body weight and creatinine clearance. The assigned treatments were planned to be continued until completion of 30-day follow-up. Main Outcomes and Measures: The primary efficacy outcome was a composite of venous or arterial thrombosis, treatment with extracorporeal membrane oxygenation, or mortality within 30 days, assessed in randomized patients who met the eligibility criteria and received at least 1 dose of the assigned treatment. Prespecified safety outcomes included major bleeding according to the Bleeding Academic Research Consortium (type 3 or 5 definition), powered for noninferiority (a noninferiority margin of 1.8 based on odds ratio), and severe thrombocytopenia (platelet count &lt;20 ×103/µL). All outcomes were blindly adjudicated. Results: Among 600 randomized patients, 562 (93.7%) were included in the primary analysis (median [interquartile range] age, 62 [50-71] years; 237 [42.2%] women). The primary efficacy outcome occurred in 126 patients (45.7%) in the intermediate-dose group and 126 patients (44.1%) in the standard-dose prophylaxis group (absolute risk difference, 1.5% [95% CI,-6.6% to 9.8%]; odds ratio, 1.06 [95% CI, 0.76-1.48]; P =.70). Major bleeding occurred in 7 patients (2.5%) in the intermediate-dose group and 4 patients (1.4%) in the standard-dose prophylaxis group (risk difference, 1.1% [1-sided 97.5% CI,-∞ to 3.4%]; odds ratio, 1.83 [1-sided 97.5% CI, 0.00-5.93]), not meeting the noninferiority criteria (…","author":[{"dropping-particle":"","family":"Sadeghipour","given":"Parham","non-dropping-particle":"","parse-names":false,"suffix":""},{"dropping-particle":"","family":"Talasaz","given":"Azita H.","non-dropping-particle":"","parse-names":false,"suffix":""},{"dropping-particle":"","family":"Rashidi","given":"Farid","non-dropping-particle":"","parse-names":false,"suffix":""},{"dropping-particle":"","family":"Sharif-Kashani","given":"Babak","non-dropping-particle":"","parse-names":false,"suffix":""},{"dropping-particle":"","family":"Beigmohammadi","given":"Mohammad Taghi","non-dropping-particle":"","parse-names":false,"suffix":""},{"dropping-particle":"","family":"Farrokhpour","given":"Mohsen","non-dropping-particle":"","parse-names":false,"suffix":""},{"dropping-particle":"","family":"Sezavar","given":"Seyed Hashem","non-dropping-particle":"","parse-names":false,"suffix":""},{"dropping-particle":"","family":"Payandemehr","given":"Pooya","non-dropping-particle":"","parse-names":false,"suffix":""},{"dropping-particle":"","family":"Dabbagh","given":"Ali","non-dropping-particle":"","parse-names":false,"suffix":""},{"dropping-particle":"","family":"Moghadam","given":"Keivan Gohari","non-dropping-particle":"","parse-names":false,"suffix":""},{"dropping-particle":"","family":"Jamalkhani","given":"Sepehr","non-dropping-particle":"","parse-names":false,"suffix":""},{"dropping-particle":"","family":"Khalili","given":"Hossein","non-dropping-particle":"","parse-names":false,"suffix":""},{"dropping-particle":"","family":"Yadollahzadeh","given":"Mahdi","non-dropping-particle":"","parse-names":false,"suffix":""},{"dropping-particle":"","family":"Riahi","given":"Taghi","non-dropping-particle":"","parse-names":false,"suffix":""},{"dropping-particle":"","family":"Rezaeifar","given":"Parisa","non-dropping-particle":"","parse-names":false,"suffix":""},{"dropping-particle":"","family":"Tahamtan","given":"Ouria","non-dropping-particle":"","parse-names":false,"suffix":""},{"dropping-particle":"","family":"Matin","given":"Samira","non-dropping-particle":"","parse-names":false,"suffix":""},{"dropping-particle":"","family":"Abedini","given":"Atefeh","non-dropping-particle":"","parse-names":false,"suffix":""},{"dropping-particle":"","family":"Lookzadeh","given":"Somayeh","non-dropping-particle":"","parse-names":false,"suffix":""},{"dropping-particle":"","family":"Rahmani","given":"Hamid","non-dropping-particle":"","parse-names":false,"suffix":""},{"dropping-particle":"","family":"Zoghi","given":"Elnaz","non-dropping-particle":"","parse-names":false,"suffix":""},{"dropping-particle":"","family":"Mohammadi","given":"Keyhan","non-dropping-particle":"","parse-names":false,"suffix":""},{"dropping-particle":"","family":"Sadeghipour","given":"Pardis Parham Pardis Parham","non-dropping-particle":"","parse-names":false,"suffix":""},{"dropping-particle":"","family":"Abri","given":"Homa","non-dropping-particle":"","parse-names":false,"suffix":""},{"dropping-particle":"","family":"Tabrizi","given":"Sanaz","non-dropping-particle":"","parse-names":false,"suffix":""},{"dropping-particle":"","family":"Mousavian","given":"Seyed Masoud","non-dropping-particle":"","parse-names":false,"suffix":""},{"dropping-particle":"","family":"Shahmirzaei","given":"Shaghayegh","non-dropping-particle":"","parse-names":false,"suffix":""},{"dropping-particle":"","family":"Bakhshandeh","given":"Hooman","non-dropping-particle":"","parse-names":false,"suffix":""},{"dropping-particle":"","family":"Amin","given":"Ahmad","non-dropping-particle":"","parse-names":false,"suffix":""},{"dropping-particle":"","family":"Rafiee","given":"Farnaz","non-dropping-particle":"","parse-names":false,"suffix":""},{"dropping-particle":"","family":"Baghizadeh","given":"Elahe","non-dropping-particle":"","parse-names":false,"suffix":""},{"dropping-particle":"","family":"Mohebbi","given":"Bahram","non-dropping-particle":"","parse-names":false,"suffix":""},{"dropping-particle":"","family":"Parhizgar","given":"Seyed Ehsan","non-dropping-particle":"","parse-names":false,"suffix":""},{"dropping-particle":"","family":"Aliannejad","given":"Rasoul","non-dropping-particle":"","parse-names":false,"suffix":""},{"dropping-particle":"","family":"Eslami","given":"Vahid","non-dropping-particle":"","parse-names":false,"suffix":""},{"dropping-particle":"","family":"Kashefizadeh","given":"Alireza","non-dropping-particle":"","parse-names":false,"suffix":""},{"dropping-particle":"","family":"Kakavand","given":"Hessam","non-dropping-particle":"","parse-names":false,"suffix":""},{"dropping-particle":"","family":"Hosseini","given":"Seyed Hossein","non-dropping-particle":"","parse-names":false,"suffix":""},{"dropping-particle":"","family":"Shafaghi","given":"Shadi","non-dropping-particle":"","parse-names":false,"suffix":""},{"dropping-particle":"","family":"Ghazi","given":"Samrand Fattah","non-dropping-particle":"","parse-names":false,"suffix":""},{"dropping-particle":"","family":"Najafi","given":"Atabak","non-dropping-particle":"","parse-names":false,"suffix":""},{"dropping-particle":"","family":"Jimenez","given":"David","non-dropping-particle":"","parse-names":false,"suffix":""},{"dropping-particle":"","family":"Gupta","given":"Aakriti","non-dropping-particle":"","parse-names":false,"suffix":""},{"dropping-particle":"V.","family":"Madhavan","given":"Mahesh","non-dropping-particle":"","parse-names":false,"suffix":""},{"dropping-particle":"","family":"Sethi","given":"Sanjum S.","non-dropping-particle":"","parse-names":false,"suffix":""},{"dropping-particle":"","family":"Parikh","given":"Sahil A.","non-dropping-particle":"","parse-names":false,"suffix":""},{"dropping-particle":"","family":"Monreal","given":"Manuel","non-dropping-particle":"","parse-names":false,"suffix":""},{"dropping-particle":"","family":"Hadavand","given":"Naser","non-dropping-particle":"","parse-names":false,"suffix":""},{"dropping-particle":"","family":"Hajighasemi","given":"Alireza","non-dropping-particle":"","parse-names":false,"suffix":""},{"dropping-particle":"","family":"Maleki","given":"Majid","non-dropping-particle":"","parse-names":false,"suffix":""},{"dropping-particle":"","family":"Sadeghian","given":"Saeed","non-dropping-particle":"","parse-names":false,"suffix":""},{"dropping-particle":"","family":"Piazza","given":"Gregory","non-dropping-particle":"","parse-names":false,"suffix":""},{"dropping-particle":"","family":"Kirtane","given":"Ajay J.","non-dropping-particle":"","parse-names":false,"suffix":""},{"dropping-particle":"","family":"Tassell","given":"Benjamin W.","non-dropping-particle":"Van","parse-names":false,"suffix":""},{"dropping-particle":"","family":"Dobesh","given":"Paul P.","non-dropping-particle":"","parse-names":false,"suffix":""},{"dropping-particle":"","family":"Stone","given":"Gregg W.","non-dropping-particle":"","parse-names":false,"suffix":""},{"dropping-particle":"","family":"Lip","given":"Gregory Y.H. H","non-dropping-particle":"","parse-names":false,"suffix":""},{"dropping-particle":"","family":"Krumholz","given":"Harlan M.","non-dropping-particle":"","parse-names":false,"suffix":""},{"dropping-particle":"","family":"Goldhaber","given":"Samuel Z.","non-dropping-particle":"","parse-names":false,"suffix":""},{"dropping-particle":"","family":"Bikdeli","given":"Behnood","non-dropping-particle":"","parse-names":false,"suffix":""}],"container-title":"JAMA - Journal of the American Medical Association","id":"ITEM-1","issue":"16","issued":{"date-parts":[["2021","4"]]},"language":"eng","note":"From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3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 - Sadeghipour, Pardis Parham; Talasaz, Azita H; Rashidi, Farid; Sharif-Kashani, Babak; Beigmohammadi, Mohammad Taghi; Farrokhpour, Mohsen; Sezavar, Seyed Hashem; Payandemehr, Pooya; Dabbagh, Ali; Moghadam, Keivan Gohari; Jamalkhani, Sepehr; Khalili, Hossein; Yadollahzadeh, Mahdi; Riahi, Taghi; Rezaeifar, Parisa; Tahamtan, Ouria; Matin, Samira; Abedini, Atefeh; Lookzadeh, Somayeh; Rahmani, Hamid; Zoghi, Elnaz; Mohammadi, Keyhan; Sadeghipour, Pardis Parham; Abri, Homa; Tabrizi, Sanaz; Mousavian, Seyed Masoud; Shahmirzaei, Shaghayegh; Bakhshandeh, Hooman; Amin, Ahmad; Rafiee, Farnaz; Baghizadeh, Elahe; Mohebbi, Bahram; Parhizgar, Seyed Ehsan; Aliannejad, Rasoul; Eslami, Vahid; Kashefizadeh, Alireza; Kakavand, Hessam; Hosseini, Seyed Hossein; Shafaghi, Shadi; Ghazi, Samrand Fattah; Najafi, Atabak; Jimenez, David; Gupta, Aakriti; Madhavan, Mahesh V; Sethi, Sanjum S; Parikh, Sahil A; Monreal, Manuel; Hadavand, Naser; Hajighasemi, Alireza; Maleki, Majid; Sadeghian, Saeed; Piazza, Gregory; Kirtane, Ajay J; Van Tassell, Benjamin W; Dobesh, Paul P; Stone, Gregg W; Lip, Gregory Y H; Krumholz, Harlan M; Goldhaber, Samuel Z; Bikdeli, Behnood)\n\nFrom Duplicate 1 (Effect of Intermediate-Dose vs Standard-Dose Prophylactic Anticoagulation on Thrombotic Events, Extracorporeal Membrane Oxygenation Treatment, or Mortality among Patients with COVID-19 Admitted to the Intensive Care Unit: The INSPIRATION Randomized Clinical Trial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2021\n\nFrom Duplicate 2 (Effect of Intermediate-Dose vs Standard-Dose Prophylactic Anticoagulation on Thrombotic Events, Extracorporeal Membrane Oxygenation Treatment, or Mortality among Patients with COVID-19 Admitted to the Intensive Care Unit: The INSPIRATION Randomized Clinic - Sadeghipour, P; Talasaz, A H; Rashidi, F; Sharif-Kashani, B; Beigmohammadi, M T; Farrokhpour, M; Sezavar, S H; Payandemehr, P; Dabbagh, A; Moghadam, K G; Jamalkhani, S; Khalili, H; Yadollahzadeh, M; Riahi, T; Rezaeifar, P; Tahamtan, O; Matin, S; Abedini, A; Lookzadeh, S; Rahmani, H; Zoghi, E; Mohammadi, K; Sadeghipour, P; Abri, H; Tabrizi, S; Mousavian, S M; Shahmirzaei, S; Bakhshandeh, H; Amin, A; Rafiee, F; Baghizadeh, E; Mohebbi, B; Parhizgar, S E; Aliannejad, R; Eslami, V; Kashefizadeh, A; Kakavand, H; Hosseini, S H; Shafaghi, S; Ghazi, S F; Najafi, A; Jimenez, D; Gupta, A; Madhavan, M V; Sethi, S S; Parikh, S A; Monreal, M; Hadavand, N; Hajighasemi, A; Maleki, M; Sadeghian, S; Piazza, G; Kirtane, A J; Van Tassell, B W; Dobesh, P P; Stone, G W; Lip, G Y H; Krumholz, H M; Goldhaber, S Z; Bikdeli, B)\n\nCited By :58\n\nExport Date: 19 September 2021","page":"1620-1630","title":"Effect of Intermediate-Dose vs Standard-Dose Prophylactic Anticoagulation on Thrombotic Events, Extracorporeal Membrane Oxygenation Treatment, or Mortality among Patients with COVID-19 Admitted to the Intensive Care Unit: The INSPIRATION Randomized Clinic","type":"article-journal","volume":"325"},"uris":["http://www.mendeley.com/documents/?uuid=fef9cf67-bdfb-4d87-ab2f-800ebfb6ea26"]}],"mendeley":{"formattedCitation":"[1]","plainTextFormattedCitation":"[1]","previouslyFormattedCitation":"[1]"},"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[1]</w:t>
            </w:r>
            <w:r w:rsidRPr="00F24D16">
              <w:rPr>
                <w:rFonts w:ascii="Arial" w:eastAsia="Times New Roman" w:hAnsi="Arial" w:cs="Arial"/>
                <w:b/>
                <w:bCs/>
                <w:color w:val="000000"/>
                <w:sz w:val="20"/>
                <w:szCs w:val="20"/>
                <w:lang w:eastAsia="en-GB"/>
              </w:rPr>
              <w:fldChar w:fldCharType="end"/>
            </w:r>
          </w:p>
          <w:p w14:paraId="5C0AE2A1" w14:textId="77777777" w:rsidR="00F24D16" w:rsidRDefault="00F24D16" w:rsidP="00F24D16">
            <w:pPr>
              <w:rPr>
                <w:rFonts w:ascii="Arial" w:eastAsia="Times New Roman" w:hAnsi="Arial" w:cs="Arial"/>
                <w:b/>
                <w:bCs/>
                <w:color w:val="000000"/>
                <w:sz w:val="20"/>
                <w:szCs w:val="20"/>
                <w:lang w:eastAsia="en-GB"/>
              </w:rPr>
            </w:pPr>
          </w:p>
          <w:p w14:paraId="37FE1F48" w14:textId="55B6ACAA" w:rsidR="00F24D16" w:rsidRPr="00F24D16" w:rsidRDefault="00F24D16" w:rsidP="00F24D16">
            <w:pPr>
              <w:rPr>
                <w:rFonts w:ascii="Arial" w:hAnsi="Arial" w:cs="Arial"/>
                <w:b/>
                <w:bCs/>
                <w:sz w:val="20"/>
                <w:szCs w:val="20"/>
              </w:rPr>
            </w:pPr>
          </w:p>
        </w:tc>
        <w:tc>
          <w:tcPr>
            <w:tcW w:w="506" w:type="pct"/>
          </w:tcPr>
          <w:p w14:paraId="4119E003" w14:textId="642FFE7F"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64473" behindDoc="0" locked="0" layoutInCell="1" allowOverlap="1" wp14:anchorId="204342A7" wp14:editId="4F60C574">
                      <wp:simplePos x="0" y="0"/>
                      <wp:positionH relativeFrom="column">
                        <wp:posOffset>1270</wp:posOffset>
                      </wp:positionH>
                      <wp:positionV relativeFrom="paragraph">
                        <wp:posOffset>7620</wp:posOffset>
                      </wp:positionV>
                      <wp:extent cx="161925" cy="1714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322D57" id="Rectangle: Rounded Corners 6" o:spid="_x0000_s1026" style="position:absolute;margin-left:.1pt;margin-top:.6pt;width:12.75pt;height:13.5pt;z-index:2516644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" fillcolor="#00b050" strokecolor="#1f3763 [1604]" strokeweight="1pt">
                      <v:stroke joinstyle="miter"/>
                    </v:roundrect>
                  </w:pict>
                </mc:Fallback>
              </mc:AlternateContent>
            </w:r>
          </w:p>
        </w:tc>
        <w:tc>
          <w:tcPr>
            <w:tcW w:w="783" w:type="pct"/>
          </w:tcPr>
          <w:p w14:paraId="18B39F38" w14:textId="03CA0116"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2665" behindDoc="0" locked="0" layoutInCell="1" allowOverlap="1" wp14:anchorId="779865CB" wp14:editId="2C86192B">
                      <wp:simplePos x="0" y="0"/>
                      <wp:positionH relativeFrom="column">
                        <wp:posOffset>-635</wp:posOffset>
                      </wp:positionH>
                      <wp:positionV relativeFrom="paragraph">
                        <wp:posOffset>7620</wp:posOffset>
                      </wp:positionV>
                      <wp:extent cx="161925" cy="1714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140465" id="Rectangle: Rounded Corners 14" o:spid="_x0000_s1026" style="position:absolute;margin-left:-.05pt;margin-top:.6pt;width:12.75pt;height:13.5pt;z-index:2516726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" fillcolor="#00b050" strokecolor="#1f3763 [1604]" strokeweight="1pt">
                      <v:stroke joinstyle="miter"/>
                    </v:roundrect>
                  </w:pict>
                </mc:Fallback>
              </mc:AlternateContent>
            </w:r>
          </w:p>
        </w:tc>
        <w:tc>
          <w:tcPr>
            <w:tcW w:w="783" w:type="pct"/>
          </w:tcPr>
          <w:p w14:paraId="3DEFEFCD" w14:textId="0EB7562B"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5673" behindDoc="0" locked="0" layoutInCell="1" allowOverlap="1" wp14:anchorId="2A716E1D" wp14:editId="5C9A14BE">
                      <wp:simplePos x="0" y="0"/>
                      <wp:positionH relativeFrom="column">
                        <wp:posOffset>-2540</wp:posOffset>
                      </wp:positionH>
                      <wp:positionV relativeFrom="paragraph">
                        <wp:posOffset>7620</wp:posOffset>
                      </wp:positionV>
                      <wp:extent cx="161925" cy="171450"/>
                      <wp:effectExtent l="0" t="0" r="28575" b="19050"/>
                      <wp:wrapNone/>
                      <wp:docPr id="56" name="Rectangle: Rounded Corners 5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D5FE16" id="Rectangle: Rounded Corners 56" o:spid="_x0000_s1026" style="position:absolute;margin-left:-.2pt;margin-top:.6pt;width:12.75pt;height:13.5pt;z-index:2517156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" fillcolor="#00b050" strokecolor="#1f3763 [1604]" strokeweight="1pt">
                      <v:stroke joinstyle="miter"/>
                    </v:roundrect>
                  </w:pict>
                </mc:Fallback>
              </mc:AlternateContent>
            </w:r>
          </w:p>
        </w:tc>
        <w:tc>
          <w:tcPr>
            <w:tcW w:w="507" w:type="pct"/>
          </w:tcPr>
          <w:p w14:paraId="38CF57C0" w14:textId="28C1520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8025" behindDoc="0" locked="0" layoutInCell="1" allowOverlap="1" wp14:anchorId="1B7578E5" wp14:editId="04AB9734">
                      <wp:simplePos x="0" y="0"/>
                      <wp:positionH relativeFrom="column">
                        <wp:posOffset>-4445</wp:posOffset>
                      </wp:positionH>
                      <wp:positionV relativeFrom="paragraph">
                        <wp:posOffset>7620</wp:posOffset>
                      </wp:positionV>
                      <wp:extent cx="161925" cy="171450"/>
                      <wp:effectExtent l="0" t="0" r="28575" b="19050"/>
                      <wp:wrapNone/>
                      <wp:docPr id="29" name="Rectangle: Rounded Corners 2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37195" id="Rectangle: Rounded Corners 29" o:spid="_x0000_s1026" style="position:absolute;margin-left:-.35pt;margin-top:.6pt;width:12.75pt;height:13.5pt;z-index:2516880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" fillcolor="#00b050" strokecolor="#1f3763 [1604]" strokeweight="1pt">
                      <v:stroke joinstyle="miter"/>
                    </v:roundrect>
                  </w:pict>
                </mc:Fallback>
              </mc:AlternateContent>
            </w:r>
          </w:p>
        </w:tc>
        <w:tc>
          <w:tcPr>
            <w:tcW w:w="599" w:type="pct"/>
          </w:tcPr>
          <w:p w14:paraId="05663725" w14:textId="53C33733"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7241" behindDoc="0" locked="0" layoutInCell="1" allowOverlap="1" wp14:anchorId="0329874F" wp14:editId="6B3884C3">
                      <wp:simplePos x="0" y="0"/>
                      <wp:positionH relativeFrom="column">
                        <wp:posOffset>-6985</wp:posOffset>
                      </wp:positionH>
                      <wp:positionV relativeFrom="paragraph">
                        <wp:posOffset>7620</wp:posOffset>
                      </wp:positionV>
                      <wp:extent cx="161925" cy="171450"/>
                      <wp:effectExtent l="0" t="0" r="28575" b="19050"/>
                      <wp:wrapNone/>
                      <wp:docPr id="38" name="Rectangle: Rounded Corners 3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D01866" id="Rectangle: Rounded Corners 38" o:spid="_x0000_s1026" style="position:absolute;margin-left:-.55pt;margin-top:.6pt;width:12.75pt;height:13.5pt;z-index:251697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" fillcolor="#00b050" strokecolor="#1f3763 [1604]" strokeweight="1pt">
                      <v:stroke joinstyle="miter"/>
                    </v:roundrect>
                  </w:pict>
                </mc:Fallback>
              </mc:AlternateContent>
            </w:r>
          </w:p>
        </w:tc>
        <w:tc>
          <w:tcPr>
            <w:tcW w:w="553" w:type="pct"/>
          </w:tcPr>
          <w:p w14:paraId="3D5E4A7A" w14:textId="6E24F3A3"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2361" behindDoc="0" locked="0" layoutInCell="1" allowOverlap="1" wp14:anchorId="1AA3B77E" wp14:editId="15C3193E">
                      <wp:simplePos x="0" y="0"/>
                      <wp:positionH relativeFrom="column">
                        <wp:posOffset>0</wp:posOffset>
                      </wp:positionH>
                      <wp:positionV relativeFrom="paragraph">
                        <wp:posOffset>7620</wp:posOffset>
                      </wp:positionV>
                      <wp:extent cx="161925" cy="171450"/>
                      <wp:effectExtent l="0" t="0" r="28575" b="19050"/>
                      <wp:wrapNone/>
                      <wp:docPr id="43" name="Rectangle: Rounded Corners 4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A3BB9A" id="Rectangle: Rounded Corners 43" o:spid="_x0000_s1026" style="position:absolute;margin-left:0;margin-top:.6pt;width:12.75pt;height:13.5pt;z-index:2517023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" fillcolor="#00b050" strokecolor="#1f3763 [1604]" strokeweight="1pt">
                      <v:stroke joinstyle="miter"/>
                    </v:roundrect>
                  </w:pict>
                </mc:Fallback>
              </mc:AlternateContent>
            </w:r>
          </w:p>
        </w:tc>
        <w:tc>
          <w:tcPr>
            <w:tcW w:w="303" w:type="pct"/>
          </w:tcPr>
          <w:p w14:paraId="655C0176" w14:textId="0EC75B8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1577" behindDoc="0" locked="0" layoutInCell="1" allowOverlap="1" wp14:anchorId="110E3FA7" wp14:editId="6AACB0B3">
                      <wp:simplePos x="0" y="0"/>
                      <wp:positionH relativeFrom="column">
                        <wp:posOffset>-2540</wp:posOffset>
                      </wp:positionH>
                      <wp:positionV relativeFrom="paragraph">
                        <wp:posOffset>7620</wp:posOffset>
                      </wp:positionV>
                      <wp:extent cx="161925" cy="171450"/>
                      <wp:effectExtent l="0" t="0" r="28575" b="19050"/>
                      <wp:wrapNone/>
                      <wp:docPr id="52" name="Rectangle: Rounded Corners 5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8CA52A" id="Rectangle: Rounded Corners 52" o:spid="_x0000_s1026" style="position:absolute;margin-left:-.2pt;margin-top:.6pt;width:12.75pt;height:13.5pt;z-index:2517115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" fillcolor="#00b050" strokecolor="#1f3763 [1604]" strokeweight="1pt">
                      <v:stroke joinstyle="miter"/>
                    </v:roundrect>
                  </w:pict>
                </mc:Fallback>
              </mc:AlternateContent>
            </w:r>
          </w:p>
        </w:tc>
      </w:tr>
      <w:tr w:rsidR="00F24D16" w14:paraId="311EF395" w14:textId="77777777" w:rsidTr="00B44341">
        <w:tc>
          <w:tcPr>
            <w:tcW w:w="966" w:type="pct"/>
          </w:tcPr>
          <w:p w14:paraId="27CF9D67" w14:textId="3D0C6C48" w:rsidR="00F24D16" w:rsidRPr="00F24D16" w:rsidRDefault="00F24D16" w:rsidP="00F24D16">
            <w:pPr>
              <w:rPr>
                <w:rFonts w:ascii="Arial" w:hAnsi="Arial" w:cs="Arial"/>
                <w:b/>
                <w:bCs/>
                <w:sz w:val="20"/>
                <w:szCs w:val="20"/>
              </w:rPr>
            </w:pPr>
            <w:r w:rsidRPr="00445DBD">
              <w:rPr>
                <w:rFonts w:ascii="Arial" w:eastAsia="Times New Roman" w:hAnsi="Arial" w:cs="Arial"/>
                <w:b/>
                <w:bCs/>
                <w:color w:val="000000"/>
                <w:sz w:val="18"/>
                <w:szCs w:val="18"/>
                <w:lang w:eastAsia="en-GB"/>
              </w:rPr>
              <w:t>REMAP-CAP, ACTIV-4a and ATTACC</w:t>
            </w:r>
            <w:r w:rsidRPr="00445DBD">
              <w:rPr>
                <w:rFonts w:ascii="Arial" w:eastAsia="Times New Roman" w:hAnsi="Arial" w:cs="Arial"/>
                <w:b/>
                <w:bCs/>
                <w:color w:val="000000"/>
                <w:sz w:val="18"/>
                <w:szCs w:val="18"/>
                <w:lang w:eastAsia="en-GB"/>
              </w:rPr>
              <w:br/>
              <w:t xml:space="preserve">(non-critically ill) (21 </w:t>
            </w:r>
            <w:r w:rsidR="00445DBD" w:rsidRPr="00445DBD">
              <w:rPr>
                <w:rFonts w:ascii="Arial" w:eastAsia="Times New Roman" w:hAnsi="Arial" w:cs="Arial"/>
                <w:b/>
                <w:bCs/>
                <w:color w:val="000000"/>
                <w:sz w:val="18"/>
                <w:szCs w:val="18"/>
                <w:lang w:eastAsia="en-GB"/>
              </w:rPr>
              <w:t>d</w:t>
            </w:r>
            <w:r w:rsidRPr="00445DBD">
              <w:rPr>
                <w:rFonts w:ascii="Arial" w:eastAsia="Times New Roman" w:hAnsi="Arial" w:cs="Arial"/>
                <w:b/>
                <w:bCs/>
                <w:color w:val="000000"/>
                <w:sz w:val="18"/>
                <w:szCs w:val="18"/>
                <w:lang w:eastAsia="en-GB"/>
              </w:rPr>
              <w:t>ays)</w:t>
            </w:r>
            <w:r w:rsidRPr="00445DBD">
              <w:rPr>
                <w:rFonts w:ascii="Arial" w:eastAsia="Times New Roman" w:hAnsi="Arial" w:cs="Arial"/>
                <w:b/>
                <w:bCs/>
                <w:color w:val="000000"/>
                <w:sz w:val="18"/>
                <w:szCs w:val="18"/>
                <w:lang w:eastAsia="en-GB"/>
              </w:rPr>
              <w:fldChar w:fldCharType="begin" w:fldLock="1"/>
            </w:r>
            <w:r w:rsidRPr="00445DBD">
              <w:rPr>
                <w:rFonts w:ascii="Arial" w:eastAsia="Times New Roman" w:hAnsi="Arial" w:cs="Arial"/>
                <w:b/>
                <w:bCs/>
                <w:color w:val="000000"/>
                <w:sz w:val="18"/>
                <w:szCs w:val="18"/>
                <w:lang w:eastAsia="en-GB"/>
              </w:rPr>
              <w:instrText>ADDIN CSL_CITATION {"citationItems":[{"id":"ITEM-1","itemData":{"DOI":"10.1056/nejmoa2105911","ISSN":"0028-4793","author":[{"dropping-particle":"","family":"The REMAP-CAP, ACTIV-4a","given":"and ATTACC Investigators*","non-dropping-particle":"","parse-names":false,"suffix":""}],"container-title":"New England Journal of Medicine","id":"ITEM-1","issued":{"date-parts":[["2021"]]},"page":"1-13","title":"Therapeutic Anticoagulation with Heparin in Noncritically Ill Patients with Covid-19","type":"article-journal"},"uris":["http://www.mendeley.com/documents/?uuid=372f90c6-5c58-45e1-9d3b-8244a6a389bb"]}],"mendeley":{"formattedCitation":"[2]","plainTextFormattedCitation":"[2]","previouslyFormattedCitation":"[2]"},"properties":{"noteIndex":0},"schema":"https://github.com/citation-style-language/schema/raw/master/csl-citation.json"}</w:instrText>
            </w:r>
            <w:r w:rsidRPr="00445DBD">
              <w:rPr>
                <w:rFonts w:ascii="Arial" w:eastAsia="Times New Roman" w:hAnsi="Arial" w:cs="Arial"/>
                <w:b/>
                <w:bCs/>
                <w:color w:val="000000"/>
                <w:sz w:val="18"/>
                <w:szCs w:val="18"/>
                <w:lang w:eastAsia="en-GB"/>
              </w:rPr>
              <w:fldChar w:fldCharType="separate"/>
            </w:r>
            <w:r w:rsidRPr="00445DBD">
              <w:rPr>
                <w:rFonts w:ascii="Arial" w:eastAsia="Times New Roman" w:hAnsi="Arial" w:cs="Arial"/>
                <w:b/>
                <w:bCs/>
                <w:noProof/>
                <w:color w:val="000000"/>
                <w:sz w:val="18"/>
                <w:szCs w:val="18"/>
                <w:lang w:eastAsia="en-GB"/>
              </w:rPr>
              <w:t>[2]</w:t>
            </w:r>
            <w:r w:rsidRPr="00445DBD">
              <w:rPr>
                <w:rFonts w:ascii="Arial" w:eastAsia="Times New Roman" w:hAnsi="Arial" w:cs="Arial"/>
                <w:b/>
                <w:bCs/>
                <w:color w:val="000000"/>
                <w:sz w:val="18"/>
                <w:szCs w:val="18"/>
                <w:lang w:eastAsia="en-GB"/>
              </w:rPr>
              <w:fldChar w:fldCharType="end"/>
            </w:r>
          </w:p>
        </w:tc>
        <w:tc>
          <w:tcPr>
            <w:tcW w:w="506" w:type="pct"/>
          </w:tcPr>
          <w:p w14:paraId="3FD63200" w14:textId="61049A24"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65497" behindDoc="0" locked="0" layoutInCell="1" allowOverlap="1" wp14:anchorId="089A46A6" wp14:editId="2195138A">
                      <wp:simplePos x="0" y="0"/>
                      <wp:positionH relativeFrom="column">
                        <wp:posOffset>1270</wp:posOffset>
                      </wp:positionH>
                      <wp:positionV relativeFrom="paragraph">
                        <wp:posOffset>3810</wp:posOffset>
                      </wp:positionV>
                      <wp:extent cx="161925" cy="17145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23396" id="Rectangle: Rounded Corners 7" o:spid="_x0000_s1026" style="position:absolute;margin-left:.1pt;margin-top:.3pt;width:12.75pt;height:13.5pt;z-index:2516654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" fillcolor="#00b050" strokecolor="#1f3763 [1604]" strokeweight="1pt">
                      <v:stroke joinstyle="miter"/>
                    </v:roundrect>
                  </w:pict>
                </mc:Fallback>
              </mc:AlternateContent>
            </w:r>
          </w:p>
        </w:tc>
        <w:tc>
          <w:tcPr>
            <w:tcW w:w="783" w:type="pct"/>
          </w:tcPr>
          <w:p w14:paraId="1749111B" w14:textId="458FB241"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3689" behindDoc="0" locked="0" layoutInCell="1" allowOverlap="1" wp14:anchorId="34B64640" wp14:editId="4FB1C889">
                      <wp:simplePos x="0" y="0"/>
                      <wp:positionH relativeFrom="column">
                        <wp:posOffset>-635</wp:posOffset>
                      </wp:positionH>
                      <wp:positionV relativeFrom="paragraph">
                        <wp:posOffset>3810</wp:posOffset>
                      </wp:positionV>
                      <wp:extent cx="161925" cy="17145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EF5A0D" id="Rectangle: Rounded Corners 15" o:spid="_x0000_s1026" style="position:absolute;margin-left:-.05pt;margin-top:.3pt;width:12.75pt;height:13.5pt;z-index:2516736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IT2eR2QAAAAQB&#10;AAAPAAAAZHJzL2Rvd25yZXYueG1sTI5BS8NAFITvgv9heYKX0m5aYtrGbIoUvAliK5632WcS3H0b&#10;djdp/Pc+T3oahhlmvuowOysmDLH3pGC9ykAgNd701Cp4Pz8vdyBi0mS09YQKvjHCob69qXRp/JXe&#10;cDqlVvAIxVIr6FIaSilj06HTceUHJM4+fXA6sQ2tNEFfedxZucmyQjrdEz90esBjh83XaXQKpuwF&#10;Fy7ffuSL/etoxnBspO2Vur+bnx5BJJzTXxl+8Rkdama6+JFMFFbBcs1FBQUIDjcPOYgL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MhPZ5HZAAAABAEAAA8AAAAAAAAA&#10;AAAAAAAAzgQAAGRycy9kb3ducmV2LnhtbFBLBQYAAAAABAAEAPMAAADUBQAAAAA=&#10;" fillcolor="#00b050" strokecolor="#1f3763 [1604]" strokeweight="1pt">
                      <v:stroke joinstyle="miter"/>
                    </v:roundrect>
                  </w:pict>
                </mc:Fallback>
              </mc:AlternateContent>
            </w:r>
          </w:p>
        </w:tc>
        <w:tc>
          <w:tcPr>
            <w:tcW w:w="783" w:type="pct"/>
          </w:tcPr>
          <w:p w14:paraId="6921E9E2" w14:textId="7527CC57"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41273" behindDoc="0" locked="0" layoutInCell="1" allowOverlap="1" wp14:anchorId="12D70C8F" wp14:editId="5F09939A">
                      <wp:simplePos x="0" y="0"/>
                      <wp:positionH relativeFrom="column">
                        <wp:posOffset>-1905</wp:posOffset>
                      </wp:positionH>
                      <wp:positionV relativeFrom="paragraph">
                        <wp:posOffset>6350</wp:posOffset>
                      </wp:positionV>
                      <wp:extent cx="161925" cy="171450"/>
                      <wp:effectExtent l="0" t="0" r="28575" b="19050"/>
                      <wp:wrapNone/>
                      <wp:docPr id="69" name="Rectangle: Rounded Corners 6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FB80E" id="Rectangle: Rounded Corners 69" o:spid="_x0000_s1026" style="position:absolute;margin-left:-.15pt;margin-top:.5pt;width:12.75pt;height:13.5pt;z-index:2517412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" fillcolor="yellow" strokecolor="#1f3763 [1604]" strokeweight="1pt">
                      <v:stroke joinstyle="miter"/>
                    </v:roundrect>
                  </w:pict>
                </mc:Fallback>
              </mc:AlternateContent>
            </w:r>
          </w:p>
        </w:tc>
        <w:tc>
          <w:tcPr>
            <w:tcW w:w="507" w:type="pct"/>
          </w:tcPr>
          <w:p w14:paraId="55168254" w14:textId="0B7A997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9049" behindDoc="0" locked="0" layoutInCell="1" allowOverlap="1" wp14:anchorId="795D5F03" wp14:editId="0E12E390">
                      <wp:simplePos x="0" y="0"/>
                      <wp:positionH relativeFrom="column">
                        <wp:posOffset>-4445</wp:posOffset>
                      </wp:positionH>
                      <wp:positionV relativeFrom="paragraph">
                        <wp:posOffset>3810</wp:posOffset>
                      </wp:positionV>
                      <wp:extent cx="161925" cy="171450"/>
                      <wp:effectExtent l="0" t="0" r="28575" b="19050"/>
                      <wp:wrapNone/>
                      <wp:docPr id="30" name="Rectangle: Rounded Corners 3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BED2B0" id="Rectangle: Rounded Corners 30" o:spid="_x0000_s1026" style="position:absolute;margin-left:-.35pt;margin-top:.3pt;width:12.75pt;height:13.5pt;z-index:2516890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" fillcolor="#00b050" strokecolor="#1f3763 [1604]" strokeweight="1pt">
                      <v:stroke joinstyle="miter"/>
                    </v:roundrect>
                  </w:pict>
                </mc:Fallback>
              </mc:AlternateContent>
            </w:r>
          </w:p>
        </w:tc>
        <w:tc>
          <w:tcPr>
            <w:tcW w:w="599" w:type="pct"/>
          </w:tcPr>
          <w:p w14:paraId="5B92BAB0" w14:textId="5E2AE8F5"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1817" behindDoc="0" locked="0" layoutInCell="1" allowOverlap="1" wp14:anchorId="2F37E3B5" wp14:editId="0E277564">
                      <wp:simplePos x="0" y="0"/>
                      <wp:positionH relativeFrom="column">
                        <wp:posOffset>-6985</wp:posOffset>
                      </wp:positionH>
                      <wp:positionV relativeFrom="paragraph">
                        <wp:posOffset>3810</wp:posOffset>
                      </wp:positionV>
                      <wp:extent cx="161925" cy="171450"/>
                      <wp:effectExtent l="0" t="0" r="28575" b="19050"/>
                      <wp:wrapNone/>
                      <wp:docPr id="63" name="Rectangle: Rounded Corners 6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1ABA54" id="Rectangle: Rounded Corners 63" o:spid="_x0000_s1026" style="position:absolute;margin-left:-.55pt;margin-top:.3pt;width:12.75pt;height:13.5pt;z-index:2517218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" fillcolor="red" strokecolor="#1f3763 [1604]" strokeweight="1pt">
                      <v:stroke joinstyle="miter"/>
                    </v:roundrect>
                  </w:pict>
                </mc:Fallback>
              </mc:AlternateContent>
            </w:r>
          </w:p>
        </w:tc>
        <w:tc>
          <w:tcPr>
            <w:tcW w:w="553" w:type="pct"/>
          </w:tcPr>
          <w:p w14:paraId="2710DA8A" w14:textId="2386272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3385" behindDoc="0" locked="0" layoutInCell="1" allowOverlap="1" wp14:anchorId="6C99A6C9" wp14:editId="5DA06B1F">
                      <wp:simplePos x="0" y="0"/>
                      <wp:positionH relativeFrom="column">
                        <wp:posOffset>0</wp:posOffset>
                      </wp:positionH>
                      <wp:positionV relativeFrom="paragraph">
                        <wp:posOffset>3810</wp:posOffset>
                      </wp:positionV>
                      <wp:extent cx="161925" cy="171450"/>
                      <wp:effectExtent l="0" t="0" r="28575" b="19050"/>
                      <wp:wrapNone/>
                      <wp:docPr id="44" name="Rectangle: Rounded Corners 4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F93773" id="Rectangle: Rounded Corners 44" o:spid="_x0000_s1026" style="position:absolute;margin-left:0;margin-top:.3pt;width:12.75pt;height:13.5pt;z-index:2517033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" fillcolor="#00b050" strokecolor="#1f3763 [1604]" strokeweight="1pt">
                      <v:stroke joinstyle="miter"/>
                    </v:roundrect>
                  </w:pict>
                </mc:Fallback>
              </mc:AlternateContent>
            </w:r>
          </w:p>
        </w:tc>
        <w:tc>
          <w:tcPr>
            <w:tcW w:w="303" w:type="pct"/>
          </w:tcPr>
          <w:p w14:paraId="4C9CA97D" w14:textId="4EA394E9"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42297" behindDoc="0" locked="0" layoutInCell="1" allowOverlap="1" wp14:anchorId="74947B38" wp14:editId="7F48059B">
                      <wp:simplePos x="0" y="0"/>
                      <wp:positionH relativeFrom="column">
                        <wp:posOffset>1270</wp:posOffset>
                      </wp:positionH>
                      <wp:positionV relativeFrom="paragraph">
                        <wp:posOffset>6350</wp:posOffset>
                      </wp:positionV>
                      <wp:extent cx="161925" cy="171450"/>
                      <wp:effectExtent l="0" t="0" r="28575" b="19050"/>
                      <wp:wrapNone/>
                      <wp:docPr id="72" name="Rectangle: Rounded Corners 7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9280AE" id="Rectangle: Rounded Corners 72" o:spid="_x0000_s1026" style="position:absolute;margin-left:.1pt;margin-top:.5pt;width:12.75pt;height:13.5pt;z-index:2517422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" fillcolor="yellow" strokecolor="#1f3763 [1604]" strokeweight="1pt">
                      <v:stroke joinstyle="miter"/>
                    </v:roundrect>
                  </w:pict>
                </mc:Fallback>
              </mc:AlternateContent>
            </w:r>
          </w:p>
        </w:tc>
      </w:tr>
      <w:tr w:rsidR="00F24D16" w14:paraId="3DA042AB" w14:textId="77777777" w:rsidTr="00B44341">
        <w:tc>
          <w:tcPr>
            <w:tcW w:w="966" w:type="pct"/>
          </w:tcPr>
          <w:p w14:paraId="6DB15502" w14:textId="48CF9EF8" w:rsidR="00F24D16" w:rsidRPr="00F24D16" w:rsidRDefault="00F24D16" w:rsidP="00445DBD">
            <w:pPr>
              <w:rPr>
                <w:rFonts w:ascii="Arial" w:hAnsi="Arial" w:cs="Arial"/>
                <w:b/>
                <w:bCs/>
                <w:sz w:val="20"/>
                <w:szCs w:val="20"/>
              </w:rPr>
            </w:pPr>
            <w:r w:rsidRPr="00F24D16">
              <w:rPr>
                <w:rFonts w:ascii="Arial" w:eastAsia="Times New Roman" w:hAnsi="Arial" w:cs="Arial"/>
                <w:b/>
                <w:bCs/>
                <w:color w:val="000000"/>
                <w:sz w:val="20"/>
                <w:szCs w:val="20"/>
                <w:lang w:eastAsia="en-GB"/>
              </w:rPr>
              <w:t>REMAP-CAP, ACTIV-4a and ATTACC</w:t>
            </w:r>
            <w:r w:rsidRPr="00F24D16">
              <w:rPr>
                <w:rFonts w:ascii="Arial" w:eastAsia="Times New Roman" w:hAnsi="Arial" w:cs="Arial"/>
                <w:b/>
                <w:bCs/>
                <w:color w:val="000000"/>
                <w:sz w:val="20"/>
                <w:szCs w:val="20"/>
                <w:lang w:eastAsia="en-GB"/>
              </w:rPr>
              <w:br/>
              <w:t>(critically ill) (21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mendeley":{"formattedCitation":"[3]","plainTextFormattedCitation":"[3]","previouslyFormattedCitation":"[3]"},"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[3]</w:t>
            </w:r>
            <w:r w:rsidRPr="00F24D16">
              <w:rPr>
                <w:rFonts w:ascii="Arial" w:eastAsia="Times New Roman" w:hAnsi="Arial" w:cs="Arial"/>
                <w:b/>
                <w:bCs/>
                <w:color w:val="000000"/>
                <w:sz w:val="20"/>
                <w:szCs w:val="20"/>
                <w:lang w:eastAsia="en-GB"/>
              </w:rPr>
              <w:fldChar w:fldCharType="end"/>
            </w:r>
          </w:p>
        </w:tc>
        <w:tc>
          <w:tcPr>
            <w:tcW w:w="506" w:type="pct"/>
          </w:tcPr>
          <w:p w14:paraId="0B73666F" w14:textId="7E9F5D2B"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66521" behindDoc="0" locked="0" layoutInCell="1" allowOverlap="1" wp14:anchorId="42C63FC5" wp14:editId="4A8939DD">
                      <wp:simplePos x="0" y="0"/>
                      <wp:positionH relativeFrom="column">
                        <wp:posOffset>1270</wp:posOffset>
                      </wp:positionH>
                      <wp:positionV relativeFrom="paragraph">
                        <wp:posOffset>3810</wp:posOffset>
                      </wp:positionV>
                      <wp:extent cx="161925" cy="17145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76D64D" id="Rectangle: Rounded Corners 8" o:spid="_x0000_s1026" style="position:absolute;margin-left:.1pt;margin-top:.3pt;width:12.75pt;height:13.5pt;z-index:2516665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" fillcolor="#00b050" strokecolor="#1f3763 [1604]" strokeweight="1pt">
                      <v:stroke joinstyle="miter"/>
                    </v:roundrect>
                  </w:pict>
                </mc:Fallback>
              </mc:AlternateContent>
            </w:r>
          </w:p>
        </w:tc>
        <w:tc>
          <w:tcPr>
            <w:tcW w:w="783" w:type="pct"/>
          </w:tcPr>
          <w:p w14:paraId="652D78DA" w14:textId="0C90777C"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4713" behindDoc="0" locked="0" layoutInCell="1" allowOverlap="1" wp14:anchorId="1D449668" wp14:editId="6B4ADCC2">
                      <wp:simplePos x="0" y="0"/>
                      <wp:positionH relativeFrom="column">
                        <wp:posOffset>-635</wp:posOffset>
                      </wp:positionH>
                      <wp:positionV relativeFrom="paragraph">
                        <wp:posOffset>3810</wp:posOffset>
                      </wp:positionV>
                      <wp:extent cx="161925" cy="1714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AA9132" id="Rectangle: Rounded Corners 16" o:spid="_x0000_s1026" style="position:absolute;margin-left:-.05pt;margin-top:.3pt;width:12.75pt;height:13.5pt;z-index:2516747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IT2eR2QAAAAQB&#10;AAAPAAAAZHJzL2Rvd25yZXYueG1sTI5BS8NAFITvgv9heYKX0m5aYtrGbIoUvAliK5632WcS3H0b&#10;djdp/Pc+T3oahhlmvuowOysmDLH3pGC9ykAgNd701Cp4Pz8vdyBi0mS09YQKvjHCob69qXRp/JXe&#10;cDqlVvAIxVIr6FIaSilj06HTceUHJM4+fXA6sQ2tNEFfedxZucmyQjrdEz90esBjh83XaXQKpuwF&#10;Fy7ffuSL/etoxnBspO2Vur+bnx5BJJzTXxl+8Rkdama6+JFMFFbBcs1FBQUIDjcPOYgL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MhPZ5HZAAAABAEAAA8AAAAAAAAA&#10;AAAAAAAAzgQAAGRycy9kb3ducmV2LnhtbFBLBQYAAAAABAAEAPMAAADUBQAAAAA=&#10;" fillcolor="#00b050" strokecolor="#1f3763 [1604]" strokeweight="1pt">
                      <v:stroke joinstyle="miter"/>
                    </v:roundrect>
                  </w:pict>
                </mc:Fallback>
              </mc:AlternateContent>
            </w:r>
          </w:p>
        </w:tc>
        <w:tc>
          <w:tcPr>
            <w:tcW w:w="783" w:type="pct"/>
          </w:tcPr>
          <w:p w14:paraId="1C823CCE" w14:textId="7A5DA43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7721" behindDoc="0" locked="0" layoutInCell="1" allowOverlap="1" wp14:anchorId="7572B31D" wp14:editId="4C4E6296">
                      <wp:simplePos x="0" y="0"/>
                      <wp:positionH relativeFrom="column">
                        <wp:posOffset>-2540</wp:posOffset>
                      </wp:positionH>
                      <wp:positionV relativeFrom="paragraph">
                        <wp:posOffset>3810</wp:posOffset>
                      </wp:positionV>
                      <wp:extent cx="161925" cy="171450"/>
                      <wp:effectExtent l="0" t="0" r="28575" b="19050"/>
                      <wp:wrapNone/>
                      <wp:docPr id="59" name="Rectangle: Rounded Corners 5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1BEAF" id="Rectangle: Rounded Corners 59" o:spid="_x0000_s1026" style="position:absolute;margin-left:-.2pt;margin-top:.3pt;width:12.75pt;height:13.5pt;z-index:2517177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" fillcolor="yellow" strokecolor="#1f3763 [1604]" strokeweight="1pt">
                      <v:stroke joinstyle="miter"/>
                    </v:roundrect>
                  </w:pict>
                </mc:Fallback>
              </mc:AlternateContent>
            </w:r>
          </w:p>
        </w:tc>
        <w:tc>
          <w:tcPr>
            <w:tcW w:w="507" w:type="pct"/>
          </w:tcPr>
          <w:p w14:paraId="4B637D1B" w14:textId="40018CE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0073" behindDoc="0" locked="0" layoutInCell="1" allowOverlap="1" wp14:anchorId="16868D33" wp14:editId="42E3A1DD">
                      <wp:simplePos x="0" y="0"/>
                      <wp:positionH relativeFrom="column">
                        <wp:posOffset>-4445</wp:posOffset>
                      </wp:positionH>
                      <wp:positionV relativeFrom="paragraph">
                        <wp:posOffset>3810</wp:posOffset>
                      </wp:positionV>
                      <wp:extent cx="161925" cy="171450"/>
                      <wp:effectExtent l="0" t="0" r="28575" b="19050"/>
                      <wp:wrapNone/>
                      <wp:docPr id="31" name="Rectangle: Rounded Corners 3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8E3E8" id="Rectangle: Rounded Corners 31" o:spid="_x0000_s1026" style="position:absolute;margin-left:-.35pt;margin-top:.3pt;width:12.75pt;height:13.5pt;z-index:2516900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" fillcolor="#00b050" strokecolor="#1f3763 [1604]" strokeweight="1pt">
                      <v:stroke joinstyle="miter"/>
                    </v:roundrect>
                  </w:pict>
                </mc:Fallback>
              </mc:AlternateContent>
            </w:r>
          </w:p>
        </w:tc>
        <w:tc>
          <w:tcPr>
            <w:tcW w:w="599" w:type="pct"/>
          </w:tcPr>
          <w:p w14:paraId="42C35F95" w14:textId="7486D1E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8265" behindDoc="0" locked="0" layoutInCell="1" allowOverlap="1" wp14:anchorId="7330774B" wp14:editId="255D5E60">
                      <wp:simplePos x="0" y="0"/>
                      <wp:positionH relativeFrom="column">
                        <wp:posOffset>-6985</wp:posOffset>
                      </wp:positionH>
                      <wp:positionV relativeFrom="paragraph">
                        <wp:posOffset>3810</wp:posOffset>
                      </wp:positionV>
                      <wp:extent cx="161925" cy="171450"/>
                      <wp:effectExtent l="0" t="0" r="28575" b="19050"/>
                      <wp:wrapNone/>
                      <wp:docPr id="39" name="Rectangle: Rounded Corners 3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EEC7E9" id="Rectangle: Rounded Corners 39" o:spid="_x0000_s1026" style="position:absolute;margin-left:-.55pt;margin-top:.3pt;width:12.75pt;height:13.5pt;z-index:2516982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" fillcolor="#00b050" strokecolor="#1f3763 [1604]" strokeweight="1pt">
                      <v:stroke joinstyle="miter"/>
                    </v:roundrect>
                  </w:pict>
                </mc:Fallback>
              </mc:AlternateContent>
            </w:r>
          </w:p>
        </w:tc>
        <w:tc>
          <w:tcPr>
            <w:tcW w:w="553" w:type="pct"/>
          </w:tcPr>
          <w:p w14:paraId="5C36AABF" w14:textId="3F54D9D1"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4409" behindDoc="0" locked="0" layoutInCell="1" allowOverlap="1" wp14:anchorId="35350885" wp14:editId="4E94B387">
                      <wp:simplePos x="0" y="0"/>
                      <wp:positionH relativeFrom="column">
                        <wp:posOffset>0</wp:posOffset>
                      </wp:positionH>
                      <wp:positionV relativeFrom="paragraph">
                        <wp:posOffset>3810</wp:posOffset>
                      </wp:positionV>
                      <wp:extent cx="161925" cy="171450"/>
                      <wp:effectExtent l="0" t="0" r="28575" b="19050"/>
                      <wp:wrapNone/>
                      <wp:docPr id="45" name="Rectangle: Rounded Corners 4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843B45" id="Rectangle: Rounded Corners 45" o:spid="_x0000_s1026" style="position:absolute;margin-left:0;margin-top:.3pt;width:12.75pt;height:13.5pt;z-index:2517044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" fillcolor="#00b050" strokecolor="#1f3763 [1604]" strokeweight="1pt">
                      <v:stroke joinstyle="miter"/>
                    </v:roundrect>
                  </w:pict>
                </mc:Fallback>
              </mc:AlternateContent>
            </w:r>
          </w:p>
        </w:tc>
        <w:tc>
          <w:tcPr>
            <w:tcW w:w="303" w:type="pct"/>
          </w:tcPr>
          <w:p w14:paraId="38415680" w14:textId="16E63B7C"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0793" behindDoc="0" locked="0" layoutInCell="1" allowOverlap="1" wp14:anchorId="1984CED4" wp14:editId="16FF5922">
                      <wp:simplePos x="0" y="0"/>
                      <wp:positionH relativeFrom="column">
                        <wp:posOffset>-2540</wp:posOffset>
                      </wp:positionH>
                      <wp:positionV relativeFrom="paragraph">
                        <wp:posOffset>3810</wp:posOffset>
                      </wp:positionV>
                      <wp:extent cx="161925" cy="171450"/>
                      <wp:effectExtent l="0" t="0" r="28575" b="19050"/>
                      <wp:wrapNone/>
                      <wp:docPr id="62" name="Rectangle: Rounded Corners 6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CFC322" id="Rectangle: Rounded Corners 62" o:spid="_x0000_s1026" style="position:absolute;margin-left:-.2pt;margin-top:.3pt;width:12.75pt;height:13.5pt;z-index:2517207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" fillcolor="yellow" strokecolor="#1f3763 [1604]" strokeweight="1pt">
                      <v:stroke joinstyle="miter"/>
                    </v:roundrect>
                  </w:pict>
                </mc:Fallback>
              </mc:AlternateContent>
            </w:r>
          </w:p>
        </w:tc>
      </w:tr>
      <w:tr w:rsidR="00F24D16" w14:paraId="3EA76D0C" w14:textId="77777777" w:rsidTr="00B44341">
        <w:tc>
          <w:tcPr>
            <w:tcW w:w="966" w:type="pct"/>
          </w:tcPr>
          <w:p w14:paraId="784E5B35" w14:textId="77777777"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RAPID (28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BMJ","id":"ITEM-1","issued":{"date-parts":[["2021"]]},"title":"Effectiveness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mendeley":{"formattedCitation":"[4]","plainTextFormattedCitation":"[4]","previouslyFormattedCitation":"[4]"},"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[4]</w:t>
            </w:r>
            <w:r w:rsidRPr="00F24D16">
              <w:rPr>
                <w:rFonts w:ascii="Arial" w:eastAsia="Times New Roman" w:hAnsi="Arial" w:cs="Arial"/>
                <w:b/>
                <w:bCs/>
                <w:color w:val="000000"/>
                <w:sz w:val="20"/>
                <w:szCs w:val="20"/>
                <w:lang w:eastAsia="en-GB"/>
              </w:rPr>
              <w:fldChar w:fldCharType="end"/>
            </w:r>
          </w:p>
          <w:p w14:paraId="3FE12983" w14:textId="77777777" w:rsidR="00445DBD" w:rsidRDefault="00445DBD" w:rsidP="00F24D16">
            <w:pPr>
              <w:rPr>
                <w:rFonts w:ascii="Arial" w:eastAsia="Times New Roman" w:hAnsi="Arial" w:cs="Arial"/>
                <w:b/>
                <w:bCs/>
                <w:color w:val="000000"/>
                <w:sz w:val="20"/>
                <w:szCs w:val="20"/>
                <w:lang w:eastAsia="en-GB"/>
              </w:rPr>
            </w:pPr>
          </w:p>
          <w:p w14:paraId="191D89A1" w14:textId="710DF79D" w:rsidR="00445DBD" w:rsidRPr="00F24D16" w:rsidRDefault="00445DBD" w:rsidP="00F24D16">
            <w:pPr>
              <w:rPr>
                <w:rFonts w:ascii="Arial" w:hAnsi="Arial" w:cs="Arial"/>
                <w:b/>
                <w:bCs/>
                <w:sz w:val="20"/>
                <w:szCs w:val="20"/>
              </w:rPr>
            </w:pPr>
          </w:p>
        </w:tc>
        <w:tc>
          <w:tcPr>
            <w:tcW w:w="506" w:type="pct"/>
          </w:tcPr>
          <w:p w14:paraId="5FCCF0F7" w14:textId="77777777" w:rsidR="00F24D16" w:rsidRDefault="00F24D16" w:rsidP="00F24D16">
            <w:pPr>
              <w:tabs>
                <w:tab w:val="center" w:pos="853"/>
              </w:tabs>
              <w:rPr>
                <w:rFonts w:ascii="Arial" w:hAnsi="Arial" w:cs="Arial"/>
                <w:b/>
                <w:bCs/>
              </w:rPr>
            </w:pPr>
            <w:r>
              <w:rPr>
                <w:rFonts w:ascii="Arial" w:hAnsi="Arial" w:cs="Arial"/>
                <w:b/>
                <w:bCs/>
                <w:noProof/>
              </w:rPr>
              <mc:AlternateContent>
                <mc:Choice Requires="wps">
                  <w:drawing>
                    <wp:anchor distT="0" distB="0" distL="114300" distR="114300" simplePos="0" relativeHeight="251667545" behindDoc="0" locked="0" layoutInCell="1" allowOverlap="1" wp14:anchorId="785903F3" wp14:editId="09F972CC">
                      <wp:simplePos x="0" y="0"/>
                      <wp:positionH relativeFrom="column">
                        <wp:posOffset>1270</wp:posOffset>
                      </wp:positionH>
                      <wp:positionV relativeFrom="paragraph">
                        <wp:posOffset>3810</wp:posOffset>
                      </wp:positionV>
                      <wp:extent cx="161925" cy="1714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A7B0D0" id="Rectangle: Rounded Corners 9" o:spid="_x0000_s1026" style="position:absolute;margin-left:.1pt;margin-top:.3pt;width:12.75pt;height:13.5pt;z-index:2516675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" fillcolor="#00b050" strokecolor="#1f3763 [1604]" strokeweight="1pt">
                      <v:stroke joinstyle="miter"/>
                    </v:roundrect>
                  </w:pict>
                </mc:Fallback>
              </mc:AlternateContent>
            </w:r>
            <w:r>
              <w:rPr>
                <w:rFonts w:ascii="Arial" w:hAnsi="Arial" w:cs="Arial"/>
                <w:b/>
                <w:bCs/>
              </w:rPr>
              <w:tab/>
            </w:r>
          </w:p>
          <w:p w14:paraId="482A6F9D" w14:textId="107B287D" w:rsidR="00F24D16" w:rsidRDefault="00F24D16" w:rsidP="00F24D16">
            <w:pPr>
              <w:tabs>
                <w:tab w:val="center" w:pos="853"/>
              </w:tabs>
              <w:rPr>
                <w:rFonts w:ascii="Arial" w:hAnsi="Arial" w:cs="Arial"/>
                <w:b/>
                <w:bCs/>
              </w:rPr>
            </w:pPr>
          </w:p>
        </w:tc>
        <w:tc>
          <w:tcPr>
            <w:tcW w:w="783" w:type="pct"/>
          </w:tcPr>
          <w:p w14:paraId="1F08BD8B" w14:textId="3155471F"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5737" behindDoc="0" locked="0" layoutInCell="1" allowOverlap="1" wp14:anchorId="2F962C5B" wp14:editId="2F306C76">
                      <wp:simplePos x="0" y="0"/>
                      <wp:positionH relativeFrom="column">
                        <wp:posOffset>-635</wp:posOffset>
                      </wp:positionH>
                      <wp:positionV relativeFrom="paragraph">
                        <wp:posOffset>3810</wp:posOffset>
                      </wp:positionV>
                      <wp:extent cx="161925" cy="17145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41B6E9" id="Rectangle: Rounded Corners 17" o:spid="_x0000_s1026" style="position:absolute;margin-left:-.05pt;margin-top:.3pt;width:12.75pt;height:13.5pt;z-index:2516757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IT2eR2QAAAAQB&#10;AAAPAAAAZHJzL2Rvd25yZXYueG1sTI5BS8NAFITvgv9heYKX0m5aYtrGbIoUvAliK5632WcS3H0b&#10;djdp/Pc+T3oahhlmvuowOysmDLH3pGC9ykAgNd701Cp4Pz8vdyBi0mS09YQKvjHCob69qXRp/JXe&#10;cDqlVvAIxVIr6FIaSilj06HTceUHJM4+fXA6sQ2tNEFfedxZucmyQjrdEz90esBjh83XaXQKpuwF&#10;Fy7ffuSL/etoxnBspO2Vur+bnx5BJJzTXxl+8Rkdama6+JFMFFbBcs1FBQUIDjcPOYgL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MhPZ5HZAAAABAEAAA8AAAAAAAAA&#10;AAAAAAAAzgQAAGRycy9kb3ducmV2LnhtbFBLBQYAAAAABAAEAPMAAADUBQAAAAA=&#10;" fillcolor="#00b050" strokecolor="#1f3763 [1604]" strokeweight="1pt">
                      <v:stroke joinstyle="miter"/>
                    </v:roundrect>
                  </w:pict>
                </mc:Fallback>
              </mc:AlternateContent>
            </w:r>
          </w:p>
        </w:tc>
        <w:tc>
          <w:tcPr>
            <w:tcW w:w="783" w:type="pct"/>
          </w:tcPr>
          <w:p w14:paraId="2D5C395E" w14:textId="7AAA4EB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1881" behindDoc="0" locked="0" layoutInCell="1" allowOverlap="1" wp14:anchorId="729BA603" wp14:editId="583CBCF2">
                      <wp:simplePos x="0" y="0"/>
                      <wp:positionH relativeFrom="column">
                        <wp:posOffset>-2540</wp:posOffset>
                      </wp:positionH>
                      <wp:positionV relativeFrom="paragraph">
                        <wp:posOffset>3810</wp:posOffset>
                      </wp:positionV>
                      <wp:extent cx="161925" cy="17145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DDA252" id="Rectangle: Rounded Corners 23" o:spid="_x0000_s1026" style="position:absolute;margin-left:-.2pt;margin-top:.3pt;width:12.75pt;height:13.5pt;z-index:2516818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r4QFg2QAAAAQB&#10;AAAPAAAAZHJzL2Rvd25yZXYueG1sTI5BS8NAFITvgv9heYKX0m5aYtrGbIoUvAliK5632WcS3H0b&#10;djdp/Pc+T3oahhlmvuowOysmDLH3pGC9ykAgNd701Cp4Pz8vdyBi0mS09YQKvjHCob69qXRp/JXe&#10;cDqlVvAIxVIr6FIaSilj06HTceUHJM4+fXA6sQ2tNEFfedxZucmyQjrdEz90esBjh83XaXQKpuwF&#10;Fy7ffuSL/etoxnBspO2Vur+bnx5BJJzTXxl+8Rkdama6+JFMFFbBMueiggIEh5uHNYgL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GvhAWDZAAAABAEAAA8AAAAAAAAA&#10;AAAAAAAAzgQAAGRycy9kb3ducmV2LnhtbFBLBQYAAAAABAAEAPMAAADUBQAAAAA=&#10;" fillcolor="#00b050" strokecolor="#1f3763 [1604]" strokeweight="1pt">
                      <v:stroke joinstyle="miter"/>
                    </v:roundrect>
                  </w:pict>
                </mc:Fallback>
              </mc:AlternateContent>
            </w:r>
          </w:p>
        </w:tc>
        <w:tc>
          <w:tcPr>
            <w:tcW w:w="507" w:type="pct"/>
          </w:tcPr>
          <w:p w14:paraId="461183A5" w14:textId="5772619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1097" behindDoc="0" locked="0" layoutInCell="1" allowOverlap="1" wp14:anchorId="5A179CC0" wp14:editId="56E54DFC">
                      <wp:simplePos x="0" y="0"/>
                      <wp:positionH relativeFrom="column">
                        <wp:posOffset>-4445</wp:posOffset>
                      </wp:positionH>
                      <wp:positionV relativeFrom="paragraph">
                        <wp:posOffset>3810</wp:posOffset>
                      </wp:positionV>
                      <wp:extent cx="161925" cy="171450"/>
                      <wp:effectExtent l="0" t="0" r="28575" b="19050"/>
                      <wp:wrapNone/>
                      <wp:docPr id="32" name="Rectangle: Rounded Corners 3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38BA51" id="Rectangle: Rounded Corners 32" o:spid="_x0000_s1026" style="position:absolute;margin-left:-.35pt;margin-top:.3pt;width:12.75pt;height:13.5pt;z-index:2516910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" fillcolor="#00b050" strokecolor="#1f3763 [1604]" strokeweight="1pt">
                      <v:stroke joinstyle="miter"/>
                    </v:roundrect>
                  </w:pict>
                </mc:Fallback>
              </mc:AlternateContent>
            </w:r>
          </w:p>
        </w:tc>
        <w:tc>
          <w:tcPr>
            <w:tcW w:w="599" w:type="pct"/>
          </w:tcPr>
          <w:p w14:paraId="28F42922" w14:textId="4DA17560"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9289" behindDoc="0" locked="0" layoutInCell="1" allowOverlap="1" wp14:anchorId="4620CF66" wp14:editId="73C148A1">
                      <wp:simplePos x="0" y="0"/>
                      <wp:positionH relativeFrom="column">
                        <wp:posOffset>-6985</wp:posOffset>
                      </wp:positionH>
                      <wp:positionV relativeFrom="paragraph">
                        <wp:posOffset>3810</wp:posOffset>
                      </wp:positionV>
                      <wp:extent cx="161925" cy="171450"/>
                      <wp:effectExtent l="0" t="0" r="28575" b="19050"/>
                      <wp:wrapNone/>
                      <wp:docPr id="40" name="Rectangle: Rounded Corners 4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E0F6F" id="Rectangle: Rounded Corners 40" o:spid="_x0000_s1026" style="position:absolute;margin-left:-.55pt;margin-top:.3pt;width:12.75pt;height:13.5pt;z-index:251699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" fillcolor="#00b050" strokecolor="#1f3763 [1604]" strokeweight="1pt">
                      <v:stroke joinstyle="miter"/>
                    </v:roundrect>
                  </w:pict>
                </mc:Fallback>
              </mc:AlternateContent>
            </w:r>
          </w:p>
        </w:tc>
        <w:tc>
          <w:tcPr>
            <w:tcW w:w="553" w:type="pct"/>
          </w:tcPr>
          <w:p w14:paraId="39DACF2D" w14:textId="1DDE12F6"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5433" behindDoc="0" locked="0" layoutInCell="1" allowOverlap="1" wp14:anchorId="6B8A2CD3" wp14:editId="2EE6831B">
                      <wp:simplePos x="0" y="0"/>
                      <wp:positionH relativeFrom="column">
                        <wp:posOffset>0</wp:posOffset>
                      </wp:positionH>
                      <wp:positionV relativeFrom="paragraph">
                        <wp:posOffset>3810</wp:posOffset>
                      </wp:positionV>
                      <wp:extent cx="161925" cy="171450"/>
                      <wp:effectExtent l="0" t="0" r="28575" b="19050"/>
                      <wp:wrapNone/>
                      <wp:docPr id="46" name="Rectangle: Rounded Corners 4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339054" id="Rectangle: Rounded Corners 46" o:spid="_x0000_s1026" style="position:absolute;margin-left:0;margin-top:.3pt;width:12.75pt;height:13.5pt;z-index:2517054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" fillcolor="#00b050" strokecolor="#1f3763 [1604]" strokeweight="1pt">
                      <v:stroke joinstyle="miter"/>
                    </v:roundrect>
                  </w:pict>
                </mc:Fallback>
              </mc:AlternateContent>
            </w:r>
          </w:p>
        </w:tc>
        <w:tc>
          <w:tcPr>
            <w:tcW w:w="303" w:type="pct"/>
          </w:tcPr>
          <w:p w14:paraId="1A4AB250" w14:textId="1B9BD008"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2601" behindDoc="0" locked="0" layoutInCell="1" allowOverlap="1" wp14:anchorId="4388867E" wp14:editId="679C6377">
                      <wp:simplePos x="0" y="0"/>
                      <wp:positionH relativeFrom="column">
                        <wp:posOffset>-2540</wp:posOffset>
                      </wp:positionH>
                      <wp:positionV relativeFrom="paragraph">
                        <wp:posOffset>3810</wp:posOffset>
                      </wp:positionV>
                      <wp:extent cx="161925" cy="171450"/>
                      <wp:effectExtent l="0" t="0" r="28575" b="19050"/>
                      <wp:wrapNone/>
                      <wp:docPr id="53" name="Rectangle: Rounded Corners 5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77367E" id="Rectangle: Rounded Corners 53" o:spid="_x0000_s1026" style="position:absolute;margin-left:-.2pt;margin-top:.3pt;width:12.75pt;height:13.5pt;z-index:2517126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r4QFg2QAAAAQB&#10;AAAPAAAAZHJzL2Rvd25yZXYueG1sTI5BS8NAFITvgv9heYKX0m5aYtrGbIoUvAliK5632WcS3H0b&#10;djdp/Pc+T3oahhlmvuowOysmDLH3pGC9ykAgNd701Cp4Pz8vdyBi0mS09YQKvjHCob69qXRp/JXe&#10;cDqlVvAIxVIr6FIaSilj06HTceUHJM4+fXA6sQ2tNEFfedxZucmyQjrdEz90esBjh83XaXQKpuwF&#10;Fy7ffuSL/etoxnBspO2Vur+bnx5BJJzTXxl+8Rkdama6+JFMFFbBMueiggIEh5uHNYgL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GvhAWDZAAAABAEAAA8AAAAAAAAA&#10;AAAAAAAAzgQAAGRycy9kb3ducmV2LnhtbFBLBQYAAAAABAAEAPMAAADUBQAAAAA=&#10;" fillcolor="#00b050" strokecolor="#1f3763 [1604]" strokeweight="1pt">
                      <v:stroke joinstyle="miter"/>
                    </v:roundrect>
                  </w:pict>
                </mc:Fallback>
              </mc:AlternateContent>
            </w:r>
          </w:p>
        </w:tc>
      </w:tr>
      <w:tr w:rsidR="00F24D16" w14:paraId="3B4ADD47" w14:textId="77777777" w:rsidTr="00B44341">
        <w:tc>
          <w:tcPr>
            <w:tcW w:w="966" w:type="pct"/>
          </w:tcPr>
          <w:p w14:paraId="4159F7B8" w14:textId="77777777"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HEP-COVID (30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Medicine","id":"ITEM-1","issue":"12","issued":{"date-parts":[["2021"]]},"note":"From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[5]","plainTextFormattedCitation":"[5]","previouslyFormattedCitation":"[5]"},"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[5]</w:t>
            </w:r>
            <w:r w:rsidRPr="00F24D16">
              <w:rPr>
                <w:rFonts w:ascii="Arial" w:eastAsia="Times New Roman" w:hAnsi="Arial" w:cs="Arial"/>
                <w:b/>
                <w:bCs/>
                <w:color w:val="000000"/>
                <w:sz w:val="20"/>
                <w:szCs w:val="20"/>
                <w:lang w:eastAsia="en-GB"/>
              </w:rPr>
              <w:fldChar w:fldCharType="end"/>
            </w:r>
          </w:p>
          <w:p w14:paraId="7EF89DEE" w14:textId="77777777" w:rsidR="00445DBD" w:rsidRDefault="00445DBD" w:rsidP="00F24D16">
            <w:pPr>
              <w:rPr>
                <w:rFonts w:ascii="Arial" w:eastAsia="Times New Roman" w:hAnsi="Arial" w:cs="Arial"/>
                <w:b/>
                <w:bCs/>
                <w:color w:val="000000"/>
                <w:sz w:val="20"/>
                <w:szCs w:val="20"/>
                <w:lang w:eastAsia="en-GB"/>
              </w:rPr>
            </w:pPr>
          </w:p>
          <w:p w14:paraId="077A9900" w14:textId="338135C5" w:rsidR="00445DBD" w:rsidRPr="00F24D16" w:rsidRDefault="00445DBD" w:rsidP="00F24D16">
            <w:pPr>
              <w:rPr>
                <w:rFonts w:ascii="Arial" w:hAnsi="Arial" w:cs="Arial"/>
                <w:b/>
                <w:bCs/>
                <w:sz w:val="20"/>
                <w:szCs w:val="20"/>
              </w:rPr>
            </w:pPr>
          </w:p>
        </w:tc>
        <w:tc>
          <w:tcPr>
            <w:tcW w:w="506" w:type="pct"/>
          </w:tcPr>
          <w:p w14:paraId="380F31DD" w14:textId="090F2C4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68569" behindDoc="0" locked="0" layoutInCell="1" allowOverlap="1" wp14:anchorId="26233448" wp14:editId="2F996B60">
                      <wp:simplePos x="0" y="0"/>
                      <wp:positionH relativeFrom="column">
                        <wp:posOffset>1270</wp:posOffset>
                      </wp:positionH>
                      <wp:positionV relativeFrom="paragraph">
                        <wp:posOffset>8255</wp:posOffset>
                      </wp:positionV>
                      <wp:extent cx="161925" cy="1714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51A584" id="Rectangle: Rounded Corners 10" o:spid="_x0000_s1026" style="position:absolute;margin-left:.1pt;margin-top:.65pt;width:12.75pt;height:13.5pt;z-index:2516685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" fillcolor="#00b050" strokecolor="#1f3763 [1604]" strokeweight="1pt">
                      <v:stroke joinstyle="miter"/>
                    </v:roundrect>
                  </w:pict>
                </mc:Fallback>
              </mc:AlternateContent>
            </w:r>
          </w:p>
        </w:tc>
        <w:tc>
          <w:tcPr>
            <w:tcW w:w="783" w:type="pct"/>
          </w:tcPr>
          <w:p w14:paraId="39F8B038" w14:textId="7B02C516"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6761" behindDoc="0" locked="0" layoutInCell="1" allowOverlap="1" wp14:anchorId="344FD15B" wp14:editId="751F6D57">
                      <wp:simplePos x="0" y="0"/>
                      <wp:positionH relativeFrom="column">
                        <wp:posOffset>-635</wp:posOffset>
                      </wp:positionH>
                      <wp:positionV relativeFrom="paragraph">
                        <wp:posOffset>8255</wp:posOffset>
                      </wp:positionV>
                      <wp:extent cx="161925" cy="171450"/>
                      <wp:effectExtent l="0" t="0" r="28575" b="19050"/>
                      <wp:wrapNone/>
                      <wp:docPr id="18" name="Rectangle: Rounded Corners 1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184DF7" id="Rectangle: Rounded Corners 18" o:spid="_x0000_s1026" style="position:absolute;margin-left:-.05pt;margin-top:.65pt;width:12.75pt;height:13.5pt;z-index:2516767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" fillcolor="#00b050" strokecolor="#1f3763 [1604]" strokeweight="1pt">
                      <v:stroke joinstyle="miter"/>
                    </v:roundrect>
                  </w:pict>
                </mc:Fallback>
              </mc:AlternateContent>
            </w:r>
          </w:p>
        </w:tc>
        <w:tc>
          <w:tcPr>
            <w:tcW w:w="783" w:type="pct"/>
          </w:tcPr>
          <w:p w14:paraId="148D3262" w14:textId="756ECEB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2905" behindDoc="0" locked="0" layoutInCell="1" allowOverlap="1" wp14:anchorId="36FDAA3C" wp14:editId="3C789298">
                      <wp:simplePos x="0" y="0"/>
                      <wp:positionH relativeFrom="column">
                        <wp:posOffset>-2540</wp:posOffset>
                      </wp:positionH>
                      <wp:positionV relativeFrom="paragraph">
                        <wp:posOffset>9525</wp:posOffset>
                      </wp:positionV>
                      <wp:extent cx="161925" cy="171450"/>
                      <wp:effectExtent l="0" t="0" r="28575" b="19050"/>
                      <wp:wrapNone/>
                      <wp:docPr id="24" name="Rectangle: Rounded Corners 2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5F5EF" id="Rectangle: Rounded Corners 24" o:spid="_x0000_s1026" style="position:absolute;margin-left:-.2pt;margin-top:.75pt;width:12.75pt;height:13.5pt;z-index:2516829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" fillcolor="#00b050" strokecolor="#1f3763 [1604]" strokeweight="1pt">
                      <v:stroke joinstyle="miter"/>
                    </v:roundrect>
                  </w:pict>
                </mc:Fallback>
              </mc:AlternateContent>
            </w:r>
          </w:p>
        </w:tc>
        <w:tc>
          <w:tcPr>
            <w:tcW w:w="507" w:type="pct"/>
          </w:tcPr>
          <w:p w14:paraId="07D28B82" w14:textId="0D6BB1C9"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2121" behindDoc="0" locked="0" layoutInCell="1" allowOverlap="1" wp14:anchorId="779030E0" wp14:editId="71AFFECD">
                      <wp:simplePos x="0" y="0"/>
                      <wp:positionH relativeFrom="column">
                        <wp:posOffset>-4445</wp:posOffset>
                      </wp:positionH>
                      <wp:positionV relativeFrom="paragraph">
                        <wp:posOffset>9525</wp:posOffset>
                      </wp:positionV>
                      <wp:extent cx="161925" cy="171450"/>
                      <wp:effectExtent l="0" t="0" r="28575" b="19050"/>
                      <wp:wrapNone/>
                      <wp:docPr id="33" name="Rectangle: Rounded Corners 3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A8BC5D" id="Rectangle: Rounded Corners 33" o:spid="_x0000_s1026" style="position:absolute;margin-left:-.35pt;margin-top:.75pt;width:12.75pt;height:13.5pt;z-index:2516921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" fillcolor="#00b050" strokecolor="#1f3763 [1604]" strokeweight="1pt">
                      <v:stroke joinstyle="miter"/>
                    </v:roundrect>
                  </w:pict>
                </mc:Fallback>
              </mc:AlternateContent>
            </w:r>
          </w:p>
        </w:tc>
        <w:tc>
          <w:tcPr>
            <w:tcW w:w="599" w:type="pct"/>
          </w:tcPr>
          <w:p w14:paraId="333EACA8" w14:textId="6AEC133B"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0313" behindDoc="0" locked="0" layoutInCell="1" allowOverlap="1" wp14:anchorId="7DAAB3C5" wp14:editId="18BF77CB">
                      <wp:simplePos x="0" y="0"/>
                      <wp:positionH relativeFrom="column">
                        <wp:posOffset>-6985</wp:posOffset>
                      </wp:positionH>
                      <wp:positionV relativeFrom="paragraph">
                        <wp:posOffset>9525</wp:posOffset>
                      </wp:positionV>
                      <wp:extent cx="161925" cy="171450"/>
                      <wp:effectExtent l="0" t="0" r="28575" b="19050"/>
                      <wp:wrapNone/>
                      <wp:docPr id="41" name="Rectangle: Rounded Corners 4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73BD58" id="Rectangle: Rounded Corners 41" o:spid="_x0000_s1026" style="position:absolute;margin-left:-.55pt;margin-top:.75pt;width:12.75pt;height:13.5pt;z-index:2517003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" fillcolor="#00b050" strokecolor="#1f3763 [1604]" strokeweight="1pt">
                      <v:stroke joinstyle="miter"/>
                    </v:roundrect>
                  </w:pict>
                </mc:Fallback>
              </mc:AlternateContent>
            </w:r>
          </w:p>
        </w:tc>
        <w:tc>
          <w:tcPr>
            <w:tcW w:w="553" w:type="pct"/>
          </w:tcPr>
          <w:p w14:paraId="067265E0" w14:textId="5534C8EC"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6457" behindDoc="0" locked="0" layoutInCell="1" allowOverlap="1" wp14:anchorId="650CFB25" wp14:editId="3E0BAC7C">
                      <wp:simplePos x="0" y="0"/>
                      <wp:positionH relativeFrom="column">
                        <wp:posOffset>0</wp:posOffset>
                      </wp:positionH>
                      <wp:positionV relativeFrom="paragraph">
                        <wp:posOffset>9525</wp:posOffset>
                      </wp:positionV>
                      <wp:extent cx="161925" cy="171450"/>
                      <wp:effectExtent l="0" t="0" r="28575" b="19050"/>
                      <wp:wrapNone/>
                      <wp:docPr id="47" name="Rectangle: Rounded Corners 4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E030FB" id="Rectangle: Rounded Corners 47" o:spid="_x0000_s1026" style="position:absolute;margin-left:0;margin-top:.75pt;width:12.75pt;height:13.5pt;z-index:2517064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" fillcolor="#00b050" strokecolor="#1f3763 [1604]" strokeweight="1pt">
                      <v:stroke joinstyle="miter"/>
                    </v:roundrect>
                  </w:pict>
                </mc:Fallback>
              </mc:AlternateContent>
            </w:r>
          </w:p>
        </w:tc>
        <w:tc>
          <w:tcPr>
            <w:tcW w:w="303" w:type="pct"/>
          </w:tcPr>
          <w:p w14:paraId="6DBB08BB" w14:textId="4022967D"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3625" behindDoc="0" locked="0" layoutInCell="1" allowOverlap="1" wp14:anchorId="09F402EB" wp14:editId="7120AC1D">
                      <wp:simplePos x="0" y="0"/>
                      <wp:positionH relativeFrom="column">
                        <wp:posOffset>-2540</wp:posOffset>
                      </wp:positionH>
                      <wp:positionV relativeFrom="paragraph">
                        <wp:posOffset>9525</wp:posOffset>
                      </wp:positionV>
                      <wp:extent cx="161925" cy="171450"/>
                      <wp:effectExtent l="0" t="0" r="28575" b="19050"/>
                      <wp:wrapNone/>
                      <wp:docPr id="54" name="Rectangle: Rounded Corners 5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49CAC8" id="Rectangle: Rounded Corners 54" o:spid="_x0000_s1026" style="position:absolute;margin-left:-.2pt;margin-top:.75pt;width:12.75pt;height:13.5pt;z-index:2517136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" fillcolor="#00b050" strokecolor="#1f3763 [1604]" strokeweight="1pt">
                      <v:stroke joinstyle="miter"/>
                    </v:roundrect>
                  </w:pict>
                </mc:Fallback>
              </mc:AlternateContent>
            </w:r>
          </w:p>
        </w:tc>
      </w:tr>
      <w:tr w:rsidR="00F24D16" w14:paraId="1305BB89" w14:textId="77777777" w:rsidTr="00B44341">
        <w:tc>
          <w:tcPr>
            <w:tcW w:w="966" w:type="pct"/>
          </w:tcPr>
          <w:p w14:paraId="13FBA037" w14:textId="77777777" w:rsidR="00F24D16" w:rsidRDefault="00F24D16" w:rsidP="00F24D16">
            <w:pPr>
              <w:rPr>
                <w:rFonts w:ascii="Arial" w:eastAsia="Times New Roman" w:hAnsi="Arial" w:cs="Arial"/>
                <w:b/>
                <w:bCs/>
                <w:color w:val="1A1A1A"/>
                <w:sz w:val="20"/>
                <w:szCs w:val="20"/>
                <w:lang w:eastAsia="en-GB"/>
              </w:rPr>
            </w:pPr>
            <w:r w:rsidRPr="00F24D16">
              <w:rPr>
                <w:rFonts w:ascii="Arial" w:eastAsia="Times New Roman" w:hAnsi="Arial" w:cs="Arial"/>
                <w:b/>
                <w:bCs/>
                <w:color w:val="1A1A1A"/>
                <w:sz w:val="20"/>
                <w:szCs w:val="20"/>
                <w:lang w:eastAsia="en-GB"/>
              </w:rPr>
              <w:t>ACTIV-4B (45 days)</w:t>
            </w:r>
            <w:r w:rsidRPr="00F24D16">
              <w:rPr>
                <w:rFonts w:ascii="Arial" w:eastAsia="Times New Roman" w:hAnsi="Arial" w:cs="Arial"/>
                <w:b/>
                <w:bCs/>
                <w:color w:val="1A1A1A"/>
                <w:sz w:val="20"/>
                <w:szCs w:val="20"/>
                <w:lang w:eastAsia="en-GB"/>
              </w:rPr>
              <w:fldChar w:fldCharType="begin" w:fldLock="1"/>
            </w:r>
            <w:r w:rsidRPr="00F24D16">
              <w:rPr>
                <w:rFonts w:ascii="Arial" w:eastAsia="Times New Roman" w:hAnsi="Arial" w:cs="Arial"/>
                <w:b/>
                <w:bCs/>
                <w:color w:val="1A1A1A"/>
                <w:sz w:val="20"/>
                <w:szCs w:val="20"/>
                <w:lang w:eastAsia="en-GB"/>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Pr="00F24D16">
              <w:rPr>
                <w:rFonts w:ascii="Arial" w:eastAsia="Times New Roman" w:hAnsi="Arial" w:cs="Arial"/>
                <w:b/>
                <w:bCs/>
                <w:color w:val="1A1A1A"/>
                <w:sz w:val="20"/>
                <w:szCs w:val="20"/>
                <w:lang w:eastAsia="en-GB"/>
              </w:rPr>
              <w:fldChar w:fldCharType="separate"/>
            </w:r>
            <w:r w:rsidRPr="00F24D16">
              <w:rPr>
                <w:rFonts w:ascii="Arial" w:eastAsia="Times New Roman" w:hAnsi="Arial" w:cs="Arial"/>
                <w:b/>
                <w:bCs/>
                <w:noProof/>
                <w:color w:val="1A1A1A"/>
                <w:sz w:val="20"/>
                <w:szCs w:val="20"/>
                <w:lang w:eastAsia="en-GB"/>
              </w:rPr>
              <w:t>[6]</w:t>
            </w:r>
            <w:r w:rsidRPr="00F24D16">
              <w:rPr>
                <w:rFonts w:ascii="Arial" w:eastAsia="Times New Roman" w:hAnsi="Arial" w:cs="Arial"/>
                <w:b/>
                <w:bCs/>
                <w:color w:val="1A1A1A"/>
                <w:sz w:val="20"/>
                <w:szCs w:val="20"/>
                <w:lang w:eastAsia="en-GB"/>
              </w:rPr>
              <w:fldChar w:fldCharType="end"/>
            </w:r>
          </w:p>
          <w:p w14:paraId="6663C251" w14:textId="77777777" w:rsidR="00445DBD" w:rsidRDefault="00445DBD" w:rsidP="00F24D16">
            <w:pPr>
              <w:rPr>
                <w:rFonts w:ascii="Arial" w:eastAsia="Times New Roman" w:hAnsi="Arial" w:cs="Arial"/>
                <w:b/>
                <w:bCs/>
                <w:color w:val="1A1A1A"/>
                <w:sz w:val="20"/>
                <w:szCs w:val="20"/>
                <w:lang w:eastAsia="en-GB"/>
              </w:rPr>
            </w:pPr>
          </w:p>
          <w:p w14:paraId="256BB86B" w14:textId="373E26D0" w:rsidR="00445DBD" w:rsidRPr="00F24D16" w:rsidRDefault="00445DBD" w:rsidP="00F24D16">
            <w:pPr>
              <w:rPr>
                <w:rFonts w:ascii="Arial" w:hAnsi="Arial" w:cs="Arial"/>
                <w:b/>
                <w:bCs/>
                <w:sz w:val="20"/>
                <w:szCs w:val="20"/>
              </w:rPr>
            </w:pPr>
          </w:p>
        </w:tc>
        <w:tc>
          <w:tcPr>
            <w:tcW w:w="506" w:type="pct"/>
          </w:tcPr>
          <w:p w14:paraId="4217C3A3" w14:textId="45C29013"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69593" behindDoc="0" locked="0" layoutInCell="1" allowOverlap="1" wp14:anchorId="541E098F" wp14:editId="1F6198EE">
                      <wp:simplePos x="0" y="0"/>
                      <wp:positionH relativeFrom="column">
                        <wp:posOffset>1270</wp:posOffset>
                      </wp:positionH>
                      <wp:positionV relativeFrom="paragraph">
                        <wp:posOffset>4445</wp:posOffset>
                      </wp:positionV>
                      <wp:extent cx="161925" cy="1714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F9ACE3" id="Rectangle: Rounded Corners 11" o:spid="_x0000_s1026" style="position:absolute;margin-left:.1pt;margin-top:.35pt;width:12.75pt;height:13.5pt;z-index:2516695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" fillcolor="#00b050" strokecolor="#1f3763 [1604]" strokeweight="1pt">
                      <v:stroke joinstyle="miter"/>
                    </v:roundrect>
                  </w:pict>
                </mc:Fallback>
              </mc:AlternateContent>
            </w:r>
          </w:p>
        </w:tc>
        <w:tc>
          <w:tcPr>
            <w:tcW w:w="783" w:type="pct"/>
          </w:tcPr>
          <w:p w14:paraId="24B90BB3" w14:textId="533C007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7785" behindDoc="0" locked="0" layoutInCell="1" allowOverlap="1" wp14:anchorId="3FE9ECA2" wp14:editId="0C27C6D1">
                      <wp:simplePos x="0" y="0"/>
                      <wp:positionH relativeFrom="column">
                        <wp:posOffset>-635</wp:posOffset>
                      </wp:positionH>
                      <wp:positionV relativeFrom="paragraph">
                        <wp:posOffset>4445</wp:posOffset>
                      </wp:positionV>
                      <wp:extent cx="161925" cy="171450"/>
                      <wp:effectExtent l="0" t="0" r="28575" b="19050"/>
                      <wp:wrapNone/>
                      <wp:docPr id="19" name="Rectangle: Rounded Corners 1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3D131" id="Rectangle: Rounded Corners 19" o:spid="_x0000_s1026" style="position:absolute;margin-left:-.05pt;margin-top:.35pt;width:12.75pt;height:13.5pt;z-index:2516777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" fillcolor="#00b050" strokecolor="#1f3763 [1604]" strokeweight="1pt">
                      <v:stroke joinstyle="miter"/>
                    </v:roundrect>
                  </w:pict>
                </mc:Fallback>
              </mc:AlternateContent>
            </w:r>
          </w:p>
        </w:tc>
        <w:tc>
          <w:tcPr>
            <w:tcW w:w="783" w:type="pct"/>
          </w:tcPr>
          <w:p w14:paraId="6A029071" w14:textId="636E1CF5"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3929" behindDoc="0" locked="0" layoutInCell="1" allowOverlap="1" wp14:anchorId="1259BD98" wp14:editId="17CB3ADA">
                      <wp:simplePos x="0" y="0"/>
                      <wp:positionH relativeFrom="column">
                        <wp:posOffset>-2540</wp:posOffset>
                      </wp:positionH>
                      <wp:positionV relativeFrom="paragraph">
                        <wp:posOffset>5715</wp:posOffset>
                      </wp:positionV>
                      <wp:extent cx="161925" cy="17145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70060" id="Rectangle: Rounded Corners 25" o:spid="_x0000_s1026" style="position:absolute;margin-left:-.2pt;margin-top:.45pt;width:12.75pt;height:13.5pt;z-index:2516839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" fillcolor="#00b050" strokecolor="#1f3763 [1604]" strokeweight="1pt">
                      <v:stroke joinstyle="miter"/>
                    </v:roundrect>
                  </w:pict>
                </mc:Fallback>
              </mc:AlternateContent>
            </w:r>
          </w:p>
        </w:tc>
        <w:tc>
          <w:tcPr>
            <w:tcW w:w="507" w:type="pct"/>
          </w:tcPr>
          <w:p w14:paraId="7F6C24A6" w14:textId="1DC80E2C"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3145" behindDoc="0" locked="0" layoutInCell="1" allowOverlap="1" wp14:anchorId="1ED46E6D" wp14:editId="569D072A">
                      <wp:simplePos x="0" y="0"/>
                      <wp:positionH relativeFrom="column">
                        <wp:posOffset>-4445</wp:posOffset>
                      </wp:positionH>
                      <wp:positionV relativeFrom="paragraph">
                        <wp:posOffset>5715</wp:posOffset>
                      </wp:positionV>
                      <wp:extent cx="161925" cy="17145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DC53D" id="Rectangle: Rounded Corners 34" o:spid="_x0000_s1026" style="position:absolute;margin-left:-.35pt;margin-top:.45pt;width:12.75pt;height:13.5pt;z-index:2516931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" fillcolor="#00b050" strokecolor="#1f3763 [1604]" strokeweight="1pt">
                      <v:stroke joinstyle="miter"/>
                    </v:roundrect>
                  </w:pict>
                </mc:Fallback>
              </mc:AlternateContent>
            </w:r>
          </w:p>
        </w:tc>
        <w:tc>
          <w:tcPr>
            <w:tcW w:w="599" w:type="pct"/>
          </w:tcPr>
          <w:p w14:paraId="72C70031" w14:textId="69C7019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2841" behindDoc="0" locked="0" layoutInCell="1" allowOverlap="1" wp14:anchorId="129435A1" wp14:editId="5ADA1111">
                      <wp:simplePos x="0" y="0"/>
                      <wp:positionH relativeFrom="column">
                        <wp:posOffset>-6985</wp:posOffset>
                      </wp:positionH>
                      <wp:positionV relativeFrom="paragraph">
                        <wp:posOffset>5715</wp:posOffset>
                      </wp:positionV>
                      <wp:extent cx="161925" cy="171450"/>
                      <wp:effectExtent l="0" t="0" r="28575" b="19050"/>
                      <wp:wrapNone/>
                      <wp:docPr id="65" name="Rectangle: Rounded Corners 6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5EFD1" id="Rectangle: Rounded Corners 65" o:spid="_x0000_s1026" style="position:absolute;margin-left:-.55pt;margin-top:.45pt;width:12.75pt;height:13.5pt;z-index:2517228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" fillcolor="red" strokecolor="#1f3763 [1604]" strokeweight="1pt">
                      <v:stroke joinstyle="miter"/>
                    </v:roundrect>
                  </w:pict>
                </mc:Fallback>
              </mc:AlternateContent>
            </w:r>
          </w:p>
        </w:tc>
        <w:tc>
          <w:tcPr>
            <w:tcW w:w="553" w:type="pct"/>
          </w:tcPr>
          <w:p w14:paraId="575F5CCC" w14:textId="3A6111A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7481" behindDoc="0" locked="0" layoutInCell="1" allowOverlap="1" wp14:anchorId="38EF8671" wp14:editId="5805752A">
                      <wp:simplePos x="0" y="0"/>
                      <wp:positionH relativeFrom="column">
                        <wp:posOffset>0</wp:posOffset>
                      </wp:positionH>
                      <wp:positionV relativeFrom="paragraph">
                        <wp:posOffset>5715</wp:posOffset>
                      </wp:positionV>
                      <wp:extent cx="161925" cy="171450"/>
                      <wp:effectExtent l="0" t="0" r="28575" b="19050"/>
                      <wp:wrapNone/>
                      <wp:docPr id="48" name="Rectangle: Rounded Corners 4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A6FD99" id="Rectangle: Rounded Corners 48" o:spid="_x0000_s1026" style="position:absolute;margin-left:0;margin-top:.45pt;width:12.75pt;height:13.5pt;z-index:2517074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" fillcolor="#00b050" strokecolor="#1f3763 [1604]" strokeweight="1pt">
                      <v:stroke joinstyle="miter"/>
                    </v:roundrect>
                  </w:pict>
                </mc:Fallback>
              </mc:AlternateContent>
            </w:r>
          </w:p>
        </w:tc>
        <w:tc>
          <w:tcPr>
            <w:tcW w:w="303" w:type="pct"/>
          </w:tcPr>
          <w:p w14:paraId="0077E7D6" w14:textId="146FBE6F"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5913" behindDoc="0" locked="0" layoutInCell="1" allowOverlap="1" wp14:anchorId="1DE96BC3" wp14:editId="1ED7DD9A">
                      <wp:simplePos x="0" y="0"/>
                      <wp:positionH relativeFrom="column">
                        <wp:posOffset>-2540</wp:posOffset>
                      </wp:positionH>
                      <wp:positionV relativeFrom="paragraph">
                        <wp:posOffset>5715</wp:posOffset>
                      </wp:positionV>
                      <wp:extent cx="161925" cy="171450"/>
                      <wp:effectExtent l="0" t="0" r="28575" b="19050"/>
                      <wp:wrapNone/>
                      <wp:docPr id="68" name="Rectangle: Rounded Corners 6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428B13" id="Rectangle: Rounded Corners 68" o:spid="_x0000_s1026" style="position:absolute;margin-left:-.2pt;margin-top:.45pt;width:12.75pt;height:13.5pt;z-index:2517259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" fillcolor="red" strokecolor="#1f3763 [1604]" strokeweight="1pt">
                      <v:stroke joinstyle="miter"/>
                    </v:roundrect>
                  </w:pict>
                </mc:Fallback>
              </mc:AlternateContent>
            </w:r>
          </w:p>
        </w:tc>
      </w:tr>
      <w:tr w:rsidR="00F24D16" w14:paraId="479BC993" w14:textId="77777777" w:rsidTr="00B44341">
        <w:tc>
          <w:tcPr>
            <w:tcW w:w="966" w:type="pct"/>
          </w:tcPr>
          <w:p w14:paraId="736B44AC" w14:textId="77777777"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ACTION (30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{"citationItems":[{"id":"ITEM-1","itemData":{"DOI":"10.1016/S0140-6736(21)01203-4","ISSN":"1474-547X","PMID":"34097856","abstract":"Background: COVID-19 is associated with a prothrombotic state leading to adverse clinical outcomes. Whether therapeutic anticoagulation improves outcomes in patients hospitalised with COVID-19 is unknown. We aimed to compare the efficacy and safety of therapeutic versus prophylactic anticoagulation in this population. Methods: We did a pragmatic, open-label (with blinded adjudication), multicentre, randomised, controlled trial, at 31 sites in Brazil. Patients (aged ≥18 years) hospitalised with COVID-19 and elevated D-dimer concentration, and who had COVID-19 symptoms for up to 14 days before randomisation, were randomly assigned (1:1) to receive either therapeutic or prophylactic anticoagulation. Therapeutic anticoagulation was in-hospital oral rivaroxaban (20 mg or 15 mg daily) for stable patients, or initial subcutaneous enoxaparin (1 mg/kg twice per day) or intravenous unfractionated heparin (to achieve a 0·3–0·7 IU/mL anti-Xa concentration) for clinically unstable patients, followed by rivaroxaban to day 30. Prophylactic anticoagulation was standard in-hospital enoxaparin or unfractionated heparin. The primary efficacy outcome was a hierarchical analysis of time to death, duration of hospitalisation, or duration of supplemental oxygen to day 30, analysed with the win ratio method (a ratio &gt;1 reflects a better outcome in the therapeutic anticoagulation group) in the intention-to-treat population. The primary safety outcome was major or clinically relevant non-major bleeding through 30 days. This study is registered with ClinicalTrials.gov (NCT04394377) and is completed. Findings: From June 24, 2020, to Feb 26, 2021, 3331 patients were screened and 615 were randomly allocated (311 [50%] to the therapeutic anticoagulation group and 304 [50%] to the prophylactic anticoagulation group). 576 (94%) were clinically stable and 39 (6%) clinically unstable. One patient, in the therapeutic group, was lost to follow-up because of withdrawal of consent and was not included in the primary analysis. The primary efficacy outcome was not different between patients assigned therapeutic or prophylactic anticoagulation, with 28 899 (34·8%) wins in the therapeutic group and 34 288 (41·3%) in the prophylactic group (win ratio 0·86 [95% CI 0·59–1·22], p=0·40). Consistent results were seen in clinically stable and clinically unstable patients. The primary safety outcome of major or clinically relevant non-major bleeding occurred in 26 (8%) patients assigned therapeutic anti…","author":[{"dropping-particle":"","family":"Lopes","given":"Renato D.","non-dropping-particle":"","parse-names":false,"suffix":""},{"dropping-particle":"","family":"Barros E Silva","given":"Pedro Gabriel Melo","non-dropping-particle":"de","parse-names":false,"suffix":""},{"dropping-particle":"","family":"Furtado","given":"Remo H.M. M","non-dropping-particle":"","parse-names":false,"suffix":""},{"dropping-particle":"","family":"Macedo","given":"Ariane Vieira Scarlatelli","non-dropping-particle":"","parse-names":false,"suffix":""},{"dropping-particle":"","family":"Bronhara","given":"Bruna","non-dropping-particle":"","parse-names":false,"suffix":""},{"dropping-particle":"","family":"Damiani","given":"Lucas Petri","non-dropping-particle":"","parse-names":false,"suffix":""},{"dropping-particle":"","family":"Barbosa","given":"Lilian Mazza","non-dropping-particle":"","parse-names":false,"suffix":""},{"dropping-particle":"","family":"Aveiro Morata","given":"Júlia","non-dropping-particle":"de","parse-names":false,"suffix":""},{"dropping-particle":"","family":"Ramacciotti","given":"Eduardo","non-dropping-particle":"","parse-names":false,"suffix":""},{"dropping-particle":"","family":"Aquino Martins","given":"Priscilla","non-dropping-particle":"de","parse-names":false,"suffix":""},{"dropping-particle":"","family":"Oliveira","given":"Aryadne Lyrio","non-dropping-particle":"de","parse-names":false,"suffix":""},{"dropping-particle":"","family":"Nunes","given":"Vinicius Santana","non-dropping-particle":"","parse-names":false,"suffix":""},{"dropping-particle":"","family":"Ritt","given":"Luiz Eduardo Fonteles","non-dropping-particle":"","parse-names":false,"suffix":""},{"dropping-particle":"","family":"Rocha","given":"Ana Thereza","non-dropping-particle":"","parse-names":false,"suffix":""},{"dropping-particle":"","family":"Tramujas","given":"Lucas","non-dropping-particle":"","parse-names":false,"suffix":""},{"dropping-particle":"V.","family":"Santos","given":"Sueli","non-dropping-particle":"","parse-names":false,"suffix":""},{"dropping-particle":"","family":"Diaz","given":"Dario Rafael Abregu","non-dropping-particle":"","parse-names":false,"suffix":""},{"dropping-particle":"","family":"Viana","given":"Lorena Souza","non-dropping-particle":"","parse-names":false,"suffix":""},{"dropping-particle":"","family":"Melro","given":"Lívia Maria Garcia","non-dropping-particle":"","parse-names":false,"suffix":""},{"dropping-particle":"","family":"Alcântara Chaud","given":"Mariana Silveira","non-dropping-particle":"de","parse-names":false,"suffix":""},{"dropping-particle":"","family":"Figueiredo","given":"Estêvão Lanna","non-dropping-particle":"","parse-names":false,"suffix":""},{"dropping-particle":"","family":"Neuenschwander","given":"Fernando Carvalho","non-dropping-particle":"","parse-names":false,"suffix":""},{"dropping-particle":"","family":"Dracoulakis","given":"Marianna Deway Andrade","non-dropping-particle":"","parse-names":false,"suffix":""},{"dropping-particle":"","family":"Lima","given":"Rodolfo Godinho Souza Dourado R.G.S.D.","non-dropping-particle":"","parse-names":false,"suffix":""},{"dropping-particle":"","family":"Souza Dantas","given":"Vicente Cés","non-dropping-particle":"de","parse-names":false,"suffix":""},{"dropping-particle":"","family":"Fernandes","given":"Anne Cristine Silva","non-dropping-particle":"","parse-names":false,"suffix":""},{"dropping-particle":"","family":"Gebara","given":"Otávio Celso Eluf","non-dropping-particle":"","parse-names":false,"suffix":""},{"dropping-particle":"","family":"Hernandes","given":"Mauro Esteves","non-dropping-particle":"","parse-names":false,"suffix":""},{"dropping-particle":"","family":"Queiroz","given":"Diego Aparecido Rios","non-dropping-particle":"","parse-names":false,"suffix":""},{"dropping-particle":"","family":"Veiga","given":"Viviane C.","non-dropping-particle":"","parse-names":false,"suffix":""},{"dropping-particle":"","family":"Canesin","given":"Manoel Fernandes","non-dropping-particle":"","parse-names":false,"suffix":""},{"dropping-particle":"","family":"Faria","given":"Leonardo Meira","non-dropping-particle":"de","parse-names":false,"suffix":""},{"dropping-particle":"","family":"Feitosa-Filho","given":"Gilson Soares","non-dropping-particle":"","parse-names":false,"suffix":""},{"dropping-particle":"","family":"Gazzana","given":"Marcelo Basso","non-dropping-particle":"","parse-names":false,"suffix":""},{"dropping-particle":"","family":"Liporace","given":"Idelzuíta Leandro","non-dropping-particle":"","parse-names":false,"suffix":""},{"dropping-particle":"","family":"Oliveira Twardowsky","given":"Aline","non-dropping-particle":"de","parse-names":false,"suffix":""},{"dropping-particle":"","family":"Maia","given":"Lilia Nigro","non-dropping-particle":"","parse-names":false,"suffix":""},{"dropping-particle":"","family":"Machado","given":"Flávia Ribeiro","non-dropping-particle":"","parse-names":false,"suffix":""},{"dropping-particle":"","family":"Matos Soeiro","given":"Alexandre","non-dropping-particle":"de","parse-names":false,"suffix":""},{"dropping-particle":"","family":"Conceição-Souza","given":"Germano Emílio","non-dropping-particle":"","parse-names":false,"suffix":""},{"dropping-particle":"","family":"Armaganijan","given":"Luciana","non-dropping-particle":"","parse-names":false,"suffix":""},{"dropping-particle":"","family":"Guimarães","given":"Patrícia O.","non-dropping-particle":"","parse-names":false,"suffix":""},{"dropping-particle":"","family":"Rosa","given":"Regis G.","non-dropping-particle":"","parse-names":false,"suffix":""},{"dropping-particle":"","family":"Azevedo","given":"Luciano C.P. P","non-dropping-particle":"","parse-names":false,"suffix":""},{"dropping-particle":"","family":"Alexander","given":"John H.","non-dropping-particle":"","parse-names":false,"suffix":""},{"dropping-particle":"","family":"Avezum","given":"Alvaro","non-dropping-particle":"","parse-names":false,"suffix":""},{"dropping-particle":"","family":"Cavalcanti","given":"Alexandre B.","non-dropping-particle":"","parse-names":false,"suffix":""},{"dropping-particle":"","family":"Berwanger","given":"Otavio","non-dropping-particle":"","parse-names":false,"suffix":""}],"container-title":"The Lancet","id":"ITEM-1","issue":"10291","issued":{"date-parts":[["2021"]]},"language":"en","note":"From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2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2021","page":"2253-2263","publisher-place":"Lopes RD; Duke Clinical Research Institute, Duke University Medical Center, Durham, NC, USA; Brazilian Clinical Research Institute, São Paulo, Brazil. Electronic address: USArenato.lopes@duke.edu.","title":"Therapeutic versus prophylactic anticoagulation for patients admitted to hospital with COVID-19 and elevated D-dimer concentration (ACTION): an open-label, multicentre, randomised, controlled trial","type":"article-journal","volume":"397"},"uris":["http://www.mendeley.com/documents/?uuid=faf91367-5dbe-4654-aba7-ea7d6468829d"]}],"mendeley":{"formattedCitation":"[7]","plainTextFormattedCitation":"[7]","previouslyFormattedCitation":"[7]"},"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[7]</w:t>
            </w:r>
            <w:r w:rsidRPr="00F24D16">
              <w:rPr>
                <w:rFonts w:ascii="Arial" w:eastAsia="Times New Roman" w:hAnsi="Arial" w:cs="Arial"/>
                <w:b/>
                <w:bCs/>
                <w:color w:val="000000"/>
                <w:sz w:val="20"/>
                <w:szCs w:val="20"/>
                <w:lang w:eastAsia="en-GB"/>
              </w:rPr>
              <w:fldChar w:fldCharType="end"/>
            </w:r>
          </w:p>
          <w:p w14:paraId="430286A8" w14:textId="77777777" w:rsidR="00445DBD" w:rsidRDefault="00445DBD" w:rsidP="00F24D16">
            <w:pPr>
              <w:rPr>
                <w:rFonts w:ascii="Arial" w:eastAsia="Times New Roman" w:hAnsi="Arial" w:cs="Arial"/>
                <w:b/>
                <w:bCs/>
                <w:color w:val="000000"/>
                <w:sz w:val="20"/>
                <w:szCs w:val="20"/>
                <w:lang w:eastAsia="en-GB"/>
              </w:rPr>
            </w:pPr>
          </w:p>
          <w:p w14:paraId="1F4BE091" w14:textId="75366661" w:rsidR="00445DBD" w:rsidRPr="00F24D16" w:rsidRDefault="00445DBD" w:rsidP="00F24D16">
            <w:pPr>
              <w:rPr>
                <w:rFonts w:ascii="Arial" w:hAnsi="Arial" w:cs="Arial"/>
                <w:b/>
                <w:bCs/>
                <w:sz w:val="20"/>
                <w:szCs w:val="20"/>
              </w:rPr>
            </w:pPr>
          </w:p>
        </w:tc>
        <w:tc>
          <w:tcPr>
            <w:tcW w:w="506" w:type="pct"/>
          </w:tcPr>
          <w:p w14:paraId="5DF8327D" w14:textId="1EA8AF43"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0617" behindDoc="0" locked="0" layoutInCell="1" allowOverlap="1" wp14:anchorId="485864BF" wp14:editId="021DD133">
                      <wp:simplePos x="0" y="0"/>
                      <wp:positionH relativeFrom="column">
                        <wp:posOffset>1270</wp:posOffset>
                      </wp:positionH>
                      <wp:positionV relativeFrom="paragraph">
                        <wp:posOffset>10160</wp:posOffset>
                      </wp:positionV>
                      <wp:extent cx="161925" cy="1714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0151C" id="Rectangle: Rounded Corners 12" o:spid="_x0000_s1026" style="position:absolute;margin-left:.1pt;margin-top:.8pt;width:12.75pt;height:13.5pt;z-index:2516706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" fillcolor="#00b050" strokecolor="#1f3763 [1604]" strokeweight="1pt">
                      <v:stroke joinstyle="miter"/>
                    </v:roundrect>
                  </w:pict>
                </mc:Fallback>
              </mc:AlternateContent>
            </w:r>
          </w:p>
        </w:tc>
        <w:tc>
          <w:tcPr>
            <w:tcW w:w="783" w:type="pct"/>
          </w:tcPr>
          <w:p w14:paraId="15B5C1D6" w14:textId="0DD7EA54"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8809" behindDoc="0" locked="0" layoutInCell="1" allowOverlap="1" wp14:anchorId="2F455A14" wp14:editId="129D88A3">
                      <wp:simplePos x="0" y="0"/>
                      <wp:positionH relativeFrom="column">
                        <wp:posOffset>-635</wp:posOffset>
                      </wp:positionH>
                      <wp:positionV relativeFrom="paragraph">
                        <wp:posOffset>10160</wp:posOffset>
                      </wp:positionV>
                      <wp:extent cx="161925" cy="17145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65EFA" id="Rectangle: Rounded Corners 20" o:spid="_x0000_s1026" style="position:absolute;margin-left:-.05pt;margin-top:.8pt;width:12.75pt;height:13.5pt;z-index:2516788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" fillcolor="#00b050" strokecolor="#1f3763 [1604]" strokeweight="1pt">
                      <v:stroke joinstyle="miter"/>
                    </v:roundrect>
                  </w:pict>
                </mc:Fallback>
              </mc:AlternateContent>
            </w:r>
          </w:p>
        </w:tc>
        <w:tc>
          <w:tcPr>
            <w:tcW w:w="783" w:type="pct"/>
          </w:tcPr>
          <w:p w14:paraId="78D9F76B" w14:textId="47ED060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4953" behindDoc="0" locked="0" layoutInCell="1" allowOverlap="1" wp14:anchorId="6B0D7AE2" wp14:editId="7F30145A">
                      <wp:simplePos x="0" y="0"/>
                      <wp:positionH relativeFrom="column">
                        <wp:posOffset>-2540</wp:posOffset>
                      </wp:positionH>
                      <wp:positionV relativeFrom="paragraph">
                        <wp:posOffset>11430</wp:posOffset>
                      </wp:positionV>
                      <wp:extent cx="161925" cy="171450"/>
                      <wp:effectExtent l="0" t="0" r="28575" b="19050"/>
                      <wp:wrapNone/>
                      <wp:docPr id="26" name="Rectangle: Rounded Corners 2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0901A" id="Rectangle: Rounded Corners 26" o:spid="_x0000_s1026" style="position:absolute;margin-left:-.2pt;margin-top:.9pt;width:12.75pt;height:13.5pt;z-index:2516849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" fillcolor="#00b050" strokecolor="#1f3763 [1604]" strokeweight="1pt">
                      <v:stroke joinstyle="miter"/>
                    </v:roundrect>
                  </w:pict>
                </mc:Fallback>
              </mc:AlternateContent>
            </w:r>
          </w:p>
        </w:tc>
        <w:tc>
          <w:tcPr>
            <w:tcW w:w="507" w:type="pct"/>
          </w:tcPr>
          <w:p w14:paraId="5CF5CB6A" w14:textId="00DC0E11"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4169" behindDoc="0" locked="0" layoutInCell="1" allowOverlap="1" wp14:anchorId="1514477E" wp14:editId="460771C9">
                      <wp:simplePos x="0" y="0"/>
                      <wp:positionH relativeFrom="column">
                        <wp:posOffset>-4445</wp:posOffset>
                      </wp:positionH>
                      <wp:positionV relativeFrom="paragraph">
                        <wp:posOffset>11430</wp:posOffset>
                      </wp:positionV>
                      <wp:extent cx="161925" cy="171450"/>
                      <wp:effectExtent l="0" t="0" r="28575" b="19050"/>
                      <wp:wrapNone/>
                      <wp:docPr id="35" name="Rectangle: Rounded Corners 3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06C89E" id="Rectangle: Rounded Corners 35" o:spid="_x0000_s1026" style="position:absolute;margin-left:-.35pt;margin-top:.9pt;width:12.75pt;height:13.5pt;z-index:2516941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" fillcolor="#00b050" strokecolor="#1f3763 [1604]" strokeweight="1pt">
                      <v:stroke joinstyle="miter"/>
                    </v:roundrect>
                  </w:pict>
                </mc:Fallback>
              </mc:AlternateContent>
            </w:r>
          </w:p>
        </w:tc>
        <w:tc>
          <w:tcPr>
            <w:tcW w:w="599" w:type="pct"/>
          </w:tcPr>
          <w:p w14:paraId="5C8991F9" w14:textId="1CDA3F7E"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1337" behindDoc="0" locked="0" layoutInCell="1" allowOverlap="1" wp14:anchorId="7BC27CD1" wp14:editId="6F3B5908">
                      <wp:simplePos x="0" y="0"/>
                      <wp:positionH relativeFrom="column">
                        <wp:posOffset>-6985</wp:posOffset>
                      </wp:positionH>
                      <wp:positionV relativeFrom="paragraph">
                        <wp:posOffset>11430</wp:posOffset>
                      </wp:positionV>
                      <wp:extent cx="161925" cy="171450"/>
                      <wp:effectExtent l="0" t="0" r="28575" b="19050"/>
                      <wp:wrapNone/>
                      <wp:docPr id="42" name="Rectangle: Rounded Corners 4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B498E9" id="Rectangle: Rounded Corners 42" o:spid="_x0000_s1026" style="position:absolute;margin-left:-.55pt;margin-top:.9pt;width:12.75pt;height:13.5pt;z-index:2517013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" fillcolor="#00b050" strokecolor="#1f3763 [1604]" strokeweight="1pt">
                      <v:stroke joinstyle="miter"/>
                    </v:roundrect>
                  </w:pict>
                </mc:Fallback>
              </mc:AlternateContent>
            </w:r>
          </w:p>
        </w:tc>
        <w:tc>
          <w:tcPr>
            <w:tcW w:w="553" w:type="pct"/>
          </w:tcPr>
          <w:p w14:paraId="24B1EFF3" w14:textId="45ACC15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8505" behindDoc="0" locked="0" layoutInCell="1" allowOverlap="1" wp14:anchorId="0F82733D" wp14:editId="1A8BA0F6">
                      <wp:simplePos x="0" y="0"/>
                      <wp:positionH relativeFrom="column">
                        <wp:posOffset>0</wp:posOffset>
                      </wp:positionH>
                      <wp:positionV relativeFrom="paragraph">
                        <wp:posOffset>11430</wp:posOffset>
                      </wp:positionV>
                      <wp:extent cx="161925" cy="171450"/>
                      <wp:effectExtent l="0" t="0" r="28575" b="19050"/>
                      <wp:wrapNone/>
                      <wp:docPr id="49" name="Rectangle: Rounded Corners 4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A79CB" id="Rectangle: Rounded Corners 49" o:spid="_x0000_s1026" style="position:absolute;margin-left:0;margin-top:.9pt;width:12.75pt;height:13.5pt;z-index:2517085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" fillcolor="#00b050" strokecolor="#1f3763 [1604]" strokeweight="1pt">
                      <v:stroke joinstyle="miter"/>
                    </v:roundrect>
                  </w:pict>
                </mc:Fallback>
              </mc:AlternateContent>
            </w:r>
          </w:p>
        </w:tc>
        <w:tc>
          <w:tcPr>
            <w:tcW w:w="303" w:type="pct"/>
          </w:tcPr>
          <w:p w14:paraId="594F05BB" w14:textId="6F26378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4649" behindDoc="0" locked="0" layoutInCell="1" allowOverlap="1" wp14:anchorId="282D9807" wp14:editId="782E17C9">
                      <wp:simplePos x="0" y="0"/>
                      <wp:positionH relativeFrom="column">
                        <wp:posOffset>-2540</wp:posOffset>
                      </wp:positionH>
                      <wp:positionV relativeFrom="paragraph">
                        <wp:posOffset>11430</wp:posOffset>
                      </wp:positionV>
                      <wp:extent cx="161925" cy="171450"/>
                      <wp:effectExtent l="0" t="0" r="28575" b="19050"/>
                      <wp:wrapNone/>
                      <wp:docPr id="55" name="Rectangle: Rounded Corners 5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D2CB23" id="Rectangle: Rounded Corners 55" o:spid="_x0000_s1026" style="position:absolute;margin-left:-.2pt;margin-top:.9pt;width:12.75pt;height:13.5pt;z-index:2517146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" fillcolor="#00b050" strokecolor="#1f3763 [1604]" strokeweight="1pt">
                      <v:stroke joinstyle="miter"/>
                    </v:roundrect>
                  </w:pict>
                </mc:Fallback>
              </mc:AlternateContent>
            </w:r>
          </w:p>
        </w:tc>
      </w:tr>
      <w:tr w:rsidR="00F24D16" w14:paraId="430F201B" w14:textId="77777777" w:rsidTr="00B44341">
        <w:tc>
          <w:tcPr>
            <w:tcW w:w="966" w:type="pct"/>
          </w:tcPr>
          <w:p w14:paraId="116119F6" w14:textId="77777777" w:rsidR="00F24D16" w:rsidRDefault="00F24D16" w:rsidP="00F24D16">
            <w:pPr>
              <w:rPr>
                <w:rFonts w:ascii="Arial" w:eastAsia="Times New Roman" w:hAnsi="Arial" w:cs="Arial"/>
                <w:b/>
                <w:bCs/>
                <w:color w:val="000000"/>
                <w:sz w:val="20"/>
                <w:szCs w:val="20"/>
                <w:lang w:eastAsia="en-GB"/>
              </w:rPr>
            </w:pPr>
            <w:proofErr w:type="spellStart"/>
            <w:r w:rsidRPr="00F24D16">
              <w:rPr>
                <w:rFonts w:ascii="Arial" w:eastAsia="Times New Roman" w:hAnsi="Arial" w:cs="Arial"/>
                <w:b/>
                <w:bCs/>
                <w:color w:val="000000"/>
                <w:sz w:val="20"/>
                <w:szCs w:val="20"/>
                <w:lang w:eastAsia="en-GB"/>
              </w:rPr>
              <w:t>Perepu</w:t>
            </w:r>
            <w:proofErr w:type="spellEnd"/>
            <w:r w:rsidRPr="00F24D16">
              <w:rPr>
                <w:rFonts w:ascii="Arial" w:eastAsia="Times New Roman" w:hAnsi="Arial" w:cs="Arial"/>
                <w:b/>
                <w:bCs/>
                <w:color w:val="000000"/>
                <w:sz w:val="20"/>
                <w:szCs w:val="20"/>
                <w:lang w:eastAsia="en-GB"/>
              </w:rPr>
              <w:t xml:space="preserve"> et al. (30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Haemostasis","id":"ITEM-1","issue":"9","issued":{"date-parts":[["2021","9"]]},"language":"eng","note":"From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plainTextFormattedCitation":"[8]","previouslyFormattedCitation":"[8]"},"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[8]</w:t>
            </w:r>
            <w:r w:rsidRPr="00F24D16">
              <w:rPr>
                <w:rFonts w:ascii="Arial" w:eastAsia="Times New Roman" w:hAnsi="Arial" w:cs="Arial"/>
                <w:b/>
                <w:bCs/>
                <w:color w:val="000000"/>
                <w:sz w:val="20"/>
                <w:szCs w:val="20"/>
                <w:lang w:eastAsia="en-GB"/>
              </w:rPr>
              <w:fldChar w:fldCharType="end"/>
            </w:r>
          </w:p>
          <w:p w14:paraId="55904680" w14:textId="77777777" w:rsidR="00445DBD" w:rsidRDefault="00445DBD" w:rsidP="00F24D16">
            <w:pPr>
              <w:rPr>
                <w:rFonts w:ascii="Arial" w:eastAsia="Times New Roman" w:hAnsi="Arial" w:cs="Arial"/>
                <w:b/>
                <w:bCs/>
                <w:color w:val="000000"/>
                <w:sz w:val="20"/>
                <w:szCs w:val="20"/>
                <w:lang w:eastAsia="en-GB"/>
              </w:rPr>
            </w:pPr>
          </w:p>
          <w:p w14:paraId="0A32622A" w14:textId="552DB547" w:rsidR="00445DBD" w:rsidRPr="00F24D16" w:rsidRDefault="00445DBD" w:rsidP="00F24D16">
            <w:pPr>
              <w:rPr>
                <w:rFonts w:ascii="Arial" w:hAnsi="Arial" w:cs="Arial"/>
                <w:b/>
                <w:bCs/>
                <w:sz w:val="20"/>
                <w:szCs w:val="20"/>
              </w:rPr>
            </w:pPr>
          </w:p>
        </w:tc>
        <w:tc>
          <w:tcPr>
            <w:tcW w:w="506" w:type="pct"/>
          </w:tcPr>
          <w:p w14:paraId="3E90E2CC" w14:textId="7463AF85"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6697" behindDoc="0" locked="0" layoutInCell="1" allowOverlap="1" wp14:anchorId="2F516665" wp14:editId="60D20BE1">
                      <wp:simplePos x="0" y="0"/>
                      <wp:positionH relativeFrom="column">
                        <wp:posOffset>1270</wp:posOffset>
                      </wp:positionH>
                      <wp:positionV relativeFrom="paragraph">
                        <wp:posOffset>8255</wp:posOffset>
                      </wp:positionV>
                      <wp:extent cx="161925" cy="171450"/>
                      <wp:effectExtent l="0" t="0" r="28575" b="19050"/>
                      <wp:wrapNone/>
                      <wp:docPr id="58" name="Rectangle: Rounded Corners 5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6DDF0C" id="Rectangle: Rounded Corners 58" o:spid="_x0000_s1026" style="position:absolute;margin-left:.1pt;margin-top:.65pt;width:12.75pt;height:13.5pt;z-index:2517166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" fillcolor="yellow" strokecolor="#1f3763 [1604]" strokeweight="1pt">
                      <v:stroke joinstyle="miter"/>
                    </v:roundrect>
                  </w:pict>
                </mc:Fallback>
              </mc:AlternateContent>
            </w:r>
          </w:p>
        </w:tc>
        <w:tc>
          <w:tcPr>
            <w:tcW w:w="783" w:type="pct"/>
          </w:tcPr>
          <w:p w14:paraId="57597025" w14:textId="540EF990"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9833" behindDoc="0" locked="0" layoutInCell="1" allowOverlap="1" wp14:anchorId="5D88F116" wp14:editId="6995C8C8">
                      <wp:simplePos x="0" y="0"/>
                      <wp:positionH relativeFrom="column">
                        <wp:posOffset>-635</wp:posOffset>
                      </wp:positionH>
                      <wp:positionV relativeFrom="paragraph">
                        <wp:posOffset>6350</wp:posOffset>
                      </wp:positionV>
                      <wp:extent cx="161925" cy="171450"/>
                      <wp:effectExtent l="0" t="0" r="28575" b="19050"/>
                      <wp:wrapNone/>
                      <wp:docPr id="21" name="Rectangle: Rounded Corners 2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E76CA2" id="Rectangle: Rounded Corners 21" o:spid="_x0000_s1026" style="position:absolute;margin-left:-.05pt;margin-top:.5pt;width:12.75pt;height:13.5pt;z-index:2516798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" fillcolor="#00b050" strokecolor="#1f3763 [1604]" strokeweight="1pt">
                      <v:stroke joinstyle="miter"/>
                    </v:roundrect>
                  </w:pict>
                </mc:Fallback>
              </mc:AlternateContent>
            </w:r>
          </w:p>
        </w:tc>
        <w:tc>
          <w:tcPr>
            <w:tcW w:w="783" w:type="pct"/>
          </w:tcPr>
          <w:p w14:paraId="1D301296" w14:textId="27633DE9"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5977" behindDoc="0" locked="0" layoutInCell="1" allowOverlap="1" wp14:anchorId="254AE219" wp14:editId="44D09360">
                      <wp:simplePos x="0" y="0"/>
                      <wp:positionH relativeFrom="column">
                        <wp:posOffset>-2540</wp:posOffset>
                      </wp:positionH>
                      <wp:positionV relativeFrom="paragraph">
                        <wp:posOffset>8255</wp:posOffset>
                      </wp:positionV>
                      <wp:extent cx="161925" cy="1714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34A767" id="Rectangle: Rounded Corners 27" o:spid="_x0000_s1026" style="position:absolute;margin-left:-.2pt;margin-top:.65pt;width:12.75pt;height:13.5pt;z-index:2516859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" fillcolor="#00b050" strokecolor="#1f3763 [1604]" strokeweight="1pt">
                      <v:stroke joinstyle="miter"/>
                    </v:roundrect>
                  </w:pict>
                </mc:Fallback>
              </mc:AlternateContent>
            </w:r>
          </w:p>
        </w:tc>
        <w:tc>
          <w:tcPr>
            <w:tcW w:w="507" w:type="pct"/>
          </w:tcPr>
          <w:p w14:paraId="5845C17C" w14:textId="7E376178"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5193" behindDoc="0" locked="0" layoutInCell="1" allowOverlap="1" wp14:anchorId="2DA33367" wp14:editId="68F7C52A">
                      <wp:simplePos x="0" y="0"/>
                      <wp:positionH relativeFrom="column">
                        <wp:posOffset>-4445</wp:posOffset>
                      </wp:positionH>
                      <wp:positionV relativeFrom="paragraph">
                        <wp:posOffset>8255</wp:posOffset>
                      </wp:positionV>
                      <wp:extent cx="161925" cy="171450"/>
                      <wp:effectExtent l="0" t="0" r="28575" b="19050"/>
                      <wp:wrapNone/>
                      <wp:docPr id="36" name="Rectangle: Rounded Corners 3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825C5" id="Rectangle: Rounded Corners 36" o:spid="_x0000_s1026" style="position:absolute;margin-left:-.35pt;margin-top:.65pt;width:12.75pt;height:13.5pt;z-index:2516951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" fillcolor="#00b050" strokecolor="#1f3763 [1604]" strokeweight="1pt">
                      <v:stroke joinstyle="miter"/>
                    </v:roundrect>
                  </w:pict>
                </mc:Fallback>
              </mc:AlternateContent>
            </w:r>
          </w:p>
        </w:tc>
        <w:tc>
          <w:tcPr>
            <w:tcW w:w="599" w:type="pct"/>
          </w:tcPr>
          <w:p w14:paraId="071C8658" w14:textId="0221CB3A"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8745" behindDoc="0" locked="0" layoutInCell="1" allowOverlap="1" wp14:anchorId="657E28CA" wp14:editId="33EFBA7B">
                      <wp:simplePos x="0" y="0"/>
                      <wp:positionH relativeFrom="column">
                        <wp:posOffset>-6985</wp:posOffset>
                      </wp:positionH>
                      <wp:positionV relativeFrom="paragraph">
                        <wp:posOffset>8255</wp:posOffset>
                      </wp:positionV>
                      <wp:extent cx="161925" cy="171450"/>
                      <wp:effectExtent l="0" t="0" r="28575" b="19050"/>
                      <wp:wrapNone/>
                      <wp:docPr id="60" name="Rectangle: Rounded Corners 6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88658" id="Rectangle: Rounded Corners 60" o:spid="_x0000_s1026" style="position:absolute;margin-left:-.55pt;margin-top:.65pt;width:12.75pt;height:13.5pt;z-index:2517187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" fillcolor="yellow" strokecolor="#1f3763 [1604]" strokeweight="1pt">
                      <v:stroke joinstyle="miter"/>
                    </v:roundrect>
                  </w:pict>
                </mc:Fallback>
              </mc:AlternateContent>
            </w:r>
          </w:p>
        </w:tc>
        <w:tc>
          <w:tcPr>
            <w:tcW w:w="553" w:type="pct"/>
          </w:tcPr>
          <w:p w14:paraId="6C5A9EB4" w14:textId="347E7B36"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09529" behindDoc="0" locked="0" layoutInCell="1" allowOverlap="1" wp14:anchorId="7349A001" wp14:editId="6A8C3AF3">
                      <wp:simplePos x="0" y="0"/>
                      <wp:positionH relativeFrom="column">
                        <wp:posOffset>0</wp:posOffset>
                      </wp:positionH>
                      <wp:positionV relativeFrom="paragraph">
                        <wp:posOffset>8255</wp:posOffset>
                      </wp:positionV>
                      <wp:extent cx="161925" cy="171450"/>
                      <wp:effectExtent l="0" t="0" r="28575" b="19050"/>
                      <wp:wrapNone/>
                      <wp:docPr id="50" name="Rectangle: Rounded Corners 5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D1745B" id="Rectangle: Rounded Corners 50" o:spid="_x0000_s1026" style="position:absolute;margin-left:0;margin-top:.65pt;width:12.75pt;height:13.5pt;z-index:2517095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" fillcolor="#00b050" strokecolor="#1f3763 [1604]" strokeweight="1pt">
                      <v:stroke joinstyle="miter"/>
                    </v:roundrect>
                  </w:pict>
                </mc:Fallback>
              </mc:AlternateContent>
            </w:r>
          </w:p>
        </w:tc>
        <w:tc>
          <w:tcPr>
            <w:tcW w:w="303" w:type="pct"/>
          </w:tcPr>
          <w:p w14:paraId="6B875D31" w14:textId="6AE02750"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9769" behindDoc="0" locked="0" layoutInCell="1" allowOverlap="1" wp14:anchorId="34511203" wp14:editId="252CD0F0">
                      <wp:simplePos x="0" y="0"/>
                      <wp:positionH relativeFrom="column">
                        <wp:posOffset>-2540</wp:posOffset>
                      </wp:positionH>
                      <wp:positionV relativeFrom="paragraph">
                        <wp:posOffset>8255</wp:posOffset>
                      </wp:positionV>
                      <wp:extent cx="161925" cy="171450"/>
                      <wp:effectExtent l="0" t="0" r="28575" b="19050"/>
                      <wp:wrapNone/>
                      <wp:docPr id="61" name="Rectangle: Rounded Corners 6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A9C240" id="Rectangle: Rounded Corners 61" o:spid="_x0000_s1026" style="position:absolute;margin-left:-.2pt;margin-top:.65pt;width:12.75pt;height:13.5pt;z-index:2517197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" fillcolor="yellow" strokecolor="#1f3763 [1604]" strokeweight="1pt">
                      <v:stroke joinstyle="miter"/>
                    </v:roundrect>
                  </w:pict>
                </mc:Fallback>
              </mc:AlternateContent>
            </w:r>
          </w:p>
        </w:tc>
      </w:tr>
      <w:tr w:rsidR="00F24D16" w14:paraId="1D75457B" w14:textId="77777777" w:rsidTr="00B44341">
        <w:tc>
          <w:tcPr>
            <w:tcW w:w="966" w:type="pct"/>
          </w:tcPr>
          <w:p w14:paraId="2212C297" w14:textId="77777777"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HESACOVID (28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{"citationItems":[{"id":"ITEM-1","itemData":{"DOI":"10.1016/j.thromres.2020.09.026","ISSN":"18792472","PMID":"32977137","abstract":"Introduction: Coronavirus disease 2019 (COVID-19) causes a hypercoagulable state. Several autopsy studies have found microthrombi in pulmonary circulation. Methods: In this randomized, open-label, phase II study, we randomized COVID-19 patients requiring mechanical ventilation to receive either therapeutic enoxaparin or the standard anticoagulant thromboprophylaxis. We evaluated the gas exchange over time through the ratio of partial pressure of arterial oxygen (PaO2) to the fraction of inspired oxygen (FiO2) at baseline, 7, and 14 days after randomization, the time until successful liberation from mechanical ventilation, and the ventilator-free days. Results: Ten patients were assigned to the therapeutic enoxaparin and ten patients to prophylactic anticoagulation. There was a statistically significant increase in the PaO2/FiO2 ratio over time in the therapeutic group (163 [95% confidence interval – CI 133–193] at baseline, 209 [95% CI 171–247] after 7 days, and 261 [95% CI 230–293] after 14 days), p = 0.0004. In contrast, we did not observe this improvement over time in the prophylactic group (184 [95% CI 146–222] at baseline, 168 [95% CI 142–195] after 7 days, and 195 [95% CI 128–262] after 14 days), p = 0.487. Patients of the therapeutic group had a higher ratio of successful liberation from mechanical ventilation (hazard ratio: 4.0 [95% CI 1.035–15.053]), p = 0.031 and more ventilator-free days (15 days [interquartile range IQR 6–16] versus 0 days [IQR 0–11]), p = 0.028 when compared to the prophylactic group. Conclusion: Therapeutic enoxaparin improves gas exchange and decreases the need for mechanical ventilation in severe COVID–19. Trial registration: REBEC RBR-949z6v.","author":[{"dropping-particle":"","family":"Lemos","given":"Anna Cristina Bertoldi","non-dropping-particle":"","parse-names":false,"suffix":""},{"dropping-particle":"","family":"Espírito Santo","given":"Douglas Alexandre","non-dropping-particle":"do","parse-names":false,"suffix":""},{"dropping-particle":"","family":"Salvetti","given":"Maísa Cabetti","non-dropping-particle":"","parse-names":false,"suffix":""},{"dropping-particle":"","family":"Gilio","given":"Renato Noffs","non-dropping-particle":"","parse-names":false,"suffix":""},{"dropping-particle":"","family":"Agra","given":"Lucas Barbosa","non-dropping-particle":"","parse-names":false,"suffix":""},{"dropping-particle":"","family":"Pazin-Filho","given":"Antonio","non-dropping-particle":"","parse-names":false,"suffix":""},{"dropping-particle":"","family":"Miranda","given":"Carlos Henrique","non-dropping-particle":"","parse-names":false,"suffix":""}],"container-title":"Thrombosis Research","id":"ITEM-1","issue":"July","issued":{"date-parts":[["2020"]]},"page":"359-366","publisher":"Elsevier","title":"Therapeutic versus prophylactic anticoagulation for severe COVID-19: A randomized phase II clinical trial (HESACOVID)","type":"article-journal","volume":"196"},"uris":["http://www.mendeley.com/documents/?uuid=d7eb46af-f176-4d60-8c8b-40d45603321f"]}],"mendeley":{"formattedCitation":"[9]","plainTextFormattedCitation":"[9]","previouslyFormattedCitation":"[9]"},"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[9]</w:t>
            </w:r>
            <w:r w:rsidRPr="00F24D16">
              <w:rPr>
                <w:rFonts w:ascii="Arial" w:eastAsia="Times New Roman" w:hAnsi="Arial" w:cs="Arial"/>
                <w:b/>
                <w:bCs/>
                <w:color w:val="000000"/>
                <w:sz w:val="20"/>
                <w:szCs w:val="20"/>
                <w:lang w:eastAsia="en-GB"/>
              </w:rPr>
              <w:fldChar w:fldCharType="end"/>
            </w:r>
            <w:r w:rsidRPr="00F24D16">
              <w:rPr>
                <w:rFonts w:ascii="Arial" w:eastAsia="Times New Roman" w:hAnsi="Arial" w:cs="Arial"/>
                <w:b/>
                <w:bCs/>
                <w:color w:val="000000"/>
                <w:sz w:val="20"/>
                <w:szCs w:val="20"/>
                <w:lang w:eastAsia="en-GB"/>
              </w:rPr>
              <w:t xml:space="preserve"> </w:t>
            </w:r>
          </w:p>
          <w:p w14:paraId="1182F4B4" w14:textId="77777777" w:rsidR="00445DBD" w:rsidRDefault="00445DBD" w:rsidP="00F24D16">
            <w:pPr>
              <w:rPr>
                <w:rFonts w:ascii="Arial" w:eastAsia="Times New Roman" w:hAnsi="Arial" w:cs="Arial"/>
                <w:b/>
                <w:bCs/>
                <w:color w:val="000000"/>
                <w:sz w:val="20"/>
                <w:szCs w:val="20"/>
                <w:lang w:eastAsia="en-GB"/>
              </w:rPr>
            </w:pPr>
          </w:p>
          <w:p w14:paraId="0F7C9B50" w14:textId="44BFEA0E" w:rsidR="00445DBD" w:rsidRPr="00F24D16" w:rsidRDefault="00445DBD" w:rsidP="00F24D16">
            <w:pPr>
              <w:rPr>
                <w:rFonts w:ascii="Arial" w:hAnsi="Arial" w:cs="Arial"/>
                <w:b/>
                <w:bCs/>
                <w:sz w:val="20"/>
                <w:szCs w:val="20"/>
              </w:rPr>
            </w:pPr>
          </w:p>
        </w:tc>
        <w:tc>
          <w:tcPr>
            <w:tcW w:w="506" w:type="pct"/>
          </w:tcPr>
          <w:p w14:paraId="364F76AA" w14:textId="6F3A3FE7"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71641" behindDoc="0" locked="0" layoutInCell="1" allowOverlap="1" wp14:anchorId="28B2622D" wp14:editId="5E6D297E">
                      <wp:simplePos x="0" y="0"/>
                      <wp:positionH relativeFrom="column">
                        <wp:posOffset>1270</wp:posOffset>
                      </wp:positionH>
                      <wp:positionV relativeFrom="paragraph">
                        <wp:posOffset>12065</wp:posOffset>
                      </wp:positionV>
                      <wp:extent cx="161925" cy="1714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56212" id="Rectangle: Rounded Corners 13" o:spid="_x0000_s1026" style="position:absolute;margin-left:.1pt;margin-top:.95pt;width:12.75pt;height:13.5pt;z-index:2516716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" fillcolor="#00b050" strokecolor="#1f3763 [1604]" strokeweight="1pt">
                      <v:stroke joinstyle="miter"/>
                    </v:roundrect>
                  </w:pict>
                </mc:Fallback>
              </mc:AlternateContent>
            </w:r>
          </w:p>
        </w:tc>
        <w:tc>
          <w:tcPr>
            <w:tcW w:w="783" w:type="pct"/>
          </w:tcPr>
          <w:p w14:paraId="21881CD8" w14:textId="61B580B5"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0857" behindDoc="0" locked="0" layoutInCell="1" allowOverlap="1" wp14:anchorId="0B1783CA" wp14:editId="2027934F">
                      <wp:simplePos x="0" y="0"/>
                      <wp:positionH relativeFrom="column">
                        <wp:posOffset>-635</wp:posOffset>
                      </wp:positionH>
                      <wp:positionV relativeFrom="paragraph">
                        <wp:posOffset>12065</wp:posOffset>
                      </wp:positionV>
                      <wp:extent cx="161925" cy="17145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1C404A" id="Rectangle: Rounded Corners 22" o:spid="_x0000_s1026" style="position:absolute;margin-left:-.05pt;margin-top:.95pt;width:12.75pt;height:13.5pt;z-index:2516808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" fillcolor="#00b050" strokecolor="#1f3763 [1604]" strokeweight="1pt">
                      <v:stroke joinstyle="miter"/>
                    </v:roundrect>
                  </w:pict>
                </mc:Fallback>
              </mc:AlternateContent>
            </w:r>
          </w:p>
        </w:tc>
        <w:tc>
          <w:tcPr>
            <w:tcW w:w="783" w:type="pct"/>
          </w:tcPr>
          <w:p w14:paraId="7DC75013" w14:textId="53B12706"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87001" behindDoc="0" locked="0" layoutInCell="1" allowOverlap="1" wp14:anchorId="4E32E1E0" wp14:editId="11104045">
                      <wp:simplePos x="0" y="0"/>
                      <wp:positionH relativeFrom="column">
                        <wp:posOffset>-2540</wp:posOffset>
                      </wp:positionH>
                      <wp:positionV relativeFrom="paragraph">
                        <wp:posOffset>4445</wp:posOffset>
                      </wp:positionV>
                      <wp:extent cx="161925" cy="171450"/>
                      <wp:effectExtent l="0" t="0" r="28575" b="19050"/>
                      <wp:wrapNone/>
                      <wp:docPr id="28" name="Rectangle: Rounded Corners 2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40E066" id="Rectangle: Rounded Corners 28" o:spid="_x0000_s1026" style="position:absolute;margin-left:-.2pt;margin-top:.35pt;width:12.75pt;height:13.5pt;z-index:2516870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" fillcolor="#00b050" strokecolor="#1f3763 [1604]" strokeweight="1pt">
                      <v:stroke joinstyle="miter"/>
                    </v:roundrect>
                  </w:pict>
                </mc:Fallback>
              </mc:AlternateContent>
            </w:r>
          </w:p>
        </w:tc>
        <w:tc>
          <w:tcPr>
            <w:tcW w:w="507" w:type="pct"/>
          </w:tcPr>
          <w:p w14:paraId="6257DF4A" w14:textId="0BB35FF9"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696217" behindDoc="0" locked="0" layoutInCell="1" allowOverlap="1" wp14:anchorId="7B758BF3" wp14:editId="6786E7D4">
                      <wp:simplePos x="0" y="0"/>
                      <wp:positionH relativeFrom="column">
                        <wp:posOffset>-4445</wp:posOffset>
                      </wp:positionH>
                      <wp:positionV relativeFrom="paragraph">
                        <wp:posOffset>4445</wp:posOffset>
                      </wp:positionV>
                      <wp:extent cx="161925" cy="171450"/>
                      <wp:effectExtent l="0" t="0" r="28575" b="19050"/>
                      <wp:wrapNone/>
                      <wp:docPr id="37" name="Rectangle: Rounded Corners 3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FAD350" id="Rectangle: Rounded Corners 37" o:spid="_x0000_s1026" style="position:absolute;margin-left:-.35pt;margin-top:.35pt;width:12.75pt;height:13.5pt;z-index:2516962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" fillcolor="#00b050" strokecolor="#1f3763 [1604]" strokeweight="1pt">
                      <v:stroke joinstyle="miter"/>
                    </v:roundrect>
                  </w:pict>
                </mc:Fallback>
              </mc:AlternateContent>
            </w:r>
          </w:p>
        </w:tc>
        <w:tc>
          <w:tcPr>
            <w:tcW w:w="599" w:type="pct"/>
          </w:tcPr>
          <w:p w14:paraId="601DF36C" w14:textId="7485EE08"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3865" behindDoc="0" locked="0" layoutInCell="1" allowOverlap="1" wp14:anchorId="5109946D" wp14:editId="77900C9C">
                      <wp:simplePos x="0" y="0"/>
                      <wp:positionH relativeFrom="column">
                        <wp:posOffset>-6985</wp:posOffset>
                      </wp:positionH>
                      <wp:positionV relativeFrom="paragraph">
                        <wp:posOffset>4445</wp:posOffset>
                      </wp:positionV>
                      <wp:extent cx="161925" cy="171450"/>
                      <wp:effectExtent l="0" t="0" r="28575" b="19050"/>
                      <wp:wrapNone/>
                      <wp:docPr id="66" name="Rectangle: Rounded Corners 6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4B38DA" id="Rectangle: Rounded Corners 66" o:spid="_x0000_s1026" style="position:absolute;margin-left:-.55pt;margin-top:.35pt;width:12.75pt;height:13.5pt;z-index:2517238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" fillcolor="red" strokecolor="#1f3763 [1604]" strokeweight="1pt">
                      <v:stroke joinstyle="miter"/>
                    </v:roundrect>
                  </w:pict>
                </mc:Fallback>
              </mc:AlternateContent>
            </w:r>
          </w:p>
        </w:tc>
        <w:tc>
          <w:tcPr>
            <w:tcW w:w="553" w:type="pct"/>
          </w:tcPr>
          <w:p w14:paraId="78105265" w14:textId="3C7BDBE2"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10553" behindDoc="0" locked="0" layoutInCell="1" allowOverlap="1" wp14:anchorId="76AF42BE" wp14:editId="3CA06477">
                      <wp:simplePos x="0" y="0"/>
                      <wp:positionH relativeFrom="column">
                        <wp:posOffset>0</wp:posOffset>
                      </wp:positionH>
                      <wp:positionV relativeFrom="paragraph">
                        <wp:posOffset>4445</wp:posOffset>
                      </wp:positionV>
                      <wp:extent cx="161925" cy="171450"/>
                      <wp:effectExtent l="0" t="0" r="28575" b="19050"/>
                      <wp:wrapNone/>
                      <wp:docPr id="51" name="Rectangle: Rounded Corners 5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41EBA" id="Rectangle: Rounded Corners 51" o:spid="_x0000_s1026" style="position:absolute;margin-left:0;margin-top:.35pt;width:12.75pt;height:13.5pt;z-index:2517105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" fillcolor="#00b050" strokecolor="#1f3763 [1604]" strokeweight="1pt">
                      <v:stroke joinstyle="miter"/>
                    </v:roundrect>
                  </w:pict>
                </mc:Fallback>
              </mc:AlternateContent>
            </w:r>
          </w:p>
        </w:tc>
        <w:tc>
          <w:tcPr>
            <w:tcW w:w="303" w:type="pct"/>
          </w:tcPr>
          <w:p w14:paraId="2535D691" w14:textId="5D767CC5" w:rsidR="00F24D16" w:rsidRDefault="00F24D16" w:rsidP="00F24D16">
            <w:pPr>
              <w:rPr>
                <w:rFonts w:ascii="Arial" w:hAnsi="Arial" w:cs="Arial"/>
                <w:b/>
                <w:bCs/>
              </w:rPr>
            </w:pPr>
            <w:r>
              <w:rPr>
                <w:rFonts w:ascii="Arial" w:hAnsi="Arial" w:cs="Arial"/>
                <w:b/>
                <w:bCs/>
                <w:noProof/>
              </w:rPr>
              <mc:AlternateContent>
                <mc:Choice Requires="wps">
                  <w:drawing>
                    <wp:anchor distT="0" distB="0" distL="114300" distR="114300" simplePos="0" relativeHeight="251724889" behindDoc="0" locked="0" layoutInCell="1" allowOverlap="1" wp14:anchorId="259D6E8E" wp14:editId="23A70106">
                      <wp:simplePos x="0" y="0"/>
                      <wp:positionH relativeFrom="column">
                        <wp:posOffset>-2540</wp:posOffset>
                      </wp:positionH>
                      <wp:positionV relativeFrom="paragraph">
                        <wp:posOffset>4445</wp:posOffset>
                      </wp:positionV>
                      <wp:extent cx="161925" cy="171450"/>
                      <wp:effectExtent l="0" t="0" r="28575" b="19050"/>
                      <wp:wrapNone/>
                      <wp:docPr id="67" name="Rectangle: Rounded Corners 6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62F1C" id="Rectangle: Rounded Corners 67" o:spid="_x0000_s1026" style="position:absolute;margin-left:-.2pt;margin-top:.35pt;width:12.75pt;height:13.5pt;z-index:2517248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" fillcolor="red" strokecolor="#1f3763 [1604]" strokeweight="1pt">
                      <v:stroke joinstyle="miter"/>
                    </v:roundrect>
                  </w:pict>
                </mc:Fallback>
              </mc:AlternateContent>
            </w:r>
          </w:p>
        </w:tc>
      </w:tr>
      <w:tr w:rsidR="00F24D16" w14:paraId="6C4F1161" w14:textId="77777777" w:rsidTr="00B44341">
        <w:tc>
          <w:tcPr>
            <w:tcW w:w="966" w:type="pct"/>
          </w:tcPr>
          <w:p w14:paraId="06FABA80" w14:textId="77777777" w:rsidR="00F24D16" w:rsidRP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BEMICOP</w:t>
            </w:r>
          </w:p>
          <w:p w14:paraId="0DDB1ED9" w14:textId="6A70EFD0" w:rsidR="00445DBD"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(30 days)</w:t>
            </w:r>
            <w:r w:rsidRPr="00F24D16">
              <w:rPr>
                <w:rFonts w:ascii="Arial" w:eastAsia="Times New Roman" w:hAnsi="Arial" w:cs="Arial"/>
                <w:b/>
                <w:bCs/>
                <w:color w:val="000000"/>
                <w:sz w:val="20"/>
                <w:szCs w:val="20"/>
                <w:lang w:eastAsia="en-GB"/>
              </w:rPr>
              <w:fldChar w:fldCharType="begin" w:fldLock="1"/>
            </w:r>
            <w:r w:rsidRPr="00F24D16">
              <w:rPr>
                <w:rFonts w:ascii="Arial" w:eastAsia="Times New Roman" w:hAnsi="Arial" w:cs="Arial"/>
                <w:b/>
                <w:bCs/>
                <w:color w:val="000000"/>
                <w:sz w:val="20"/>
                <w:szCs w:val="20"/>
                <w:lang w:eastAsia="en-GB"/>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mendeley":{"formattedCitation":"[10]","plainTextFormattedCitation":"[10]","previouslyFormattedCitation":"[10]"},"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[10]</w:t>
            </w:r>
            <w:r w:rsidRPr="00F24D16">
              <w:rPr>
                <w:rFonts w:ascii="Arial" w:eastAsia="Times New Roman" w:hAnsi="Arial" w:cs="Arial"/>
                <w:b/>
                <w:bCs/>
                <w:color w:val="000000"/>
                <w:sz w:val="20"/>
                <w:szCs w:val="20"/>
                <w:lang w:eastAsia="en-GB"/>
              </w:rPr>
              <w:fldChar w:fldCharType="end"/>
            </w:r>
          </w:p>
          <w:p w14:paraId="68B1323D" w14:textId="005D1429" w:rsidR="00445DBD" w:rsidRPr="00F24D16" w:rsidRDefault="00445DBD" w:rsidP="00F24D16">
            <w:pPr>
              <w:rPr>
                <w:rFonts w:ascii="Arial" w:eastAsia="Times New Roman" w:hAnsi="Arial" w:cs="Arial"/>
                <w:b/>
                <w:bCs/>
                <w:color w:val="000000"/>
                <w:sz w:val="20"/>
                <w:szCs w:val="20"/>
                <w:lang w:eastAsia="en-GB"/>
              </w:rPr>
            </w:pPr>
          </w:p>
        </w:tc>
        <w:tc>
          <w:tcPr>
            <w:tcW w:w="506" w:type="pct"/>
          </w:tcPr>
          <w:p w14:paraId="70E14512" w14:textId="64D57FBC" w:rsidR="00F24D16" w:rsidRDefault="00F24D16" w:rsidP="00F24D16">
            <w:pPr>
              <w:rPr>
                <w:rFonts w:ascii="Arial" w:hAnsi="Arial" w:cs="Arial"/>
                <w:b/>
                <w:bCs/>
                <w:noProof/>
              </w:rPr>
            </w:pPr>
            <w:r w:rsidRPr="00AD2D09">
              <w:rPr>
                <w:rFonts w:ascii="Arial" w:hAnsi="Arial" w:cs="Arial"/>
                <w:b/>
                <w:bCs/>
                <w:noProof/>
              </w:rPr>
              <mc:AlternateContent>
                <mc:Choice Requires="wps">
                  <w:drawing>
                    <wp:anchor distT="0" distB="0" distL="114300" distR="114300" simplePos="0" relativeHeight="251726937" behindDoc="0" locked="0" layoutInCell="1" allowOverlap="1" wp14:anchorId="6D924DB3" wp14:editId="20BBB647">
                      <wp:simplePos x="0" y="0"/>
                      <wp:positionH relativeFrom="column">
                        <wp:posOffset>-635</wp:posOffset>
                      </wp:positionH>
                      <wp:positionV relativeFrom="paragraph">
                        <wp:posOffset>1270</wp:posOffset>
                      </wp:positionV>
                      <wp:extent cx="161925" cy="171450"/>
                      <wp:effectExtent l="0" t="0" r="28575" b="19050"/>
                      <wp:wrapNone/>
                      <wp:docPr id="83" name="Rectangle: Rounded Corners 8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13A4D" id="Rectangle: Rounded Corners 83" o:spid="_x0000_s1026" style="position:absolute;margin-left:-.05pt;margin-top:.1pt;width:12.75pt;height:13.5pt;z-index:2517269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" fillcolor="yellow" strokecolor="#1f3763 [1604]" strokeweight="1pt">
                      <v:stroke joinstyle="miter"/>
                    </v:roundrect>
                  </w:pict>
                </mc:Fallback>
              </mc:AlternateContent>
            </w:r>
          </w:p>
        </w:tc>
        <w:tc>
          <w:tcPr>
            <w:tcW w:w="783" w:type="pct"/>
          </w:tcPr>
          <w:p w14:paraId="0D23A77F" w14:textId="5C4C8B25" w:rsidR="00F24D16" w:rsidRDefault="00F24D16" w:rsidP="00F24D16">
            <w:pPr>
              <w:rPr>
                <w:rFonts w:ascii="Arial" w:hAnsi="Arial" w:cs="Arial"/>
                <w:b/>
                <w:bCs/>
                <w:noProof/>
              </w:rPr>
            </w:pPr>
            <w:r w:rsidRPr="000C2CB9">
              <w:rPr>
                <w:rFonts w:ascii="Arial" w:hAnsi="Arial" w:cs="Arial"/>
                <w:b/>
                <w:bCs/>
                <w:noProof/>
              </w:rPr>
              <mc:AlternateContent>
                <mc:Choice Requires="wps">
                  <w:drawing>
                    <wp:anchor distT="0" distB="0" distL="114300" distR="114300" simplePos="0" relativeHeight="251727961" behindDoc="0" locked="0" layoutInCell="1" allowOverlap="1" wp14:anchorId="7F8303F9" wp14:editId="603C591F">
                      <wp:simplePos x="0" y="0"/>
                      <wp:positionH relativeFrom="column">
                        <wp:posOffset>-8890</wp:posOffset>
                      </wp:positionH>
                      <wp:positionV relativeFrom="paragraph">
                        <wp:posOffset>1270</wp:posOffset>
                      </wp:positionV>
                      <wp:extent cx="161925" cy="171450"/>
                      <wp:effectExtent l="0" t="0" r="28575" b="19050"/>
                      <wp:wrapNone/>
                      <wp:docPr id="87" name="Rectangle: Rounded Corners 8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CFB52" id="Rectangle: Rounded Corners 87" o:spid="_x0000_s1026" style="position:absolute;margin-left:-.7pt;margin-top:.1pt;width:12.75pt;height:13.5pt;z-index:2517279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" fillcolor="#00b050" strokecolor="#1f3763 [1604]" strokeweight="1pt">
                      <v:stroke joinstyle="miter"/>
                    </v:roundrect>
                  </w:pict>
                </mc:Fallback>
              </mc:AlternateContent>
            </w:r>
          </w:p>
        </w:tc>
        <w:tc>
          <w:tcPr>
            <w:tcW w:w="783" w:type="pct"/>
          </w:tcPr>
          <w:p w14:paraId="2BDD729A" w14:textId="0633E93C" w:rsidR="00F24D16" w:rsidRDefault="00F24D16" w:rsidP="00F24D16">
            <w:pPr>
              <w:rPr>
                <w:rFonts w:ascii="Arial" w:hAnsi="Arial" w:cs="Arial"/>
                <w:b/>
                <w:bCs/>
                <w:noProof/>
              </w:rPr>
            </w:pPr>
            <w:r w:rsidRPr="00864DB8">
              <w:rPr>
                <w:rFonts w:ascii="Arial" w:hAnsi="Arial" w:cs="Arial"/>
                <w:b/>
                <w:bCs/>
                <w:noProof/>
              </w:rPr>
              <mc:AlternateContent>
                <mc:Choice Requires="wps">
                  <w:drawing>
                    <wp:anchor distT="0" distB="0" distL="114300" distR="114300" simplePos="0" relativeHeight="251728985" behindDoc="0" locked="0" layoutInCell="1" allowOverlap="1" wp14:anchorId="108756A7" wp14:editId="3313EC75">
                      <wp:simplePos x="0" y="0"/>
                      <wp:positionH relativeFrom="column">
                        <wp:posOffset>-6350</wp:posOffset>
                      </wp:positionH>
                      <wp:positionV relativeFrom="paragraph">
                        <wp:posOffset>1270</wp:posOffset>
                      </wp:positionV>
                      <wp:extent cx="161925" cy="171450"/>
                      <wp:effectExtent l="0" t="0" r="28575" b="19050"/>
                      <wp:wrapNone/>
                      <wp:docPr id="82" name="Rectangle: Rounded Corners 8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87F862" id="Rectangle: Rounded Corners 82" o:spid="_x0000_s1026" style="position:absolute;margin-left:-.5pt;margin-top:.1pt;width:12.75pt;height:13.5pt;z-index:2517289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" fillcolor="#00b050" strokecolor="#1f3763 [1604]" strokeweight="1pt">
                      <v:stroke joinstyle="miter"/>
                    </v:roundrect>
                  </w:pict>
                </mc:Fallback>
              </mc:AlternateContent>
            </w:r>
          </w:p>
        </w:tc>
        <w:tc>
          <w:tcPr>
            <w:tcW w:w="507" w:type="pct"/>
          </w:tcPr>
          <w:p w14:paraId="69825203" w14:textId="1E63094A" w:rsidR="00F24D16" w:rsidRDefault="00F24D16" w:rsidP="00F24D16">
            <w:pPr>
              <w:rPr>
                <w:rFonts w:ascii="Arial" w:hAnsi="Arial" w:cs="Arial"/>
                <w:b/>
                <w:bCs/>
                <w:noProof/>
              </w:rPr>
            </w:pPr>
            <w:r w:rsidRPr="00CF2ABF">
              <w:rPr>
                <w:rFonts w:ascii="Arial" w:hAnsi="Arial" w:cs="Arial"/>
                <w:b/>
                <w:bCs/>
                <w:noProof/>
              </w:rPr>
              <mc:AlternateContent>
                <mc:Choice Requires="wps">
                  <w:drawing>
                    <wp:anchor distT="0" distB="0" distL="114300" distR="114300" simplePos="0" relativeHeight="251730009" behindDoc="0" locked="0" layoutInCell="1" allowOverlap="1" wp14:anchorId="58682BFB" wp14:editId="2F6C1CB1">
                      <wp:simplePos x="0" y="0"/>
                      <wp:positionH relativeFrom="column">
                        <wp:posOffset>-6985</wp:posOffset>
                      </wp:positionH>
                      <wp:positionV relativeFrom="paragraph">
                        <wp:posOffset>1270</wp:posOffset>
                      </wp:positionV>
                      <wp:extent cx="161925" cy="171450"/>
                      <wp:effectExtent l="0" t="0" r="28575" b="19050"/>
                      <wp:wrapNone/>
                      <wp:docPr id="90" name="Rectangle: Rounded Corners 90"/>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877C65" id="Rectangle: Rounded Corners 90" o:spid="_x0000_s1026" style="position:absolute;margin-left:-.55pt;margin-top:.1pt;width:12.75pt;height:13.5pt;z-index:2517300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" fillcolor="#00b050" strokecolor="#1f3763 [1604]" strokeweight="1pt">
                      <v:stroke joinstyle="miter"/>
                    </v:roundrect>
                  </w:pict>
                </mc:Fallback>
              </mc:AlternateContent>
            </w:r>
          </w:p>
        </w:tc>
        <w:tc>
          <w:tcPr>
            <w:tcW w:w="599" w:type="pct"/>
          </w:tcPr>
          <w:p w14:paraId="479135A6" w14:textId="61958A57" w:rsidR="00F24D16" w:rsidRDefault="00F24D16" w:rsidP="00F24D16">
            <w:pPr>
              <w:rPr>
                <w:rFonts w:ascii="Arial" w:hAnsi="Arial" w:cs="Arial"/>
                <w:b/>
                <w:bCs/>
                <w:noProof/>
              </w:rPr>
            </w:pPr>
            <w:r w:rsidRPr="00D93235">
              <w:rPr>
                <w:rFonts w:ascii="Arial" w:hAnsi="Arial" w:cs="Arial"/>
                <w:b/>
                <w:bCs/>
                <w:noProof/>
              </w:rPr>
              <mc:AlternateContent>
                <mc:Choice Requires="wps">
                  <w:drawing>
                    <wp:anchor distT="0" distB="0" distL="114300" distR="114300" simplePos="0" relativeHeight="251731033" behindDoc="0" locked="0" layoutInCell="1" allowOverlap="1" wp14:anchorId="40E915DB" wp14:editId="48F83BC3">
                      <wp:simplePos x="0" y="0"/>
                      <wp:positionH relativeFrom="column">
                        <wp:posOffset>-5080</wp:posOffset>
                      </wp:positionH>
                      <wp:positionV relativeFrom="paragraph">
                        <wp:posOffset>1270</wp:posOffset>
                      </wp:positionV>
                      <wp:extent cx="161925" cy="171450"/>
                      <wp:effectExtent l="0" t="0" r="28575" b="19050"/>
                      <wp:wrapNone/>
                      <wp:docPr id="92" name="Rectangle: Rounded Corners 92"/>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6730A9" id="Rectangle: Rounded Corners 92" o:spid="_x0000_s1026" style="position:absolute;margin-left:-.4pt;margin-top:.1pt;width:12.75pt;height:13.5pt;z-index:2517310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" fillcolor="#00b050" strokecolor="#1f3763 [1604]" strokeweight="1pt">
                      <v:stroke joinstyle="miter"/>
                    </v:roundrect>
                  </w:pict>
                </mc:Fallback>
              </mc:AlternateContent>
            </w:r>
          </w:p>
        </w:tc>
        <w:tc>
          <w:tcPr>
            <w:tcW w:w="553" w:type="pct"/>
          </w:tcPr>
          <w:p w14:paraId="28C4051C" w14:textId="7619936F" w:rsidR="00F24D16" w:rsidRDefault="00F24D16" w:rsidP="00F24D16">
            <w:pPr>
              <w:rPr>
                <w:rFonts w:ascii="Arial" w:hAnsi="Arial" w:cs="Arial"/>
                <w:b/>
                <w:bCs/>
                <w:noProof/>
              </w:rPr>
            </w:pPr>
            <w:r w:rsidRPr="00904242">
              <w:rPr>
                <w:rFonts w:ascii="Arial" w:hAnsi="Arial" w:cs="Arial"/>
                <w:b/>
                <w:bCs/>
                <w:noProof/>
              </w:rPr>
              <mc:AlternateContent>
                <mc:Choice Requires="wps">
                  <w:drawing>
                    <wp:anchor distT="0" distB="0" distL="114300" distR="114300" simplePos="0" relativeHeight="251732057" behindDoc="0" locked="0" layoutInCell="1" allowOverlap="1" wp14:anchorId="4E3A033B" wp14:editId="229ADCA8">
                      <wp:simplePos x="0" y="0"/>
                      <wp:positionH relativeFrom="column">
                        <wp:posOffset>-3810</wp:posOffset>
                      </wp:positionH>
                      <wp:positionV relativeFrom="paragraph">
                        <wp:posOffset>1270</wp:posOffset>
                      </wp:positionV>
                      <wp:extent cx="161925" cy="171450"/>
                      <wp:effectExtent l="0" t="0" r="28575" b="19050"/>
                      <wp:wrapNone/>
                      <wp:docPr id="94" name="Rectangle: Rounded Corners 9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DA0324" id="Rectangle: Rounded Corners 94" o:spid="_x0000_s1026" style="position:absolute;margin-left:-.3pt;margin-top:.1pt;width:12.75pt;height:13.5pt;z-index:2517320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" fillcolor="#00b050" strokecolor="#1f3763 [1604]" strokeweight="1pt">
                      <v:stroke joinstyle="miter"/>
                    </v:roundrect>
                  </w:pict>
                </mc:Fallback>
              </mc:AlternateContent>
            </w:r>
          </w:p>
        </w:tc>
        <w:tc>
          <w:tcPr>
            <w:tcW w:w="303" w:type="pct"/>
          </w:tcPr>
          <w:p w14:paraId="0304DAEB" w14:textId="2A0FD3ED" w:rsidR="00F24D16" w:rsidRDefault="00F24D16" w:rsidP="00F24D16">
            <w:pPr>
              <w:rPr>
                <w:rFonts w:ascii="Arial" w:hAnsi="Arial" w:cs="Arial"/>
                <w:b/>
                <w:bCs/>
                <w:noProof/>
              </w:rPr>
            </w:pPr>
            <w:r w:rsidRPr="009415A7">
              <w:rPr>
                <w:rFonts w:ascii="Arial" w:hAnsi="Arial" w:cs="Arial"/>
                <w:b/>
                <w:bCs/>
                <w:noProof/>
              </w:rPr>
              <mc:AlternateContent>
                <mc:Choice Requires="wps">
                  <w:drawing>
                    <wp:anchor distT="0" distB="0" distL="114300" distR="114300" simplePos="0" relativeHeight="251733081" behindDoc="0" locked="0" layoutInCell="1" allowOverlap="1" wp14:anchorId="3C41FC18" wp14:editId="4A710C1F">
                      <wp:simplePos x="0" y="0"/>
                      <wp:positionH relativeFrom="column">
                        <wp:posOffset>-1905</wp:posOffset>
                      </wp:positionH>
                      <wp:positionV relativeFrom="paragraph">
                        <wp:posOffset>1270</wp:posOffset>
                      </wp:positionV>
                      <wp:extent cx="161925" cy="171450"/>
                      <wp:effectExtent l="0" t="0" r="28575" b="19050"/>
                      <wp:wrapNone/>
                      <wp:docPr id="96" name="Rectangle: Rounded Corners 96"/>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7A3AED" id="Rectangle: Rounded Corners 96" o:spid="_x0000_s1026" style="position:absolute;margin-left:-.15pt;margin-top:.1pt;width:12.75pt;height:13.5pt;z-index:2517330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" fillcolor="#00b050" strokecolor="#1f3763 [1604]" strokeweight="1pt">
                      <v:stroke joinstyle="miter"/>
                    </v:roundrect>
                  </w:pict>
                </mc:Fallback>
              </mc:AlternateContent>
            </w:r>
          </w:p>
        </w:tc>
      </w:tr>
      <w:tr w:rsidR="00F24D16" w14:paraId="14D2E7B3" w14:textId="77777777" w:rsidTr="00B44341">
        <w:tc>
          <w:tcPr>
            <w:tcW w:w="966" w:type="pct"/>
          </w:tcPr>
          <w:p w14:paraId="37C4AB39" w14:textId="2693F393" w:rsidR="00F24D16" w:rsidRDefault="00F24D16" w:rsidP="00F24D16">
            <w:pPr>
              <w:rPr>
                <w:rFonts w:ascii="Arial" w:eastAsia="Times New Roman" w:hAnsi="Arial" w:cs="Arial"/>
                <w:b/>
                <w:bCs/>
                <w:color w:val="000000"/>
                <w:sz w:val="20"/>
                <w:szCs w:val="20"/>
                <w:lang w:eastAsia="en-GB"/>
              </w:rPr>
            </w:pPr>
            <w:r w:rsidRPr="00F24D16">
              <w:rPr>
                <w:rFonts w:ascii="Arial" w:eastAsia="Times New Roman" w:hAnsi="Arial" w:cs="Arial"/>
                <w:b/>
                <w:bCs/>
                <w:color w:val="000000"/>
                <w:sz w:val="20"/>
                <w:szCs w:val="20"/>
                <w:lang w:eastAsia="en-GB"/>
              </w:rPr>
              <w:t>Oliynyk et al.(28 days)</w:t>
            </w:r>
            <w:r w:rsidRPr="00F24D16">
              <w:rPr>
                <w:rFonts w:ascii="Arial" w:eastAsia="Times New Roman" w:hAnsi="Arial" w:cs="Arial"/>
                <w:b/>
                <w:bCs/>
                <w:color w:val="000000"/>
                <w:sz w:val="20"/>
                <w:szCs w:val="20"/>
                <w:lang w:eastAsia="en-GB"/>
              </w:rPr>
              <w:fldChar w:fldCharType="begin" w:fldLock="1"/>
            </w:r>
            <w:r w:rsidR="00C01E72">
              <w:rPr>
                <w:rFonts w:ascii="Arial" w:eastAsia="Times New Roman" w:hAnsi="Arial" w:cs="Arial"/>
                <w:b/>
                <w:bCs/>
                <w:color w:val="000000"/>
                <w:sz w:val="20"/>
                <w:szCs w:val="20"/>
                <w:lang w:eastAsia="en-GB"/>
              </w:rPr>
              <w:instrText>ADDIN CSL_CITATION {"citationItems":[{"id":"ITEM-1","itemData":{"DOI":"10.3390/life11101032","ISSN":"20751729","abstract":"Background: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-1","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[11]","plainTextFormattedCitation":"[11]","previouslyFormattedCitation":"[11]"},"properties":{"noteIndex":0},"schema":"https://github.com/citation-style-language/schema/raw/master/csl-citation.json"}</w:instrText>
            </w:r>
            <w:r w:rsidRPr="00F24D16">
              <w:rPr>
                <w:rFonts w:ascii="Arial" w:eastAsia="Times New Roman" w:hAnsi="Arial" w:cs="Arial"/>
                <w:b/>
                <w:bCs/>
                <w:color w:val="000000"/>
                <w:sz w:val="20"/>
                <w:szCs w:val="20"/>
                <w:lang w:eastAsia="en-GB"/>
              </w:rPr>
              <w:fldChar w:fldCharType="separate"/>
            </w:r>
            <w:r w:rsidRPr="00F24D16">
              <w:rPr>
                <w:rFonts w:ascii="Arial" w:eastAsia="Times New Roman" w:hAnsi="Arial" w:cs="Arial"/>
                <w:b/>
                <w:bCs/>
                <w:noProof/>
                <w:color w:val="000000"/>
                <w:sz w:val="20"/>
                <w:szCs w:val="20"/>
                <w:lang w:eastAsia="en-GB"/>
              </w:rPr>
              <w:t>[11]</w:t>
            </w:r>
            <w:r w:rsidRPr="00F24D16">
              <w:rPr>
                <w:rFonts w:ascii="Arial" w:eastAsia="Times New Roman" w:hAnsi="Arial" w:cs="Arial"/>
                <w:b/>
                <w:bCs/>
                <w:color w:val="000000"/>
                <w:sz w:val="20"/>
                <w:szCs w:val="20"/>
                <w:lang w:eastAsia="en-GB"/>
              </w:rPr>
              <w:fldChar w:fldCharType="end"/>
            </w:r>
          </w:p>
          <w:p w14:paraId="2FFAFCF0" w14:textId="77777777" w:rsidR="00445DBD" w:rsidRDefault="00445DBD" w:rsidP="00F24D16">
            <w:pPr>
              <w:rPr>
                <w:rFonts w:ascii="Arial" w:eastAsia="Times New Roman" w:hAnsi="Arial" w:cs="Arial"/>
                <w:b/>
                <w:bCs/>
                <w:color w:val="000000"/>
                <w:sz w:val="20"/>
                <w:szCs w:val="20"/>
                <w:lang w:eastAsia="en-GB"/>
              </w:rPr>
            </w:pPr>
          </w:p>
          <w:p w14:paraId="50626D49" w14:textId="0EE9875F" w:rsidR="00445DBD" w:rsidRPr="00F24D16" w:rsidRDefault="00445DBD" w:rsidP="00F24D16">
            <w:pPr>
              <w:rPr>
                <w:rFonts w:ascii="Arial" w:eastAsia="Times New Roman" w:hAnsi="Arial" w:cs="Arial"/>
                <w:b/>
                <w:bCs/>
                <w:color w:val="000000"/>
                <w:sz w:val="20"/>
                <w:szCs w:val="20"/>
                <w:lang w:eastAsia="en-GB"/>
              </w:rPr>
            </w:pPr>
          </w:p>
        </w:tc>
        <w:tc>
          <w:tcPr>
            <w:tcW w:w="506" w:type="pct"/>
          </w:tcPr>
          <w:p w14:paraId="6B077CD5" w14:textId="6A13A13E" w:rsidR="00F24D16" w:rsidRDefault="00F24D16" w:rsidP="00F24D16">
            <w:pPr>
              <w:rPr>
                <w:rFonts w:ascii="Arial" w:hAnsi="Arial" w:cs="Arial"/>
                <w:b/>
                <w:bCs/>
                <w:noProof/>
              </w:rPr>
            </w:pPr>
            <w:r w:rsidRPr="00AD2D09">
              <w:rPr>
                <w:rFonts w:ascii="Arial" w:hAnsi="Arial" w:cs="Arial"/>
                <w:b/>
                <w:bCs/>
                <w:noProof/>
              </w:rPr>
              <mc:AlternateContent>
                <mc:Choice Requires="wps">
                  <w:drawing>
                    <wp:anchor distT="0" distB="0" distL="114300" distR="114300" simplePos="0" relativeHeight="251734105" behindDoc="0" locked="0" layoutInCell="1" allowOverlap="1" wp14:anchorId="0E1DAFFA" wp14:editId="23F4C53E">
                      <wp:simplePos x="0" y="0"/>
                      <wp:positionH relativeFrom="column">
                        <wp:posOffset>-635</wp:posOffset>
                      </wp:positionH>
                      <wp:positionV relativeFrom="paragraph">
                        <wp:posOffset>2540</wp:posOffset>
                      </wp:positionV>
                      <wp:extent cx="161925" cy="171450"/>
                      <wp:effectExtent l="0" t="0" r="28575" b="19050"/>
                      <wp:wrapNone/>
                      <wp:docPr id="85" name="Rectangle: Rounded Corners 8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11C610" id="Rectangle: Rounded Corners 85" o:spid="_x0000_s1026" style="position:absolute;margin-left:-.05pt;margin-top:.2pt;width:12.75pt;height:13.5pt;z-index:2517341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" fillcolor="yellow" strokecolor="#1f3763 [1604]" strokeweight="1pt">
                      <v:stroke joinstyle="miter"/>
                    </v:roundrect>
                  </w:pict>
                </mc:Fallback>
              </mc:AlternateContent>
            </w:r>
          </w:p>
        </w:tc>
        <w:tc>
          <w:tcPr>
            <w:tcW w:w="783" w:type="pct"/>
          </w:tcPr>
          <w:p w14:paraId="194CE620" w14:textId="003F9094" w:rsidR="00F24D16" w:rsidRDefault="00F24D16" w:rsidP="00F24D16">
            <w:pPr>
              <w:rPr>
                <w:rFonts w:ascii="Arial" w:hAnsi="Arial" w:cs="Arial"/>
                <w:b/>
                <w:bCs/>
                <w:noProof/>
              </w:rPr>
            </w:pPr>
            <w:r w:rsidRPr="000C2CB9">
              <w:rPr>
                <w:rFonts w:ascii="Arial" w:hAnsi="Arial" w:cs="Arial"/>
                <w:b/>
                <w:bCs/>
                <w:noProof/>
              </w:rPr>
              <mc:AlternateContent>
                <mc:Choice Requires="wps">
                  <w:drawing>
                    <wp:anchor distT="0" distB="0" distL="114300" distR="114300" simplePos="0" relativeHeight="251735129" behindDoc="0" locked="0" layoutInCell="1" allowOverlap="1" wp14:anchorId="219A21F5" wp14:editId="31158395">
                      <wp:simplePos x="0" y="0"/>
                      <wp:positionH relativeFrom="column">
                        <wp:posOffset>-8890</wp:posOffset>
                      </wp:positionH>
                      <wp:positionV relativeFrom="paragraph">
                        <wp:posOffset>2540</wp:posOffset>
                      </wp:positionV>
                      <wp:extent cx="161925" cy="171450"/>
                      <wp:effectExtent l="0" t="0" r="28575" b="19050"/>
                      <wp:wrapNone/>
                      <wp:docPr id="91" name="Rectangle: Rounded Corners 91"/>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70EC5" id="Rectangle: Rounded Corners 91" o:spid="_x0000_s1026" style="position:absolute;margin-left:-.7pt;margin-top:.2pt;width:12.75pt;height:13.5pt;z-index:2517351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" fillcolor="#00b050" strokecolor="#1f3763 [1604]" strokeweight="1pt">
                      <v:stroke joinstyle="miter"/>
                    </v:roundrect>
                  </w:pict>
                </mc:Fallback>
              </mc:AlternateContent>
            </w:r>
          </w:p>
        </w:tc>
        <w:tc>
          <w:tcPr>
            <w:tcW w:w="783" w:type="pct"/>
          </w:tcPr>
          <w:p w14:paraId="36251F16" w14:textId="2165A93F" w:rsidR="00F24D16" w:rsidRDefault="00F24D16" w:rsidP="00F24D16">
            <w:pPr>
              <w:rPr>
                <w:rFonts w:ascii="Arial" w:hAnsi="Arial" w:cs="Arial"/>
                <w:b/>
                <w:bCs/>
                <w:noProof/>
              </w:rPr>
            </w:pPr>
            <w:r w:rsidRPr="00B22841">
              <w:rPr>
                <w:rFonts w:ascii="Arial" w:hAnsi="Arial" w:cs="Arial"/>
                <w:b/>
                <w:bCs/>
                <w:noProof/>
              </w:rPr>
              <mc:AlternateContent>
                <mc:Choice Requires="wps">
                  <w:drawing>
                    <wp:anchor distT="0" distB="0" distL="114300" distR="114300" simplePos="0" relativeHeight="251736153" behindDoc="0" locked="0" layoutInCell="1" allowOverlap="1" wp14:anchorId="541A9F9E" wp14:editId="1C6A400D">
                      <wp:simplePos x="0" y="0"/>
                      <wp:positionH relativeFrom="column">
                        <wp:posOffset>-6350</wp:posOffset>
                      </wp:positionH>
                      <wp:positionV relativeFrom="paragraph">
                        <wp:posOffset>2540</wp:posOffset>
                      </wp:positionV>
                      <wp:extent cx="161925" cy="171450"/>
                      <wp:effectExtent l="0" t="0" r="28575" b="19050"/>
                      <wp:wrapNone/>
                      <wp:docPr id="93" name="Rectangle: Rounded Corners 9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D3F567" id="Rectangle: Rounded Corners 93" o:spid="_x0000_s1026" style="position:absolute;margin-left:-.5pt;margin-top:.2pt;width:12.75pt;height:13.5pt;z-index:2517361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" fillcolor="yellow" strokecolor="#1f3763 [1604]" strokeweight="1pt">
                      <v:stroke joinstyle="miter"/>
                    </v:roundrect>
                  </w:pict>
                </mc:Fallback>
              </mc:AlternateContent>
            </w:r>
          </w:p>
        </w:tc>
        <w:tc>
          <w:tcPr>
            <w:tcW w:w="507" w:type="pct"/>
          </w:tcPr>
          <w:p w14:paraId="49265114" w14:textId="3327E96C" w:rsidR="00F24D16" w:rsidRDefault="00F24D16" w:rsidP="00F24D16">
            <w:pPr>
              <w:rPr>
                <w:rFonts w:ascii="Arial" w:hAnsi="Arial" w:cs="Arial"/>
                <w:b/>
                <w:bCs/>
                <w:noProof/>
              </w:rPr>
            </w:pPr>
            <w:r w:rsidRPr="00D93235">
              <w:rPr>
                <w:rFonts w:ascii="Arial" w:hAnsi="Arial" w:cs="Arial"/>
                <w:b/>
                <w:bCs/>
                <w:noProof/>
              </w:rPr>
              <mc:AlternateContent>
                <mc:Choice Requires="wps">
                  <w:drawing>
                    <wp:anchor distT="0" distB="0" distL="114300" distR="114300" simplePos="0" relativeHeight="251737177" behindDoc="0" locked="0" layoutInCell="1" allowOverlap="1" wp14:anchorId="1D329EA4" wp14:editId="39FCBB37">
                      <wp:simplePos x="0" y="0"/>
                      <wp:positionH relativeFrom="column">
                        <wp:posOffset>-6985</wp:posOffset>
                      </wp:positionH>
                      <wp:positionV relativeFrom="paragraph">
                        <wp:posOffset>2540</wp:posOffset>
                      </wp:positionV>
                      <wp:extent cx="161925" cy="171450"/>
                      <wp:effectExtent l="0" t="0" r="28575" b="19050"/>
                      <wp:wrapNone/>
                      <wp:docPr id="95" name="Rectangle: Rounded Corners 9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63A13" id="Rectangle: Rounded Corners 95" o:spid="_x0000_s1026" style="position:absolute;margin-left:-.55pt;margin-top:.2pt;width:12.75pt;height:13.5pt;z-index:2517371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" fillcolor="#00b050" strokecolor="#1f3763 [1604]" strokeweight="1pt">
                      <v:stroke joinstyle="miter"/>
                    </v:roundrect>
                  </w:pict>
                </mc:Fallback>
              </mc:AlternateContent>
            </w:r>
          </w:p>
        </w:tc>
        <w:tc>
          <w:tcPr>
            <w:tcW w:w="599" w:type="pct"/>
          </w:tcPr>
          <w:p w14:paraId="5E014E0C" w14:textId="2FA70B51" w:rsidR="00F24D16" w:rsidRDefault="00F24D16" w:rsidP="00F24D16">
            <w:pPr>
              <w:rPr>
                <w:rFonts w:ascii="Arial" w:hAnsi="Arial" w:cs="Arial"/>
                <w:b/>
                <w:bCs/>
                <w:noProof/>
              </w:rPr>
            </w:pPr>
            <w:r w:rsidRPr="00D93235">
              <w:rPr>
                <w:rFonts w:ascii="Arial" w:hAnsi="Arial" w:cs="Arial"/>
                <w:b/>
                <w:bCs/>
                <w:noProof/>
              </w:rPr>
              <mc:AlternateContent>
                <mc:Choice Requires="wps">
                  <w:drawing>
                    <wp:anchor distT="0" distB="0" distL="114300" distR="114300" simplePos="0" relativeHeight="251738201" behindDoc="0" locked="0" layoutInCell="1" allowOverlap="1" wp14:anchorId="3669F034" wp14:editId="1930C333">
                      <wp:simplePos x="0" y="0"/>
                      <wp:positionH relativeFrom="column">
                        <wp:posOffset>-5080</wp:posOffset>
                      </wp:positionH>
                      <wp:positionV relativeFrom="paragraph">
                        <wp:posOffset>2540</wp:posOffset>
                      </wp:positionV>
                      <wp:extent cx="161925" cy="171450"/>
                      <wp:effectExtent l="0" t="0" r="28575" b="19050"/>
                      <wp:wrapNone/>
                      <wp:docPr id="97" name="Rectangle: Rounded Corners 97"/>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37D14" id="Rectangle: Rounded Corners 97" o:spid="_x0000_s1026" style="position:absolute;margin-left:-.4pt;margin-top:.2pt;width:12.75pt;height:13.5pt;z-index:2517382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" fillcolor="#00b050" strokecolor="#1f3763 [1604]" strokeweight="1pt">
                      <v:stroke joinstyle="miter"/>
                    </v:roundrect>
                  </w:pict>
                </mc:Fallback>
              </mc:AlternateContent>
            </w:r>
          </w:p>
        </w:tc>
        <w:tc>
          <w:tcPr>
            <w:tcW w:w="553" w:type="pct"/>
          </w:tcPr>
          <w:p w14:paraId="731BFDC5" w14:textId="7EBD39DD" w:rsidR="00F24D16" w:rsidRDefault="00F24D16" w:rsidP="00F24D16">
            <w:pPr>
              <w:rPr>
                <w:rFonts w:ascii="Arial" w:hAnsi="Arial" w:cs="Arial"/>
                <w:b/>
                <w:bCs/>
                <w:noProof/>
              </w:rPr>
            </w:pPr>
            <w:r w:rsidRPr="00234236">
              <w:rPr>
                <w:rFonts w:ascii="Arial" w:hAnsi="Arial" w:cs="Arial"/>
                <w:b/>
                <w:bCs/>
                <w:noProof/>
              </w:rPr>
              <mc:AlternateContent>
                <mc:Choice Requires="wps">
                  <w:drawing>
                    <wp:anchor distT="0" distB="0" distL="114300" distR="114300" simplePos="0" relativeHeight="251739225" behindDoc="0" locked="0" layoutInCell="1" allowOverlap="1" wp14:anchorId="3C61D849" wp14:editId="10B32BE2">
                      <wp:simplePos x="0" y="0"/>
                      <wp:positionH relativeFrom="column">
                        <wp:posOffset>-3810</wp:posOffset>
                      </wp:positionH>
                      <wp:positionV relativeFrom="paragraph">
                        <wp:posOffset>2540</wp:posOffset>
                      </wp:positionV>
                      <wp:extent cx="161925" cy="171450"/>
                      <wp:effectExtent l="0" t="0" r="28575" b="19050"/>
                      <wp:wrapNone/>
                      <wp:docPr id="98" name="Rectangle: Rounded Corners 98"/>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6F2EE5" id="Rectangle: Rounded Corners 98" o:spid="_x0000_s1026" style="position:absolute;margin-left:-.3pt;margin-top:.2pt;width:12.75pt;height:13.5pt;z-index:2517392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" fillcolor="#00b050" strokecolor="#1f3763 [1604]" strokeweight="1pt">
                      <v:stroke joinstyle="miter"/>
                    </v:roundrect>
                  </w:pict>
                </mc:Fallback>
              </mc:AlternateContent>
            </w:r>
          </w:p>
        </w:tc>
        <w:tc>
          <w:tcPr>
            <w:tcW w:w="303" w:type="pct"/>
          </w:tcPr>
          <w:p w14:paraId="13E35F7D" w14:textId="44A73BE4" w:rsidR="00F24D16" w:rsidRDefault="00F24D16" w:rsidP="00F24D16">
            <w:pPr>
              <w:rPr>
                <w:rFonts w:ascii="Arial" w:hAnsi="Arial" w:cs="Arial"/>
                <w:b/>
                <w:bCs/>
                <w:noProof/>
              </w:rPr>
            </w:pPr>
            <w:r w:rsidRPr="00C63D6F">
              <w:rPr>
                <w:rFonts w:ascii="Arial" w:hAnsi="Arial" w:cs="Arial"/>
                <w:b/>
                <w:bCs/>
                <w:noProof/>
              </w:rPr>
              <mc:AlternateContent>
                <mc:Choice Requires="wps">
                  <w:drawing>
                    <wp:anchor distT="0" distB="0" distL="114300" distR="114300" simplePos="0" relativeHeight="251740249" behindDoc="0" locked="0" layoutInCell="1" allowOverlap="1" wp14:anchorId="5EB17BE8" wp14:editId="59EB6A91">
                      <wp:simplePos x="0" y="0"/>
                      <wp:positionH relativeFrom="column">
                        <wp:posOffset>-1905</wp:posOffset>
                      </wp:positionH>
                      <wp:positionV relativeFrom="paragraph">
                        <wp:posOffset>2540</wp:posOffset>
                      </wp:positionV>
                      <wp:extent cx="161925" cy="171450"/>
                      <wp:effectExtent l="0" t="0" r="28575" b="19050"/>
                      <wp:wrapNone/>
                      <wp:docPr id="99" name="Rectangle: Rounded Corners 99"/>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4F8DE" id="Rectangle: Rounded Corners 99" o:spid="_x0000_s1026" style="position:absolute;margin-left:-.15pt;margin-top:.2pt;width:12.75pt;height:13.5pt;z-index:251740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" fillcolor="yellow" strokecolor="#1f3763 [1604]" strokeweight="1pt">
                      <v:stroke joinstyle="miter"/>
                    </v:roundrect>
                  </w:pict>
                </mc:Fallback>
              </mc:AlternateContent>
            </w:r>
          </w:p>
        </w:tc>
      </w:tr>
    </w:tbl>
    <w:p w14:paraId="0B3E4803" w14:textId="25D1EE41" w:rsidR="0056222F" w:rsidRDefault="00F660D5" w:rsidP="005166C3">
      <w:pPr>
        <w:tabs>
          <w:tab w:val="left" w:pos="1230"/>
          <w:tab w:val="left" w:pos="2685"/>
          <w:tab w:val="left" w:pos="5145"/>
          <w:tab w:val="center" w:pos="7699"/>
        </w:tabs>
        <w:rPr>
          <w:rFonts w:ascii="Arial" w:hAnsi="Arial" w:cs="Arial"/>
          <w:b/>
          <w:bCs/>
        </w:rPr>
      </w:pPr>
      <w:r>
        <w:rPr>
          <w:rFonts w:ascii="Arial" w:hAnsi="Arial" w:cs="Arial"/>
          <w:b/>
          <w:bCs/>
          <w:noProof/>
        </w:rPr>
        <mc:AlternateContent>
          <mc:Choice Requires="wps">
            <w:drawing>
              <wp:anchor distT="0" distB="0" distL="114300" distR="114300" simplePos="0" relativeHeight="251658241" behindDoc="0" locked="0" layoutInCell="1" allowOverlap="1" wp14:anchorId="6F227E00" wp14:editId="7B901308">
                <wp:simplePos x="0" y="0"/>
                <wp:positionH relativeFrom="column">
                  <wp:posOffset>4724400</wp:posOffset>
                </wp:positionH>
                <wp:positionV relativeFrom="paragraph">
                  <wp:posOffset>8890</wp:posOffset>
                </wp:positionV>
                <wp:extent cx="161925" cy="171450"/>
                <wp:effectExtent l="0" t="0" r="28575" b="19050"/>
                <wp:wrapNone/>
                <wp:docPr id="4" name="Rectangle: Rounded Corners 4"/>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72F0C" id="Rectangle: Rounded Corners 4" o:spid="_x0000_s1026" style="position:absolute;margin-left:372pt;margin-top:.7pt;width:12.75pt;height:13.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" fillcolor="yellow" strokecolor="#1f3763 [1604]" strokeweight="1pt">
                <v:stroke joinstyle="miter"/>
              </v:roundrect>
            </w:pict>
          </mc:Fallback>
        </mc:AlternateContent>
      </w:r>
      <w:r>
        <w:rPr>
          <w:rFonts w:ascii="Arial" w:hAnsi="Arial" w:cs="Arial"/>
          <w:b/>
          <w:bCs/>
          <w:noProof/>
        </w:rPr>
        <mc:AlternateContent>
          <mc:Choice Requires="wps">
            <w:drawing>
              <wp:anchor distT="0" distB="0" distL="114300" distR="114300" simplePos="0" relativeHeight="251658242" behindDoc="0" locked="0" layoutInCell="1" allowOverlap="1" wp14:anchorId="4FD88FF4" wp14:editId="01AE0284">
                <wp:simplePos x="0" y="0"/>
                <wp:positionH relativeFrom="column">
                  <wp:posOffset>3600450</wp:posOffset>
                </wp:positionH>
                <wp:positionV relativeFrom="paragraph">
                  <wp:posOffset>6350</wp:posOffset>
                </wp:positionV>
                <wp:extent cx="161925" cy="17145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1202BC" id="Rectangle: Rounded Corners 5" o:spid="_x0000_s1026" style="position:absolute;margin-left:283.5pt;margin-top:.5pt;width:12.75pt;height:13.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" fillcolor="#00b050" strokecolor="#1f3763 [1604]" strokeweight="1pt">
                <v:stroke joinstyle="miter"/>
              </v:roundrect>
            </w:pict>
          </mc:Fallback>
        </mc:AlternateContent>
      </w:r>
      <w:r>
        <w:rPr>
          <w:rFonts w:ascii="Arial" w:hAnsi="Arial" w:cs="Arial"/>
          <w:b/>
          <w:bCs/>
          <w:noProof/>
        </w:rPr>
        <mc:AlternateContent>
          <mc:Choice Requires="wps">
            <w:drawing>
              <wp:anchor distT="0" distB="0" distL="114300" distR="114300" simplePos="0" relativeHeight="251658240" behindDoc="0" locked="0" layoutInCell="1" allowOverlap="1" wp14:anchorId="339003C5" wp14:editId="20F6ECB9">
                <wp:simplePos x="0" y="0"/>
                <wp:positionH relativeFrom="column">
                  <wp:posOffset>6372225</wp:posOffset>
                </wp:positionH>
                <wp:positionV relativeFrom="paragraph">
                  <wp:posOffset>6350</wp:posOffset>
                </wp:positionV>
                <wp:extent cx="161925" cy="1714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161925" cy="1714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EF624" id="Rectangle: Rounded Corners 3" o:spid="_x0000_s1026" style="position:absolute;margin-left:501.75pt;margin-top:.5pt;width:12.7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" fillcolor="red" strokecolor="#1f3763 [1604]" strokeweight="1pt">
                <v:stroke joinstyle="miter"/>
              </v:roundrect>
            </w:pict>
          </mc:Fallback>
        </mc:AlternateContent>
      </w:r>
      <w:r w:rsidR="00961909">
        <w:rPr>
          <w:rFonts w:ascii="Arial" w:hAnsi="Arial" w:cs="Arial"/>
          <w:b/>
          <w:bCs/>
        </w:rPr>
        <w:tab/>
      </w:r>
      <w:r w:rsidR="005166C3">
        <w:rPr>
          <w:rFonts w:ascii="Arial" w:hAnsi="Arial" w:cs="Arial"/>
          <w:b/>
          <w:bCs/>
        </w:rPr>
        <w:tab/>
      </w:r>
      <w:r w:rsidR="005166C3">
        <w:rPr>
          <w:rFonts w:ascii="Arial" w:hAnsi="Arial" w:cs="Arial"/>
          <w:b/>
          <w:bCs/>
        </w:rPr>
        <w:tab/>
      </w:r>
      <w:r w:rsidR="005166C3">
        <w:rPr>
          <w:rFonts w:ascii="Arial" w:hAnsi="Arial" w:cs="Arial"/>
          <w:b/>
          <w:bCs/>
        </w:rPr>
        <w:tab/>
      </w:r>
      <w:r w:rsidR="00961909">
        <w:rPr>
          <w:rFonts w:ascii="Arial" w:hAnsi="Arial" w:cs="Arial"/>
          <w:b/>
          <w:bCs/>
        </w:rPr>
        <w:t>Low                     Some concerns</w:t>
      </w:r>
      <w:r w:rsidR="00961909">
        <w:rPr>
          <w:rFonts w:ascii="Arial" w:hAnsi="Arial" w:cs="Arial"/>
          <w:b/>
          <w:bCs/>
        </w:rPr>
        <w:tab/>
        <w:t xml:space="preserve">    High risk</w:t>
      </w:r>
    </w:p>
    <w:p w14:paraId="616A8D14" w14:textId="77777777" w:rsidR="00352E55" w:rsidRDefault="00352E55" w:rsidP="00961909">
      <w:pPr>
        <w:tabs>
          <w:tab w:val="left" w:pos="2685"/>
          <w:tab w:val="left" w:pos="5145"/>
          <w:tab w:val="center" w:pos="7699"/>
        </w:tabs>
        <w:rPr>
          <w:rFonts w:ascii="Arial" w:hAnsi="Arial" w:cs="Arial"/>
          <w:b/>
          <w:bCs/>
        </w:rPr>
      </w:pPr>
    </w:p>
    <w:p w14:paraId="27F7B75F" w14:textId="77777777" w:rsidR="00352E55" w:rsidRDefault="00352E55" w:rsidP="00961909">
      <w:pPr>
        <w:tabs>
          <w:tab w:val="left" w:pos="2685"/>
          <w:tab w:val="left" w:pos="5145"/>
          <w:tab w:val="center" w:pos="7699"/>
        </w:tabs>
        <w:rPr>
          <w:rFonts w:ascii="Arial" w:hAnsi="Arial" w:cs="Arial"/>
          <w:b/>
          <w:bCs/>
        </w:rPr>
      </w:pPr>
    </w:p>
    <w:p w14:paraId="2FD317E0" w14:textId="48CB4330" w:rsidR="002B0EB3" w:rsidRPr="0075415B" w:rsidRDefault="00F938E4" w:rsidP="00105B7C">
      <w:pPr>
        <w:rPr>
          <w:rFonts w:ascii="Arial" w:hAnsi="Arial" w:cs="Arial"/>
          <w:b/>
          <w:bCs/>
        </w:rPr>
      </w:pPr>
      <w:r>
        <w:rPr>
          <w:rFonts w:ascii="Arial" w:hAnsi="Arial" w:cs="Arial"/>
          <w:b/>
          <w:bCs/>
          <w:noProof/>
        </w:rPr>
        <w:drawing>
          <wp:inline distT="0" distB="0" distL="0" distR="0" wp14:anchorId="38DD68F2" wp14:editId="33E21550">
            <wp:extent cx="9709150" cy="232833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8">
                      <a:extLst>
                        <a:ext uri="{28A0092B-C50C-407E-A947-70E740481C1C}">
                          <a14:useLocalDpi xmlns:a14="http://schemas.microsoft.com/office/drawing/2010/main" val="0"/>
                        </a:ext>
                      </a:extLst>
                    </a:blip>
                    <a:srcRect l="7515" t="1" r="2524" b="43195"/>
                    <a:stretch/>
                  </pic:blipFill>
                  <pic:spPr bwMode="auto">
                    <a:xfrm>
                      <a:off x="0" y="0"/>
                      <a:ext cx="9709150" cy="2328334"/>
                    </a:xfrm>
                    <a:prstGeom prst="rect">
                      <a:avLst/>
                    </a:prstGeom>
                    <a:ln>
                      <a:noFill/>
                    </a:ln>
                    <a:extLst>
                      <a:ext uri="{53640926-AAD7-44D8-BBD7-CCE9431645EC}">
                        <a14:shadowObscured xmlns:a14="http://schemas.microsoft.com/office/drawing/2010/main"/>
                      </a:ext>
                    </a:extLst>
                  </pic:spPr>
                </pic:pic>
              </a:graphicData>
            </a:graphic>
          </wp:inline>
        </w:drawing>
      </w:r>
    </w:p>
    <w:p w14:paraId="386A6A5C" w14:textId="77777777" w:rsidR="00352E55" w:rsidRDefault="00352E55" w:rsidP="00352E55">
      <w:pPr>
        <w:rPr>
          <w:rFonts w:ascii="Arial" w:hAnsi="Arial" w:cs="Arial"/>
          <w:b/>
          <w:bCs/>
        </w:rPr>
      </w:pPr>
      <w:r>
        <w:rPr>
          <w:rFonts w:ascii="Arial" w:hAnsi="Arial" w:cs="Arial"/>
          <w:b/>
          <w:bCs/>
        </w:rPr>
        <w:t xml:space="preserve">Supplementary Figure S1. </w:t>
      </w:r>
      <w:r w:rsidRPr="00614309">
        <w:rPr>
          <w:rFonts w:ascii="Arial" w:hAnsi="Arial" w:cs="Arial"/>
          <w:b/>
          <w:bCs/>
        </w:rPr>
        <w:t>Risk of bias graph: review authors' judgements about each risk of bias item presented as percentages across all included studies.</w:t>
      </w:r>
    </w:p>
    <w:p w14:paraId="7D7B5E8E" w14:textId="2DB6793E" w:rsidR="000F5245" w:rsidRPr="00AF49D9" w:rsidRDefault="000F5245" w:rsidP="000F5245">
      <w:pPr>
        <w:rPr>
          <w:rFonts w:ascii="Arial" w:hAnsi="Arial" w:cs="Arial"/>
        </w:rPr>
      </w:pPr>
    </w:p>
    <w:p w14:paraId="1304E9B1" w14:textId="3E85F003" w:rsidR="000F5245" w:rsidRPr="00AF49D9" w:rsidRDefault="000F5245" w:rsidP="000F5245">
      <w:pPr>
        <w:rPr>
          <w:rFonts w:ascii="Arial" w:hAnsi="Arial" w:cs="Arial"/>
        </w:rPr>
      </w:pPr>
    </w:p>
    <w:p w14:paraId="33556C39" w14:textId="6F2584F8" w:rsidR="000F5245" w:rsidRPr="00AF49D9" w:rsidRDefault="000F5245" w:rsidP="000F5245">
      <w:pPr>
        <w:rPr>
          <w:rFonts w:ascii="Arial" w:hAnsi="Arial" w:cs="Arial"/>
        </w:rPr>
      </w:pPr>
    </w:p>
    <w:p w14:paraId="0D6B1C20" w14:textId="77777777" w:rsidR="000F5245" w:rsidRDefault="000F5245" w:rsidP="000F5245">
      <w:pPr>
        <w:rPr>
          <w:rFonts w:ascii="Arial" w:hAnsi="Arial" w:cs="Arial"/>
        </w:rPr>
      </w:pPr>
    </w:p>
    <w:p w14:paraId="6B971CC7" w14:textId="77777777" w:rsidR="00E83B91" w:rsidRDefault="00E83B91" w:rsidP="000F5245">
      <w:pPr>
        <w:rPr>
          <w:rFonts w:ascii="Arial" w:hAnsi="Arial" w:cs="Arial"/>
        </w:rPr>
      </w:pPr>
    </w:p>
    <w:p w14:paraId="404DF55A" w14:textId="77777777" w:rsidR="00E83B91" w:rsidRDefault="00E83B91" w:rsidP="000F5245">
      <w:pPr>
        <w:rPr>
          <w:rFonts w:ascii="Arial" w:hAnsi="Arial" w:cs="Arial"/>
        </w:rPr>
      </w:pPr>
    </w:p>
    <w:p w14:paraId="328FD450" w14:textId="77777777" w:rsidR="00E83B91" w:rsidRDefault="00E83B91" w:rsidP="000F5245">
      <w:pPr>
        <w:rPr>
          <w:rFonts w:ascii="Arial" w:hAnsi="Arial" w:cs="Arial"/>
        </w:rPr>
      </w:pPr>
    </w:p>
    <w:p w14:paraId="30BB497B" w14:textId="77777777" w:rsidR="00E83B91" w:rsidRDefault="00E83B91" w:rsidP="000F5245">
      <w:pPr>
        <w:rPr>
          <w:rFonts w:ascii="Arial" w:hAnsi="Arial" w:cs="Arial"/>
        </w:rPr>
      </w:pPr>
    </w:p>
    <w:p w14:paraId="167BDDBF" w14:textId="77777777" w:rsidR="00E83B91" w:rsidRDefault="00E83B91" w:rsidP="000F5245">
      <w:pPr>
        <w:rPr>
          <w:rFonts w:ascii="Arial" w:hAnsi="Arial" w:cs="Arial"/>
        </w:rPr>
      </w:pPr>
    </w:p>
    <w:p w14:paraId="191C4F92" w14:textId="77777777" w:rsidR="00E83B91" w:rsidRDefault="00E83B91" w:rsidP="000F5245">
      <w:pPr>
        <w:rPr>
          <w:rFonts w:ascii="Arial" w:hAnsi="Arial" w:cs="Arial"/>
        </w:rPr>
      </w:pPr>
    </w:p>
    <w:p w14:paraId="2863370C" w14:textId="77777777" w:rsidR="00E83B91" w:rsidRDefault="00E83B91" w:rsidP="000F5245">
      <w:pPr>
        <w:rPr>
          <w:rFonts w:ascii="Arial" w:hAnsi="Arial" w:cs="Arial"/>
        </w:rPr>
      </w:pPr>
    </w:p>
    <w:p w14:paraId="18E28658" w14:textId="77777777" w:rsidR="00E83B91" w:rsidRPr="00105B7C" w:rsidRDefault="00E83B91" w:rsidP="000F5245">
      <w:pPr>
        <w:rPr>
          <w:rFonts w:ascii="Arial" w:hAnsi="Arial" w:cs="Arial"/>
        </w:rPr>
      </w:pPr>
    </w:p>
    <w:p w14:paraId="35C1F270" w14:textId="77777777" w:rsidR="009E42CF" w:rsidRDefault="009E42CF" w:rsidP="00041452">
      <w:pPr>
        <w:rPr>
          <w:rFonts w:ascii="Arial" w:hAnsi="Arial" w:cs="Arial"/>
          <w:b/>
          <w:bCs/>
        </w:rPr>
        <w:sectPr w:rsidR="009E42CF" w:rsidSect="009E42CF">
          <w:pgSz w:w="16838" w:h="11906" w:orient="landscape"/>
          <w:pgMar w:top="720" w:right="720" w:bottom="720" w:left="720" w:header="709" w:footer="709" w:gutter="0"/>
          <w:cols w:space="708"/>
          <w:docGrid w:linePitch="360"/>
        </w:sectPr>
      </w:pPr>
    </w:p>
    <w:p w14:paraId="1509656E" w14:textId="0EFC7F8C" w:rsidR="001B22CA" w:rsidRDefault="001B22CA" w:rsidP="00041452">
      <w:pPr>
        <w:rPr>
          <w:rFonts w:ascii="Arial" w:hAnsi="Arial" w:cs="Arial"/>
          <w:b/>
          <w:bCs/>
        </w:rPr>
      </w:pPr>
    </w:p>
    <w:p w14:paraId="6F182D71" w14:textId="762E7003" w:rsidR="001B22CA" w:rsidRDefault="00C2248F" w:rsidP="00EC6603">
      <w:pPr>
        <w:rPr>
          <w:rFonts w:ascii="Arial" w:hAnsi="Arial" w:cs="Arial"/>
          <w:b/>
          <w:bCs/>
        </w:rPr>
      </w:pPr>
      <w:r>
        <w:rPr>
          <w:rFonts w:ascii="Arial" w:hAnsi="Arial" w:cs="Arial"/>
          <w:b/>
          <w:bCs/>
          <w:noProof/>
        </w:rPr>
        <w:drawing>
          <wp:inline distT="0" distB="0" distL="0" distR="0" wp14:anchorId="2E10BF4F" wp14:editId="0042D6B6">
            <wp:extent cx="5486400" cy="3992408"/>
            <wp:effectExtent l="0" t="0" r="0" b="825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8904" cy="4008784"/>
                    </a:xfrm>
                    <a:prstGeom prst="rect">
                      <a:avLst/>
                    </a:prstGeom>
                  </pic:spPr>
                </pic:pic>
              </a:graphicData>
            </a:graphic>
          </wp:inline>
        </w:drawing>
      </w:r>
    </w:p>
    <w:p w14:paraId="0402A6FB" w14:textId="090B9173" w:rsidR="00EC6603" w:rsidRPr="00B83F11" w:rsidRDefault="00EC6603" w:rsidP="00EC6603">
      <w:pPr>
        <w:rPr>
          <w:rFonts w:ascii="Arial" w:hAnsi="Arial" w:cs="Arial"/>
        </w:rPr>
      </w:pPr>
      <w:r w:rsidRPr="00105B7C">
        <w:rPr>
          <w:rFonts w:ascii="Arial" w:hAnsi="Arial" w:cs="Arial"/>
          <w:b/>
          <w:bCs/>
        </w:rPr>
        <w:t xml:space="preserve">Supplementary Figure S2. Funnel plot for </w:t>
      </w:r>
      <w:r>
        <w:rPr>
          <w:rFonts w:ascii="Arial" w:hAnsi="Arial" w:cs="Arial"/>
          <w:b/>
          <w:bCs/>
        </w:rPr>
        <w:t>mortality</w:t>
      </w:r>
      <w:r w:rsidR="00B83F11">
        <w:rPr>
          <w:rFonts w:ascii="Arial" w:hAnsi="Arial" w:cs="Arial"/>
          <w:b/>
          <w:bCs/>
        </w:rPr>
        <w:t xml:space="preserve"> </w:t>
      </w:r>
      <w:r w:rsidR="00B83F11" w:rsidRPr="00B83F11">
        <w:rPr>
          <w:rFonts w:ascii="Arial" w:hAnsi="Arial" w:cs="Arial"/>
          <w:b/>
          <w:bCs/>
        </w:rPr>
        <w:t>in groups receiving intensified versus prophylactic anticoagulation</w:t>
      </w:r>
      <w:r w:rsidRPr="00105B7C">
        <w:rPr>
          <w:rFonts w:ascii="Arial" w:hAnsi="Arial" w:cs="Arial"/>
          <w:b/>
          <w:bCs/>
        </w:rPr>
        <w:t>, stratified by clinical setting (ICU, hospitalised non-ICU and outpatient)</w:t>
      </w:r>
      <w:r w:rsidR="00A640BB">
        <w:rPr>
          <w:rFonts w:ascii="Arial" w:hAnsi="Arial" w:cs="Arial"/>
          <w:b/>
          <w:bCs/>
        </w:rPr>
        <w:t xml:space="preserve"> </w:t>
      </w:r>
      <w:r w:rsidR="002160A5">
        <w:rPr>
          <w:rFonts w:ascii="Arial" w:hAnsi="Arial" w:cs="Arial"/>
          <w:b/>
          <w:bCs/>
        </w:rPr>
        <w:t>(n = 11 studies)</w:t>
      </w:r>
    </w:p>
    <w:p w14:paraId="097FDB93" w14:textId="6D383AA1" w:rsidR="001B22CA" w:rsidRDefault="001B22CA" w:rsidP="00041452">
      <w:pPr>
        <w:rPr>
          <w:rFonts w:ascii="Arial" w:hAnsi="Arial" w:cs="Arial"/>
          <w:b/>
          <w:bCs/>
        </w:rPr>
      </w:pPr>
    </w:p>
    <w:p w14:paraId="5EE71DFC" w14:textId="00DA37D0" w:rsidR="001B22CA" w:rsidRDefault="001B22CA" w:rsidP="00041452">
      <w:pPr>
        <w:rPr>
          <w:rFonts w:ascii="Arial" w:hAnsi="Arial" w:cs="Arial"/>
          <w:b/>
          <w:bCs/>
        </w:rPr>
      </w:pPr>
    </w:p>
    <w:p w14:paraId="48A83EBF" w14:textId="34E99A89" w:rsidR="001B22CA" w:rsidRDefault="001B22CA" w:rsidP="00041452">
      <w:pPr>
        <w:rPr>
          <w:rFonts w:ascii="Arial" w:hAnsi="Arial" w:cs="Arial"/>
          <w:b/>
          <w:bCs/>
        </w:rPr>
      </w:pPr>
    </w:p>
    <w:p w14:paraId="24D5C76D" w14:textId="77777777" w:rsidR="001B22CA" w:rsidRDefault="001B22CA" w:rsidP="00041452">
      <w:pPr>
        <w:rPr>
          <w:rFonts w:ascii="Arial" w:hAnsi="Arial" w:cs="Arial"/>
          <w:b/>
          <w:bCs/>
        </w:rPr>
      </w:pPr>
    </w:p>
    <w:p w14:paraId="26F47210" w14:textId="68CC3F68" w:rsidR="00945926" w:rsidRDefault="00945926" w:rsidP="000F5245">
      <w:pPr>
        <w:rPr>
          <w:rFonts w:ascii="Arial" w:hAnsi="Arial" w:cs="Arial"/>
          <w:b/>
          <w:bCs/>
        </w:rPr>
      </w:pPr>
    </w:p>
    <w:p w14:paraId="4ED96093" w14:textId="4471D82C" w:rsidR="00945926" w:rsidRDefault="00945926" w:rsidP="000F5245">
      <w:pPr>
        <w:rPr>
          <w:rFonts w:ascii="Arial" w:hAnsi="Arial" w:cs="Arial"/>
          <w:b/>
          <w:bCs/>
        </w:rPr>
      </w:pPr>
    </w:p>
    <w:p w14:paraId="26D42ECB" w14:textId="1E7C92FF" w:rsidR="00945926" w:rsidRDefault="00945926" w:rsidP="000F5245">
      <w:pPr>
        <w:rPr>
          <w:rFonts w:ascii="Arial" w:hAnsi="Arial" w:cs="Arial"/>
          <w:b/>
          <w:bCs/>
        </w:rPr>
      </w:pPr>
    </w:p>
    <w:p w14:paraId="09439DAA" w14:textId="5CA9FE63" w:rsidR="00A43DC7" w:rsidRDefault="00FF4F7B" w:rsidP="00A43DC7">
      <w:pPr>
        <w:keepNext/>
        <w:spacing w:after="0" w:line="360" w:lineRule="auto"/>
        <w:jc w:val="both"/>
      </w:pPr>
      <w:r>
        <w:rPr>
          <w:noProof/>
        </w:rPr>
        <w:lastRenderedPageBreak/>
        <w:drawing>
          <wp:inline distT="0" distB="0" distL="0" distR="0" wp14:anchorId="0090F68F" wp14:editId="0BB918B3">
            <wp:extent cx="6610350" cy="4260664"/>
            <wp:effectExtent l="0" t="0" r="0" b="6985"/>
            <wp:docPr id="80" name="Picture 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20443" cy="4267170"/>
                    </a:xfrm>
                    <a:prstGeom prst="rect">
                      <a:avLst/>
                    </a:prstGeom>
                  </pic:spPr>
                </pic:pic>
              </a:graphicData>
            </a:graphic>
          </wp:inline>
        </w:drawing>
      </w:r>
    </w:p>
    <w:p w14:paraId="5B38F2FF" w14:textId="252999AD" w:rsidR="006578C2" w:rsidRDefault="006578C2" w:rsidP="006578C2">
      <w:pPr>
        <w:pStyle w:val="Caption"/>
        <w:jc w:val="both"/>
        <w:rPr>
          <w:rFonts w:ascii="Arial" w:hAnsi="Arial" w:cs="Arial"/>
          <w:b/>
          <w:bCs/>
          <w:i w:val="0"/>
          <w:iCs w:val="0"/>
          <w:color w:val="auto"/>
          <w:sz w:val="22"/>
          <w:szCs w:val="22"/>
        </w:rPr>
      </w:pPr>
      <w:r w:rsidRPr="004C345D">
        <w:rPr>
          <w:rFonts w:ascii="Arial" w:hAnsi="Arial" w:cs="Arial"/>
          <w:b/>
          <w:bCs/>
          <w:i w:val="0"/>
          <w:iCs w:val="0"/>
          <w:color w:val="auto"/>
          <w:sz w:val="22"/>
          <w:szCs w:val="22"/>
        </w:rPr>
        <w:t>Supplementary Figure S</w:t>
      </w:r>
      <w:r>
        <w:rPr>
          <w:rFonts w:ascii="Arial" w:hAnsi="Arial" w:cs="Arial"/>
          <w:b/>
          <w:bCs/>
          <w:i w:val="0"/>
          <w:iCs w:val="0"/>
          <w:color w:val="auto"/>
          <w:sz w:val="22"/>
          <w:szCs w:val="22"/>
        </w:rPr>
        <w:t>3</w:t>
      </w:r>
      <w:r w:rsidRPr="004C345D">
        <w:rPr>
          <w:rFonts w:ascii="Arial" w:hAnsi="Arial" w:cs="Arial"/>
          <w:b/>
          <w:bCs/>
          <w:i w:val="0"/>
          <w:iCs w:val="0"/>
          <w:color w:val="auto"/>
          <w:sz w:val="22"/>
          <w:szCs w:val="22"/>
        </w:rPr>
        <w:t xml:space="preserve">. Leave-one-out forest plot, demonstrating overall effect size computed from meta-analysis with each individual trial excluded </w:t>
      </w:r>
      <w:r w:rsidR="002160A5">
        <w:rPr>
          <w:rFonts w:ascii="Arial" w:hAnsi="Arial" w:cs="Arial"/>
          <w:b/>
          <w:bCs/>
          <w:i w:val="0"/>
          <w:iCs w:val="0"/>
          <w:color w:val="auto"/>
          <w:sz w:val="22"/>
          <w:szCs w:val="22"/>
        </w:rPr>
        <w:t>(n = 11 studies)</w:t>
      </w:r>
    </w:p>
    <w:p w14:paraId="197FCBA2" w14:textId="77777777" w:rsidR="00435BE2" w:rsidRDefault="00435BE2" w:rsidP="00435BE2"/>
    <w:p w14:paraId="49356D8A" w14:textId="77777777" w:rsidR="00435BE2" w:rsidRDefault="00435BE2" w:rsidP="00435BE2"/>
    <w:p w14:paraId="2FC762C7" w14:textId="77777777" w:rsidR="00435BE2" w:rsidRDefault="00435BE2" w:rsidP="00435BE2"/>
    <w:p w14:paraId="2145D774" w14:textId="77777777" w:rsidR="00435BE2" w:rsidRDefault="00435BE2" w:rsidP="00435BE2"/>
    <w:p w14:paraId="5BA3581C" w14:textId="77777777" w:rsidR="009A3F5A" w:rsidRDefault="009A3F5A" w:rsidP="00435BE2"/>
    <w:p w14:paraId="2D949DDD" w14:textId="77777777" w:rsidR="009A3F5A" w:rsidRPr="00435BE2" w:rsidRDefault="009A3F5A" w:rsidP="00435BE2"/>
    <w:p w14:paraId="78143CC8" w14:textId="77777777" w:rsidR="00A43DC7" w:rsidRDefault="00A43DC7" w:rsidP="00A43DC7">
      <w:pPr>
        <w:spacing w:after="0" w:line="360" w:lineRule="auto"/>
        <w:jc w:val="both"/>
        <w:rPr>
          <w:rFonts w:ascii="Arial" w:eastAsia="Times New Roman" w:hAnsi="Arial" w:cs="Arial"/>
          <w:b/>
          <w:bCs/>
          <w:color w:val="000000"/>
          <w:lang w:eastAsia="en-GB"/>
        </w:rPr>
      </w:pPr>
    </w:p>
    <w:p w14:paraId="07C1775C" w14:textId="4BDADC62" w:rsidR="00FD7ED4" w:rsidRDefault="008C07CF" w:rsidP="0018192B">
      <w:pPr>
        <w:pStyle w:val="Caption"/>
        <w:jc w:val="both"/>
        <w:rPr>
          <w:rFonts w:ascii="Arial" w:hAnsi="Arial" w:cs="Arial"/>
          <w:b/>
          <w:bCs/>
          <w:i w:val="0"/>
          <w:iCs w:val="0"/>
          <w:color w:val="auto"/>
          <w:sz w:val="22"/>
          <w:szCs w:val="22"/>
        </w:rPr>
      </w:pPr>
      <w:r>
        <w:rPr>
          <w:rFonts w:ascii="Arial" w:hAnsi="Arial" w:cs="Arial"/>
          <w:b/>
          <w:bCs/>
          <w:i w:val="0"/>
          <w:iCs w:val="0"/>
          <w:noProof/>
          <w:color w:val="auto"/>
          <w:sz w:val="22"/>
          <w:szCs w:val="22"/>
        </w:rPr>
        <w:lastRenderedPageBreak/>
        <w:drawing>
          <wp:inline distT="0" distB="0" distL="0" distR="0" wp14:anchorId="264587F3" wp14:editId="6FDAB326">
            <wp:extent cx="6772275" cy="3267794"/>
            <wp:effectExtent l="0" t="0" r="0" b="8890"/>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87870" cy="3275319"/>
                    </a:xfrm>
                    <a:prstGeom prst="rect">
                      <a:avLst/>
                    </a:prstGeom>
                  </pic:spPr>
                </pic:pic>
              </a:graphicData>
            </a:graphic>
          </wp:inline>
        </w:drawing>
      </w:r>
    </w:p>
    <w:p w14:paraId="4B6039DA" w14:textId="77777777" w:rsidR="00B83F11" w:rsidRPr="00B83F11" w:rsidRDefault="0018192B" w:rsidP="00B83F11">
      <w:pPr>
        <w:spacing w:after="0" w:line="240" w:lineRule="auto"/>
        <w:rPr>
          <w:rFonts w:ascii="Arial" w:hAnsi="Arial" w:cs="Arial"/>
        </w:rPr>
      </w:pPr>
      <w:r w:rsidRPr="00B83F11">
        <w:rPr>
          <w:rFonts w:ascii="Arial" w:hAnsi="Arial" w:cs="Arial"/>
          <w:b/>
          <w:bCs/>
        </w:rPr>
        <w:t xml:space="preserve">Supplementary Figure S4. Forest plot of risk ratio for </w:t>
      </w:r>
      <w:r w:rsidR="00404CE0" w:rsidRPr="00B83F11">
        <w:rPr>
          <w:rFonts w:ascii="Arial" w:hAnsi="Arial" w:cs="Arial"/>
          <w:b/>
          <w:bCs/>
        </w:rPr>
        <w:t>pulmonary embolism</w:t>
      </w:r>
      <w:r w:rsidR="00B17D5A" w:rsidRPr="00B83F11">
        <w:rPr>
          <w:rFonts w:ascii="Arial" w:hAnsi="Arial" w:cs="Arial"/>
          <w:b/>
          <w:bCs/>
        </w:rPr>
        <w:t xml:space="preserve"> (PE)</w:t>
      </w:r>
      <w:r w:rsidR="002160A5" w:rsidRPr="00B83F11">
        <w:rPr>
          <w:rFonts w:ascii="Arial" w:hAnsi="Arial" w:cs="Arial"/>
          <w:b/>
          <w:bCs/>
        </w:rPr>
        <w:t xml:space="preserve"> </w:t>
      </w:r>
      <w:r w:rsidR="00B83F11" w:rsidRPr="00B83F11">
        <w:rPr>
          <w:rFonts w:ascii="Arial" w:hAnsi="Arial" w:cs="Arial"/>
          <w:b/>
          <w:bCs/>
        </w:rPr>
        <w:t>in groups receiving intensified versus prophylactic anticoagulation</w:t>
      </w:r>
    </w:p>
    <w:p w14:paraId="4B2B3C69" w14:textId="6CE6CCA0" w:rsidR="0018192B" w:rsidRPr="00B83F11" w:rsidRDefault="002160A5" w:rsidP="00B83F11">
      <w:pPr>
        <w:pStyle w:val="Caption"/>
        <w:spacing w:after="0"/>
        <w:jc w:val="both"/>
        <w:rPr>
          <w:rFonts w:ascii="Arial" w:hAnsi="Arial" w:cs="Arial"/>
          <w:i w:val="0"/>
          <w:iCs w:val="0"/>
          <w:color w:val="auto"/>
          <w:sz w:val="22"/>
          <w:szCs w:val="22"/>
        </w:rPr>
      </w:pPr>
      <w:r w:rsidRPr="00B83F11">
        <w:rPr>
          <w:rFonts w:ascii="Arial" w:hAnsi="Arial" w:cs="Arial"/>
          <w:b/>
          <w:bCs/>
          <w:i w:val="0"/>
          <w:iCs w:val="0"/>
          <w:color w:val="auto"/>
          <w:sz w:val="22"/>
          <w:szCs w:val="22"/>
        </w:rPr>
        <w:t>(n = 7 studies).</w:t>
      </w:r>
      <w:r w:rsidR="008C07CF" w:rsidRPr="00B83F11">
        <w:rPr>
          <w:rFonts w:ascii="Arial" w:hAnsi="Arial" w:cs="Arial"/>
          <w:b/>
          <w:bCs/>
          <w:i w:val="0"/>
          <w:iCs w:val="0"/>
          <w:color w:val="auto"/>
          <w:sz w:val="22"/>
          <w:szCs w:val="22"/>
        </w:rPr>
        <w:t xml:space="preserve"> </w:t>
      </w:r>
      <w:r w:rsidR="00FC43AC" w:rsidRPr="00B83F11">
        <w:rPr>
          <w:rFonts w:ascii="Arial" w:hAnsi="Arial" w:cs="Arial"/>
          <w:i w:val="0"/>
          <w:iCs w:val="0"/>
          <w:color w:val="auto"/>
          <w:sz w:val="22"/>
          <w:szCs w:val="22"/>
        </w:rPr>
        <w:t>There were no thrombotic events in the single outpatient trial</w:t>
      </w:r>
      <w:r w:rsidR="00FC43AC" w:rsidRPr="00B83F11">
        <w:rPr>
          <w:rFonts w:ascii="Arial" w:hAnsi="Arial" w:cs="Arial"/>
          <w:i w:val="0"/>
          <w:iCs w:val="0"/>
          <w:color w:val="auto"/>
          <w:sz w:val="22"/>
          <w:szCs w:val="22"/>
        </w:rPr>
        <w:fldChar w:fldCharType="begin" w:fldLock="1"/>
      </w:r>
      <w:r w:rsidR="005114A0" w:rsidRPr="00B83F11">
        <w:rPr>
          <w:rFonts w:ascii="Arial" w:hAnsi="Arial" w:cs="Arial"/>
          <w:i w:val="0"/>
          <w:iCs w:val="0"/>
          <w:color w:val="auto"/>
          <w:sz w:val="22"/>
          <w:szCs w:val="22"/>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00FC43AC" w:rsidRPr="00B83F11">
        <w:rPr>
          <w:rFonts w:ascii="Arial" w:hAnsi="Arial" w:cs="Arial"/>
          <w:i w:val="0"/>
          <w:iCs w:val="0"/>
          <w:color w:val="auto"/>
          <w:sz w:val="22"/>
          <w:szCs w:val="22"/>
        </w:rPr>
        <w:fldChar w:fldCharType="separate"/>
      </w:r>
      <w:r w:rsidR="00FD1918" w:rsidRPr="00B83F11">
        <w:rPr>
          <w:rFonts w:ascii="Arial" w:hAnsi="Arial" w:cs="Arial"/>
          <w:i w:val="0"/>
          <w:iCs w:val="0"/>
          <w:noProof/>
          <w:color w:val="auto"/>
          <w:sz w:val="22"/>
          <w:szCs w:val="22"/>
        </w:rPr>
        <w:t>[6]</w:t>
      </w:r>
      <w:r w:rsidR="00FC43AC" w:rsidRPr="00B83F11">
        <w:rPr>
          <w:rFonts w:ascii="Arial" w:hAnsi="Arial" w:cs="Arial"/>
          <w:i w:val="0"/>
          <w:iCs w:val="0"/>
          <w:color w:val="auto"/>
          <w:sz w:val="22"/>
          <w:szCs w:val="22"/>
        </w:rPr>
        <w:fldChar w:fldCharType="end"/>
      </w:r>
      <w:r w:rsidR="00FC43AC" w:rsidRPr="00B83F11">
        <w:rPr>
          <w:rFonts w:ascii="Arial" w:hAnsi="Arial" w:cs="Arial"/>
          <w:i w:val="0"/>
          <w:iCs w:val="0"/>
          <w:color w:val="auto"/>
          <w:sz w:val="22"/>
          <w:szCs w:val="22"/>
        </w:rPr>
        <w:t xml:space="preserve"> and </w:t>
      </w:r>
      <w:r w:rsidR="00B17D5A" w:rsidRPr="00B83F11">
        <w:rPr>
          <w:rFonts w:ascii="Arial" w:hAnsi="Arial" w:cs="Arial"/>
          <w:i w:val="0"/>
          <w:iCs w:val="0"/>
          <w:color w:val="auto"/>
          <w:sz w:val="22"/>
          <w:szCs w:val="22"/>
        </w:rPr>
        <w:t xml:space="preserve">the </w:t>
      </w:r>
      <w:r w:rsidR="007014E5" w:rsidRPr="00B83F11">
        <w:rPr>
          <w:rFonts w:ascii="Arial" w:hAnsi="Arial" w:cs="Arial"/>
          <w:i w:val="0"/>
          <w:iCs w:val="0"/>
          <w:color w:val="auto"/>
          <w:sz w:val="22"/>
          <w:szCs w:val="22"/>
        </w:rPr>
        <w:t>pu</w:t>
      </w:r>
      <w:r w:rsidR="00B17D5A" w:rsidRPr="00B83F11">
        <w:rPr>
          <w:rFonts w:ascii="Arial" w:hAnsi="Arial" w:cs="Arial"/>
          <w:i w:val="0"/>
          <w:iCs w:val="0"/>
          <w:color w:val="auto"/>
          <w:sz w:val="22"/>
          <w:szCs w:val="22"/>
        </w:rPr>
        <w:t xml:space="preserve">lmonary embolic </w:t>
      </w:r>
      <w:r w:rsidR="007014E5" w:rsidRPr="00B83F11">
        <w:rPr>
          <w:rFonts w:ascii="Arial" w:hAnsi="Arial" w:cs="Arial"/>
          <w:i w:val="0"/>
          <w:iCs w:val="0"/>
          <w:color w:val="auto"/>
          <w:sz w:val="22"/>
          <w:szCs w:val="22"/>
        </w:rPr>
        <w:t>events w</w:t>
      </w:r>
      <w:r w:rsidR="00FC43AC" w:rsidRPr="00B83F11">
        <w:rPr>
          <w:rFonts w:ascii="Arial" w:hAnsi="Arial" w:cs="Arial"/>
          <w:i w:val="0"/>
          <w:iCs w:val="0"/>
          <w:color w:val="auto"/>
          <w:sz w:val="22"/>
          <w:szCs w:val="22"/>
        </w:rPr>
        <w:t xml:space="preserve">ere not </w:t>
      </w:r>
      <w:r w:rsidR="00B17D5A" w:rsidRPr="00B83F11">
        <w:rPr>
          <w:rFonts w:ascii="Arial" w:hAnsi="Arial" w:cs="Arial"/>
          <w:i w:val="0"/>
          <w:iCs w:val="0"/>
          <w:color w:val="auto"/>
          <w:sz w:val="22"/>
          <w:szCs w:val="22"/>
        </w:rPr>
        <w:t>captured</w:t>
      </w:r>
      <w:r w:rsidR="00E51E0B" w:rsidRPr="00B83F11">
        <w:rPr>
          <w:rFonts w:ascii="Arial" w:hAnsi="Arial" w:cs="Arial"/>
          <w:i w:val="0"/>
          <w:iCs w:val="0"/>
          <w:color w:val="auto"/>
          <w:sz w:val="22"/>
          <w:szCs w:val="22"/>
        </w:rPr>
        <w:t xml:space="preserve"> as outcomes</w:t>
      </w:r>
      <w:r w:rsidR="00B17D5A" w:rsidRPr="00B83F11">
        <w:rPr>
          <w:rFonts w:ascii="Arial" w:hAnsi="Arial" w:cs="Arial"/>
          <w:i w:val="0"/>
          <w:iCs w:val="0"/>
          <w:color w:val="auto"/>
          <w:sz w:val="22"/>
          <w:szCs w:val="22"/>
        </w:rPr>
        <w:t xml:space="preserve"> </w:t>
      </w:r>
      <w:r w:rsidR="00FC43AC" w:rsidRPr="00B83F11">
        <w:rPr>
          <w:rFonts w:ascii="Arial" w:hAnsi="Arial" w:cs="Arial"/>
          <w:i w:val="0"/>
          <w:iCs w:val="0"/>
          <w:color w:val="auto"/>
          <w:sz w:val="22"/>
          <w:szCs w:val="22"/>
        </w:rPr>
        <w:t>in the remaining trials</w:t>
      </w:r>
      <w:r w:rsidR="00FC43AC" w:rsidRPr="00B83F11">
        <w:rPr>
          <w:rFonts w:ascii="Arial" w:hAnsi="Arial" w:cs="Arial"/>
          <w:i w:val="0"/>
          <w:iCs w:val="0"/>
          <w:color w:val="auto"/>
          <w:sz w:val="22"/>
          <w:szCs w:val="22"/>
        </w:rPr>
        <w:fldChar w:fldCharType="begin" w:fldLock="1"/>
      </w:r>
      <w:r w:rsidR="00C01E72">
        <w:rPr>
          <w:rFonts w:ascii="Arial" w:hAnsi="Arial" w:cs="Arial"/>
          <w:i w:val="0"/>
          <w:iCs w:val="0"/>
          <w:color w:val="auto"/>
          <w:sz w:val="22"/>
          <w:szCs w:val="22"/>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trial.","type":"article-journal"},"uris":["http://www.mendeley.com/documents/?uuid=6b804df7-9df1-4bc4-a808-ab45ba670331"]},{"id":"ITEM-2","itemData":{"DOI":"10.3390/life11101032","ISSN":"20751729","abstract":"Background: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-2","issue":"1032","issued":{"date-parts":[["2021"]]},"title":"Comparison of the effect of unfractionated heparin and enoxaparin sodium at different doses on the course of covid-19-associated coagulopathy","type":"article-journal","volume":"11"},"uris":["http://www.mendeley.com/documents/?uuid=3de78bf3-b864-4308-b5dc-b9be131c374a"]},{"id":"ITEM-3","itemData":{"DOI":"10.1111/jth.15450","ISSN":"1538-7836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Haemostasis","id":"ITEM-3","issue":"9","issued":{"date-parts":[["2021","9"]]},"language":"eng","note":"From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[8,10,11]","plainTextFormattedCitation":"[8,10,11]","previouslyFormattedCitation":"[8,10,11]"},"properties":{"noteIndex":0},"schema":"https://github.com/citation-style-language/schema/raw/master/csl-citation.json"}</w:instrText>
      </w:r>
      <w:r w:rsidR="00FC43AC" w:rsidRPr="00B83F11">
        <w:rPr>
          <w:rFonts w:ascii="Arial" w:hAnsi="Arial" w:cs="Arial"/>
          <w:i w:val="0"/>
          <w:iCs w:val="0"/>
          <w:color w:val="auto"/>
          <w:sz w:val="22"/>
          <w:szCs w:val="22"/>
        </w:rPr>
        <w:fldChar w:fldCharType="separate"/>
      </w:r>
      <w:r w:rsidR="00810C9F" w:rsidRPr="00B83F11">
        <w:rPr>
          <w:rFonts w:ascii="Arial" w:hAnsi="Arial" w:cs="Arial"/>
          <w:i w:val="0"/>
          <w:iCs w:val="0"/>
          <w:noProof/>
          <w:color w:val="auto"/>
          <w:sz w:val="22"/>
          <w:szCs w:val="22"/>
        </w:rPr>
        <w:t>[8,10,11]</w:t>
      </w:r>
      <w:r w:rsidR="00FC43AC" w:rsidRPr="00B83F11">
        <w:rPr>
          <w:rFonts w:ascii="Arial" w:hAnsi="Arial" w:cs="Arial"/>
          <w:i w:val="0"/>
          <w:iCs w:val="0"/>
          <w:color w:val="auto"/>
          <w:sz w:val="22"/>
          <w:szCs w:val="22"/>
        </w:rPr>
        <w:fldChar w:fldCharType="end"/>
      </w:r>
      <w:r w:rsidR="00FC43AC" w:rsidRPr="00B83F11">
        <w:rPr>
          <w:rFonts w:ascii="Arial" w:hAnsi="Arial" w:cs="Arial"/>
          <w:i w:val="0"/>
          <w:iCs w:val="0"/>
          <w:color w:val="auto"/>
          <w:sz w:val="22"/>
          <w:szCs w:val="22"/>
        </w:rPr>
        <w:t xml:space="preserve"> – these trials are excluded from the forest plot above.</w:t>
      </w:r>
    </w:p>
    <w:p w14:paraId="6AF82FD2" w14:textId="77777777" w:rsidR="007014E5" w:rsidRDefault="007014E5" w:rsidP="007014E5"/>
    <w:p w14:paraId="7021D1D5" w14:textId="77777777" w:rsidR="009A3F5A" w:rsidRDefault="009A3F5A" w:rsidP="007014E5"/>
    <w:p w14:paraId="138A3C66" w14:textId="77777777" w:rsidR="009A3F5A" w:rsidRDefault="009A3F5A" w:rsidP="007014E5"/>
    <w:p w14:paraId="4888588C" w14:textId="77777777" w:rsidR="009A3F5A" w:rsidRDefault="009A3F5A" w:rsidP="007014E5"/>
    <w:p w14:paraId="41B20C65" w14:textId="77777777" w:rsidR="009A3F5A" w:rsidRDefault="009A3F5A" w:rsidP="007014E5"/>
    <w:p w14:paraId="181042EF" w14:textId="77777777" w:rsidR="009A3F5A" w:rsidRDefault="009A3F5A" w:rsidP="007014E5"/>
    <w:p w14:paraId="5412F308" w14:textId="77777777" w:rsidR="009A3F5A" w:rsidRDefault="009A3F5A" w:rsidP="007014E5"/>
    <w:p w14:paraId="51764204" w14:textId="77777777" w:rsidR="009A3F5A" w:rsidRDefault="009A3F5A" w:rsidP="007014E5"/>
    <w:p w14:paraId="7221D696" w14:textId="77777777" w:rsidR="009A3F5A" w:rsidRPr="001D732D" w:rsidRDefault="009A3F5A" w:rsidP="007014E5"/>
    <w:p w14:paraId="7D9DCA1C" w14:textId="299649B0" w:rsidR="00404CE0" w:rsidRDefault="00A035AB" w:rsidP="00404CE0">
      <w:r>
        <w:rPr>
          <w:noProof/>
        </w:rPr>
        <w:lastRenderedPageBreak/>
        <w:drawing>
          <wp:inline distT="0" distB="0" distL="0" distR="0" wp14:anchorId="0595A5E7" wp14:editId="40C3AACD">
            <wp:extent cx="6838950" cy="3268786"/>
            <wp:effectExtent l="0" t="0" r="0" b="8255"/>
            <wp:docPr id="73" name="Picture 7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71457" cy="3284323"/>
                    </a:xfrm>
                    <a:prstGeom prst="rect">
                      <a:avLst/>
                    </a:prstGeom>
                  </pic:spPr>
                </pic:pic>
              </a:graphicData>
            </a:graphic>
          </wp:inline>
        </w:drawing>
      </w:r>
    </w:p>
    <w:p w14:paraId="4B477016" w14:textId="77777777" w:rsidR="00B83F11" w:rsidRPr="00B83F11" w:rsidRDefault="00404CE0" w:rsidP="00B83F11">
      <w:pPr>
        <w:spacing w:after="0" w:line="240" w:lineRule="auto"/>
        <w:rPr>
          <w:rFonts w:ascii="Arial" w:hAnsi="Arial" w:cs="Arial"/>
        </w:rPr>
      </w:pPr>
      <w:r w:rsidRPr="00247DC3">
        <w:rPr>
          <w:rFonts w:ascii="Arial" w:hAnsi="Arial" w:cs="Arial"/>
          <w:b/>
          <w:bCs/>
        </w:rPr>
        <w:t xml:space="preserve">Supplementary Figure S5. Forest plot of risk ratio for </w:t>
      </w:r>
      <w:r w:rsidR="00FB2268" w:rsidRPr="00247DC3">
        <w:rPr>
          <w:rFonts w:ascii="Arial" w:hAnsi="Arial" w:cs="Arial"/>
          <w:b/>
          <w:bCs/>
        </w:rPr>
        <w:t>deep venous thrombosis</w:t>
      </w:r>
      <w:r w:rsidR="00B83F11">
        <w:rPr>
          <w:rFonts w:ascii="Arial" w:hAnsi="Arial" w:cs="Arial"/>
          <w:b/>
          <w:bCs/>
        </w:rPr>
        <w:t xml:space="preserve"> </w:t>
      </w:r>
      <w:r w:rsidR="00B83F11" w:rsidRPr="00B83F11">
        <w:rPr>
          <w:rFonts w:ascii="Arial" w:hAnsi="Arial" w:cs="Arial"/>
          <w:b/>
          <w:bCs/>
        </w:rPr>
        <w:t>in groups receiving intensified versus prophylactic anticoagulation</w:t>
      </w:r>
    </w:p>
    <w:p w14:paraId="4FC99B48" w14:textId="54B4CED8" w:rsidR="00404CE0" w:rsidRPr="00247DC3" w:rsidRDefault="002160A5" w:rsidP="00404CE0">
      <w:pPr>
        <w:rPr>
          <w:rFonts w:ascii="Arial" w:hAnsi="Arial" w:cs="Arial"/>
        </w:rPr>
      </w:pPr>
      <w:r>
        <w:rPr>
          <w:rFonts w:ascii="Arial" w:hAnsi="Arial" w:cs="Arial"/>
          <w:b/>
          <w:bCs/>
        </w:rPr>
        <w:t xml:space="preserve"> (n = 7 studies). </w:t>
      </w:r>
      <w:r w:rsidR="00FB2268" w:rsidRPr="00247DC3">
        <w:rPr>
          <w:rFonts w:ascii="Arial" w:hAnsi="Arial" w:cs="Arial"/>
        </w:rPr>
        <w:t>There were no thrombotic events in the single outpatient trial</w:t>
      </w:r>
      <w:r w:rsidR="00FB2268" w:rsidRPr="00247DC3">
        <w:rPr>
          <w:rFonts w:ascii="Arial" w:hAnsi="Arial" w:cs="Arial"/>
        </w:rPr>
        <w:fldChar w:fldCharType="begin" w:fldLock="1"/>
      </w:r>
      <w:r w:rsidR="005114A0">
        <w:rPr>
          <w:rFonts w:ascii="Arial" w:hAnsi="Arial" w:cs="Arial"/>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00FB2268" w:rsidRPr="00247DC3">
        <w:rPr>
          <w:rFonts w:ascii="Arial" w:hAnsi="Arial" w:cs="Arial"/>
        </w:rPr>
        <w:fldChar w:fldCharType="separate"/>
      </w:r>
      <w:r w:rsidR="00FD1918" w:rsidRPr="00FD1918">
        <w:rPr>
          <w:rFonts w:ascii="Arial" w:hAnsi="Arial" w:cs="Arial"/>
          <w:noProof/>
        </w:rPr>
        <w:t>[6]</w:t>
      </w:r>
      <w:r w:rsidR="00FB2268" w:rsidRPr="00247DC3">
        <w:rPr>
          <w:rFonts w:ascii="Arial" w:hAnsi="Arial" w:cs="Arial"/>
        </w:rPr>
        <w:fldChar w:fldCharType="end"/>
      </w:r>
      <w:r w:rsidR="00FB2268" w:rsidRPr="00247DC3">
        <w:rPr>
          <w:rFonts w:ascii="Arial" w:hAnsi="Arial" w:cs="Arial"/>
        </w:rPr>
        <w:t xml:space="preserve"> and </w:t>
      </w:r>
      <w:r w:rsidR="00E51E0B" w:rsidRPr="00247DC3">
        <w:rPr>
          <w:rFonts w:ascii="Arial" w:hAnsi="Arial" w:cs="Arial"/>
        </w:rPr>
        <w:t>DVT events</w:t>
      </w:r>
      <w:r w:rsidR="00FB2268" w:rsidRPr="00247DC3">
        <w:rPr>
          <w:rFonts w:ascii="Arial" w:hAnsi="Arial" w:cs="Arial"/>
        </w:rPr>
        <w:t xml:space="preserve"> were not </w:t>
      </w:r>
      <w:r w:rsidR="00E51E0B" w:rsidRPr="00247DC3">
        <w:rPr>
          <w:rFonts w:ascii="Arial" w:hAnsi="Arial" w:cs="Arial"/>
        </w:rPr>
        <w:t xml:space="preserve">captured as outcomes </w:t>
      </w:r>
      <w:r w:rsidR="00FB2268" w:rsidRPr="00247DC3">
        <w:rPr>
          <w:rFonts w:ascii="Arial" w:hAnsi="Arial" w:cs="Arial"/>
        </w:rPr>
        <w:t>in the remaining trials</w:t>
      </w:r>
      <w:r w:rsidR="00FB2268" w:rsidRPr="00247DC3">
        <w:rPr>
          <w:rFonts w:ascii="Arial" w:hAnsi="Arial" w:cs="Arial"/>
        </w:rPr>
        <w:fldChar w:fldCharType="begin" w:fldLock="1"/>
      </w:r>
      <w:r w:rsidR="00C01E72">
        <w:rPr>
          <w:rFonts w:ascii="Arial" w:hAnsi="Arial" w:cs="Arial"/>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trial.","type":"article-journal"},"uris":["http://www.mendeley.com/documents/?uuid=6b804df7-9df1-4bc4-a808-ab45ba670331"]},{"id":"ITEM-2","itemData":{"DOI":"10.3390/life11101032","ISSN":"20751729","abstract":"Background: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-2","issue":"1032","issued":{"date-parts":[["2021"]]},"title":"Comparison of the effect of unfractionated heparin and enoxaparin sodium at different doses on the course of covid-19-associated coagulopathy","type":"article-journal","volume":"11"},"uris":["http://www.mendeley.com/documents/?uuid=3de78bf3-b864-4308-b5dc-b9be131c374a"]},{"id":"ITEM-3","itemData":{"DOI":"10.1111/jth.15450","ISSN":"1538-7836 (Electronic)","PMID":"34236768","abstract":"Background: Coronavirus disease 2019 (COVID-19) is associated with coagulopathy but the optimal prophylactic anticoagulation therapy remains uncertain and may depend on COVID-19 severity. Objective: To compare outcomes in hospitalized adults with severe COVID-19 treated with standard prophylactic versus intermediate dose enoxaparin. Methods: We conducted a multi-center, open-label, randomized controlled trial comparing standard prophylactic dose versus intermediate dose enoxaparin in adults who were hospitalized with COVID-19 and admitted to an intensive care unit (ICU) and/or had laboratory evidence of coagulopathy. Patients were randomly assigned in a 1:1 ratio to receive standard prophylactic dose enoxaparin or intermediate weight-adjusted dose enoxaparin. The primary outcome was all-cause mortality at 30 days. Secondary outcomes included arterial or venous thromboembolism and major bleeding. Results: A total of 176 patients (99 males and 77 females) underwent randomization. In the intention-to-treat population, all-cause mortality at 30 days was 15% for intermediate dose enoxaparin and 21% for standard prophylactic dose enoxaparin (odds ratio, 0.66; 95% confidence interval, 0.30–1.45; P =.31 by Chi-square test). Unadjusted Cox proportional hazards modeling demonstrated no significant difference in mortality between intermediate and standard dose enoxaparin (hazard ratio, 0.67; 95% confidence interval, 0.33–1.37; P =.28). Arterial or venous thrombosis occurred in 13% of patients assigned to intermediate dose enoxaparin and 9% of patients assigned to standard dose enoxaparin. Major bleeding occurred in 2% of patients in each arm. Conclusion: In hospitalized adults with severe COVID-19, standard prophylactic dose and intermediate dose enoxaparin did not differ significantly in preventing death or thrombosis at 30 days. © 2021 International Society on Thrombosis and Haemostasis","author":[{"dropping-particle":"","family":"Perepu","given":"Usha S","non-dropping-particle":"","parse-names":false,"suffix":""},{"dropping-particle":"","family":"Chambers","given":"Isaac","non-dropping-particle":"","parse-names":false,"suffix":""},{"dropping-particle":"","family":"Wahab","given":"Abdul","non-dropping-particle":"","parse-names":false,"suffix":""},{"dropping-particle":"","family":"Eyck","given":"Patrick","non-dropping-particle":"Ten","parse-names":false,"suffix":""},{"dropping-particle":"","family":"Wu","given":"Chaorong","non-dropping-particle":"","parse-names":false,"suffix":""},{"dropping-particle":"","family":"Dayal","given":"Sanjana","non-dropping-particle":"","parse-names":false,"suffix":""},{"dropping-particle":"","family":"Sutamtewagul","given":"Grerk","non-dropping-particle":"","parse-names":false,"suffix":""},{"dropping-particle":"","family":"Bailey","given":"Steven R","non-dropping-particle":"","parse-names":false,"suffix":""},{"dropping-particle":"","family":"Rosenstein","given":"Lori J","non-dropping-particle":"","parse-names":false,"suffix":""},{"dropping-particle":"","family":"Lentz","given":"Steven R","non-dropping-particle":"","parse-names":false,"suffix":""}],"container-title":"Journal of Thrombosis and Haemostasis","id":"ITEM-3","issue":"9","issued":{"date-parts":[["2021","9"]]},"language":"eng","note":"From Duplicate 1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2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2021\n\nFrom Duplicate 4 (Standard prophylactic versus intermediate dose enoxaparin in adults with severe COVID-19: a multi-center, open-label, randomized controlled trial - Perepu, Usha S; Chambers, Isaac; Wahab, Abdul; Ten Eyck, Patrick; Wu, Chaorong; Dayal, Sanjana; Sutamtewagul, Grerk; Bailey, Steven R; Rosenstein, Lori J; Lentz, Steven R)\n\nFrom Duplicate 3 (Standard prophylactic versus intermediate dose enoxaparin in adults with severe COVID-19: A multi-center, open-label, randomized controlled trial - Perepu, U S; Chambers, I; Wahab, A; Ten Eyck, P; Wu, C; Dayal, S; Sutamtewagul, G; Bailey, S R; Rosenstein, L J; Lentz, S R)\n\nExport Date: 19 September 2021","page":"2225-2234","title":"Standard prophylactic versus intermediate dose enoxaparin in adults with severe COVID-19: A multi-center, open-label, randomized controlled trial","type":"article-journal","volume":"19"},"uris":["http://www.mendeley.com/documents/?uuid=f4c8af21-0a04-4b3e-b1b6-c7e16e2af834"]}],"mendeley":{"formattedCitation":"[8,10,11]","plainTextFormattedCitation":"[8,10,11]","previouslyFormattedCitation":"[8,10,11]"},"properties":{"noteIndex":0},"schema":"https://github.com/citation-style-language/schema/raw/master/csl-citation.json"}</w:instrText>
      </w:r>
      <w:r w:rsidR="00FB2268" w:rsidRPr="00247DC3">
        <w:rPr>
          <w:rFonts w:ascii="Arial" w:hAnsi="Arial" w:cs="Arial"/>
        </w:rPr>
        <w:fldChar w:fldCharType="separate"/>
      </w:r>
      <w:r w:rsidR="00810C9F" w:rsidRPr="00810C9F">
        <w:rPr>
          <w:rFonts w:ascii="Arial" w:hAnsi="Arial" w:cs="Arial"/>
          <w:noProof/>
        </w:rPr>
        <w:t>[8,10,11]</w:t>
      </w:r>
      <w:r w:rsidR="00FB2268" w:rsidRPr="00247DC3">
        <w:rPr>
          <w:rFonts w:ascii="Arial" w:hAnsi="Arial" w:cs="Arial"/>
        </w:rPr>
        <w:fldChar w:fldCharType="end"/>
      </w:r>
      <w:r w:rsidR="00FB2268" w:rsidRPr="00247DC3">
        <w:rPr>
          <w:rFonts w:ascii="Arial" w:hAnsi="Arial" w:cs="Arial"/>
        </w:rPr>
        <w:t xml:space="preserve"> – these trials are excluded from the forest plot above.</w:t>
      </w:r>
    </w:p>
    <w:p w14:paraId="6537199B" w14:textId="77777777" w:rsidR="00C91EEA" w:rsidRDefault="00C91EEA" w:rsidP="00404CE0"/>
    <w:p w14:paraId="1155141C" w14:textId="77777777" w:rsidR="00C91EEA" w:rsidRDefault="00C91EEA" w:rsidP="00404CE0"/>
    <w:p w14:paraId="2058D768" w14:textId="77777777" w:rsidR="00C91EEA" w:rsidRPr="00404CE0" w:rsidRDefault="00C91EEA" w:rsidP="00404CE0"/>
    <w:p w14:paraId="5CA94C5B" w14:textId="77777777" w:rsidR="004B69DA" w:rsidRDefault="004B69DA" w:rsidP="000F5245">
      <w:pPr>
        <w:rPr>
          <w:rFonts w:ascii="Arial" w:hAnsi="Arial" w:cs="Arial"/>
          <w:b/>
          <w:bCs/>
        </w:rPr>
      </w:pPr>
    </w:p>
    <w:p w14:paraId="5458EB87" w14:textId="77777777" w:rsidR="004B69DA" w:rsidRDefault="004B69DA" w:rsidP="000F5245">
      <w:pPr>
        <w:rPr>
          <w:rFonts w:ascii="Arial" w:hAnsi="Arial" w:cs="Arial"/>
          <w:b/>
          <w:bCs/>
        </w:rPr>
      </w:pPr>
    </w:p>
    <w:p w14:paraId="12668331" w14:textId="77777777" w:rsidR="004B69DA" w:rsidRDefault="004B69DA" w:rsidP="000F5245">
      <w:pPr>
        <w:rPr>
          <w:rFonts w:ascii="Arial" w:hAnsi="Arial" w:cs="Arial"/>
          <w:b/>
          <w:bCs/>
        </w:rPr>
      </w:pPr>
    </w:p>
    <w:p w14:paraId="4AF5BB4A" w14:textId="77777777" w:rsidR="004B69DA" w:rsidRDefault="004B69DA" w:rsidP="000F5245">
      <w:pPr>
        <w:rPr>
          <w:rFonts w:ascii="Arial" w:hAnsi="Arial" w:cs="Arial"/>
          <w:b/>
          <w:bCs/>
        </w:rPr>
      </w:pPr>
    </w:p>
    <w:p w14:paraId="4CCCD59F" w14:textId="7DA4BC52" w:rsidR="004B69DA" w:rsidRDefault="00EE5A53" w:rsidP="000F5245">
      <w:pPr>
        <w:rPr>
          <w:rFonts w:ascii="Arial" w:hAnsi="Arial" w:cs="Arial"/>
          <w:b/>
          <w:bCs/>
        </w:rPr>
      </w:pPr>
      <w:r>
        <w:rPr>
          <w:rFonts w:ascii="Arial" w:hAnsi="Arial" w:cs="Arial"/>
          <w:b/>
          <w:bCs/>
          <w:noProof/>
        </w:rPr>
        <w:lastRenderedPageBreak/>
        <w:drawing>
          <wp:inline distT="0" distB="0" distL="0" distR="0" wp14:anchorId="33D99E89" wp14:editId="2CEDD3D1">
            <wp:extent cx="6672088" cy="4140000"/>
            <wp:effectExtent l="0" t="0" r="0" b="0"/>
            <wp:docPr id="74" name="Picture 7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72088" cy="4140000"/>
                    </a:xfrm>
                    <a:prstGeom prst="rect">
                      <a:avLst/>
                    </a:prstGeom>
                  </pic:spPr>
                </pic:pic>
              </a:graphicData>
            </a:graphic>
          </wp:inline>
        </w:drawing>
      </w:r>
    </w:p>
    <w:p w14:paraId="14A7FA12" w14:textId="07A4423E" w:rsidR="00C2583E" w:rsidRDefault="00C2583E" w:rsidP="0050112A">
      <w:pPr>
        <w:tabs>
          <w:tab w:val="left" w:pos="14060"/>
        </w:tabs>
        <w:rPr>
          <w:rFonts w:ascii="Arial" w:hAnsi="Arial" w:cs="Arial"/>
          <w:b/>
          <w:bCs/>
        </w:rPr>
      </w:pPr>
    </w:p>
    <w:p w14:paraId="135D2336" w14:textId="182B1EB3" w:rsidR="00D27B06" w:rsidRDefault="00D27B06" w:rsidP="00C023E8">
      <w:pPr>
        <w:spacing w:after="0" w:line="240" w:lineRule="auto"/>
        <w:rPr>
          <w:rFonts w:ascii="Arial" w:hAnsi="Arial" w:cs="Arial"/>
        </w:rPr>
      </w:pPr>
      <w:r w:rsidRPr="00C2583E">
        <w:rPr>
          <w:rFonts w:ascii="Arial" w:hAnsi="Arial" w:cs="Arial"/>
          <w:b/>
          <w:bCs/>
        </w:rPr>
        <w:t>Supplementary Figure S</w:t>
      </w:r>
      <w:r w:rsidR="00816A93">
        <w:rPr>
          <w:rFonts w:ascii="Arial" w:hAnsi="Arial" w:cs="Arial"/>
          <w:b/>
          <w:bCs/>
        </w:rPr>
        <w:t>6</w:t>
      </w:r>
      <w:r w:rsidRPr="00C2583E">
        <w:rPr>
          <w:rFonts w:ascii="Arial" w:hAnsi="Arial" w:cs="Arial"/>
          <w:b/>
          <w:bCs/>
        </w:rPr>
        <w:t xml:space="preserve">. </w:t>
      </w:r>
      <w:r w:rsidR="00196A6E" w:rsidRPr="00196A6E">
        <w:rPr>
          <w:rFonts w:ascii="Arial" w:hAnsi="Arial" w:cs="Arial"/>
          <w:b/>
          <w:iCs/>
        </w:rPr>
        <w:t xml:space="preserve">Forest plot of risk ratio for </w:t>
      </w:r>
      <w:r w:rsidRPr="00196A6E">
        <w:rPr>
          <w:rFonts w:ascii="Arial" w:hAnsi="Arial" w:cs="Arial"/>
          <w:b/>
          <w:bCs/>
          <w:iCs/>
        </w:rPr>
        <w:t>composite</w:t>
      </w:r>
      <w:r w:rsidRPr="00C2583E">
        <w:rPr>
          <w:rFonts w:ascii="Arial" w:hAnsi="Arial" w:cs="Arial"/>
          <w:b/>
          <w:bCs/>
        </w:rPr>
        <w:t xml:space="preserve"> outcome (</w:t>
      </w:r>
      <w:r w:rsidR="004F6711">
        <w:rPr>
          <w:rFonts w:ascii="Arial" w:hAnsi="Arial" w:cs="Arial"/>
          <w:b/>
          <w:bCs/>
        </w:rPr>
        <w:t xml:space="preserve">any thrombosis </w:t>
      </w:r>
      <w:r w:rsidRPr="00C2583E">
        <w:rPr>
          <w:rFonts w:ascii="Arial" w:hAnsi="Arial" w:cs="Arial"/>
          <w:b/>
          <w:bCs/>
        </w:rPr>
        <w:t>or death)</w:t>
      </w:r>
      <w:r w:rsidR="00C023E8">
        <w:rPr>
          <w:rFonts w:ascii="Arial" w:hAnsi="Arial" w:cs="Arial"/>
          <w:b/>
          <w:bCs/>
        </w:rPr>
        <w:t xml:space="preserve"> </w:t>
      </w:r>
      <w:r w:rsidR="00C023E8" w:rsidRPr="00B83F11">
        <w:rPr>
          <w:rFonts w:ascii="Arial" w:hAnsi="Arial" w:cs="Arial"/>
          <w:b/>
          <w:bCs/>
        </w:rPr>
        <w:t>in groups receiving intensified versus prophylactic anticoagulation</w:t>
      </w:r>
      <w:r w:rsidR="00CA6A49">
        <w:rPr>
          <w:rFonts w:ascii="Arial" w:hAnsi="Arial" w:cs="Arial"/>
          <w:b/>
          <w:bCs/>
        </w:rPr>
        <w:t xml:space="preserve">, </w:t>
      </w:r>
      <w:r w:rsidR="00CA6A49" w:rsidRPr="00407F01">
        <w:rPr>
          <w:rFonts w:ascii="Arial" w:hAnsi="Arial" w:cs="Arial"/>
          <w:b/>
          <w:bCs/>
        </w:rPr>
        <w:t>stratified by clinical setting (ICU versus hospitalised non-ICU)</w:t>
      </w:r>
      <w:r w:rsidR="002160A5">
        <w:rPr>
          <w:rFonts w:ascii="Arial" w:hAnsi="Arial" w:cs="Arial"/>
          <w:b/>
          <w:bCs/>
        </w:rPr>
        <w:t xml:space="preserve"> (n = 4 studies).</w:t>
      </w:r>
      <w:r w:rsidR="00CA6A49">
        <w:rPr>
          <w:rFonts w:ascii="Arial" w:hAnsi="Arial" w:cs="Arial"/>
          <w:b/>
          <w:bCs/>
        </w:rPr>
        <w:t xml:space="preserve"> </w:t>
      </w:r>
      <w:r w:rsidR="00857769">
        <w:rPr>
          <w:rFonts w:ascii="Arial" w:hAnsi="Arial" w:cs="Arial"/>
        </w:rPr>
        <w:t xml:space="preserve">Only </w:t>
      </w:r>
      <w:r w:rsidR="002160A5">
        <w:rPr>
          <w:rFonts w:ascii="Arial" w:hAnsi="Arial" w:cs="Arial"/>
        </w:rPr>
        <w:t>4</w:t>
      </w:r>
      <w:r w:rsidR="00857769">
        <w:rPr>
          <w:rFonts w:ascii="Arial" w:hAnsi="Arial" w:cs="Arial"/>
        </w:rPr>
        <w:t xml:space="preserve"> studies reported on this composite outcome</w:t>
      </w:r>
      <w:r w:rsidR="002160A5">
        <w:rPr>
          <w:rFonts w:ascii="Arial" w:hAnsi="Arial" w:cs="Arial"/>
        </w:rPr>
        <w:t>,</w:t>
      </w:r>
      <w:r w:rsidR="00BD612C">
        <w:rPr>
          <w:rFonts w:ascii="Arial" w:hAnsi="Arial" w:cs="Arial"/>
        </w:rPr>
        <w:fldChar w:fldCharType="begin" w:fldLock="1"/>
      </w:r>
      <w:r w:rsidR="00676671">
        <w:rPr>
          <w:rFonts w:ascii="Arial" w:hAnsi="Arial" w:cs="Arial"/>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Covid-19","type":"article-journal"},"uris":["http://www.mendeley.com/documents/?uuid=825f97c2-0adb-4c66-b9ec-225eebb3a263"]},{"id":"ITEM-2","itemData":{"DOI":"10.1056/nejmoa2105911","ISSN":"0028-4793","author":[{"dropping-particle":"","family":"The REMAP-CAP, ACTIV-4a","given":"and ATTACC Investigators*","non-dropping-particle":"","parse-names":false,"suffix":""}],"container-title":"New England Journal of Medicine","id":"ITEM-2","issued":{"date-parts":[["2021"]]},"page":"1-13","title":"Therapeutic Anticoagulation with Heparin in Noncritically Ill Patients with Covid-19","type":"article-journal"},"uris":["http://www.mendeley.com/documents/?uuid=372f90c6-5c58-45e1-9d3b-8244a6a389bb"]},{"id":"ITEM-3","itemData":{"DOI":"10.1016/S0140-6736(21)01203-4","ISSN":"1474-547X","PMID":"34097856","abstract":"Background: COVID-19 is associated with a prothrombotic state leading to adverse clinical outcomes. Whether therapeutic anticoagulation improves outcomes in patients hospitalised with COVID-19 is unknown. We aimed to compare the efficacy and safety of therapeutic versus prophylactic anticoagulation in this population. Methods: We did a pragmatic, open-label (with blinded adjudication), multicentre, randomised, controlled trial, at 31 sites in Brazil. Patients (aged ≥18 years) hospitalised with COVID-19 and elevated D-dimer concentration, and who had COVID-19 symptoms for up to 14 days before randomisation, were randomly assigned (1:1) to receive either therapeutic or prophylactic anticoagulation. Therapeutic anticoagulation was in-hospital oral rivaroxaban (20 mg or 15 mg daily) for stable patients, or initial subcutaneous enoxaparin (1 mg/kg twice per day) or intravenous unfractionated heparin (to achieve a 0·3–0·7 IU/mL anti-Xa concentration) for clinically unstable patients, followed by rivaroxaban to day 30. Prophylactic anticoagulation was standard in-hospital enoxaparin or unfractionated heparin. The primary efficacy outcome was a hierarchical analysis of time to death, duration of hospitalisation, or duration of supplemental oxygen to day 30, analysed with the win ratio method (a ratio &gt;1 reflects a better outcome in the therapeutic anticoagulation group) in the intention-to-treat population. The primary safety outcome was major or clinically relevant non-major bleeding through 30 days. This study is registered with ClinicalTrials.gov (NCT04394377) and is completed. Findings: From June 24, 2020, to Feb 26, 2021, 3331 patients were screened and 615 were randomly allocated (311 [50%] to the therapeutic anticoagulation group and 304 [50%] to the prophylactic anticoagulation group). 576 (94%) were clinically stable and 39 (6%) clinically unstable. One patient, in the therapeutic group, was lost to follow-up because of withdrawal of consent and was not included in the primary analysis. The primary efficacy outcome was not different between patients assigned therapeutic or prophylactic anticoagulation, with 28 899 (34·8%) wins in the therapeutic group and 34 288 (41·3%) in the prophylactic group (win ratio 0·86 [95% CI 0·59–1·22], p=0·40). Consistent results were seen in clinically stable and clinically unstable patients. The primary safety outcome of major or clinically relevant non-major bleeding occurred in 26 (8%) patients assigned therapeutic anti…","author":[{"dropping-particle":"","family":"Lopes","given":"Renato D.","non-dropping-particle":"","parse-names":false,"suffix":""},{"dropping-particle":"","family":"Barros E Silva","given":"Pedro Gabriel Melo","non-dropping-particle":"de","parse-names":false,"suffix":""},{"dropping-particle":"","family":"Furtado","given":"Remo H.M. M","non-dropping-particle":"","parse-names":false,"suffix":""},{"dropping-particle":"","family":"Macedo","given":"Ariane Vieira Scarlatelli","non-dropping-particle":"","parse-names":false,"suffix":""},{"dropping-particle":"","family":"Bronhara","given":"Bruna","non-dropping-particle":"","parse-names":false,"suffix":""},{"dropping-particle":"","family":"Damiani","given":"Lucas Petri","non-dropping-particle":"","parse-names":false,"suffix":""},{"dropping-particle":"","family":"Barbosa","given":"Lilian Mazza","non-dropping-particle":"","parse-names":false,"suffix":""},{"dropping-particle":"","family":"Aveiro Morata","given":"Júlia","non-dropping-particle":"de","parse-names":false,"suffix":""},{"dropping-particle":"","family":"Ramacciotti","given":"Eduardo","non-dropping-particle":"","parse-names":false,"suffix":""},{"dropping-particle":"","family":"Aquino Martins","given":"Priscilla","non-dropping-particle":"de","parse-names":false,"suffix":""},{"dropping-particle":"","family":"Oliveira","given":"Aryadne Lyrio","non-dropping-particle":"de","parse-names":false,"suffix":""},{"dropping-particle":"","family":"Nunes","given":"Vinicius Santana","non-dropping-particle":"","parse-names":false,"suffix":""},{"dropping-particle":"","family":"Ritt","given":"Luiz Eduardo Fonteles","non-dropping-particle":"","parse-names":false,"suffix":""},{"dropping-particle":"","family":"Rocha","given":"Ana Thereza","non-dropping-particle":"","parse-names":false,"suffix":""},{"dropping-particle":"","family":"Tramujas","given":"Lucas","non-dropping-particle":"","parse-names":false,"suffix":""},{"dropping-particle":"V.","family":"Santos","given":"Sueli","non-dropping-particle":"","parse-names":false,"suffix":""},{"dropping-particle":"","family":"Diaz","given":"Dario Rafael Abregu","non-dropping-particle":"","parse-names":false,"suffix":""},{"dropping-particle":"","family":"Viana","given":"Lorena Souza","non-dropping-particle":"","parse-names":false,"suffix":""},{"dropping-particle":"","family":"Melro","given":"Lívia Maria Garcia","non-dropping-particle":"","parse-names":false,"suffix":""},{"dropping-particle":"","family":"Alcântara Chaud","given":"Mariana Silveira","non-dropping-particle":"de","parse-names":false,"suffix":""},{"dropping-particle":"","family":"Figueiredo","given":"Estêvão Lanna","non-dropping-particle":"","parse-names":false,"suffix":""},{"dropping-particle":"","family":"Neuenschwander","given":"Fernando Carvalho","non-dropping-particle":"","parse-names":false,"suffix":""},{"dropping-particle":"","family":"Dracoulakis","given":"Marianna Deway Andrade","non-dropping-particle":"","parse-names":false,"suffix":""},{"dropping-particle":"","family":"Lima","given":"Rodolfo Godinho Souza Dourado R.G.S.D.","non-dropping-particle":"","parse-names":false,"suffix":""},{"dropping-particle":"","family":"Souza Dantas","given":"Vicente Cés","non-dropping-particle":"de","parse-names":false,"suffix":""},{"dropping-particle":"","family":"Fernandes","given":"Anne Cristine Silva","non-dropping-particle":"","parse-names":false,"suffix":""},{"dropping-particle":"","family":"Gebara","given":"Otávio Celso Eluf","non-dropping-particle":"","parse-names":false,"suffix":""},{"dropping-particle":"","family":"Hernandes","given":"Mauro Esteves","non-dropping-particle":"","parse-names":false,"suffix":""},{"dropping-particle":"","family":"Queiroz","given":"Diego Aparecido Rios","non-dropping-particle":"","parse-names":false,"suffix":""},{"dropping-particle":"","family":"Veiga","given":"Viviane C.","non-dropping-particle":"","parse-names":false,"suffix":""},{"dropping-particle":"","family":"Canesin","given":"Manoel Fernandes","non-dropping-particle":"","parse-names":false,"suffix":""},{"dropping-particle":"","family":"Faria","given":"Leonardo Meira","non-dropping-particle":"de","parse-names":false,"suffix":""},{"dropping-particle":"","family":"Feitosa-Filho","given":"Gilson Soares","non-dropping-particle":"","parse-names":false,"suffix":""},{"dropping-particle":"","family":"Gazzana","given":"Marcelo Basso","non-dropping-particle":"","parse-names":false,"suffix":""},{"dropping-particle":"","family":"Liporace","given":"Idelzuíta Leandro","non-dropping-particle":"","parse-names":false,"suffix":""},{"dropping-particle":"","family":"Oliveira Twardowsky","given":"Aline","non-dropping-particle":"de","parse-names":false,"suffix":""},{"dropping-particle":"","family":"Maia","given":"Lilia Nigro","non-dropping-particle":"","parse-names":false,"suffix":""},{"dropping-particle":"","family":"Machado","given":"Flávia Ribeiro","non-dropping-particle":"","parse-names":false,"suffix":""},{"dropping-particle":"","family":"Matos Soeiro","given":"Alexandre","non-dropping-particle":"de","parse-names":false,"suffix":""},{"dropping-particle":"","family":"Conceição-Souza","given":"Germano Emílio","non-dropping-particle":"","parse-names":false,"suffix":""},{"dropping-particle":"","family":"Armaganijan","given":"Luciana","non-dropping-particle":"","parse-names":false,"suffix":""},{"dropping-particle":"","family":"Guimarães","given":"Patrícia O.","non-dropping-particle":"","parse-names":false,"suffix":""},{"dropping-particle":"","family":"Rosa","given":"Regis G.","non-dropping-particle":"","parse-names":false,"suffix":""},{"dropping-particle":"","family":"Azevedo","given":"Luciano C.P. P","non-dropping-particle":"","parse-names":false,"suffix":""},{"dropping-particle":"","family":"Alexander","given":"John H.","non-dropping-particle":"","parse-names":false,"suffix":""},{"dropping-particle":"","family":"Avezum","given":"Alvaro","non-dropping-particle":"","parse-names":false,"suffix":""},{"dropping-particle":"","family":"Cavalcanti","given":"Alexandre B.","non-dropping-particle":"","parse-names":false,"suffix":""},{"dropping-particle":"","family":"Berwanger","given":"Otavio","non-dropping-particle":"","parse-names":false,"suffix":""}],"container-title":"The Lancet","id":"ITEM-3","issue":"10291","issued":{"date-parts":[["2021"]]},"language":"en","note":"From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2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1 (Therapeutic versus prophylactic anticoagulation for patients admitted to hospital with COVID-19 and elevated D-dimer concentration (ACTION): an open-label, multicentre, randomised, controlled trial - Lopes, Renato D.; de Barros E Silva, Pedro Gabriel Melo; Furtado, Remo H.M. M; Macedo, Ariane Vieira Scarlatelli; Bronhara, Bruna; Damiani, Lucas Petri; Barbosa, Lilian Mazza; de Aveiro Morata, Júlia; Ramacciotti, Eduardo; de Aquino Martins, Priscilla; de Oliveira, Aryadne Lyrio; Nunes, Vinicius Santana; Ritt, Luiz Eduardo Fonteles; Rocha, Ana Thereza; Tramujas, Lucas; Santos, Sueli V.; Diaz, Dario Rafael Abregu; Viana, Lorena Souza; Melro, Lívia Maria Garcia; de Alcântara Chaud, Mariana Silveira; Figueiredo, Estêvão Lanna; Neuenschwander, Fernando Carvalho; Dracoulakis, Marianna Deway Andrade; Lima, Rodolfo Godinho Souza Dourado R.G.S.D.; de Souza Dantas, Vicente Cés; Fernandes, Anne Cristine Silva; Gebara, Otávio Celso Eluf; Hernandes, Mauro Esteves; Queiroz, Diego Aparecido Rios; Veiga, Viviane C.; Canesin, Manoel Fernandes; de Faria, Leonardo Meira; Feitosa-Filho, Gilson Soares; Gazzana, Marcelo Basso; Liporace, Idelzuíta Leandro; de Oliveira Twardowsky, Aline; Maia, Lilia Nigro; Machado, Flávia Ribeiro; de Matos Soeiro, Alexandre; Conceição-Souza, Germano Emílio; Armaganijan, Luciana; Guimarães, Patrícia O.; Rosa, Regis G.; Azevedo, Luciano C.P. P; Alexander, John H.; Avezum, Alvaro; Cavalcanti, Alexandre B.; Berwanger, Otavio)\n\nFrom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2021\n\nFrom Duplicate 3 (Therapeutic versus prophylactic anticoagulation for patients admitted to hospital with COVID-19 and elevated D-dimer concentration (ACTION): an open-label, multicentre, randomised, controlled trial - Lopes, R D; de Barros e Silva, P G M; Furtado, R H M; Macedo, A V S; Bronhara, B; Damiani, L P; Barbosa, L M; de Aveiro Morata, J; Ramacciotti, E; de Aquino Martins, P; de Oliveira, A L; Nunes, V S; Ritt, L E F; Rocha, A T; Tramujas, L; Santos, S V; Diaz, D R A; Viana, L S; Melro, L M G; de Alcântara Chaud, M S; Figueiredo, E L; Neuenschwander, F C; Dracoulakis, M D A; Lima, R.G.S.D.; de Souza Dantas, V C; Fernandes, A C S; Gebara, O C E; Hernandes, M E; Queiroz, D A R; Veiga, V C; Canesin, M F; de Faria, L M; Feitosa-Filho, G S; Gazzana, M B; Liporace, I L; de Oliveira Twardowsky, A; Maia, L N; Machado, F R; de Matos Soeiro, A; Conceição-Souza, G E; Armaganijan, L; Guimarães, P O; Rosa, R G; Azevedo, L C P; Alexander, J H; Avezum, A; Cavalcanti, A B; Berwanger, O)\n\nCited By :9\n\nExport Date: 19 September 2021","page":"2253-2263","publisher-place":"Lopes RD; Duke Clinical Research Institute, Duke University Medical Center, Durham, NC, USA; Brazilian Clinical Research Institute, São Paulo, Brazil. Electronic address: USArenato.lopes@duke.edu.","title":"Therapeutic versus prophylactic anticoagulation for patients admitted to hospital with COVID-19 and elevated D-dimer concentration (ACTION): an open-label, multicentre, randomised, controlled trial","type":"article-journal","volume":"397"},"uris":["http://www.mendeley.com/documents/?uuid=faf91367-5dbe-4654-aba7-ea7d6468829d"]},{"id":"ITEM-4","itemData":{"DOI":"10.1001/jamainternmed.2021.6203","ISSN":"2168-6114","PMID":"34617959","abstract":"Importance: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Medicine","id":"ITEM-4","issue":"12","issued":{"date-parts":[["2021"]]},"note":"From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[2,3,5,7]","plainTextFormattedCitation":"[2,3,5,7]","previouslyFormattedCitation":"[2,3,5,7]"},"properties":{"noteIndex":0},"schema":"https://github.com/citation-style-language/schema/raw/master/csl-citation.json"}</w:instrText>
      </w:r>
      <w:r w:rsidR="00BD612C">
        <w:rPr>
          <w:rFonts w:ascii="Arial" w:hAnsi="Arial" w:cs="Arial"/>
        </w:rPr>
        <w:fldChar w:fldCharType="separate"/>
      </w:r>
      <w:r w:rsidR="00ED6CA0" w:rsidRPr="00ED6CA0">
        <w:rPr>
          <w:rFonts w:ascii="Arial" w:hAnsi="Arial" w:cs="Arial"/>
          <w:noProof/>
        </w:rPr>
        <w:t>[2,3,5,7]</w:t>
      </w:r>
      <w:r w:rsidR="00BD612C">
        <w:rPr>
          <w:rFonts w:ascii="Arial" w:hAnsi="Arial" w:cs="Arial"/>
        </w:rPr>
        <w:fldChar w:fldCharType="end"/>
      </w:r>
      <w:r w:rsidR="002160A5">
        <w:rPr>
          <w:rFonts w:ascii="Arial" w:hAnsi="Arial" w:cs="Arial"/>
        </w:rPr>
        <w:t xml:space="preserve"> all</w:t>
      </w:r>
      <w:r w:rsidR="00857769">
        <w:rPr>
          <w:rFonts w:ascii="Arial" w:hAnsi="Arial" w:cs="Arial"/>
        </w:rPr>
        <w:t xml:space="preserve"> </w:t>
      </w:r>
      <w:r w:rsidR="00085447">
        <w:rPr>
          <w:rFonts w:ascii="Arial" w:hAnsi="Arial" w:cs="Arial"/>
        </w:rPr>
        <w:t>compar</w:t>
      </w:r>
      <w:r w:rsidR="002160A5">
        <w:rPr>
          <w:rFonts w:ascii="Arial" w:hAnsi="Arial" w:cs="Arial"/>
        </w:rPr>
        <w:t>ing</w:t>
      </w:r>
      <w:r w:rsidR="00085447">
        <w:rPr>
          <w:rFonts w:ascii="Arial" w:hAnsi="Arial" w:cs="Arial"/>
        </w:rPr>
        <w:t xml:space="preserve"> therapeutic anticoagulation to </w:t>
      </w:r>
      <w:r w:rsidR="00E21859">
        <w:rPr>
          <w:rFonts w:ascii="Arial" w:hAnsi="Arial" w:cs="Arial"/>
        </w:rPr>
        <w:t xml:space="preserve">low or intermediate-dose </w:t>
      </w:r>
      <w:r w:rsidR="00085447">
        <w:rPr>
          <w:rFonts w:ascii="Arial" w:hAnsi="Arial" w:cs="Arial"/>
        </w:rPr>
        <w:t xml:space="preserve">prophylactic </w:t>
      </w:r>
      <w:r w:rsidR="00E21859">
        <w:rPr>
          <w:rFonts w:ascii="Arial" w:hAnsi="Arial" w:cs="Arial"/>
        </w:rPr>
        <w:t xml:space="preserve">anticoagulation. </w:t>
      </w:r>
    </w:p>
    <w:p w14:paraId="1E4E121B" w14:textId="467DE12A" w:rsidR="00924D63" w:rsidRDefault="00A7323D" w:rsidP="00D27B06">
      <w:pPr>
        <w:rPr>
          <w:rFonts w:ascii="Arial" w:hAnsi="Arial" w:cs="Arial"/>
        </w:rPr>
      </w:pPr>
      <w:r>
        <w:rPr>
          <w:rFonts w:ascii="Arial" w:hAnsi="Arial" w:cs="Arial"/>
          <w:noProof/>
        </w:rPr>
        <w:lastRenderedPageBreak/>
        <w:drawing>
          <wp:inline distT="0" distB="0" distL="0" distR="0" wp14:anchorId="6633F188" wp14:editId="1D072259">
            <wp:extent cx="6406299" cy="4952236"/>
            <wp:effectExtent l="0" t="0" r="0" b="1270"/>
            <wp:docPr id="75" name="Picture 7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box and whisk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28132" cy="4969114"/>
                    </a:xfrm>
                    <a:prstGeom prst="rect">
                      <a:avLst/>
                    </a:prstGeom>
                  </pic:spPr>
                </pic:pic>
              </a:graphicData>
            </a:graphic>
          </wp:inline>
        </w:drawing>
      </w:r>
    </w:p>
    <w:p w14:paraId="678D8087" w14:textId="5C824A0D" w:rsidR="00A7323D" w:rsidRPr="00C023E8" w:rsidRDefault="00924D63" w:rsidP="00C023E8">
      <w:pPr>
        <w:spacing w:after="0" w:line="240" w:lineRule="auto"/>
        <w:rPr>
          <w:rFonts w:ascii="Arial" w:hAnsi="Arial" w:cs="Arial"/>
        </w:rPr>
      </w:pPr>
      <w:r w:rsidRPr="00FB3B65">
        <w:rPr>
          <w:rFonts w:ascii="Arial" w:hAnsi="Arial" w:cs="Arial"/>
          <w:b/>
          <w:bCs/>
        </w:rPr>
        <w:t xml:space="preserve">Supplementary Figure S7. </w:t>
      </w:r>
      <w:r w:rsidRPr="00FB3B65">
        <w:rPr>
          <w:rFonts w:ascii="Arial" w:hAnsi="Arial" w:cs="Arial"/>
          <w:b/>
          <w:iCs/>
        </w:rPr>
        <w:t xml:space="preserve">Forest plot of risk ratio </w:t>
      </w:r>
      <w:r w:rsidR="00C84229" w:rsidRPr="00FB3B65">
        <w:rPr>
          <w:rFonts w:ascii="Arial" w:hAnsi="Arial" w:cs="Arial"/>
          <w:b/>
          <w:iCs/>
        </w:rPr>
        <w:t>for any thrombosis</w:t>
      </w:r>
      <w:r w:rsidR="00C023E8" w:rsidRPr="00C023E8">
        <w:rPr>
          <w:rFonts w:ascii="Arial" w:hAnsi="Arial" w:cs="Arial"/>
          <w:b/>
          <w:bCs/>
        </w:rPr>
        <w:t xml:space="preserve"> </w:t>
      </w:r>
      <w:r w:rsidR="00C023E8" w:rsidRPr="00B83F11">
        <w:rPr>
          <w:rFonts w:ascii="Arial" w:hAnsi="Arial" w:cs="Arial"/>
          <w:b/>
          <w:bCs/>
        </w:rPr>
        <w:t>in groups receiving intensified versus prophylactic anticoagulation</w:t>
      </w:r>
      <w:r w:rsidR="00A7323D" w:rsidRPr="00FB3B65">
        <w:rPr>
          <w:rFonts w:ascii="Arial" w:hAnsi="Arial" w:cs="Arial"/>
          <w:b/>
          <w:iCs/>
        </w:rPr>
        <w:t xml:space="preserve">, stratified by </w:t>
      </w:r>
      <w:r w:rsidR="00A7323D" w:rsidRPr="00FB3B65">
        <w:rPr>
          <w:rFonts w:ascii="Arial" w:hAnsi="Arial" w:cs="Arial"/>
          <w:b/>
          <w:bCs/>
          <w:iCs/>
        </w:rPr>
        <w:t>dose of intensified anticoagulation (therapeutic versus intermediate)</w:t>
      </w:r>
      <w:r w:rsidR="005153A9">
        <w:rPr>
          <w:rFonts w:ascii="Arial" w:hAnsi="Arial" w:cs="Arial"/>
          <w:b/>
          <w:bCs/>
          <w:iCs/>
        </w:rPr>
        <w:t xml:space="preserve"> (n = 9 studies).</w:t>
      </w:r>
      <w:r w:rsidR="00D9467D" w:rsidRPr="00FB3B65">
        <w:rPr>
          <w:rFonts w:ascii="Arial" w:hAnsi="Arial" w:cs="Arial"/>
          <w:b/>
          <w:bCs/>
          <w:iCs/>
        </w:rPr>
        <w:t xml:space="preserve"> </w:t>
      </w:r>
      <w:r w:rsidR="00D9467D" w:rsidRPr="00FB3B65">
        <w:rPr>
          <w:rFonts w:ascii="Arial" w:hAnsi="Arial" w:cs="Arial"/>
        </w:rPr>
        <w:t>There were no thrombotic events in the single outpatient trial</w:t>
      </w:r>
      <w:r w:rsidR="00D9467D" w:rsidRPr="00FB3B65">
        <w:rPr>
          <w:rFonts w:ascii="Arial" w:hAnsi="Arial" w:cs="Arial"/>
        </w:rPr>
        <w:fldChar w:fldCharType="begin" w:fldLock="1"/>
      </w:r>
      <w:r w:rsidR="005114A0">
        <w:rPr>
          <w:rFonts w:ascii="Arial" w:hAnsi="Arial" w:cs="Arial"/>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00D9467D" w:rsidRPr="00FB3B65">
        <w:rPr>
          <w:rFonts w:ascii="Arial" w:hAnsi="Arial" w:cs="Arial"/>
        </w:rPr>
        <w:fldChar w:fldCharType="separate"/>
      </w:r>
      <w:r w:rsidR="00FD1918" w:rsidRPr="00FD1918">
        <w:rPr>
          <w:rFonts w:ascii="Arial" w:hAnsi="Arial" w:cs="Arial"/>
          <w:noProof/>
        </w:rPr>
        <w:t>[6]</w:t>
      </w:r>
      <w:r w:rsidR="00D9467D" w:rsidRPr="00FB3B65">
        <w:rPr>
          <w:rFonts w:ascii="Arial" w:hAnsi="Arial" w:cs="Arial"/>
        </w:rPr>
        <w:fldChar w:fldCharType="end"/>
      </w:r>
      <w:r w:rsidR="00D9467D" w:rsidRPr="00FB3B65">
        <w:rPr>
          <w:rFonts w:ascii="Arial" w:hAnsi="Arial" w:cs="Arial"/>
        </w:rPr>
        <w:t xml:space="preserve"> and </w:t>
      </w:r>
      <w:r w:rsidR="00FE1747" w:rsidRPr="00FB3B65">
        <w:rPr>
          <w:rFonts w:ascii="Arial" w:hAnsi="Arial" w:cs="Arial"/>
        </w:rPr>
        <w:t>thrombotic events</w:t>
      </w:r>
      <w:r w:rsidR="00D9467D" w:rsidRPr="00FB3B65">
        <w:rPr>
          <w:rFonts w:ascii="Arial" w:hAnsi="Arial" w:cs="Arial"/>
        </w:rPr>
        <w:t xml:space="preserve"> were not captured as</w:t>
      </w:r>
      <w:r w:rsidR="00FE1747" w:rsidRPr="00FB3B65">
        <w:rPr>
          <w:rFonts w:ascii="Arial" w:hAnsi="Arial" w:cs="Arial"/>
        </w:rPr>
        <w:t xml:space="preserve"> an</w:t>
      </w:r>
      <w:r w:rsidR="00D9467D" w:rsidRPr="00FB3B65">
        <w:rPr>
          <w:rFonts w:ascii="Arial" w:hAnsi="Arial" w:cs="Arial"/>
        </w:rPr>
        <w:t xml:space="preserve"> outcome in </w:t>
      </w:r>
      <w:r w:rsidR="00D05E9A" w:rsidRPr="00FB3B65">
        <w:rPr>
          <w:rFonts w:ascii="Arial" w:hAnsi="Arial" w:cs="Arial"/>
        </w:rPr>
        <w:t>another</w:t>
      </w:r>
      <w:r w:rsidR="00D9467D" w:rsidRPr="00FB3B65">
        <w:rPr>
          <w:rFonts w:ascii="Arial" w:hAnsi="Arial" w:cs="Arial"/>
        </w:rPr>
        <w:t xml:space="preserve"> tria</w:t>
      </w:r>
      <w:r w:rsidR="00FE1747" w:rsidRPr="00FB3B65">
        <w:rPr>
          <w:rFonts w:ascii="Arial" w:hAnsi="Arial" w:cs="Arial"/>
        </w:rPr>
        <w:t>l</w:t>
      </w:r>
      <w:r w:rsidR="00463FF0" w:rsidRPr="00FB3B65">
        <w:rPr>
          <w:rFonts w:ascii="Arial" w:hAnsi="Arial" w:cs="Arial"/>
        </w:rPr>
        <w:t xml:space="preserve"> </w:t>
      </w:r>
      <w:r w:rsidR="00463FF0" w:rsidRPr="00FB3B65">
        <w:rPr>
          <w:rFonts w:ascii="Arial" w:hAnsi="Arial" w:cs="Arial"/>
        </w:rPr>
        <w:fldChar w:fldCharType="begin" w:fldLock="1"/>
      </w:r>
      <w:r w:rsidR="00C01E72">
        <w:rPr>
          <w:rFonts w:ascii="Arial" w:hAnsi="Arial" w:cs="Arial"/>
        </w:rPr>
        <w:instrText>ADDIN CSL_CITATION {"citationItems":[{"id":"ITEM-1","itemData":{"DOI":"10.3390/life11101032","ISSN":"20751729","abstract":"Background: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-1","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[11]","plainTextFormattedCitation":"[11]","previouslyFormattedCitation":"[11]"},"properties":{"noteIndex":0},"schema":"https://github.com/citation-style-language/schema/raw/master/csl-citation.json"}</w:instrText>
      </w:r>
      <w:r w:rsidR="00463FF0" w:rsidRPr="00FB3B65">
        <w:rPr>
          <w:rFonts w:ascii="Arial" w:hAnsi="Arial" w:cs="Arial"/>
        </w:rPr>
        <w:fldChar w:fldCharType="separate"/>
      </w:r>
      <w:r w:rsidR="00810C9F" w:rsidRPr="00810C9F">
        <w:rPr>
          <w:rFonts w:ascii="Arial" w:hAnsi="Arial" w:cs="Arial"/>
          <w:noProof/>
        </w:rPr>
        <w:t>[11]</w:t>
      </w:r>
      <w:r w:rsidR="00463FF0" w:rsidRPr="00FB3B65">
        <w:rPr>
          <w:rFonts w:ascii="Arial" w:hAnsi="Arial" w:cs="Arial"/>
        </w:rPr>
        <w:fldChar w:fldCharType="end"/>
      </w:r>
      <w:r w:rsidR="00FE1747" w:rsidRPr="00FB3B65">
        <w:rPr>
          <w:rFonts w:ascii="Arial" w:hAnsi="Arial" w:cs="Arial"/>
        </w:rPr>
        <w:t xml:space="preserve"> </w:t>
      </w:r>
      <w:r w:rsidR="00D9467D" w:rsidRPr="00FB3B65">
        <w:rPr>
          <w:rFonts w:ascii="Arial" w:hAnsi="Arial" w:cs="Arial"/>
        </w:rPr>
        <w:t>– these trials are excluded from the forest plot above.</w:t>
      </w:r>
    </w:p>
    <w:p w14:paraId="1B61FAAA" w14:textId="3A889BA0" w:rsidR="00924D63" w:rsidRDefault="00924D63" w:rsidP="00924D63">
      <w:pPr>
        <w:rPr>
          <w:rFonts w:ascii="Arial" w:hAnsi="Arial" w:cs="Arial"/>
        </w:rPr>
      </w:pPr>
    </w:p>
    <w:p w14:paraId="420A960F" w14:textId="7A643A1D" w:rsidR="00136E83" w:rsidRDefault="00136E83" w:rsidP="0050112A">
      <w:pPr>
        <w:rPr>
          <w:rFonts w:ascii="Arial" w:hAnsi="Arial" w:cs="Arial"/>
          <w:b/>
          <w:bCs/>
        </w:rPr>
      </w:pPr>
    </w:p>
    <w:p w14:paraId="179E6602" w14:textId="1CCC02BD" w:rsidR="00FE7E30" w:rsidRDefault="006677B8" w:rsidP="0050112A">
      <w:pPr>
        <w:tabs>
          <w:tab w:val="left" w:pos="14060"/>
        </w:tabs>
        <w:rPr>
          <w:rFonts w:ascii="Arial" w:hAnsi="Arial" w:cs="Arial"/>
          <w:b/>
          <w:bCs/>
        </w:rPr>
      </w:pPr>
      <w:r>
        <w:rPr>
          <w:rFonts w:ascii="Arial" w:hAnsi="Arial" w:cs="Arial"/>
          <w:b/>
          <w:bCs/>
          <w:noProof/>
        </w:rPr>
        <w:lastRenderedPageBreak/>
        <w:drawing>
          <wp:inline distT="0" distB="0" distL="0" distR="0" wp14:anchorId="5991DDCE" wp14:editId="047E3271">
            <wp:extent cx="6482115" cy="4601863"/>
            <wp:effectExtent l="0" t="0" r="0" b="8255"/>
            <wp:docPr id="71" name="Picture 7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box and whisk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95278" cy="4611208"/>
                    </a:xfrm>
                    <a:prstGeom prst="rect">
                      <a:avLst/>
                    </a:prstGeom>
                  </pic:spPr>
                </pic:pic>
              </a:graphicData>
            </a:graphic>
          </wp:inline>
        </w:drawing>
      </w:r>
    </w:p>
    <w:p w14:paraId="0B4F5520" w14:textId="66DC622A" w:rsidR="00D27B06" w:rsidRPr="002E26BE" w:rsidRDefault="00D27B06" w:rsidP="00C023E8">
      <w:pPr>
        <w:spacing w:after="0" w:line="240" w:lineRule="auto"/>
        <w:rPr>
          <w:rFonts w:ascii="Arial" w:hAnsi="Arial" w:cs="Arial"/>
        </w:rPr>
      </w:pPr>
      <w:r>
        <w:rPr>
          <w:rFonts w:ascii="Arial" w:hAnsi="Arial" w:cs="Arial"/>
          <w:b/>
          <w:bCs/>
        </w:rPr>
        <w:t>Supplementary Figure S</w:t>
      </w:r>
      <w:r w:rsidR="005A3341">
        <w:rPr>
          <w:rFonts w:ascii="Arial" w:hAnsi="Arial" w:cs="Arial"/>
          <w:b/>
          <w:bCs/>
        </w:rPr>
        <w:t>8</w:t>
      </w:r>
      <w:r>
        <w:rPr>
          <w:rFonts w:ascii="Arial" w:hAnsi="Arial" w:cs="Arial"/>
          <w:b/>
          <w:bCs/>
        </w:rPr>
        <w:t xml:space="preserve">. </w:t>
      </w:r>
      <w:r w:rsidR="00196A6E" w:rsidRPr="00196A6E">
        <w:rPr>
          <w:rFonts w:ascii="Arial" w:hAnsi="Arial" w:cs="Arial"/>
          <w:b/>
          <w:iCs/>
        </w:rPr>
        <w:t xml:space="preserve">Forest plot of risk ratio for </w:t>
      </w:r>
      <w:r w:rsidRPr="00196A6E">
        <w:rPr>
          <w:rFonts w:ascii="Arial" w:hAnsi="Arial" w:cs="Arial"/>
          <w:b/>
          <w:bCs/>
          <w:iCs/>
        </w:rPr>
        <w:t>clinically relevant non-major bleed</w:t>
      </w:r>
      <w:r w:rsidR="00C023E8">
        <w:rPr>
          <w:rFonts w:ascii="Arial" w:hAnsi="Arial" w:cs="Arial"/>
          <w:b/>
          <w:bCs/>
          <w:iCs/>
        </w:rPr>
        <w:t xml:space="preserve"> </w:t>
      </w:r>
      <w:r w:rsidR="00C023E8" w:rsidRPr="00B83F11">
        <w:rPr>
          <w:rFonts w:ascii="Arial" w:hAnsi="Arial" w:cs="Arial"/>
          <w:b/>
          <w:bCs/>
        </w:rPr>
        <w:t>in groups receiving intensified versus prophylactic anticoagulation</w:t>
      </w:r>
      <w:r w:rsidRPr="00196A6E">
        <w:rPr>
          <w:rFonts w:ascii="Arial" w:hAnsi="Arial" w:cs="Arial"/>
          <w:b/>
          <w:bCs/>
          <w:iCs/>
        </w:rPr>
        <w:t>, stratified by dose of intensified anticoagulation (therapeutic versus intermediate)</w:t>
      </w:r>
      <w:r w:rsidR="005153A9">
        <w:rPr>
          <w:rFonts w:ascii="Arial" w:hAnsi="Arial" w:cs="Arial"/>
          <w:b/>
          <w:bCs/>
          <w:iCs/>
        </w:rPr>
        <w:t xml:space="preserve"> (n = </w:t>
      </w:r>
      <w:r w:rsidR="00AF2D0E">
        <w:rPr>
          <w:rFonts w:ascii="Arial" w:hAnsi="Arial" w:cs="Arial"/>
          <w:b/>
          <w:bCs/>
          <w:iCs/>
        </w:rPr>
        <w:t>7</w:t>
      </w:r>
      <w:r w:rsidR="005153A9">
        <w:rPr>
          <w:rFonts w:ascii="Arial" w:hAnsi="Arial" w:cs="Arial"/>
          <w:b/>
          <w:bCs/>
          <w:iCs/>
        </w:rPr>
        <w:t xml:space="preserve"> studies)</w:t>
      </w:r>
      <w:r w:rsidR="002E26BE">
        <w:rPr>
          <w:rFonts w:ascii="Arial" w:hAnsi="Arial" w:cs="Arial"/>
          <w:b/>
          <w:bCs/>
          <w:iCs/>
        </w:rPr>
        <w:t xml:space="preserve">. </w:t>
      </w:r>
      <w:r w:rsidR="002E26BE">
        <w:rPr>
          <w:rFonts w:ascii="Arial" w:hAnsi="Arial" w:cs="Arial"/>
          <w:iCs/>
        </w:rPr>
        <w:t xml:space="preserve">This outcome was not </w:t>
      </w:r>
      <w:r w:rsidR="00AF2D0E">
        <w:rPr>
          <w:rFonts w:ascii="Arial" w:hAnsi="Arial" w:cs="Arial"/>
          <w:iCs/>
        </w:rPr>
        <w:t xml:space="preserve">reported by </w:t>
      </w:r>
      <w:r w:rsidR="00E36745">
        <w:rPr>
          <w:rFonts w:ascii="Arial" w:hAnsi="Arial" w:cs="Arial"/>
          <w:iCs/>
        </w:rPr>
        <w:t>4 trials</w:t>
      </w:r>
      <w:r w:rsidR="00957538">
        <w:rPr>
          <w:rFonts w:ascii="Arial" w:hAnsi="Arial" w:cs="Arial"/>
          <w:iCs/>
        </w:rPr>
        <w:fldChar w:fldCharType="begin" w:fldLock="1"/>
      </w:r>
      <w:r w:rsidR="005114A0">
        <w:rPr>
          <w:rFonts w:ascii="Arial" w:hAnsi="Arial" w:cs="Arial"/>
          <w:iCs/>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Covid-19","type":"article-journal"},"uris":["http://www.mendeley.com/documents/?uuid=825f97c2-0adb-4c66-b9ec-225eebb3a263"]},{"id":"ITEM-2","itemData":{"DOI":"10.1056/nejmoa2105911","ISSN":"0028-4793","author":[{"dropping-particle":"","family":"The REMAP-CAP, ACTIV-4a","given":"and ATTACC Investigators*","non-dropping-particle":"","parse-names":false,"suffix":""}],"container-title":"New England Journal of Medicine","id":"ITEM-2","issued":{"date-parts":[["2021"]]},"page":"1-13","title":"Therapeutic Anticoagulation with Heparin in Noncritically Ill Patients with Covid-19","type":"article-journal"},"uris":["http://www.mendeley.com/documents/?uuid=372f90c6-5c58-45e1-9d3b-8244a6a389bb"]},{"id":"ITEM-3","itemData":{"DOI":"10.1136/bmj.n2400","ISSN":"17561833","PMID":"34649864","abstract":"Objective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BMJ","id":"ITEM-3","issued":{"date-parts":[["2021"]]},"title":"Effectiveness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trial","type":"article-journal","volume":"375"},"uris":["http://www.mendeley.com/documents/?uuid=3859a707-3eb5-4101-9251-b4294e3ee823"]},{"id":"ITEM-4","itemData":{"DOI":"10.1001/jamainternmed.2021.6203","ISSN":"2168-6114","PMID":"34617959","abstract":"Importance: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Medicine","id":"ITEM-4","issue":"12","issued":{"date-parts":[["2021"]]},"note":"From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[2–5]","plainTextFormattedCitation":"[2–5]","previouslyFormattedCitation":"[2–5]"},"properties":{"noteIndex":0},"schema":"https://github.com/citation-style-language/schema/raw/master/csl-citation.json"}</w:instrText>
      </w:r>
      <w:r w:rsidR="00957538">
        <w:rPr>
          <w:rFonts w:ascii="Arial" w:hAnsi="Arial" w:cs="Arial"/>
          <w:iCs/>
        </w:rPr>
        <w:fldChar w:fldCharType="separate"/>
      </w:r>
      <w:r w:rsidR="00FD1918" w:rsidRPr="00FD1918">
        <w:rPr>
          <w:rFonts w:ascii="Arial" w:hAnsi="Arial" w:cs="Arial"/>
          <w:iCs/>
          <w:noProof/>
        </w:rPr>
        <w:t>[2–5]</w:t>
      </w:r>
      <w:r w:rsidR="00957538">
        <w:rPr>
          <w:rFonts w:ascii="Arial" w:hAnsi="Arial" w:cs="Arial"/>
          <w:iCs/>
        </w:rPr>
        <w:fldChar w:fldCharType="end"/>
      </w:r>
      <w:r w:rsidR="00E36745">
        <w:rPr>
          <w:rFonts w:ascii="Arial" w:hAnsi="Arial" w:cs="Arial"/>
          <w:iCs/>
        </w:rPr>
        <w:t xml:space="preserve"> </w:t>
      </w:r>
      <w:r w:rsidR="00BC041A">
        <w:rPr>
          <w:rFonts w:ascii="Arial" w:hAnsi="Arial" w:cs="Arial"/>
          <w:iCs/>
        </w:rPr>
        <w:t xml:space="preserve">excluded from </w:t>
      </w:r>
      <w:r w:rsidR="00E36745">
        <w:rPr>
          <w:rFonts w:ascii="Arial" w:hAnsi="Arial" w:cs="Arial"/>
          <w:iCs/>
        </w:rPr>
        <w:t>forest plot above.</w:t>
      </w:r>
    </w:p>
    <w:p w14:paraId="7642927D" w14:textId="72FAAC95" w:rsidR="00FE7E30" w:rsidRDefault="00FE7E30" w:rsidP="0050112A">
      <w:pPr>
        <w:tabs>
          <w:tab w:val="left" w:pos="14060"/>
        </w:tabs>
        <w:rPr>
          <w:rFonts w:ascii="Arial" w:hAnsi="Arial" w:cs="Arial"/>
          <w:b/>
          <w:bCs/>
        </w:rPr>
      </w:pPr>
    </w:p>
    <w:p w14:paraId="29AF4961" w14:textId="51102F37" w:rsidR="00172A06" w:rsidRDefault="00661F10" w:rsidP="0050112A">
      <w:pPr>
        <w:tabs>
          <w:tab w:val="left" w:pos="14060"/>
        </w:tabs>
        <w:rPr>
          <w:rFonts w:ascii="Arial" w:hAnsi="Arial" w:cs="Arial"/>
          <w:b/>
          <w:bCs/>
        </w:rPr>
      </w:pPr>
      <w:r>
        <w:rPr>
          <w:rFonts w:ascii="Arial" w:hAnsi="Arial" w:cs="Arial"/>
          <w:b/>
          <w:bCs/>
          <w:noProof/>
        </w:rPr>
        <w:lastRenderedPageBreak/>
        <w:drawing>
          <wp:inline distT="0" distB="0" distL="0" distR="0" wp14:anchorId="74F0280B" wp14:editId="7D111415">
            <wp:extent cx="6677660" cy="4740686"/>
            <wp:effectExtent l="0" t="0" r="8890" b="3175"/>
            <wp:docPr id="76" name="Picture 7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box and whisk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93622" cy="4752018"/>
                    </a:xfrm>
                    <a:prstGeom prst="rect">
                      <a:avLst/>
                    </a:prstGeom>
                  </pic:spPr>
                </pic:pic>
              </a:graphicData>
            </a:graphic>
          </wp:inline>
        </w:drawing>
      </w:r>
    </w:p>
    <w:p w14:paraId="743467FA" w14:textId="587C7F64" w:rsidR="00D27B06" w:rsidRPr="00C023E8" w:rsidRDefault="00D27B06" w:rsidP="00C023E8">
      <w:pPr>
        <w:spacing w:after="0" w:line="240" w:lineRule="auto"/>
        <w:rPr>
          <w:rFonts w:ascii="Arial" w:hAnsi="Arial" w:cs="Arial"/>
        </w:rPr>
      </w:pPr>
      <w:r>
        <w:rPr>
          <w:rFonts w:ascii="Arial" w:hAnsi="Arial" w:cs="Arial"/>
          <w:b/>
          <w:bCs/>
        </w:rPr>
        <w:t>Supplementary Figure S</w:t>
      </w:r>
      <w:r w:rsidR="005A3341">
        <w:rPr>
          <w:rFonts w:ascii="Arial" w:hAnsi="Arial" w:cs="Arial"/>
          <w:b/>
          <w:bCs/>
        </w:rPr>
        <w:t>9</w:t>
      </w:r>
      <w:r w:rsidRPr="00196A6E">
        <w:rPr>
          <w:rFonts w:ascii="Arial" w:hAnsi="Arial" w:cs="Arial"/>
          <w:b/>
          <w:bCs/>
        </w:rPr>
        <w:t xml:space="preserve">. </w:t>
      </w:r>
      <w:r w:rsidR="00196A6E" w:rsidRPr="00196A6E">
        <w:rPr>
          <w:rFonts w:ascii="Arial" w:hAnsi="Arial" w:cs="Arial"/>
          <w:b/>
        </w:rPr>
        <w:t xml:space="preserve">Forest plot of risk ratio for </w:t>
      </w:r>
      <w:r w:rsidRPr="00196A6E">
        <w:rPr>
          <w:rFonts w:ascii="Arial" w:hAnsi="Arial" w:cs="Arial"/>
          <w:b/>
          <w:bCs/>
        </w:rPr>
        <w:t>any</w:t>
      </w:r>
      <w:r>
        <w:rPr>
          <w:rFonts w:ascii="Arial" w:hAnsi="Arial" w:cs="Arial"/>
          <w:b/>
          <w:bCs/>
        </w:rPr>
        <w:t xml:space="preserve"> bleed</w:t>
      </w:r>
      <w:r w:rsidR="00C023E8">
        <w:rPr>
          <w:rFonts w:ascii="Arial" w:hAnsi="Arial" w:cs="Arial"/>
          <w:b/>
          <w:bCs/>
        </w:rPr>
        <w:t xml:space="preserve"> </w:t>
      </w:r>
      <w:r w:rsidR="00C023E8" w:rsidRPr="00B83F11">
        <w:rPr>
          <w:rFonts w:ascii="Arial" w:hAnsi="Arial" w:cs="Arial"/>
          <w:b/>
          <w:bCs/>
        </w:rPr>
        <w:t>in groups receiving intensified versus prophylactic anticoagulation</w:t>
      </w:r>
      <w:r>
        <w:rPr>
          <w:rFonts w:ascii="Arial" w:hAnsi="Arial" w:cs="Arial"/>
          <w:b/>
          <w:bCs/>
        </w:rPr>
        <w:t xml:space="preserve">, </w:t>
      </w:r>
      <w:r w:rsidRPr="00C2583E">
        <w:rPr>
          <w:rFonts w:ascii="Arial" w:hAnsi="Arial" w:cs="Arial"/>
          <w:b/>
          <w:bCs/>
        </w:rPr>
        <w:t xml:space="preserve">stratified by </w:t>
      </w:r>
      <w:r>
        <w:rPr>
          <w:rFonts w:ascii="Arial" w:hAnsi="Arial" w:cs="Arial"/>
          <w:b/>
          <w:bCs/>
        </w:rPr>
        <w:t xml:space="preserve">dose of </w:t>
      </w:r>
      <w:r w:rsidRPr="00622E67">
        <w:rPr>
          <w:rFonts w:ascii="Arial" w:hAnsi="Arial" w:cs="Arial"/>
          <w:b/>
          <w:bCs/>
        </w:rPr>
        <w:t>intensified anticoagulation (therapeutic versus intermediate)</w:t>
      </w:r>
      <w:r w:rsidR="00BA133E">
        <w:rPr>
          <w:rFonts w:ascii="Arial" w:hAnsi="Arial" w:cs="Arial"/>
          <w:b/>
          <w:bCs/>
        </w:rPr>
        <w:t xml:space="preserve"> (n = </w:t>
      </w:r>
      <w:r w:rsidR="00E660BE">
        <w:rPr>
          <w:rFonts w:ascii="Arial" w:hAnsi="Arial" w:cs="Arial"/>
          <w:b/>
          <w:bCs/>
        </w:rPr>
        <w:t>7</w:t>
      </w:r>
      <w:r w:rsidR="00BA133E">
        <w:rPr>
          <w:rFonts w:ascii="Arial" w:hAnsi="Arial" w:cs="Arial"/>
          <w:b/>
          <w:bCs/>
        </w:rPr>
        <w:t xml:space="preserve"> studies). </w:t>
      </w:r>
      <w:r w:rsidR="00BC041A">
        <w:rPr>
          <w:rFonts w:ascii="Arial" w:hAnsi="Arial" w:cs="Arial"/>
          <w:iCs/>
        </w:rPr>
        <w:t>This outcome was not reported by 4 trials</w:t>
      </w:r>
      <w:r w:rsidR="00BC041A">
        <w:rPr>
          <w:rFonts w:ascii="Arial" w:hAnsi="Arial" w:cs="Arial"/>
          <w:iCs/>
        </w:rPr>
        <w:fldChar w:fldCharType="begin" w:fldLock="1"/>
      </w:r>
      <w:r w:rsidR="005114A0">
        <w:rPr>
          <w:rFonts w:ascii="Arial" w:hAnsi="Arial" w:cs="Arial"/>
          <w:iCs/>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Covid-19","type":"article-journal"},"uris":["http://www.mendeley.com/documents/?uuid=825f97c2-0adb-4c66-b9ec-225eebb3a263"]},{"id":"ITEM-2","itemData":{"DOI":"10.1056/nejmoa2105911","ISSN":"0028-4793","author":[{"dropping-particle":"","family":"The REMAP-CAP, ACTIV-4a","given":"and ATTACC Investigators*","non-dropping-particle":"","parse-names":false,"suffix":""}],"container-title":"New England Journal of Medicine","id":"ITEM-2","issued":{"date-parts":[["2021"]]},"page":"1-13","title":"Therapeutic Anticoagulation with Heparin in Noncritically Ill Patients with Covid-19","type":"article-journal"},"uris":["http://www.mendeley.com/documents/?uuid=372f90c6-5c58-45e1-9d3b-8244a6a389bb"]},{"id":"ITEM-3","itemData":{"DOI":"10.1136/bmj.n2400","ISSN":"17561833","PMID":"34649864","abstract":"Objective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BMJ","id":"ITEM-3","issued":{"date-parts":[["2021"]]},"title":"Effectiveness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trial","type":"article-journal","volume":"375"},"uris":["http://www.mendeley.com/documents/?uuid=3859a707-3eb5-4101-9251-b4294e3ee823"]},{"id":"ITEM-4","itemData":{"DOI":"10.1001/jamainternmed.2021.6203","ISSN":"2168-6114","PMID":"34617959","abstract":"Importance: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Medicine","id":"ITEM-4","issue":"12","issued":{"date-parts":[["2021"]]},"note":"From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[2–5]","plainTextFormattedCitation":"[2–5]","previouslyFormattedCitation":"[2–5]"},"properties":{"noteIndex":0},"schema":"https://github.com/citation-style-language/schema/raw/master/csl-citation.json"}</w:instrText>
      </w:r>
      <w:r w:rsidR="00BC041A">
        <w:rPr>
          <w:rFonts w:ascii="Arial" w:hAnsi="Arial" w:cs="Arial"/>
          <w:iCs/>
        </w:rPr>
        <w:fldChar w:fldCharType="separate"/>
      </w:r>
      <w:r w:rsidR="00FD1918" w:rsidRPr="00FD1918">
        <w:rPr>
          <w:rFonts w:ascii="Arial" w:hAnsi="Arial" w:cs="Arial"/>
          <w:iCs/>
          <w:noProof/>
        </w:rPr>
        <w:t>[2–5]</w:t>
      </w:r>
      <w:r w:rsidR="00BC041A">
        <w:rPr>
          <w:rFonts w:ascii="Arial" w:hAnsi="Arial" w:cs="Arial"/>
          <w:iCs/>
        </w:rPr>
        <w:fldChar w:fldCharType="end"/>
      </w:r>
      <w:r w:rsidR="00BC041A">
        <w:rPr>
          <w:rFonts w:ascii="Arial" w:hAnsi="Arial" w:cs="Arial"/>
          <w:iCs/>
        </w:rPr>
        <w:t xml:space="preserve"> excluded from forest plot above.</w:t>
      </w:r>
    </w:p>
    <w:p w14:paraId="695EFF31" w14:textId="77777777" w:rsidR="00E53B6F" w:rsidRDefault="00E53B6F" w:rsidP="0050112A">
      <w:pPr>
        <w:tabs>
          <w:tab w:val="left" w:pos="14060"/>
        </w:tabs>
        <w:rPr>
          <w:rFonts w:ascii="Arial" w:hAnsi="Arial" w:cs="Arial"/>
          <w:b/>
          <w:bCs/>
        </w:rPr>
      </w:pPr>
    </w:p>
    <w:p w14:paraId="7D5A41F7" w14:textId="0AA193D3" w:rsidR="00FE7E30" w:rsidRDefault="00FE7E30" w:rsidP="0050112A">
      <w:pPr>
        <w:tabs>
          <w:tab w:val="left" w:pos="14060"/>
        </w:tabs>
        <w:rPr>
          <w:rFonts w:ascii="Arial" w:hAnsi="Arial" w:cs="Arial"/>
          <w:b/>
          <w:bCs/>
        </w:rPr>
      </w:pPr>
    </w:p>
    <w:p w14:paraId="3A4D33DC" w14:textId="0E2EDC0B" w:rsidR="00FA5F37" w:rsidRDefault="00661F10" w:rsidP="00943554">
      <w:pPr>
        <w:rPr>
          <w:rFonts w:ascii="Arial" w:hAnsi="Arial" w:cs="Arial"/>
          <w:b/>
          <w:bCs/>
        </w:rPr>
      </w:pPr>
      <w:r>
        <w:rPr>
          <w:rFonts w:ascii="Arial" w:hAnsi="Arial" w:cs="Arial"/>
          <w:b/>
          <w:bCs/>
          <w:noProof/>
        </w:rPr>
        <w:lastRenderedPageBreak/>
        <w:drawing>
          <wp:inline distT="0" distB="0" distL="0" distR="0" wp14:anchorId="36BC4014" wp14:editId="194FB3CA">
            <wp:extent cx="6638492" cy="4637952"/>
            <wp:effectExtent l="0" t="0" r="0" b="0"/>
            <wp:docPr id="78" name="Picture 7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654685" cy="4649265"/>
                    </a:xfrm>
                    <a:prstGeom prst="rect">
                      <a:avLst/>
                    </a:prstGeom>
                  </pic:spPr>
                </pic:pic>
              </a:graphicData>
            </a:graphic>
          </wp:inline>
        </w:drawing>
      </w:r>
    </w:p>
    <w:p w14:paraId="20574232" w14:textId="0C7D0630" w:rsidR="00957538" w:rsidRPr="002E26BE" w:rsidRDefault="00D27B06" w:rsidP="00C023E8">
      <w:pPr>
        <w:spacing w:after="0" w:line="240" w:lineRule="auto"/>
        <w:rPr>
          <w:rFonts w:ascii="Arial" w:hAnsi="Arial" w:cs="Arial"/>
        </w:rPr>
      </w:pPr>
      <w:r w:rsidRPr="00407F01">
        <w:rPr>
          <w:rFonts w:ascii="Arial" w:hAnsi="Arial" w:cs="Arial"/>
          <w:b/>
          <w:bCs/>
        </w:rPr>
        <w:t>Supplementary Figure S</w:t>
      </w:r>
      <w:r w:rsidR="00935943">
        <w:rPr>
          <w:rFonts w:ascii="Arial" w:hAnsi="Arial" w:cs="Arial"/>
          <w:b/>
          <w:bCs/>
        </w:rPr>
        <w:t>10</w:t>
      </w:r>
      <w:r w:rsidRPr="00407F01">
        <w:rPr>
          <w:rFonts w:ascii="Arial" w:hAnsi="Arial" w:cs="Arial"/>
          <w:b/>
          <w:bCs/>
        </w:rPr>
        <w:t xml:space="preserve">. </w:t>
      </w:r>
      <w:r w:rsidR="00196A6E" w:rsidRPr="00407F01">
        <w:rPr>
          <w:rFonts w:ascii="Arial" w:hAnsi="Arial" w:cs="Arial"/>
          <w:b/>
        </w:rPr>
        <w:t xml:space="preserve">Forest plot of risk ratio for </w:t>
      </w:r>
      <w:r w:rsidRPr="00407F01">
        <w:rPr>
          <w:rFonts w:ascii="Arial" w:hAnsi="Arial" w:cs="Arial"/>
          <w:b/>
          <w:bCs/>
        </w:rPr>
        <w:t>clinically relevant non-major bleed</w:t>
      </w:r>
      <w:r w:rsidR="00C023E8">
        <w:rPr>
          <w:rFonts w:ascii="Arial" w:hAnsi="Arial" w:cs="Arial"/>
          <w:b/>
          <w:bCs/>
        </w:rPr>
        <w:t xml:space="preserve"> </w:t>
      </w:r>
      <w:r w:rsidR="00C023E8" w:rsidRPr="00B83F11">
        <w:rPr>
          <w:rFonts w:ascii="Arial" w:hAnsi="Arial" w:cs="Arial"/>
          <w:b/>
          <w:bCs/>
        </w:rPr>
        <w:t>in groups receiving intensified versus prophylactic anticoagulation</w:t>
      </w:r>
      <w:r w:rsidRPr="00407F01">
        <w:rPr>
          <w:rFonts w:ascii="Arial" w:hAnsi="Arial" w:cs="Arial"/>
          <w:b/>
          <w:bCs/>
        </w:rPr>
        <w:t>, stratified by clinical setting (ICU versus hospitalised non-ICU)</w:t>
      </w:r>
      <w:r w:rsidR="00BA133E">
        <w:rPr>
          <w:rFonts w:ascii="Arial" w:hAnsi="Arial" w:cs="Arial"/>
          <w:b/>
          <w:bCs/>
        </w:rPr>
        <w:t xml:space="preserve"> (n = 6 studies). </w:t>
      </w:r>
      <w:r w:rsidR="00957538">
        <w:rPr>
          <w:rFonts w:ascii="Arial" w:hAnsi="Arial" w:cs="Arial"/>
          <w:iCs/>
        </w:rPr>
        <w:t xml:space="preserve">This outcome was not reported by 4 in-hospital trials </w:t>
      </w:r>
      <w:r w:rsidR="00957538">
        <w:rPr>
          <w:rFonts w:ascii="Arial" w:hAnsi="Arial" w:cs="Arial"/>
          <w:iCs/>
        </w:rPr>
        <w:fldChar w:fldCharType="begin" w:fldLock="1"/>
      </w:r>
      <w:r w:rsidR="005114A0">
        <w:rPr>
          <w:rFonts w:ascii="Arial" w:hAnsi="Arial" w:cs="Arial"/>
          <w:iCs/>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Covid-19","type":"article-journal"},"uris":["http://www.mendeley.com/documents/?uuid=825f97c2-0adb-4c66-b9ec-225eebb3a263"]},{"id":"ITEM-2","itemData":{"DOI":"10.1056/nejmoa2105911","ISSN":"0028-4793","author":[{"dropping-particle":"","family":"The REMAP-CAP, ACTIV-4a","given":"and ATTACC Investigators*","non-dropping-particle":"","parse-names":false,"suffix":""}],"container-title":"New England Journal of Medicine","id":"ITEM-2","issued":{"date-parts":[["2021"]]},"page":"1-13","title":"Therapeutic Anticoagulation with Heparin in Noncritically Ill Patients with Covid-19","type":"article-journal"},"uris":["http://www.mendeley.com/documents/?uuid=372f90c6-5c58-45e1-9d3b-8244a6a389bb"]},{"id":"ITEM-3","itemData":{"DOI":"10.1136/bmj.n2400","ISSN":"17561833","PMID":"34649864","abstract":"Objective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BMJ","id":"ITEM-3","issued":{"date-parts":[["2021"]]},"title":"Effectiveness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trial","type":"article-journal","volume":"375"},"uris":["http://www.mendeley.com/documents/?uuid=3859a707-3eb5-4101-9251-b4294e3ee823"]},{"id":"ITEM-4","itemData":{"DOI":"10.1001/jamainternmed.2021.6203","ISSN":"2168-6114","PMID":"34617959","abstract":"Importance: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Medicine","id":"ITEM-4","issue":"12","issued":{"date-parts":[["2021"]]},"note":"From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[2–5]","plainTextFormattedCitation":"[2–5]","previouslyFormattedCitation":"[2–5]"},"properties":{"noteIndex":0},"schema":"https://github.com/citation-style-language/schema/raw/master/csl-citation.json"}</w:instrText>
      </w:r>
      <w:r w:rsidR="00957538">
        <w:rPr>
          <w:rFonts w:ascii="Arial" w:hAnsi="Arial" w:cs="Arial"/>
          <w:iCs/>
        </w:rPr>
        <w:fldChar w:fldCharType="separate"/>
      </w:r>
      <w:r w:rsidR="00FD1918" w:rsidRPr="00FD1918">
        <w:rPr>
          <w:rFonts w:ascii="Arial" w:hAnsi="Arial" w:cs="Arial"/>
          <w:iCs/>
          <w:noProof/>
        </w:rPr>
        <w:t>[2–5]</w:t>
      </w:r>
      <w:r w:rsidR="00957538">
        <w:rPr>
          <w:rFonts w:ascii="Arial" w:hAnsi="Arial" w:cs="Arial"/>
          <w:iCs/>
        </w:rPr>
        <w:fldChar w:fldCharType="end"/>
      </w:r>
      <w:r w:rsidR="00957538">
        <w:rPr>
          <w:rFonts w:ascii="Arial" w:hAnsi="Arial" w:cs="Arial"/>
          <w:iCs/>
        </w:rPr>
        <w:t xml:space="preserve"> </w:t>
      </w:r>
      <w:r w:rsidR="007234B7">
        <w:rPr>
          <w:rFonts w:ascii="Arial" w:hAnsi="Arial" w:cs="Arial"/>
          <w:iCs/>
        </w:rPr>
        <w:t xml:space="preserve">excluded from the </w:t>
      </w:r>
      <w:r w:rsidR="00957538">
        <w:rPr>
          <w:rFonts w:ascii="Arial" w:hAnsi="Arial" w:cs="Arial"/>
          <w:iCs/>
        </w:rPr>
        <w:t>forest plot above.</w:t>
      </w:r>
    </w:p>
    <w:p w14:paraId="06A7295D" w14:textId="4E9328F1" w:rsidR="00D27B06" w:rsidRPr="00407F01" w:rsidRDefault="00D27B06" w:rsidP="00D27B06">
      <w:pPr>
        <w:rPr>
          <w:rFonts w:ascii="Arial" w:hAnsi="Arial" w:cs="Arial"/>
          <w:b/>
          <w:bCs/>
        </w:rPr>
      </w:pPr>
    </w:p>
    <w:p w14:paraId="79FFD752" w14:textId="26E043DF" w:rsidR="00FA5F37" w:rsidRDefault="00FA5F37" w:rsidP="00943554">
      <w:pPr>
        <w:rPr>
          <w:rFonts w:ascii="Arial" w:hAnsi="Arial" w:cs="Arial"/>
          <w:b/>
          <w:bCs/>
        </w:rPr>
      </w:pPr>
    </w:p>
    <w:p w14:paraId="54D9E525" w14:textId="099B74C3" w:rsidR="00237B02" w:rsidRDefault="00661F10" w:rsidP="0050112A">
      <w:pPr>
        <w:tabs>
          <w:tab w:val="left" w:pos="14060"/>
        </w:tabs>
        <w:rPr>
          <w:rFonts w:ascii="Arial" w:hAnsi="Arial" w:cs="Arial"/>
          <w:noProof/>
        </w:rPr>
      </w:pPr>
      <w:r>
        <w:rPr>
          <w:rFonts w:ascii="Arial" w:hAnsi="Arial" w:cs="Arial"/>
          <w:noProof/>
        </w:rPr>
        <w:lastRenderedPageBreak/>
        <w:drawing>
          <wp:inline distT="0" distB="0" distL="0" distR="0" wp14:anchorId="2BDB127D" wp14:editId="1E84D6C4">
            <wp:extent cx="6609472" cy="4617678"/>
            <wp:effectExtent l="0" t="0" r="1270" b="0"/>
            <wp:docPr id="79" name="Picture 7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625771" cy="4629065"/>
                    </a:xfrm>
                    <a:prstGeom prst="rect">
                      <a:avLst/>
                    </a:prstGeom>
                  </pic:spPr>
                </pic:pic>
              </a:graphicData>
            </a:graphic>
          </wp:inline>
        </w:drawing>
      </w:r>
    </w:p>
    <w:p w14:paraId="224F082B" w14:textId="3ABAF3AA" w:rsidR="00D27B06" w:rsidRPr="00C023E8" w:rsidRDefault="00D27B06" w:rsidP="00C023E8">
      <w:pPr>
        <w:spacing w:after="0" w:line="240" w:lineRule="auto"/>
        <w:rPr>
          <w:rFonts w:ascii="Arial" w:hAnsi="Arial" w:cs="Arial"/>
        </w:rPr>
      </w:pPr>
      <w:r>
        <w:rPr>
          <w:rFonts w:ascii="Arial" w:hAnsi="Arial" w:cs="Arial"/>
          <w:b/>
          <w:bCs/>
        </w:rPr>
        <w:t>Supplementary Figure S</w:t>
      </w:r>
      <w:r w:rsidR="00935943">
        <w:rPr>
          <w:rFonts w:ascii="Arial" w:hAnsi="Arial" w:cs="Arial"/>
          <w:b/>
          <w:bCs/>
        </w:rPr>
        <w:t>11</w:t>
      </w:r>
      <w:r>
        <w:rPr>
          <w:rFonts w:ascii="Arial" w:hAnsi="Arial" w:cs="Arial"/>
          <w:b/>
          <w:bCs/>
        </w:rPr>
        <w:t xml:space="preserve">. </w:t>
      </w:r>
      <w:r w:rsidR="00407F01" w:rsidRPr="00407F01">
        <w:rPr>
          <w:rFonts w:ascii="Arial" w:hAnsi="Arial" w:cs="Arial"/>
          <w:b/>
          <w:iCs/>
        </w:rPr>
        <w:t xml:space="preserve">Forest plot of risk ratio for </w:t>
      </w:r>
      <w:r w:rsidRPr="00407F01">
        <w:rPr>
          <w:rFonts w:ascii="Arial" w:hAnsi="Arial" w:cs="Arial"/>
          <w:b/>
          <w:bCs/>
          <w:iCs/>
        </w:rPr>
        <w:t>any bleed</w:t>
      </w:r>
      <w:r w:rsidR="00C023E8">
        <w:rPr>
          <w:rFonts w:ascii="Arial" w:hAnsi="Arial" w:cs="Arial"/>
          <w:b/>
          <w:bCs/>
          <w:iCs/>
        </w:rPr>
        <w:t xml:space="preserve"> </w:t>
      </w:r>
      <w:r w:rsidR="00C023E8" w:rsidRPr="00B83F11">
        <w:rPr>
          <w:rFonts w:ascii="Arial" w:hAnsi="Arial" w:cs="Arial"/>
          <w:b/>
          <w:bCs/>
        </w:rPr>
        <w:t>in groups receiving intensified versus prophylactic anticoagulation</w:t>
      </w:r>
      <w:r>
        <w:rPr>
          <w:rFonts w:ascii="Arial" w:hAnsi="Arial" w:cs="Arial"/>
          <w:b/>
          <w:bCs/>
        </w:rPr>
        <w:t xml:space="preserve">, </w:t>
      </w:r>
      <w:r w:rsidRPr="00C2583E">
        <w:rPr>
          <w:rFonts w:ascii="Arial" w:hAnsi="Arial" w:cs="Arial"/>
          <w:b/>
          <w:bCs/>
        </w:rPr>
        <w:t>stratified by clinical setting (ICU versus hospitalised non-ICU</w:t>
      </w:r>
      <w:r w:rsidR="00DB378D">
        <w:rPr>
          <w:rFonts w:ascii="Arial" w:hAnsi="Arial" w:cs="Arial"/>
          <w:b/>
          <w:bCs/>
        </w:rPr>
        <w:t xml:space="preserve">)(n = 6 studies). </w:t>
      </w:r>
      <w:r w:rsidR="00DB378D">
        <w:rPr>
          <w:rFonts w:ascii="Arial" w:hAnsi="Arial" w:cs="Arial"/>
          <w:iCs/>
        </w:rPr>
        <w:t xml:space="preserve">This outcome was not reported by 4 in-hospital trials </w:t>
      </w:r>
      <w:r w:rsidR="00DB378D">
        <w:rPr>
          <w:rFonts w:ascii="Arial" w:hAnsi="Arial" w:cs="Arial"/>
          <w:iCs/>
        </w:rPr>
        <w:fldChar w:fldCharType="begin" w:fldLock="1"/>
      </w:r>
      <w:r w:rsidR="005114A0">
        <w:rPr>
          <w:rFonts w:ascii="Arial" w:hAnsi="Arial" w:cs="Arial"/>
          <w:iCs/>
        </w:rPr>
        <w:instrText>ADDIN CSL_CITATION {"citationItems":[{"id":"ITEM-1","itemData":{"DOI":"10.1056/nejmoa2103417","ISSN":"0028-4793","author":[{"dropping-particle":"","family":"The REMAP-CAP, ACTIV-4a","given":"and ATTACC Investigators*","non-dropping-particle":"","parse-names":false,"suffix":""}],"container-title":"New England Journal of Medicine","id":"ITEM-1","issued":{"date-parts":[["2021"]]},"page":"1-13","title":"Therapeutic Anticoagulation with Heparin in Critically Ill Patients with Covid-19","type":"article-journal"},"uris":["http://www.mendeley.com/documents/?uuid=825f97c2-0adb-4c66-b9ec-225eebb3a263"]},{"id":"ITEM-2","itemData":{"DOI":"10.1056/nejmoa2105911","ISSN":"0028-4793","author":[{"dropping-particle":"","family":"The REMAP-CAP, ACTIV-4a","given":"and ATTACC Investigators*","non-dropping-particle":"","parse-names":false,"suffix":""}],"container-title":"New England Journal of Medicine","id":"ITEM-2","issued":{"date-parts":[["2021"]]},"page":"1-13","title":"Therapeutic Anticoagulation with Heparin in Noncritically Ill Patients with Covid-19","type":"article-journal"},"uris":["http://www.mendeley.com/documents/?uuid=372f90c6-5c58-45e1-9d3b-8244a6a389bb"]},{"id":"ITEM-3","itemData":{"DOI":"10.1136/bmj.n2400","ISSN":"17561833","PMID":"34649864","abstract":"Objective To evaluate the effects of therapeutic heparin compared with prophylactic heparin among moderately ill patients with covid-19 admitted to hospital wards. Design Randomised controlled, adaptive, open label clinical trial. Setting 28 hospitals in Brazil, Canada, Ireland, Saudi Arabia, United Arab Emirates, and US. Participants 465 adults admitted to hospital wards with covid-19 and increased D-dimer levels were recruited between 29 May 2020 and 12 April 2021 and were randomly assigned to therapeutic dose heparin (n=228) or prophylactic dose heparin (n=237). Interventions Therapeutic dose or prophylactic dose heparin (low molecular weight or unfractionated heparin), to be continued until hospital discharge, day 28, or death. Main outcome measures The primary outcome was a composite of death, invasive mechanical ventilation, non-invasive mechanical ventilation, or admission to an intensive care unit, assessed up to 28 days. The secondary outcomes included all cause death, the composite of all cause death or any mechanical ventilation, and venous thromboembolism. Safety outcomes included major bleeding. Outcomes were blindly adjudicated. Results The mean age of participants was 60 years; 264 (56.8%) were men and the mean body mass index was 30.3 kg/m 2. At 28 days, the primary composite outcome had occurred in 37/228 patients (16.2%) assigned to therapeutic heparin and 52/237 (21.9%) assigned to prophylactic heparin (odds ratio 0.69, 95% confidence interval 0.43 to 1.10; P=0.12). Deaths occurred in four patients (1.8%) assigned to therapeutic heparin and 18 patients (7.6%) assigned to prophylactic heparin (0.22, 0.07 to 0.65; P=0.006). The composite of all cause death or any mechanical ventilation occurred in 23 patients (10.1%) assigned to therapeutic heparin and 38 (16.0%) assigned to prophylactic heparin (0.59, 0.34 to 1.02; P=0.06). Venous thromboembolism occurred in two patients (0.9%) assigned to therapeutic heparin and six (2.5%) assigned to prophylactic heparin (0.34, 0.07 to 1.71; P=0.19). Major bleeding occurred in two patients (0.9%) assigned to therapeutic heparin and four (1.7%) assigned to prophylactic heparin (0.52, 0.09 to 2.85; P=0.69). Conclusions In moderately ill patients with covid-19 and increased D-dimer levels admitted to hospital wards, therapeutic heparin was not significantly associated with a reduction in the primary outcome but the odds of death at 28 days was decreased. The risk of major bleeding appeared low in this t…","author":[{"dropping-particle":"","family":"Sholzberg","given":"Michelle","non-dropping-particle":"","parse-names":false,"suffix":""},{"dropping-particle":"","family":"Tang","given":"Grace H.","non-dropping-particle":"","parse-names":false,"suffix":""},{"dropping-particle":"","family":"Rahhal","given":"Hassan","non-dropping-particle":"","parse-names":false,"suffix":""},{"dropping-particle":"","family":"Alhamzah","given":"Musaad","non-dropping-particle":"","parse-names":false,"suffix":""},{"dropping-particle":"","family":"Kreuziger","given":"Lisa Baumann","non-dropping-particle":"","parse-names":false,"suffix":""},{"dropping-particle":"","family":"Áinle","given":"Fionnuala Ní","non-dropping-particle":"","parse-names":false,"suffix":""},{"dropping-particle":"","family":"Alomran","given":"Faris","non-dropping-particle":"","parse-names":false,"suffix":""},{"dropping-particle":"","family":"Alayed","given":"Khalid","non-dropping-particle":"","parse-names":false,"suffix":""},{"dropping-particle":"","family":"Alsheef","given":"Mohammed","non-dropping-particle":"","parse-names":false,"suffix":""},{"dropping-particle":"","family":"Alsumait","given":"Fahad","non-dropping-particle":"","parse-names":false,"suffix":""},{"dropping-particle":"","family":"Pompilio","given":"Carlos Eduardo","non-dropping-particle":"","parse-names":false,"suffix":""},{"dropping-particle":"","family":"Sperlich","given":"Catherine","non-dropping-particle":"","parse-names":false,"suffix":""},{"dropping-particle":"","family":"Tangri","given":"Sabrena","non-dropping-particle":"","parse-names":false,"suffix":""},{"dropping-particle":"","family":"Tang","given":"Terence","non-dropping-particle":"","parse-names":false,"suffix":""},{"dropping-particle":"","family":"Jaksa","given":"Peter","non-dropping-particle":"","parse-names":false,"suffix":""},{"dropping-particle":"","family":"Suryanarayan","given":"Deepa","non-dropping-particle":"","parse-names":false,"suffix":""},{"dropping-particle":"","family":"Almarshoodi","given":"Mozah","non-dropping-particle":"","parse-names":false,"suffix":""},{"dropping-particle":"","family":"Castellucci","given":"Lana A.","non-dropping-particle":"","parse-names":false,"suffix":""},{"dropping-particle":"","family":"James","given":"Paula D.","non-dropping-particle":"","parse-names":false,"suffix":""},{"dropping-particle":"","family":"Lillicrap","given":"David","non-dropping-particle":"","parse-names":false,"suffix":""},{"dropping-particle":"","family":"Carrier","given":"Marc","non-dropping-particle":"","parse-names":false,"suffix":""},{"dropping-particle":"","family":"Beckett","given":"Andrew","non-dropping-particle":"","parse-names":false,"suffix":""},{"dropping-particle":"","family":"Colovos","given":"Christos","non-dropping-particle":"","parse-names":false,"suffix":""},{"dropping-particle":"","family":"Jayakar","given":"Jai","non-dropping-particle":"","parse-names":false,"suffix":""},{"dropping-particle":"","family":"Arsenault","given":"Marie Pier","non-dropping-particle":"","parse-names":false,"suffix":""},{"dropping-particle":"","family":"Wu","given":"Cynthia","non-dropping-particle":"","parse-names":false,"suffix":""},{"dropping-particle":"","family":"Doyon","given":"Karine","non-dropping-particle":"","parse-names":false,"suffix":""},{"dropping-particle":"","family":"Andreou","given":"E. Roseann","non-dropping-particle":"","parse-names":false,"suffix":""},{"dropping-particle":"","family":"Dounaevskaia","given":"Vera","non-dropping-particle":"","parse-names":false,"suffix":""},{"dropping-particle":"","family":"Tseng","given":"Eric K.","non-dropping-particle":"","parse-names":false,"suffix":""},{"dropping-particle":"","family":"Lim","given":"Gloria","non-dropping-particle":"","parse-names":false,"suffix":""},{"dropping-particle":"","family":"Fralick","given":"Michael","non-dropping-particle":"","parse-names":false,"suffix":""},{"dropping-particle":"","family":"Middeldorp","given":"Saskia","non-dropping-particle":"","parse-names":false,"suffix":""},{"dropping-particle":"","family":"Lee","given":"Agnes Y.Y.","non-dropping-particle":"","parse-names":false,"suffix":""},{"dropping-particle":"","family":"Zuo","given":"Fei","non-dropping-particle":"","parse-names":false,"suffix":""},{"dropping-particle":"","family":"Costa","given":"Bruno R.","non-dropping-particle":"Da","parse-names":false,"suffix":""},{"dropping-particle":"","family":"Thorpe","given":"Kevin E.","non-dropping-particle":"","parse-names":false,"suffix":""},{"dropping-particle":"","family":"Negri","given":"Elnara Márcia","non-dropping-particle":"","parse-names":false,"suffix":""},{"dropping-particle":"","family":"Cushman","given":"Mary","non-dropping-particle":"","parse-names":false,"suffix":""},{"dropping-particle":"","family":"Jüni","given":"Peter","non-dropping-particle":"","parse-names":false,"suffix":""}],"container-title":"The BMJ","id":"ITEM-3","issued":{"date-parts":[["2021"]]},"title":"Effectiveness of therapeutic heparin versus prophylactic heparin on death, mechanical ventilation, or intensive care unit admission in moderately ill patients with covid-19 admitted to hospital: RAPID randomised clinical trial","type":"article-journal","volume":"375"},"uris":["http://www.mendeley.com/documents/?uuid=3859a707-3eb5-4101-9251-b4294e3ee823"]},{"id":"ITEM-4","itemData":{"DOI":"10.1001/jamainternmed.2021.6203","ISSN":"2168-6114","PMID":"34617959","abstract":"Importance: Hospitalized patients with COVID-19 are at risk for venous and arterial thromboembolism and death. Optimal thromboprophylaxis dosing in high-risk patients is unknown. Objective: To evaluate the effects of therapeutic-dose low-molecular-weight heparin (LMWH) vs institutional standard prophylactic or intermediate-dose heparins for thromboprophylaxis in high-risk hospitalized patients with COVID-19. Design, Setting, and Participants: The HEP-COVID multicenter randomized clinical trial recruited hospitalized adult patients with COVID-19 with D-dimer levels more than 4 times the upper limit of normal or sepsis-induced coagulopathy score of 4 or greater from May 8, 2020, through May 14, 2021, at 12 academic centers in the US. Interventions: Patients were randomized to institutional standard prophylactic or intermediate-dose LMWH or unfractionated heparin vs therapeutic-dose enoxaparin, 1 mg/kg subcutaneous, twice daily if creatinine clearance was 30 mL/min/1.73 m2or greater (0.5 mg/kg twice daily if creatinine clearance was 15-29 mL/min/1.73 m2) throughout hospitalization. Patients were stratified at the time of randomization based on intensive care unit (ICU) or non-ICU status. Main Outcomes and Measures: The primary efficacy outcome was venous thromboembolism (VTE), arterial thromboembolism (ATE), or death from any cause, and the principal safety outcome was major bleeding at 30 ± 2 days. Data were collected and adjudicated locally by blinded investigators via imaging, laboratory, and health record data. Results: Of 257 patients randomized, 253 were included in the analysis (mean [SD] age, 66.7 [14.0] years; men, 136 [53.8%]; women, 117 [46.2%]); 249 patients (98.4%) met inclusion criteria based on D-dimer elevation and 83 patients (32.8%) were stratified as ICU-level care. There were 124 patients (49%) in the standard-dose vs 129 patients (51%) in the therapeutic-dose group. The primary efficacy outcome was met in 52 of 124 patients (41.9%) (28.2% VTE, 3.2% ATE, 25.0% death) with standard-dose heparins vs 37 of 129 patients (28.7%) (11.7% VTE, 3.2% ATE, 19.4% death) with therapeutic-dose LMWH (relative risk [RR], 0.68; 95% CI, 0.49-0.96; P =.03), including a reduction in thromboembolism (29.0% vs 10.9%; RR, 0.37; 95% CI, 0.21-0.66; P &amp;lt;.001). The incidence of major bleeding was 1.6% with standard-dose vs 4.7% with therapeutic-dose heparins (RR, 2.88; 95% CI, 0.59-14.02; P =.17). The primary efficacy outcome was reduced in non-ICU patients (36…","author":[{"dropping-particle":"","family":"Spyropoulos","given":"Alex C","non-dropping-particle":"","parse-names":false,"suffix":""},{"dropping-particle":"","family":"Goldin","given":"Mark","non-dropping-particle":"","parse-names":false,"suffix":""},{"dropping-particle":"","family":"Giannis","given":"Dimitrios","non-dropping-particle":"","parse-names":false,"suffix":""},{"dropping-particle":"","family":"Diab","given":"Wassim","non-dropping-particle":"","parse-names":false,"suffix":""},{"dropping-particle":"","family":"Wang","given":"Janice","non-dropping-particle":"","parse-names":false,"suffix":""},{"dropping-particle":"","family":"Khanijo","given":"Sameer","non-dropping-particle":"","parse-names":false,"suffix":""},{"dropping-particle":"","family":"Mignatti","given":"Andrea","non-dropping-particle":"","parse-names":false,"suffix":""},{"dropping-particle":"","family":"Gianos","given":"Eugenia","non-dropping-particle":"","parse-names":false,"suffix":""},{"dropping-particle":"","family":"Cohen","given":"Marc","non-dropping-particle":"","parse-names":false,"suffix":""},{"dropping-particle":"","family":"Sharifova","given":"Gulru","non-dropping-particle":"","parse-names":false,"suffix":""},{"dropping-particle":"","family":"Lund","given":"Jeet M","non-dropping-particle":"","parse-names":false,"suffix":""},{"dropping-particle":"","family":"Tafur","given":"Alfonso","non-dropping-particle":"","parse-names":false,"suffix":""},{"dropping-particle":"","family":"Lewis","given":"Paul A","non-dropping-particle":"","parse-names":false,"suffix":""},{"dropping-particle":"","family":"Cohoon","given":"Kevin P","non-dropping-particle":"","parse-names":false,"suffix":""},{"dropping-particle":"","family":"Rahman","given":"Husneara","non-dropping-particle":"","parse-names":false,"suffix":""},{"dropping-particle":"","family":"Sison","given":"Cristina P","non-dropping-particle":"","parse-names":false,"suffix":""},{"dropping-particle":"","family":"Lesser","given":"Martin L","non-dropping-particle":"","parse-names":false,"suffix":""},{"dropping-particle":"","family":"Ochani","given":"Kanta","non-dropping-particle":"","parse-names":false,"suffix":""},{"dropping-particle":"","family":"Agrawal","given":"Nirav","non-dropping-particle":"","parse-names":false,"suffix":""},{"dropping-particle":"","family":"Hsia","given":"Judith","non-dropping-particle":"","parse-names":false,"suffix":""},{"dropping-particle":"","family":"Anderson","given":"Victoria E","non-dropping-particle":"","parse-names":false,"suffix":""},{"dropping-particle":"","family":"Bonaca","given":"Marc","non-dropping-particle":"","parse-names":false,"suffix":""},{"dropping-particle":"","family":"Halperin","given":"Jonathan L","non-dropping-particle":"","parse-names":false,"suffix":""},{"dropping-particle":"","family":"Weitz","given":"Jeffrey I","non-dropping-particle":"","parse-names":false,"suffix":""},{"dropping-particle":"","family":"HEP-COVID Investigators","given":"","non-dropping-particle":"","parse-names":false,"suffix":""}],"container-title":"JAMA Internal Medicine","id":"ITEM-4","issue":"12","issued":{"date-parts":[["2021"]]},"note":"From Duplicate 1 (Efficacy and Safety of Therapeutic-Dose Heparin vs Standard Prophylactic or Intermediate-Dose Heparins for Thromboprophylaxis in High-risk Hospitalized Patients with COVID-19: The HEP-COVID Randomized Clinical Trial - Spyropoulos, A C; Goldin, M; Giannis, D; Diab, W; Wang, J; Khanijo, S; Mignatti, A; Gianos, E; Cohen, M; Sharifova, G; Lund, J M; Tafur, A; Lewis, P A; Cohoon, K P; Rahman, H; Sison, C P; Lesser, M L; Ochani, K; Agrawal, N; Hsia, J; Anderson, V E; Bonaca, M; Halperin, J L; Weitz, J I)\n\nCited By :18\n\nExport Date: 19 January 2022","page":"1612-1620","title":"Efficacy and Safety of Therapeutic-Dose Heparin vs Standard Prophylactic or Intermediate-Dose Heparins for Thromboprophylaxis in High-risk Hospitalized Patients with COVID-19: The HEP-COVID Randomized Clinical Trial","type":"article-journal","volume":"181"},"uris":["http://www.mendeley.com/documents/?uuid=f7e8fa00-f681-4689-adb3-b4d7088d86d9"]}],"mendeley":{"formattedCitation":"[2–5]","plainTextFormattedCitation":"[2–5]","previouslyFormattedCitation":"[2–5]"},"properties":{"noteIndex":0},"schema":"https://github.com/citation-style-language/schema/raw/master/csl-citation.json"}</w:instrText>
      </w:r>
      <w:r w:rsidR="00DB378D">
        <w:rPr>
          <w:rFonts w:ascii="Arial" w:hAnsi="Arial" w:cs="Arial"/>
          <w:iCs/>
        </w:rPr>
        <w:fldChar w:fldCharType="separate"/>
      </w:r>
      <w:r w:rsidR="00FD1918" w:rsidRPr="00FD1918">
        <w:rPr>
          <w:rFonts w:ascii="Arial" w:hAnsi="Arial" w:cs="Arial"/>
          <w:iCs/>
          <w:noProof/>
        </w:rPr>
        <w:t>[2–5]</w:t>
      </w:r>
      <w:r w:rsidR="00DB378D">
        <w:rPr>
          <w:rFonts w:ascii="Arial" w:hAnsi="Arial" w:cs="Arial"/>
          <w:iCs/>
        </w:rPr>
        <w:fldChar w:fldCharType="end"/>
      </w:r>
      <w:r w:rsidR="00DB378D">
        <w:rPr>
          <w:rFonts w:ascii="Arial" w:hAnsi="Arial" w:cs="Arial"/>
          <w:iCs/>
        </w:rPr>
        <w:t xml:space="preserve"> excluded from the forest plot above.</w:t>
      </w:r>
    </w:p>
    <w:p w14:paraId="47E8B6BA" w14:textId="77777777" w:rsidR="00F071C0" w:rsidRDefault="00F071C0" w:rsidP="00D27B06">
      <w:pPr>
        <w:rPr>
          <w:rFonts w:ascii="Arial" w:hAnsi="Arial" w:cs="Arial"/>
          <w:b/>
          <w:bCs/>
        </w:rPr>
      </w:pPr>
    </w:p>
    <w:p w14:paraId="127588B1" w14:textId="77777777" w:rsidR="00F071C0" w:rsidRDefault="00F071C0" w:rsidP="00D27B06">
      <w:pPr>
        <w:rPr>
          <w:rFonts w:ascii="Arial" w:hAnsi="Arial" w:cs="Arial"/>
          <w:b/>
          <w:bCs/>
        </w:rPr>
      </w:pPr>
    </w:p>
    <w:p w14:paraId="3EA6BB42" w14:textId="77777777" w:rsidR="00F071C0" w:rsidRDefault="00F071C0" w:rsidP="00F071C0">
      <w:pPr>
        <w:rPr>
          <w:rFonts w:ascii="Arial" w:hAnsi="Arial" w:cs="Arial"/>
          <w:b/>
          <w:bCs/>
        </w:rPr>
      </w:pPr>
      <w:r>
        <w:rPr>
          <w:rFonts w:ascii="Arial" w:hAnsi="Arial" w:cs="Arial"/>
          <w:b/>
          <w:bCs/>
          <w:noProof/>
        </w:rPr>
        <w:lastRenderedPageBreak/>
        <w:drawing>
          <wp:inline distT="0" distB="0" distL="0" distR="0" wp14:anchorId="1FA5A8E9" wp14:editId="0053DF4B">
            <wp:extent cx="6327750" cy="4692829"/>
            <wp:effectExtent l="0" t="0" r="0" b="0"/>
            <wp:docPr id="70" name="Picture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48060" cy="4707891"/>
                    </a:xfrm>
                    <a:prstGeom prst="rect">
                      <a:avLst/>
                    </a:prstGeom>
                  </pic:spPr>
                </pic:pic>
              </a:graphicData>
            </a:graphic>
          </wp:inline>
        </w:drawing>
      </w:r>
    </w:p>
    <w:p w14:paraId="1D6AA76C" w14:textId="20104798" w:rsidR="00F071C0" w:rsidRPr="00C023E8" w:rsidRDefault="00F071C0" w:rsidP="00C023E8">
      <w:pPr>
        <w:spacing w:after="0" w:line="240" w:lineRule="auto"/>
        <w:rPr>
          <w:rFonts w:ascii="Arial" w:hAnsi="Arial" w:cs="Arial"/>
        </w:rPr>
      </w:pPr>
      <w:r w:rsidRPr="003D104A">
        <w:rPr>
          <w:rFonts w:ascii="Arial" w:hAnsi="Arial" w:cs="Arial"/>
          <w:b/>
        </w:rPr>
        <w:t xml:space="preserve">Supplementary Figure </w:t>
      </w:r>
      <w:r w:rsidRPr="008814B0">
        <w:rPr>
          <w:rFonts w:ascii="Arial" w:hAnsi="Arial" w:cs="Arial"/>
          <w:b/>
        </w:rPr>
        <w:t>S</w:t>
      </w:r>
      <w:r w:rsidR="00BF001E" w:rsidRPr="008814B0">
        <w:rPr>
          <w:rFonts w:ascii="Arial" w:hAnsi="Arial" w:cs="Arial"/>
          <w:b/>
        </w:rPr>
        <w:t>12</w:t>
      </w:r>
      <w:r w:rsidRPr="008814B0">
        <w:rPr>
          <w:rFonts w:ascii="Arial" w:hAnsi="Arial" w:cs="Arial"/>
          <w:b/>
        </w:rPr>
        <w:t>.</w:t>
      </w:r>
      <w:r w:rsidRPr="003D104A">
        <w:rPr>
          <w:rFonts w:ascii="Arial" w:hAnsi="Arial" w:cs="Arial"/>
          <w:b/>
        </w:rPr>
        <w:t xml:space="preserve"> Forest plot of risk ratio for venous thrombosis</w:t>
      </w:r>
      <w:r w:rsidR="00C023E8">
        <w:rPr>
          <w:rFonts w:ascii="Arial" w:hAnsi="Arial" w:cs="Arial"/>
          <w:b/>
          <w:i/>
          <w:iCs/>
        </w:rPr>
        <w:t xml:space="preserve"> </w:t>
      </w:r>
      <w:r w:rsidR="00C023E8" w:rsidRPr="00B83F11">
        <w:rPr>
          <w:rFonts w:ascii="Arial" w:hAnsi="Arial" w:cs="Arial"/>
          <w:b/>
          <w:bCs/>
        </w:rPr>
        <w:t>in groups receiving intensified versus prophylactic anticoagulation</w:t>
      </w:r>
      <w:r w:rsidRPr="003D104A">
        <w:rPr>
          <w:rFonts w:ascii="Arial" w:hAnsi="Arial" w:cs="Arial"/>
          <w:b/>
        </w:rPr>
        <w:t xml:space="preserve">, </w:t>
      </w:r>
      <w:r w:rsidRPr="00C023E8">
        <w:rPr>
          <w:rFonts w:ascii="Arial" w:hAnsi="Arial" w:cs="Arial"/>
          <w:b/>
        </w:rPr>
        <w:t>stratified by dose of intensified anticoagulation (therapeutic versus intermediate)</w:t>
      </w:r>
      <w:r w:rsidR="00AA3021" w:rsidRPr="00C023E8">
        <w:rPr>
          <w:rFonts w:ascii="Arial" w:hAnsi="Arial" w:cs="Arial"/>
          <w:b/>
        </w:rPr>
        <w:t xml:space="preserve"> (n = 8 studies). </w:t>
      </w:r>
      <w:r w:rsidR="00AA3021" w:rsidRPr="00C023E8">
        <w:rPr>
          <w:rFonts w:ascii="Arial" w:hAnsi="Arial" w:cs="Arial"/>
        </w:rPr>
        <w:t>There were no reported thrombotic events in the single outpatient trial</w:t>
      </w:r>
      <w:r w:rsidR="00AA3021" w:rsidRPr="00C023E8">
        <w:rPr>
          <w:rFonts w:ascii="Arial" w:hAnsi="Arial" w:cs="Arial"/>
        </w:rPr>
        <w:fldChar w:fldCharType="begin" w:fldLock="1"/>
      </w:r>
      <w:r w:rsidR="00C01E72">
        <w:rPr>
          <w:rFonts w:ascii="Arial" w:hAnsi="Arial" w:cs="Arial"/>
        </w:rPr>
        <w:instrText>ADDIN CSL_CITATION {"citationItems":[{"id":"ITEM-1","itemData":{"DOI":"10.1001/jama.2021.17272","ISSN":"1538-3598","PMID":"34633405","abstract":"Importance: Acutely ill inpatients with COVID-19 typically receive antithrombotic therapy, although the risks and benefits of this intervention among outpatients with COVID-19 have not been established. Objective: To assess whether anticoagulant or antiplatelet therapy can safely reduce major adverse cardiopulmonary outcomes among symptomatic but clinically stable outpatients with COVID-19. Design, Setting, and Participants: The ACTIV-4B Outpatient Thrombosis Prevention Trial was designed as a minimal-contact, adaptive, randomized, double-blind, placebo-controlled trial to compare anticoagulant and antiplatelet therapy among 7000 symptomatic but clinically stable outpatients with COVID-19. The trial was conducted at 52 US sites between September 2020 and June 2021; final follow-up was August 5, 2021. Prior to initiating treatment, participants were required to have platelet count greater than 100000/mm3and estimated glomerular filtration rate greater than 30 mL/min/1.73 m2. Interventions: Random allocation in a 1:1:1:1 ratio to aspirin (81 mg orally once daily; n = 164), prophylactic-dose apixaban (2.5 mg orally twice daily; n = 165), therapeutic-dose apixaban (5 mg orally twice daily; n = 164), or placebo (n = 164) for 45 days. Main Outcomes and Measures: The primary end point was a composite of all-cause mortality, symptomatic venous or arterial thromboembolism, myocardial infarction, stroke, or hospitalization for cardiovascular or pulmonary cause. The primary analyses for efficacy and bleeding events were limited to participants who took at least 1 dose of trial medication. Results: On June 18, 2021, the trial data and safety monitoring board recommended early termination because of lower than anticipated event rates; at that time, 657 symptomatic outpatients with COVID-19 had been randomized (median age, 54 years [IQR, 46-59]; 59% women). The median times from diagnosis to randomization and from randomization to initiation of study treatment were 7 days and 3 days, respectively. Twenty-two randomized participants (3.3%) were hospitalized for COVID-19 prior to initiating treatment. Among the 558 patients who initiated treatment, the adjudicated primary composite end point occurred in 1 patient (0.7%) in the aspirin group, 1 patient (0.7%) in the 2.5-mg apixaban group, 2 patients (1.4%) in the 5-mg apixaban group, and 1 patient (0.7%) in the placebo group. The risk differences compared with placebo for the primary end point were 0.0% (95% CI not calc…","author":[{"dropping-particle":"","family":"Connors","given":"Jean M","non-dropping-particle":"","parse-names":false,"suffix":""},{"dropping-particle":"","family":"Brooks","given":"Maria M","non-dropping-particle":"","parse-names":false,"suffix":""},{"dropping-particle":"","family":"Sciurba","given":"Frank C","non-dropping-particle":"","parse-names":false,"suffix":""},{"dropping-particle":"","family":"Krishnan","given":"Jerry A","non-dropping-particle":"","parse-names":false,"suffix":""},{"dropping-particle":"","family":"Bledsoe","given":"Joseph R","non-dropping-particle":"","parse-names":false,"suffix":""},{"dropping-particle":"","family":"Kindzelski","given":"Andrei","non-dropping-particle":"","parse-names":false,"suffix":""},{"dropping-particle":"","family":"Baucom","given":"Amanda L","non-dropping-particle":"","parse-names":false,"suffix":""},{"dropping-particle":"","family":"Kirwan","given":"B.-A. Bridget-Anne","non-dropping-particle":"","parse-names":false,"suffix":""},{"dropping-particle":"","family":"Eng","given":"Heather","non-dropping-particle":"","parse-names":false,"suffix":""},{"dropping-particle":"","family":"Martin","given":"Deborah","non-dropping-particle":"","parse-names":false,"suffix":""},{"dropping-particle":"","family":"Zaharris","given":"Elaine","non-dropping-particle":"","parse-names":false,"suffix":""},{"dropping-particle":"","family":"Everett","given":"Brendan","non-dropping-particle":"","parse-names":false,"suffix":""},{"dropping-particle":"","family":"Castro","given":"Lauren","non-dropping-particle":"","parse-names":false,"suffix":""},{"dropping-particle":"","family":"Shapiro","given":"Nancy L","non-dropping-particle":"","parse-names":false,"suffix":""},{"dropping-particle":"","family":"Lin","given":"Janet Y","non-dropping-particle":"","parse-names":false,"suffix":""},{"dropping-particle":"","family":"Hou","given":"Peter C","non-dropping-particle":"","parse-names":false,"suffix":""},{"dropping-particle":"","family":"Pepine","given":"Carl J","non-dropping-particle":"","parse-names":false,"suffix":""},{"dropping-particle":"","family":"Handberg","given":"Eileen","non-dropping-particle":"","parse-names":false,"suffix":""},{"dropping-particle":"","family":"Haight","given":"Daniel O","non-dropping-particle":"","parse-names":false,"suffix":""},{"dropping-particle":"","family":"Wilson","given":"Jason W","non-dropping-particle":"","parse-names":false,"suffix":""},{"dropping-particle":"","family":"Majercik","given":"Sarah","non-dropping-particle":"","parse-names":false,"suffix":""},{"dropping-particle":"","family":"Fu","given":"Zhuxuan","non-dropping-particle":"","parse-names":false,"suffix":""},{"dropping-particle":"","family":"Zhong","given":"Yongqi","non-dropping-particle":"","parse-names":false,"suffix":""},{"dropping-particle":"","family":"Venugopal","given":"Vidya","non-dropping-particle":"","parse-names":false,"suffix":""},{"dropping-particle":"","family":"Beach","given":"Scott","non-dropping-particle":"","parse-names":false,"suffix":""},{"dropping-particle":"","family":"Wisniewski","given":"Steve","non-dropping-particle":"","parse-names":false,"suffix":""},{"dropping-particle":"","family":"Ridker","given":"Paul M","non-dropping-particle":"","parse-names":false,"suffix":""},{"dropping-particle":"","family":"ACTIV-4B Investigators","given":"","non-dropping-particle":"","parse-names":false,"suffix":""}],"container-title":"JAMA - Journal of the American Medical Association","id":"ITEM-1","issue":"17","issued":{"date-parts":[["2021"]]},"note":"From Duplicate 2 (Effect of Antithrombotic Therapy on Clinical Outcomes in Outpatients with Clinically Stable Symptomatic COVID-19: The ACTIV-4B Randomized Clinical Trial - Connors, J M; Brooks, M M; Sciurba, F C; Krishnan, J A; Bledsoe, J R; Kindzelski, A; Baucom, A L; Kirwan, B.-A.; Eng, H; Martin, D; Zaharris, E; Everett, B; Castro, L; Shapiro, N L; Lin, J Y; Hou, P C; Pepine, C J; Handberg, E; Haight, D O; Wilson, J W; Majercik, S; Fu, Z; Zhong, Y; Venugopal, V; Beach, S; Wisniewski, S; Ridker, P M)\n\nCited By :3\n\nExport Date: 19 January 2022","page":"1703-1712","title":"Effect of Antithrombotic Therapy on Clinical Outcomes in Outpatients with Clinically Stable Symptomatic COVID-19: The ACTIV-4B Randomized Clinical Trial","type":"article-journal","volume":"326"},"uris":["http://www.mendeley.com/documents/?uuid=c8c81f25-c9d2-4df5-b9cd-1a05743dfb1f"]}],"mendeley":{"formattedCitation":"[6]","plainTextFormattedCitation":"[6]","previouslyFormattedCitation":"[6]"},"properties":{"noteIndex":0},"schema":"https://github.com/citation-style-language/schema/raw/master/csl-citation.json"}</w:instrText>
      </w:r>
      <w:r w:rsidR="00AA3021" w:rsidRPr="00C023E8">
        <w:rPr>
          <w:rFonts w:ascii="Arial" w:hAnsi="Arial" w:cs="Arial"/>
        </w:rPr>
        <w:fldChar w:fldCharType="separate"/>
      </w:r>
      <w:r w:rsidR="00FD1918" w:rsidRPr="00C023E8">
        <w:rPr>
          <w:rFonts w:ascii="Arial" w:hAnsi="Arial" w:cs="Arial"/>
          <w:noProof/>
        </w:rPr>
        <w:t>[6]</w:t>
      </w:r>
      <w:r w:rsidR="00AA3021" w:rsidRPr="00C023E8">
        <w:rPr>
          <w:rFonts w:ascii="Arial" w:hAnsi="Arial" w:cs="Arial"/>
        </w:rPr>
        <w:fldChar w:fldCharType="end"/>
      </w:r>
      <w:r w:rsidR="00AA3021" w:rsidRPr="00C023E8">
        <w:rPr>
          <w:rFonts w:ascii="Arial" w:hAnsi="Arial" w:cs="Arial"/>
        </w:rPr>
        <w:t xml:space="preserve"> and venous thromboembolic events were captured as outcomes in two trials</w:t>
      </w:r>
      <w:r w:rsidR="00AA3021" w:rsidRPr="00C023E8">
        <w:rPr>
          <w:rFonts w:ascii="Arial" w:hAnsi="Arial" w:cs="Arial"/>
        </w:rPr>
        <w:fldChar w:fldCharType="begin" w:fldLock="1"/>
      </w:r>
      <w:r w:rsidR="004B2376">
        <w:rPr>
          <w:rFonts w:ascii="Arial" w:hAnsi="Arial" w:cs="Arial"/>
        </w:rPr>
        <w:instrText>ADDIN CSL_CITATION {"citationItems":[{"id":"ITEM-1","itemData":{"DOI":"10.1055/a-1667-7534","ISSN":"2567-689X","abstract":"Thrombophylaxis with low molecular weight heparin (LMWH) in hospitalized patients with COVID-19 is mandatory, unless contraindicated. Given the links between inflammation and thrombosis, the use of higher doses of anticoagulants could improve outcomes. We conducted an open-label, multicenter, randomized, controlled trial in adult patients hospitalized with non-severe COVID-19 pneumonia and elevated D-dimer. Patients were randomized to therapeutic-dose bemiparin (115 IU/Kg daily) vs. standard prophylaxis (bemiparin 3,500 IU daily), for 10 days. The primary efficacy outcome was a composite of death, intensive care unit admission, need of mechanical ventilation support, development of moderate/severe acute respiratory distress and venous or arterial thrombosis within 10 days of enrollment. The primary safety outcome was major bleeding (ISTH criteria). A prespecified interim analysis was performed when 40% of the planned study population was reached. From October 2020 to May 2021, 70 patients were randomized at 5 sites and 65 were included in the primary analysis; 32 patients allocated to therapeutic-dose and 33 to standard prophylactic-dose. The primary efficacy outcome occurred in 7 patients (21.9%) in the therapeutic-dose group and 6 patients (18.2%) in the prophylactic-dose (absolute risk difference 3.6% [95% CI, -16%- 24%]; odds ratio 1.26 [95% CI, 0.37-4.26]; p=0.95). Discharge in the first 10 days was possible in 66% and 79% of patients, respectively. No major bleeding event was registered. Therefore, in patients with COVID-19 hospitalized with non-severe pneumonia but elevated D-dimer, the use of a short course of therapeutic-dose bemiparin did not improve clinical outcomes compared to standard prophylactic doses.","author":[{"dropping-particle":"","family":"Marcos","given":"María","non-dropping-particle":"","parse-names":false,"suffix":""},{"dropping-particle":"","family":"Carmona-Torre","given":"Francisco","non-dropping-particle":"","parse-names":false,"suffix":""},{"dropping-particle":"","family":"Vidal Laso","given":"Rosa","non-dropping-particle":"","parse-names":false,"suffix":""},{"dropping-particle":"","family":"Ruiz-Artacho","given":"Pedro","non-dropping-particle":"","parse-names":false,"suffix":""},{"dropping-particle":"","family":"Filella","given":"David","non-dropping-particle":"","parse-names":false,"suffix":""},{"dropping-particle":"","family":"Carbonell","given":"Cristina","non-dropping-particle":"","parse-names":false,"suffix":""},{"dropping-particle":"","family":"Jimenez-Yuste","given":"Victor","non-dropping-particle":"","parse-names":false,"suffix":""},{"dropping-particle":"","family":"Schwartz","given":"Juana","non-dropping-particle":"","parse-names":false,"suffix":""},{"dropping-particle":"","family":"Llamas","given":"Pilar","non-dropping-particle":"","parse-names":false,"suffix":""},{"dropping-particle":"","family":"Alegre","given":"Félix","non-dropping-particle":"","parse-names":false,"suffix":""},{"dropping-particle":"","family":"Sádaba","given":"Belén","non-dropping-particle":"","parse-names":false,"suffix":""},{"dropping-particle":"","family":"Núñez-Córdoba","given":"Jorge","non-dropping-particle":"","parse-names":false,"suffix":""},{"dropping-particle":"","family":"Yuste","given":"José Ramón","non-dropping-particle":"","parse-names":false,"suffix":""},{"dropping-particle":"","family":"Fernández-García","given":"Javier","non-dropping-particle":"","parse-names":false,"suffix":""},{"dropping-particle":"","family":"Lecumberri","given":"Ramón","non-dropping-particle":"","parse-names":false,"suffix":""}],"container-title":"Thromb. haemost","id":"ITEM-1","issued":{"date-parts":[["2021"]]},"language":"en","publisher-place":"Marcos M; Hematology, University Clinic of Navarra, Pamplona, Spain.","title":"Therapeutic vs. prophylactic bemiparin in hospitalized patients with non-severe COVID-19 (BEMICOP): an open-label, multicenter, randomized trial.","type":"article-journal"},"uris":["http://www.mendeley.com/documents/?uuid=6b804df7-9df1-4bc4-a808-ab45ba670331"]},{"id":"ITEM-2","itemData":{"DOI":"10.3390/life11101032","ISSN":"20751729","abstract":"Background: COVID-19-associated coagulopathy (CAC) exacerbates the course of coron-avirus infection and contributes to increased mortality. Current recommendations for CAC treatment include the use of low-molecular weight heparins (LMWH) at prophylactic or therapeutic doses, as well as the use of unfractionated heparin (UFH). Methods: A randomised, controlled trial enrolled 126 patients hospitalised in the intensive care unit with severe COVID-19 complicated by CAC. The effects of LMWH at preventive and therapeutic doses and UFH at therapeutic doses on mortality and intubation rates were compared. Results: The number of intubations and deaths showed no significant difference depending on the anticoagulant therapy used. However, multivariate logistic regression models revealed an increased risk of intubation (p = 0.026, odds ratio (OR) = 3.33, 95% confidence interval (CI) 1.15–9.59), and an increased risk of death (p = 0.046, OR = 3.01, 95% CI 1.02–8.90), for patients treated with LMWH at a prophylactic dose but not at a therapeutic dose as compared to patients treated with UFH when controlling for other risk factors. Conclusions: The use of unfractionated heparin in the treatment of COVID-19-associated coagulopathy seems to be more effective at reducing the risk of intubation and death than enoxaparin at prophylactic doses.","author":[{"dropping-particle":"","family":"Oliynyk","given":"Oleksandr","non-dropping-particle":"","parse-names":false,"suffix":""},{"dropping-particle":"","family":"Barg","given":"Wojciech","non-dropping-particle":"","parse-names":false,"suffix":""},{"dropping-particle":"","family":"Slifirczyk","given":"Anna","non-dropping-particle":"","parse-names":false,"suffix":""},{"dropping-particle":"","family":"Oliynyk","given":"Yanina","non-dropping-particle":"","parse-names":false,"suffix":""},{"dropping-particle":"","family":"Dubrov","given":"Serhij","non-dropping-particle":"","parse-names":false,"suffix":""},{"dropping-particle":"","family":"Gurianov","given":"Vitaliy","non-dropping-particle":"","parse-names":false,"suffix":""},{"dropping-particle":"","family":"Rorat","given":"Marta","non-dropping-particle":"","parse-names":false,"suffix":""}],"container-title":"Life","id":"ITEM-2","issue":"1032","issued":{"date-parts":[["2021"]]},"title":"Comparison of the effect of unfractionated heparin and enoxaparin sodium at different doses on the course of covid-19-associated coagulopathy","type":"article-journal","volume":"11"},"uris":["http://www.mendeley.com/documents/?uuid=3de78bf3-b864-4308-b5dc-b9be131c374a"]}],"mendeley":{"formattedCitation":"[10,11]","plainTextFormattedCitation":"[10,11]","previouslyFormattedCitation":"[10,11]"},"properties":{"noteIndex":0},"schema":"https://github.com/citation-style-language/schema/raw/master/csl-citation.json"}</w:instrText>
      </w:r>
      <w:r w:rsidR="00AA3021" w:rsidRPr="00C023E8">
        <w:rPr>
          <w:rFonts w:ascii="Arial" w:hAnsi="Arial" w:cs="Arial"/>
        </w:rPr>
        <w:fldChar w:fldCharType="separate"/>
      </w:r>
      <w:r w:rsidR="00810C9F" w:rsidRPr="00C023E8">
        <w:rPr>
          <w:rFonts w:ascii="Arial" w:hAnsi="Arial" w:cs="Arial"/>
          <w:noProof/>
        </w:rPr>
        <w:t>[10,11]</w:t>
      </w:r>
      <w:r w:rsidR="00AA3021" w:rsidRPr="00C023E8">
        <w:rPr>
          <w:rFonts w:ascii="Arial" w:hAnsi="Arial" w:cs="Arial"/>
        </w:rPr>
        <w:fldChar w:fldCharType="end"/>
      </w:r>
      <w:r w:rsidR="00AA3021" w:rsidRPr="00C023E8">
        <w:rPr>
          <w:rFonts w:ascii="Arial" w:hAnsi="Arial" w:cs="Arial"/>
        </w:rPr>
        <w:t xml:space="preserve"> – these trials are excluded from the forest plot above.</w:t>
      </w:r>
    </w:p>
    <w:p w14:paraId="4EF8ECF1" w14:textId="77777777" w:rsidR="00F071C0" w:rsidRDefault="00F071C0" w:rsidP="00D27B06">
      <w:pPr>
        <w:rPr>
          <w:rFonts w:ascii="Arial" w:hAnsi="Arial" w:cs="Arial"/>
          <w:b/>
          <w:bCs/>
        </w:rPr>
      </w:pPr>
    </w:p>
    <w:p w14:paraId="32B89C09" w14:textId="77777777" w:rsidR="006A3C09" w:rsidRDefault="006A3C09" w:rsidP="00D27B06">
      <w:pPr>
        <w:rPr>
          <w:rFonts w:ascii="Arial" w:hAnsi="Arial" w:cs="Arial"/>
          <w:b/>
          <w:bCs/>
        </w:rPr>
      </w:pPr>
    </w:p>
    <w:p w14:paraId="0F0ED0D9" w14:textId="77777777" w:rsidR="00435BE2" w:rsidRDefault="00435BE2" w:rsidP="00D27B06">
      <w:pPr>
        <w:rPr>
          <w:rFonts w:ascii="Arial" w:hAnsi="Arial" w:cs="Arial"/>
          <w:b/>
          <w:bCs/>
        </w:rPr>
      </w:pPr>
    </w:p>
    <w:p w14:paraId="25ECEF02" w14:textId="77777777" w:rsidR="00435BE2" w:rsidRDefault="00435BE2" w:rsidP="00D27B06">
      <w:pPr>
        <w:rPr>
          <w:rFonts w:ascii="Arial" w:hAnsi="Arial" w:cs="Arial"/>
          <w:b/>
          <w:bCs/>
        </w:rPr>
      </w:pPr>
    </w:p>
    <w:p w14:paraId="62DAB174" w14:textId="77777777" w:rsidR="00435BE2" w:rsidRDefault="00435BE2" w:rsidP="00D27B06">
      <w:pPr>
        <w:rPr>
          <w:rFonts w:ascii="Arial" w:hAnsi="Arial" w:cs="Arial"/>
          <w:b/>
          <w:bCs/>
        </w:rPr>
      </w:pPr>
    </w:p>
    <w:p w14:paraId="18C6D801" w14:textId="77777777" w:rsidR="00435BE2" w:rsidRDefault="00435BE2" w:rsidP="00D27B06">
      <w:pPr>
        <w:rPr>
          <w:rFonts w:ascii="Arial" w:hAnsi="Arial" w:cs="Arial"/>
          <w:b/>
          <w:bCs/>
        </w:rPr>
      </w:pPr>
    </w:p>
    <w:p w14:paraId="4523430C" w14:textId="77777777" w:rsidR="00435BE2" w:rsidRDefault="00435BE2" w:rsidP="00D27B06">
      <w:pPr>
        <w:rPr>
          <w:rFonts w:ascii="Arial" w:hAnsi="Arial" w:cs="Arial"/>
          <w:b/>
          <w:bCs/>
        </w:rPr>
      </w:pPr>
    </w:p>
    <w:p w14:paraId="6A4E1DE7" w14:textId="77777777" w:rsidR="00435BE2" w:rsidRDefault="00435BE2" w:rsidP="00D27B06">
      <w:pPr>
        <w:rPr>
          <w:rFonts w:ascii="Arial" w:hAnsi="Arial" w:cs="Arial"/>
          <w:b/>
          <w:bCs/>
        </w:rPr>
      </w:pPr>
    </w:p>
    <w:p w14:paraId="521127A0" w14:textId="77777777" w:rsidR="00435BE2" w:rsidRDefault="00435BE2" w:rsidP="00D27B06">
      <w:pPr>
        <w:rPr>
          <w:rFonts w:ascii="Arial" w:hAnsi="Arial" w:cs="Arial"/>
          <w:b/>
          <w:bCs/>
        </w:rPr>
      </w:pPr>
    </w:p>
    <w:p w14:paraId="1F836E49" w14:textId="77777777" w:rsidR="00435BE2" w:rsidRDefault="00435BE2" w:rsidP="00D27B06">
      <w:pPr>
        <w:rPr>
          <w:rFonts w:ascii="Arial" w:hAnsi="Arial" w:cs="Arial"/>
          <w:b/>
          <w:bCs/>
        </w:rPr>
      </w:pPr>
    </w:p>
    <w:p w14:paraId="513F70D2" w14:textId="77777777" w:rsidR="00435BE2" w:rsidRDefault="00435BE2" w:rsidP="00D27B06">
      <w:pPr>
        <w:rPr>
          <w:rFonts w:ascii="Arial" w:hAnsi="Arial" w:cs="Arial"/>
          <w:b/>
          <w:bCs/>
        </w:rPr>
      </w:pPr>
    </w:p>
    <w:p w14:paraId="3F0A3B55" w14:textId="77777777" w:rsidR="00435BE2" w:rsidRDefault="00435BE2" w:rsidP="00D27B06">
      <w:pPr>
        <w:rPr>
          <w:rFonts w:ascii="Arial" w:hAnsi="Arial" w:cs="Arial"/>
          <w:b/>
          <w:bCs/>
        </w:rPr>
      </w:pPr>
    </w:p>
    <w:p w14:paraId="519FB1E5" w14:textId="77777777" w:rsidR="00435BE2" w:rsidRDefault="00435BE2" w:rsidP="00D27B06">
      <w:pPr>
        <w:rPr>
          <w:rFonts w:ascii="Arial" w:hAnsi="Arial" w:cs="Arial"/>
          <w:b/>
          <w:bCs/>
        </w:rPr>
      </w:pPr>
    </w:p>
    <w:p w14:paraId="096EEEF0" w14:textId="77777777" w:rsidR="006A3C09" w:rsidRDefault="006A3C09" w:rsidP="00D27B06">
      <w:pPr>
        <w:rPr>
          <w:rFonts w:ascii="Arial" w:hAnsi="Arial" w:cs="Arial"/>
          <w:b/>
          <w:bCs/>
        </w:rPr>
      </w:pPr>
    </w:p>
    <w:p w14:paraId="1688584B" w14:textId="585AE5D6" w:rsidR="006A3C09" w:rsidRPr="00A9417D" w:rsidRDefault="006A3C09" w:rsidP="006A3C09">
      <w:pPr>
        <w:pStyle w:val="Heading1"/>
        <w:rPr>
          <w:rFonts w:ascii="Arial" w:hAnsi="Arial" w:cs="Arial"/>
          <w:b/>
          <w:bCs/>
          <w:color w:val="auto"/>
        </w:rPr>
      </w:pPr>
      <w:r w:rsidRPr="00A9417D">
        <w:rPr>
          <w:rFonts w:ascii="Arial" w:hAnsi="Arial" w:cs="Arial"/>
          <w:b/>
          <w:bCs/>
          <w:color w:val="auto"/>
        </w:rPr>
        <w:lastRenderedPageBreak/>
        <w:t>References</w:t>
      </w:r>
    </w:p>
    <w:p w14:paraId="32F07DE0" w14:textId="77777777" w:rsidR="00A9417D" w:rsidRPr="00A9417D" w:rsidRDefault="00A9417D" w:rsidP="00A9417D"/>
    <w:p w14:paraId="08E4D8BC" w14:textId="250E8CAB" w:rsidR="004B2376" w:rsidRPr="004B2376" w:rsidRDefault="006A3C09" w:rsidP="004B2376">
      <w:pPr>
        <w:widowControl w:val="0"/>
        <w:autoSpaceDE w:val="0"/>
        <w:autoSpaceDN w:val="0"/>
        <w:adjustRightInd w:val="0"/>
        <w:spacing w:line="240" w:lineRule="auto"/>
        <w:ind w:left="640" w:hanging="640"/>
        <w:rPr>
          <w:rFonts w:ascii="Calibri" w:hAnsi="Calibri" w:cs="Calibri"/>
          <w:noProof/>
          <w:szCs w:val="24"/>
        </w:rPr>
      </w:pPr>
      <w:r>
        <w:t xml:space="preserve"> </w:t>
      </w:r>
      <w:r w:rsidR="002908BB">
        <w:fldChar w:fldCharType="begin" w:fldLock="1"/>
      </w:r>
      <w:r w:rsidR="002908BB">
        <w:instrText xml:space="preserve">ADDIN Mendeley Bibliography CSL_BIBLIOGRAPHY </w:instrText>
      </w:r>
      <w:r w:rsidR="002908BB">
        <w:fldChar w:fldCharType="separate"/>
      </w:r>
      <w:r w:rsidR="004B2376" w:rsidRPr="004B2376">
        <w:rPr>
          <w:rFonts w:ascii="Calibri" w:hAnsi="Calibri" w:cs="Calibri"/>
          <w:noProof/>
          <w:szCs w:val="24"/>
        </w:rPr>
        <w:t xml:space="preserve">1. </w:t>
      </w:r>
      <w:r w:rsidR="004B2376" w:rsidRPr="004B2376">
        <w:rPr>
          <w:rFonts w:ascii="Calibri" w:hAnsi="Calibri" w:cs="Calibri"/>
          <w:noProof/>
          <w:szCs w:val="24"/>
        </w:rPr>
        <w:tab/>
        <w:t>Sadeghipour P, Talasaz AH, Rashidi F, et al. Effect of Intermediate-Dose vs Standard-Dose Prophylactic Anticoagulation on Thrombotic Events, Extracorporeal Membrane Oxygenation Treatment, or Mortality among Patients with COVID-19 Admitted to the Intensive Care Unit: The INSPIRATION Randomized Clinic</w:t>
      </w:r>
      <w:r w:rsidR="00E46B69">
        <w:rPr>
          <w:rFonts w:ascii="Calibri" w:hAnsi="Calibri" w:cs="Calibri"/>
          <w:noProof/>
          <w:szCs w:val="24"/>
        </w:rPr>
        <w:t>al Trail</w:t>
      </w:r>
      <w:r w:rsidR="004B2376" w:rsidRPr="004B2376">
        <w:rPr>
          <w:rFonts w:ascii="Calibri" w:hAnsi="Calibri" w:cs="Calibri"/>
          <w:noProof/>
          <w:szCs w:val="24"/>
        </w:rPr>
        <w:t xml:space="preserve">. JAMA - J Am Med Assoc </w:t>
      </w:r>
      <w:r w:rsidR="004B2376" w:rsidRPr="004B2376">
        <w:rPr>
          <w:rFonts w:ascii="Calibri" w:hAnsi="Calibri" w:cs="Calibri"/>
          <w:b/>
          <w:bCs/>
          <w:noProof/>
          <w:szCs w:val="24"/>
        </w:rPr>
        <w:t>2021</w:t>
      </w:r>
      <w:r w:rsidR="004B2376" w:rsidRPr="004B2376">
        <w:rPr>
          <w:rFonts w:ascii="Calibri" w:hAnsi="Calibri" w:cs="Calibri"/>
          <w:noProof/>
          <w:szCs w:val="24"/>
        </w:rPr>
        <w:t>; 325:1620–1630. Available at: https://www.scopus.com/inward/record.uri?eid=2-s2.0-85102861485&amp;doi=10.1001%2Fjama.2021.4152&amp;partnerID=40&amp;md5=c6b383cba6ef679a7ee9daa582711566</w:t>
      </w:r>
    </w:p>
    <w:p w14:paraId="4E5B46C3"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2. </w:t>
      </w:r>
      <w:r w:rsidRPr="004B2376">
        <w:rPr>
          <w:rFonts w:ascii="Calibri" w:hAnsi="Calibri" w:cs="Calibri"/>
          <w:noProof/>
          <w:szCs w:val="24"/>
        </w:rPr>
        <w:tab/>
        <w:t xml:space="preserve">The REMAP-CAP, ACTIV-4a  and AI. Therapeutic Anticoagulation with Heparin in Noncritically Ill Patients with Covid-19. N Engl J Med </w:t>
      </w:r>
      <w:r w:rsidRPr="004B2376">
        <w:rPr>
          <w:rFonts w:ascii="Calibri" w:hAnsi="Calibri" w:cs="Calibri"/>
          <w:b/>
          <w:bCs/>
          <w:noProof/>
          <w:szCs w:val="24"/>
        </w:rPr>
        <w:t>2021</w:t>
      </w:r>
      <w:r w:rsidRPr="004B2376">
        <w:rPr>
          <w:rFonts w:ascii="Calibri" w:hAnsi="Calibri" w:cs="Calibri"/>
          <w:noProof/>
          <w:szCs w:val="24"/>
        </w:rPr>
        <w:t xml:space="preserve">; :1–13. </w:t>
      </w:r>
    </w:p>
    <w:p w14:paraId="1EB695F6"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3. </w:t>
      </w:r>
      <w:r w:rsidRPr="004B2376">
        <w:rPr>
          <w:rFonts w:ascii="Calibri" w:hAnsi="Calibri" w:cs="Calibri"/>
          <w:noProof/>
          <w:szCs w:val="24"/>
        </w:rPr>
        <w:tab/>
        <w:t xml:space="preserve">The REMAP-CAP, ACTIV-4a  and AI. Therapeutic Anticoagulation with Heparin in Critically Ill Patients with Covid-19. N Engl J Med </w:t>
      </w:r>
      <w:r w:rsidRPr="004B2376">
        <w:rPr>
          <w:rFonts w:ascii="Calibri" w:hAnsi="Calibri" w:cs="Calibri"/>
          <w:b/>
          <w:bCs/>
          <w:noProof/>
          <w:szCs w:val="24"/>
        </w:rPr>
        <w:t>2021</w:t>
      </w:r>
      <w:r w:rsidRPr="004B2376">
        <w:rPr>
          <w:rFonts w:ascii="Calibri" w:hAnsi="Calibri" w:cs="Calibri"/>
          <w:noProof/>
          <w:szCs w:val="24"/>
        </w:rPr>
        <w:t xml:space="preserve">; :1–13. </w:t>
      </w:r>
    </w:p>
    <w:p w14:paraId="5DA3C027"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4. </w:t>
      </w:r>
      <w:r w:rsidRPr="004B2376">
        <w:rPr>
          <w:rFonts w:ascii="Calibri" w:hAnsi="Calibri" w:cs="Calibri"/>
          <w:noProof/>
          <w:szCs w:val="24"/>
        </w:rPr>
        <w:tab/>
        <w:t xml:space="preserve">Sholzberg M, Tang GH, Rahhal H, et al. Effectiveness of therapeutic heparin versus prophylactic heparin on death, mechanical ventilation, or intensive care unit admission in moderately ill patients with covid-19 admitted to hospital: RAPID randomised clinical trial. BMJ </w:t>
      </w:r>
      <w:r w:rsidRPr="004B2376">
        <w:rPr>
          <w:rFonts w:ascii="Calibri" w:hAnsi="Calibri" w:cs="Calibri"/>
          <w:b/>
          <w:bCs/>
          <w:noProof/>
          <w:szCs w:val="24"/>
        </w:rPr>
        <w:t>2021</w:t>
      </w:r>
      <w:r w:rsidRPr="004B2376">
        <w:rPr>
          <w:rFonts w:ascii="Calibri" w:hAnsi="Calibri" w:cs="Calibri"/>
          <w:noProof/>
          <w:szCs w:val="24"/>
        </w:rPr>
        <w:t xml:space="preserve">; 375. </w:t>
      </w:r>
    </w:p>
    <w:p w14:paraId="6E0F8470"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5. </w:t>
      </w:r>
      <w:r w:rsidRPr="004B2376">
        <w:rPr>
          <w:rFonts w:ascii="Calibri" w:hAnsi="Calibri" w:cs="Calibri"/>
          <w:noProof/>
          <w:szCs w:val="24"/>
        </w:rPr>
        <w:tab/>
        <w:t xml:space="preserve">Spyropoulos AC, Goldin M, Giannis D, et al. Efficacy and Safety of Therapeutic-Dose Heparin vs Standard Prophylactic or Intermediate-Dose Heparins for Thromboprophylaxis in High-risk Hospitalized Patients with COVID-19: The HEP-COVID Randomized Clinical Trial. JAMA Intern Med </w:t>
      </w:r>
      <w:r w:rsidRPr="004B2376">
        <w:rPr>
          <w:rFonts w:ascii="Calibri" w:hAnsi="Calibri" w:cs="Calibri"/>
          <w:b/>
          <w:bCs/>
          <w:noProof/>
          <w:szCs w:val="24"/>
        </w:rPr>
        <w:t>2021</w:t>
      </w:r>
      <w:r w:rsidRPr="004B2376">
        <w:rPr>
          <w:rFonts w:ascii="Calibri" w:hAnsi="Calibri" w:cs="Calibri"/>
          <w:noProof/>
          <w:szCs w:val="24"/>
        </w:rPr>
        <w:t>; 181:1612–1620. Available at: https://www.scopus.com/inward/record.uri?eid=2-s2.0-85116937418&amp;doi=10.1001%2Fjamainternmed.2021.6203&amp;partnerID=40&amp;md5=bd846165afe9451335fb35e7e7f8d8fe.</w:t>
      </w:r>
    </w:p>
    <w:p w14:paraId="6458A895"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6. </w:t>
      </w:r>
      <w:r w:rsidRPr="004B2376">
        <w:rPr>
          <w:rFonts w:ascii="Calibri" w:hAnsi="Calibri" w:cs="Calibri"/>
          <w:noProof/>
          <w:szCs w:val="24"/>
        </w:rPr>
        <w:tab/>
        <w:t xml:space="preserve">Connors JM, Brooks MM, Sciurba FC, et al. Effect of Antithrombotic Therapy on Clinical Outcomes in Outpatients with Clinically Stable Symptomatic COVID-19: The ACTIV-4B Randomized Clinical Trial. JAMA - J Am Med Assoc </w:t>
      </w:r>
      <w:r w:rsidRPr="004B2376">
        <w:rPr>
          <w:rFonts w:ascii="Calibri" w:hAnsi="Calibri" w:cs="Calibri"/>
          <w:b/>
          <w:bCs/>
          <w:noProof/>
          <w:szCs w:val="24"/>
        </w:rPr>
        <w:t>2021</w:t>
      </w:r>
      <w:r w:rsidRPr="004B2376">
        <w:rPr>
          <w:rFonts w:ascii="Calibri" w:hAnsi="Calibri" w:cs="Calibri"/>
          <w:noProof/>
          <w:szCs w:val="24"/>
        </w:rPr>
        <w:t>; 326:1703–1712. Available at: http://www.ncbi.nlm.nih.gov/pubmed/34633405.</w:t>
      </w:r>
    </w:p>
    <w:p w14:paraId="38484B8C"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7. </w:t>
      </w:r>
      <w:r w:rsidRPr="004B2376">
        <w:rPr>
          <w:rFonts w:ascii="Calibri" w:hAnsi="Calibri" w:cs="Calibri"/>
          <w:noProof/>
          <w:szCs w:val="24"/>
        </w:rPr>
        <w:tab/>
        <w:t xml:space="preserve">Lopes RD, de Barros E Silva PGM, Furtado RHMM, et al. Therapeutic versus prophylactic anticoagulation for patients admitted to hospital with COVID-19 and elevated D-dimer concentration (ACTION): an open-label, multicentre, randomised, controlled trial. Lancet </w:t>
      </w:r>
      <w:r w:rsidRPr="004B2376">
        <w:rPr>
          <w:rFonts w:ascii="Calibri" w:hAnsi="Calibri" w:cs="Calibri"/>
          <w:b/>
          <w:bCs/>
          <w:noProof/>
          <w:szCs w:val="24"/>
        </w:rPr>
        <w:t>2021</w:t>
      </w:r>
      <w:r w:rsidRPr="004B2376">
        <w:rPr>
          <w:rFonts w:ascii="Calibri" w:hAnsi="Calibri" w:cs="Calibri"/>
          <w:noProof/>
          <w:szCs w:val="24"/>
        </w:rPr>
        <w:t>; 397:2253–2263. Available at: https://dx.doi.org/10.1016/S0140-6736(21)01203-4.</w:t>
      </w:r>
    </w:p>
    <w:p w14:paraId="48871785"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8. </w:t>
      </w:r>
      <w:r w:rsidRPr="004B2376">
        <w:rPr>
          <w:rFonts w:ascii="Calibri" w:hAnsi="Calibri" w:cs="Calibri"/>
          <w:noProof/>
          <w:szCs w:val="24"/>
        </w:rPr>
        <w:tab/>
        <w:t xml:space="preserve">Perepu US, Chambers I, Wahab A, et al. Standard prophylactic versus intermediate dose enoxaparin in adults with severe COVID-19: A multi-center, open-label, randomized controlled trial. J Thromb Haemost </w:t>
      </w:r>
      <w:r w:rsidRPr="004B2376">
        <w:rPr>
          <w:rFonts w:ascii="Calibri" w:hAnsi="Calibri" w:cs="Calibri"/>
          <w:b/>
          <w:bCs/>
          <w:noProof/>
          <w:szCs w:val="24"/>
        </w:rPr>
        <w:t>2021</w:t>
      </w:r>
      <w:r w:rsidRPr="004B2376">
        <w:rPr>
          <w:rFonts w:ascii="Calibri" w:hAnsi="Calibri" w:cs="Calibri"/>
          <w:noProof/>
          <w:szCs w:val="24"/>
        </w:rPr>
        <w:t>; 19:2225–2234. Available at: https://www.scopus.com/inward/record.uri?eid=2-s2.0-85110278449&amp;doi=10.1111%2Fjth.15450&amp;partnerID=40&amp;md5=3d0e3162b44cff2c05886fa6cd4e4826.</w:t>
      </w:r>
    </w:p>
    <w:p w14:paraId="019E251C"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9. </w:t>
      </w:r>
      <w:r w:rsidRPr="004B2376">
        <w:rPr>
          <w:rFonts w:ascii="Calibri" w:hAnsi="Calibri" w:cs="Calibri"/>
          <w:noProof/>
          <w:szCs w:val="24"/>
        </w:rPr>
        <w:tab/>
        <w:t xml:space="preserve">Lemos ACB, do Espírito Santo DA, Salvetti MC, et al. Therapeutic versus prophylactic anticoagulation for severe COVID-19: A randomized phase II clinical trial (HESACOVID). Thromb Res </w:t>
      </w:r>
      <w:r w:rsidRPr="004B2376">
        <w:rPr>
          <w:rFonts w:ascii="Calibri" w:hAnsi="Calibri" w:cs="Calibri"/>
          <w:b/>
          <w:bCs/>
          <w:noProof/>
          <w:szCs w:val="24"/>
        </w:rPr>
        <w:t>2020</w:t>
      </w:r>
      <w:r w:rsidRPr="004B2376">
        <w:rPr>
          <w:rFonts w:ascii="Calibri" w:hAnsi="Calibri" w:cs="Calibri"/>
          <w:noProof/>
          <w:szCs w:val="24"/>
        </w:rPr>
        <w:t>; 196:359–366. Available at: https://doi.org/10.1016/j.thromres.2020.09.026.</w:t>
      </w:r>
    </w:p>
    <w:p w14:paraId="2B0243D8"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szCs w:val="24"/>
        </w:rPr>
      </w:pPr>
      <w:r w:rsidRPr="004B2376">
        <w:rPr>
          <w:rFonts w:ascii="Calibri" w:hAnsi="Calibri" w:cs="Calibri"/>
          <w:noProof/>
          <w:szCs w:val="24"/>
        </w:rPr>
        <w:t xml:space="preserve">10. </w:t>
      </w:r>
      <w:r w:rsidRPr="004B2376">
        <w:rPr>
          <w:rFonts w:ascii="Calibri" w:hAnsi="Calibri" w:cs="Calibri"/>
          <w:noProof/>
          <w:szCs w:val="24"/>
        </w:rPr>
        <w:tab/>
        <w:t xml:space="preserve">Marcos M, Carmona-Torre F, Vidal Laso R, et al. Therapeutic vs. prophylactic bemiparin in hospitalized patients with non-severe COVID-19 (BEMICOP): an open-label, multicenter, randomized trial. Thromb haemost </w:t>
      </w:r>
      <w:r w:rsidRPr="004B2376">
        <w:rPr>
          <w:rFonts w:ascii="Calibri" w:hAnsi="Calibri" w:cs="Calibri"/>
          <w:b/>
          <w:bCs/>
          <w:noProof/>
          <w:szCs w:val="24"/>
        </w:rPr>
        <w:t>2021</w:t>
      </w:r>
      <w:r w:rsidRPr="004B2376">
        <w:rPr>
          <w:rFonts w:ascii="Calibri" w:hAnsi="Calibri" w:cs="Calibri"/>
          <w:noProof/>
          <w:szCs w:val="24"/>
        </w:rPr>
        <w:t>; Available at: https://dx.doi.org/10.1055/a-1667-7534.</w:t>
      </w:r>
    </w:p>
    <w:p w14:paraId="10F17071" w14:textId="77777777" w:rsidR="004B2376" w:rsidRPr="004B2376" w:rsidRDefault="004B2376" w:rsidP="004B2376">
      <w:pPr>
        <w:widowControl w:val="0"/>
        <w:autoSpaceDE w:val="0"/>
        <w:autoSpaceDN w:val="0"/>
        <w:adjustRightInd w:val="0"/>
        <w:spacing w:line="240" w:lineRule="auto"/>
        <w:ind w:left="640" w:hanging="640"/>
        <w:rPr>
          <w:rFonts w:ascii="Calibri" w:hAnsi="Calibri" w:cs="Calibri"/>
          <w:noProof/>
        </w:rPr>
      </w:pPr>
      <w:r w:rsidRPr="004B2376">
        <w:rPr>
          <w:rFonts w:ascii="Calibri" w:hAnsi="Calibri" w:cs="Calibri"/>
          <w:noProof/>
          <w:szCs w:val="24"/>
        </w:rPr>
        <w:t xml:space="preserve">11. </w:t>
      </w:r>
      <w:r w:rsidRPr="004B2376">
        <w:rPr>
          <w:rFonts w:ascii="Calibri" w:hAnsi="Calibri" w:cs="Calibri"/>
          <w:noProof/>
          <w:szCs w:val="24"/>
        </w:rPr>
        <w:tab/>
        <w:t xml:space="preserve">Oliynyk O, Barg W, Slifirczyk A, et al. Comparison of the effect of unfractionated heparin and enoxaparin sodium at different doses on the course of covid-19-associated coagulopathy. Life </w:t>
      </w:r>
      <w:r w:rsidRPr="004B2376">
        <w:rPr>
          <w:rFonts w:ascii="Calibri" w:hAnsi="Calibri" w:cs="Calibri"/>
          <w:b/>
          <w:bCs/>
          <w:noProof/>
          <w:szCs w:val="24"/>
        </w:rPr>
        <w:t>2021</w:t>
      </w:r>
      <w:r w:rsidRPr="004B2376">
        <w:rPr>
          <w:rFonts w:ascii="Calibri" w:hAnsi="Calibri" w:cs="Calibri"/>
          <w:noProof/>
          <w:szCs w:val="24"/>
        </w:rPr>
        <w:t>; 11. Available at: https://doi.org/10.3390/life11101032.</w:t>
      </w:r>
    </w:p>
    <w:p w14:paraId="79F09B5E" w14:textId="57C0093A" w:rsidR="006A3C09" w:rsidRPr="006A3C09" w:rsidRDefault="002908BB" w:rsidP="006A3C09">
      <w:r>
        <w:fldChar w:fldCharType="end"/>
      </w:r>
    </w:p>
    <w:p w14:paraId="29CAB270" w14:textId="19566435" w:rsidR="00D27B06" w:rsidRPr="00D27B06" w:rsidRDefault="00D27B06" w:rsidP="00D27B06">
      <w:pPr>
        <w:tabs>
          <w:tab w:val="left" w:pos="1116"/>
        </w:tabs>
        <w:rPr>
          <w:rFonts w:ascii="Arial" w:hAnsi="Arial" w:cs="Arial"/>
        </w:rPr>
      </w:pPr>
    </w:p>
    <w:sectPr w:rsidR="00D27B06" w:rsidRPr="00D27B06" w:rsidSect="009E42C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557A6" w14:textId="77777777" w:rsidR="000F2BBB" w:rsidRDefault="000F2BBB" w:rsidP="002C572A">
      <w:pPr>
        <w:spacing w:after="0" w:line="240" w:lineRule="auto"/>
      </w:pPr>
      <w:r>
        <w:separator/>
      </w:r>
    </w:p>
  </w:endnote>
  <w:endnote w:type="continuationSeparator" w:id="0">
    <w:p w14:paraId="38619D5B" w14:textId="77777777" w:rsidR="000F2BBB" w:rsidRDefault="000F2BBB" w:rsidP="002C572A">
      <w:pPr>
        <w:spacing w:after="0" w:line="240" w:lineRule="auto"/>
      </w:pPr>
      <w:r>
        <w:continuationSeparator/>
      </w:r>
    </w:p>
  </w:endnote>
  <w:endnote w:type="continuationNotice" w:id="1">
    <w:p w14:paraId="58007A0A" w14:textId="77777777" w:rsidR="000F2BBB" w:rsidRDefault="000F2B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SansPro-Regular">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B2545" w14:textId="77777777" w:rsidR="000F2BBB" w:rsidRDefault="000F2BBB" w:rsidP="002C572A">
      <w:pPr>
        <w:spacing w:after="0" w:line="240" w:lineRule="auto"/>
      </w:pPr>
      <w:r>
        <w:separator/>
      </w:r>
    </w:p>
  </w:footnote>
  <w:footnote w:type="continuationSeparator" w:id="0">
    <w:p w14:paraId="6DE11116" w14:textId="77777777" w:rsidR="000F2BBB" w:rsidRDefault="000F2BBB" w:rsidP="002C572A">
      <w:pPr>
        <w:spacing w:after="0" w:line="240" w:lineRule="auto"/>
      </w:pPr>
      <w:r>
        <w:continuationSeparator/>
      </w:r>
    </w:p>
  </w:footnote>
  <w:footnote w:type="continuationNotice" w:id="1">
    <w:p w14:paraId="7A1DDE63" w14:textId="77777777" w:rsidR="000F2BBB" w:rsidRDefault="000F2B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D48FA"/>
    <w:multiLevelType w:val="hybridMultilevel"/>
    <w:tmpl w:val="376A28B0"/>
    <w:lvl w:ilvl="0" w:tplc="1A02FFA6">
      <w:start w:val="1"/>
      <w:numFmt w:val="decimal"/>
      <w:lvlText w:val="(%1)"/>
      <w:lvlJc w:val="left"/>
      <w:pPr>
        <w:ind w:left="360" w:hanging="360"/>
      </w:pPr>
      <w:rPr>
        <w:rFonts w:asciiTheme="minorHAnsi" w:hAnsiTheme="minorHAnsi" w:cstheme="minorHAns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0E"/>
    <w:rsid w:val="00003FDA"/>
    <w:rsid w:val="000052E3"/>
    <w:rsid w:val="00006ABA"/>
    <w:rsid w:val="00010536"/>
    <w:rsid w:val="0001274F"/>
    <w:rsid w:val="000228FB"/>
    <w:rsid w:val="0002618A"/>
    <w:rsid w:val="000400FE"/>
    <w:rsid w:val="00040F6A"/>
    <w:rsid w:val="00041452"/>
    <w:rsid w:val="00042A4E"/>
    <w:rsid w:val="00045B80"/>
    <w:rsid w:val="00050B53"/>
    <w:rsid w:val="000531C3"/>
    <w:rsid w:val="000548FC"/>
    <w:rsid w:val="00056512"/>
    <w:rsid w:val="00057EDF"/>
    <w:rsid w:val="00066E6E"/>
    <w:rsid w:val="0007447A"/>
    <w:rsid w:val="00085447"/>
    <w:rsid w:val="000A0353"/>
    <w:rsid w:val="000C44DD"/>
    <w:rsid w:val="000D4681"/>
    <w:rsid w:val="000E623B"/>
    <w:rsid w:val="000F2BBB"/>
    <w:rsid w:val="000F3727"/>
    <w:rsid w:val="000F5245"/>
    <w:rsid w:val="000F6385"/>
    <w:rsid w:val="000F717B"/>
    <w:rsid w:val="00102A3D"/>
    <w:rsid w:val="00105B7C"/>
    <w:rsid w:val="00113645"/>
    <w:rsid w:val="0011485F"/>
    <w:rsid w:val="0013091C"/>
    <w:rsid w:val="00134D51"/>
    <w:rsid w:val="00136E83"/>
    <w:rsid w:val="00140B6A"/>
    <w:rsid w:val="00157166"/>
    <w:rsid w:val="00157C5A"/>
    <w:rsid w:val="001641C1"/>
    <w:rsid w:val="00164B44"/>
    <w:rsid w:val="00172A06"/>
    <w:rsid w:val="0018192B"/>
    <w:rsid w:val="00181C98"/>
    <w:rsid w:val="00184A52"/>
    <w:rsid w:val="00192CE3"/>
    <w:rsid w:val="00196A6E"/>
    <w:rsid w:val="001A4D4A"/>
    <w:rsid w:val="001A5782"/>
    <w:rsid w:val="001B22CA"/>
    <w:rsid w:val="001C0965"/>
    <w:rsid w:val="001C2986"/>
    <w:rsid w:val="001C42D3"/>
    <w:rsid w:val="001C62D2"/>
    <w:rsid w:val="001D558F"/>
    <w:rsid w:val="001D732D"/>
    <w:rsid w:val="001D7E43"/>
    <w:rsid w:val="001F3374"/>
    <w:rsid w:val="002056F4"/>
    <w:rsid w:val="002075D7"/>
    <w:rsid w:val="00210BA8"/>
    <w:rsid w:val="00213E6E"/>
    <w:rsid w:val="002160A5"/>
    <w:rsid w:val="002260F3"/>
    <w:rsid w:val="00237B02"/>
    <w:rsid w:val="00237F52"/>
    <w:rsid w:val="00247DC3"/>
    <w:rsid w:val="002621AF"/>
    <w:rsid w:val="002630A3"/>
    <w:rsid w:val="002653C2"/>
    <w:rsid w:val="00266346"/>
    <w:rsid w:val="002908BB"/>
    <w:rsid w:val="002A06A3"/>
    <w:rsid w:val="002B0EB3"/>
    <w:rsid w:val="002B6269"/>
    <w:rsid w:val="002C1E0E"/>
    <w:rsid w:val="002C2747"/>
    <w:rsid w:val="002C572A"/>
    <w:rsid w:val="002E26BE"/>
    <w:rsid w:val="002E49DE"/>
    <w:rsid w:val="002E57A9"/>
    <w:rsid w:val="002E6D08"/>
    <w:rsid w:val="00306630"/>
    <w:rsid w:val="00312EDD"/>
    <w:rsid w:val="003222BB"/>
    <w:rsid w:val="003263B0"/>
    <w:rsid w:val="003407D7"/>
    <w:rsid w:val="00352E55"/>
    <w:rsid w:val="00353572"/>
    <w:rsid w:val="00354845"/>
    <w:rsid w:val="00367030"/>
    <w:rsid w:val="00385CC2"/>
    <w:rsid w:val="00394BE8"/>
    <w:rsid w:val="003B2C3B"/>
    <w:rsid w:val="003B66F6"/>
    <w:rsid w:val="003C08C8"/>
    <w:rsid w:val="003C49BF"/>
    <w:rsid w:val="003D104A"/>
    <w:rsid w:val="003E349D"/>
    <w:rsid w:val="003E6805"/>
    <w:rsid w:val="00404CE0"/>
    <w:rsid w:val="00407D4D"/>
    <w:rsid w:val="00407F01"/>
    <w:rsid w:val="00411272"/>
    <w:rsid w:val="00425D62"/>
    <w:rsid w:val="00431986"/>
    <w:rsid w:val="00435BE2"/>
    <w:rsid w:val="0044072E"/>
    <w:rsid w:val="00440B64"/>
    <w:rsid w:val="00444F23"/>
    <w:rsid w:val="00445DBD"/>
    <w:rsid w:val="00463FF0"/>
    <w:rsid w:val="0047048D"/>
    <w:rsid w:val="004715A8"/>
    <w:rsid w:val="004769DC"/>
    <w:rsid w:val="004904BB"/>
    <w:rsid w:val="00495BC9"/>
    <w:rsid w:val="00497D02"/>
    <w:rsid w:val="004A1C2B"/>
    <w:rsid w:val="004B2376"/>
    <w:rsid w:val="004B69DA"/>
    <w:rsid w:val="004C345D"/>
    <w:rsid w:val="004D258D"/>
    <w:rsid w:val="004D3586"/>
    <w:rsid w:val="004D7E5B"/>
    <w:rsid w:val="004E77F1"/>
    <w:rsid w:val="004F090D"/>
    <w:rsid w:val="004F6711"/>
    <w:rsid w:val="0050112A"/>
    <w:rsid w:val="00505F1B"/>
    <w:rsid w:val="00506530"/>
    <w:rsid w:val="00506707"/>
    <w:rsid w:val="005114A0"/>
    <w:rsid w:val="005153A9"/>
    <w:rsid w:val="005166C3"/>
    <w:rsid w:val="00520682"/>
    <w:rsid w:val="00521248"/>
    <w:rsid w:val="00524ECA"/>
    <w:rsid w:val="005255D1"/>
    <w:rsid w:val="0052578A"/>
    <w:rsid w:val="00526E2C"/>
    <w:rsid w:val="00536929"/>
    <w:rsid w:val="00542C51"/>
    <w:rsid w:val="005461D1"/>
    <w:rsid w:val="005502F6"/>
    <w:rsid w:val="0055257B"/>
    <w:rsid w:val="00553877"/>
    <w:rsid w:val="0056222F"/>
    <w:rsid w:val="00565A5D"/>
    <w:rsid w:val="00575A72"/>
    <w:rsid w:val="00580BD4"/>
    <w:rsid w:val="00584E88"/>
    <w:rsid w:val="00595F55"/>
    <w:rsid w:val="005A314C"/>
    <w:rsid w:val="005A3341"/>
    <w:rsid w:val="005B7F74"/>
    <w:rsid w:val="005C33CD"/>
    <w:rsid w:val="005C34FF"/>
    <w:rsid w:val="005F611F"/>
    <w:rsid w:val="00614309"/>
    <w:rsid w:val="00615861"/>
    <w:rsid w:val="00615930"/>
    <w:rsid w:val="00622E67"/>
    <w:rsid w:val="00624EA8"/>
    <w:rsid w:val="00625AD1"/>
    <w:rsid w:val="006332A8"/>
    <w:rsid w:val="00634154"/>
    <w:rsid w:val="00636227"/>
    <w:rsid w:val="00636666"/>
    <w:rsid w:val="006427F4"/>
    <w:rsid w:val="006443BF"/>
    <w:rsid w:val="00651C0A"/>
    <w:rsid w:val="006578C2"/>
    <w:rsid w:val="00661F10"/>
    <w:rsid w:val="00662C0B"/>
    <w:rsid w:val="006640A5"/>
    <w:rsid w:val="006677B8"/>
    <w:rsid w:val="006741EF"/>
    <w:rsid w:val="00676671"/>
    <w:rsid w:val="00680DD3"/>
    <w:rsid w:val="006857B7"/>
    <w:rsid w:val="00686C58"/>
    <w:rsid w:val="006A3C09"/>
    <w:rsid w:val="006A7C4B"/>
    <w:rsid w:val="006B728D"/>
    <w:rsid w:val="006D276A"/>
    <w:rsid w:val="006D7D5D"/>
    <w:rsid w:val="006F729E"/>
    <w:rsid w:val="007014E5"/>
    <w:rsid w:val="0070731B"/>
    <w:rsid w:val="00714A8F"/>
    <w:rsid w:val="00716E51"/>
    <w:rsid w:val="007170EB"/>
    <w:rsid w:val="007234B7"/>
    <w:rsid w:val="007370AD"/>
    <w:rsid w:val="00745420"/>
    <w:rsid w:val="00746A1F"/>
    <w:rsid w:val="0075415B"/>
    <w:rsid w:val="0077155A"/>
    <w:rsid w:val="00777A7F"/>
    <w:rsid w:val="007B3062"/>
    <w:rsid w:val="007E300A"/>
    <w:rsid w:val="00805AC5"/>
    <w:rsid w:val="00810C9F"/>
    <w:rsid w:val="00815F79"/>
    <w:rsid w:val="00816A93"/>
    <w:rsid w:val="00822056"/>
    <w:rsid w:val="00832D08"/>
    <w:rsid w:val="008510E3"/>
    <w:rsid w:val="0085391B"/>
    <w:rsid w:val="00857769"/>
    <w:rsid w:val="00877984"/>
    <w:rsid w:val="008814B0"/>
    <w:rsid w:val="008823EF"/>
    <w:rsid w:val="00884FF3"/>
    <w:rsid w:val="008A4503"/>
    <w:rsid w:val="008B136C"/>
    <w:rsid w:val="008B44A8"/>
    <w:rsid w:val="008B61B0"/>
    <w:rsid w:val="008C07CF"/>
    <w:rsid w:val="008C3C19"/>
    <w:rsid w:val="008C7BC4"/>
    <w:rsid w:val="008D4A14"/>
    <w:rsid w:val="008D782A"/>
    <w:rsid w:val="008E3C85"/>
    <w:rsid w:val="008F2D0F"/>
    <w:rsid w:val="008F53E1"/>
    <w:rsid w:val="008F5C6D"/>
    <w:rsid w:val="00924D63"/>
    <w:rsid w:val="00935943"/>
    <w:rsid w:val="00943554"/>
    <w:rsid w:val="00945926"/>
    <w:rsid w:val="0095488A"/>
    <w:rsid w:val="00954F16"/>
    <w:rsid w:val="009554A0"/>
    <w:rsid w:val="0095672D"/>
    <w:rsid w:val="00957538"/>
    <w:rsid w:val="00960D5F"/>
    <w:rsid w:val="00961909"/>
    <w:rsid w:val="00973592"/>
    <w:rsid w:val="00980403"/>
    <w:rsid w:val="009821C3"/>
    <w:rsid w:val="0098220F"/>
    <w:rsid w:val="00984229"/>
    <w:rsid w:val="009A3F5A"/>
    <w:rsid w:val="009C4C56"/>
    <w:rsid w:val="009D0805"/>
    <w:rsid w:val="009D606A"/>
    <w:rsid w:val="009E07CF"/>
    <w:rsid w:val="009E42CF"/>
    <w:rsid w:val="009E4B7A"/>
    <w:rsid w:val="009E79E4"/>
    <w:rsid w:val="00A035AB"/>
    <w:rsid w:val="00A0414B"/>
    <w:rsid w:val="00A05D2D"/>
    <w:rsid w:val="00A13D0B"/>
    <w:rsid w:val="00A1692A"/>
    <w:rsid w:val="00A27AC4"/>
    <w:rsid w:val="00A32F92"/>
    <w:rsid w:val="00A43DC7"/>
    <w:rsid w:val="00A4646E"/>
    <w:rsid w:val="00A60A96"/>
    <w:rsid w:val="00A640BB"/>
    <w:rsid w:val="00A719AC"/>
    <w:rsid w:val="00A7323D"/>
    <w:rsid w:val="00A807EC"/>
    <w:rsid w:val="00A84477"/>
    <w:rsid w:val="00A93F7A"/>
    <w:rsid w:val="00A9417D"/>
    <w:rsid w:val="00A95F16"/>
    <w:rsid w:val="00A96B5B"/>
    <w:rsid w:val="00AA3021"/>
    <w:rsid w:val="00AA577A"/>
    <w:rsid w:val="00AB5606"/>
    <w:rsid w:val="00AF2D0E"/>
    <w:rsid w:val="00AF3ED6"/>
    <w:rsid w:val="00AF49D9"/>
    <w:rsid w:val="00B0644A"/>
    <w:rsid w:val="00B11099"/>
    <w:rsid w:val="00B17D5A"/>
    <w:rsid w:val="00B2244A"/>
    <w:rsid w:val="00B255D3"/>
    <w:rsid w:val="00B27ACE"/>
    <w:rsid w:val="00B31274"/>
    <w:rsid w:val="00B339E2"/>
    <w:rsid w:val="00B33E0C"/>
    <w:rsid w:val="00B3450B"/>
    <w:rsid w:val="00B41F16"/>
    <w:rsid w:val="00B44341"/>
    <w:rsid w:val="00B5509A"/>
    <w:rsid w:val="00B75E4A"/>
    <w:rsid w:val="00B83F11"/>
    <w:rsid w:val="00B83F3C"/>
    <w:rsid w:val="00B8489A"/>
    <w:rsid w:val="00BA133E"/>
    <w:rsid w:val="00BA51C6"/>
    <w:rsid w:val="00BA5214"/>
    <w:rsid w:val="00BB116E"/>
    <w:rsid w:val="00BB18DD"/>
    <w:rsid w:val="00BB6FF6"/>
    <w:rsid w:val="00BC041A"/>
    <w:rsid w:val="00BC66A1"/>
    <w:rsid w:val="00BD10FC"/>
    <w:rsid w:val="00BD612C"/>
    <w:rsid w:val="00BE51FA"/>
    <w:rsid w:val="00BE5341"/>
    <w:rsid w:val="00BF001E"/>
    <w:rsid w:val="00C01E72"/>
    <w:rsid w:val="00C023E8"/>
    <w:rsid w:val="00C07D32"/>
    <w:rsid w:val="00C140F5"/>
    <w:rsid w:val="00C14897"/>
    <w:rsid w:val="00C2248F"/>
    <w:rsid w:val="00C2583E"/>
    <w:rsid w:val="00C53A03"/>
    <w:rsid w:val="00C57AA1"/>
    <w:rsid w:val="00C57F6B"/>
    <w:rsid w:val="00C60658"/>
    <w:rsid w:val="00C6201C"/>
    <w:rsid w:val="00C62090"/>
    <w:rsid w:val="00C7785A"/>
    <w:rsid w:val="00C82C09"/>
    <w:rsid w:val="00C84229"/>
    <w:rsid w:val="00C91EEA"/>
    <w:rsid w:val="00C95411"/>
    <w:rsid w:val="00CA6A49"/>
    <w:rsid w:val="00CA6D2F"/>
    <w:rsid w:val="00CC756E"/>
    <w:rsid w:val="00CF411A"/>
    <w:rsid w:val="00D008C8"/>
    <w:rsid w:val="00D03AC0"/>
    <w:rsid w:val="00D05E9A"/>
    <w:rsid w:val="00D27B06"/>
    <w:rsid w:val="00D471E2"/>
    <w:rsid w:val="00D52B57"/>
    <w:rsid w:val="00D7598F"/>
    <w:rsid w:val="00D764C0"/>
    <w:rsid w:val="00D91F83"/>
    <w:rsid w:val="00D92440"/>
    <w:rsid w:val="00D94547"/>
    <w:rsid w:val="00D9467D"/>
    <w:rsid w:val="00DA0DB4"/>
    <w:rsid w:val="00DB171C"/>
    <w:rsid w:val="00DB378D"/>
    <w:rsid w:val="00DB72BC"/>
    <w:rsid w:val="00DB7C41"/>
    <w:rsid w:val="00DD2517"/>
    <w:rsid w:val="00DF59FB"/>
    <w:rsid w:val="00DF69E3"/>
    <w:rsid w:val="00E01408"/>
    <w:rsid w:val="00E05018"/>
    <w:rsid w:val="00E06193"/>
    <w:rsid w:val="00E124B9"/>
    <w:rsid w:val="00E21859"/>
    <w:rsid w:val="00E26066"/>
    <w:rsid w:val="00E31C8E"/>
    <w:rsid w:val="00E36745"/>
    <w:rsid w:val="00E37931"/>
    <w:rsid w:val="00E46B69"/>
    <w:rsid w:val="00E51E0B"/>
    <w:rsid w:val="00E53B6F"/>
    <w:rsid w:val="00E54E91"/>
    <w:rsid w:val="00E660BE"/>
    <w:rsid w:val="00E80A3F"/>
    <w:rsid w:val="00E83B91"/>
    <w:rsid w:val="00EB070A"/>
    <w:rsid w:val="00EB3667"/>
    <w:rsid w:val="00EC6603"/>
    <w:rsid w:val="00ED265A"/>
    <w:rsid w:val="00ED4413"/>
    <w:rsid w:val="00ED6CA0"/>
    <w:rsid w:val="00EE4516"/>
    <w:rsid w:val="00EE5A53"/>
    <w:rsid w:val="00EF015E"/>
    <w:rsid w:val="00EF11E3"/>
    <w:rsid w:val="00EF12EC"/>
    <w:rsid w:val="00EF376B"/>
    <w:rsid w:val="00F01DFD"/>
    <w:rsid w:val="00F071C0"/>
    <w:rsid w:val="00F141C1"/>
    <w:rsid w:val="00F15422"/>
    <w:rsid w:val="00F17022"/>
    <w:rsid w:val="00F24D16"/>
    <w:rsid w:val="00F423B6"/>
    <w:rsid w:val="00F60A17"/>
    <w:rsid w:val="00F60B0B"/>
    <w:rsid w:val="00F660D5"/>
    <w:rsid w:val="00F6700A"/>
    <w:rsid w:val="00F73DC5"/>
    <w:rsid w:val="00F75B65"/>
    <w:rsid w:val="00F80969"/>
    <w:rsid w:val="00F820A0"/>
    <w:rsid w:val="00F938E4"/>
    <w:rsid w:val="00F96D6B"/>
    <w:rsid w:val="00FA5F37"/>
    <w:rsid w:val="00FA72C9"/>
    <w:rsid w:val="00FB2268"/>
    <w:rsid w:val="00FB3B65"/>
    <w:rsid w:val="00FC43AC"/>
    <w:rsid w:val="00FC5719"/>
    <w:rsid w:val="00FD1918"/>
    <w:rsid w:val="00FD37B3"/>
    <w:rsid w:val="00FD6882"/>
    <w:rsid w:val="00FD7ED4"/>
    <w:rsid w:val="00FE1747"/>
    <w:rsid w:val="00FE2D54"/>
    <w:rsid w:val="00FE7E30"/>
    <w:rsid w:val="00FF2EEB"/>
    <w:rsid w:val="00FF4EC7"/>
    <w:rsid w:val="00FF4F7B"/>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80E611"/>
  <w15:chartTrackingRefBased/>
  <w15:docId w15:val="{09E1F088-BA90-4FA1-9308-E7CB4D8D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0F52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3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57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72A"/>
  </w:style>
  <w:style w:type="paragraph" w:styleId="Footer">
    <w:name w:val="footer"/>
    <w:basedOn w:val="Normal"/>
    <w:link w:val="FooterChar"/>
    <w:uiPriority w:val="99"/>
    <w:unhideWhenUsed/>
    <w:rsid w:val="002C57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72A"/>
  </w:style>
  <w:style w:type="character" w:customStyle="1" w:styleId="fontstyle21">
    <w:name w:val="fontstyle21"/>
    <w:rsid w:val="00F17022"/>
    <w:rPr>
      <w:rFonts w:ascii="SourceSansPro-Regular" w:eastAsia="SourceSansPro-Regular" w:hAnsi="SourceSansPro-Regular" w:cs="SourceSansPro-Regular" w:hint="default"/>
      <w:b w:val="0"/>
      <w:bCs w:val="0"/>
      <w:i w:val="0"/>
      <w:iCs w:val="0"/>
      <w:color w:val="000000"/>
      <w:sz w:val="18"/>
      <w:szCs w:val="18"/>
    </w:rPr>
  </w:style>
  <w:style w:type="paragraph" w:styleId="ListParagraph">
    <w:name w:val="List Paragraph"/>
    <w:basedOn w:val="Normal"/>
    <w:uiPriority w:val="34"/>
    <w:qFormat/>
    <w:rsid w:val="00954F16"/>
    <w:pPr>
      <w:spacing w:line="256" w:lineRule="auto"/>
      <w:ind w:left="720"/>
      <w:contextualSpacing/>
    </w:pPr>
    <w:rPr>
      <w:lang w:val="en-US"/>
    </w:rPr>
  </w:style>
  <w:style w:type="character" w:styleId="CommentReference">
    <w:name w:val="annotation reference"/>
    <w:basedOn w:val="DefaultParagraphFont"/>
    <w:uiPriority w:val="99"/>
    <w:semiHidden/>
    <w:unhideWhenUsed/>
    <w:rsid w:val="00954F16"/>
    <w:rPr>
      <w:sz w:val="16"/>
      <w:szCs w:val="16"/>
    </w:rPr>
  </w:style>
  <w:style w:type="paragraph" w:styleId="CommentText">
    <w:name w:val="annotation text"/>
    <w:basedOn w:val="Normal"/>
    <w:link w:val="CommentTextChar"/>
    <w:uiPriority w:val="99"/>
    <w:unhideWhenUsed/>
    <w:rsid w:val="00954F16"/>
    <w:pPr>
      <w:spacing w:line="240" w:lineRule="auto"/>
    </w:pPr>
    <w:rPr>
      <w:sz w:val="20"/>
      <w:szCs w:val="20"/>
    </w:rPr>
  </w:style>
  <w:style w:type="character" w:customStyle="1" w:styleId="CommentTextChar">
    <w:name w:val="Comment Text Char"/>
    <w:basedOn w:val="DefaultParagraphFont"/>
    <w:link w:val="CommentText"/>
    <w:uiPriority w:val="99"/>
    <w:rsid w:val="00954F16"/>
    <w:rPr>
      <w:sz w:val="20"/>
      <w:szCs w:val="20"/>
    </w:rPr>
  </w:style>
  <w:style w:type="paragraph" w:styleId="CommentSubject">
    <w:name w:val="annotation subject"/>
    <w:basedOn w:val="CommentText"/>
    <w:next w:val="CommentText"/>
    <w:link w:val="CommentSubjectChar"/>
    <w:uiPriority w:val="99"/>
    <w:semiHidden/>
    <w:unhideWhenUsed/>
    <w:rsid w:val="001641C1"/>
    <w:rPr>
      <w:b/>
      <w:bCs/>
    </w:rPr>
  </w:style>
  <w:style w:type="character" w:customStyle="1" w:styleId="CommentSubjectChar">
    <w:name w:val="Comment Subject Char"/>
    <w:basedOn w:val="CommentTextChar"/>
    <w:link w:val="CommentSubject"/>
    <w:uiPriority w:val="99"/>
    <w:semiHidden/>
    <w:rsid w:val="001641C1"/>
    <w:rPr>
      <w:b/>
      <w:bCs/>
      <w:sz w:val="20"/>
      <w:szCs w:val="20"/>
    </w:rPr>
  </w:style>
  <w:style w:type="paragraph" w:styleId="Revision">
    <w:name w:val="Revision"/>
    <w:hidden/>
    <w:uiPriority w:val="99"/>
    <w:semiHidden/>
    <w:rsid w:val="001641C1"/>
    <w:pPr>
      <w:spacing w:after="0" w:line="240" w:lineRule="auto"/>
    </w:pPr>
  </w:style>
  <w:style w:type="paragraph" w:styleId="Caption">
    <w:name w:val="caption"/>
    <w:basedOn w:val="Normal"/>
    <w:next w:val="Normal"/>
    <w:uiPriority w:val="35"/>
    <w:unhideWhenUsed/>
    <w:qFormat/>
    <w:rsid w:val="00A43DC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A3C0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15914">
      <w:bodyDiv w:val="1"/>
      <w:marLeft w:val="0"/>
      <w:marRight w:val="0"/>
      <w:marTop w:val="0"/>
      <w:marBottom w:val="0"/>
      <w:divBdr>
        <w:top w:val="none" w:sz="0" w:space="0" w:color="auto"/>
        <w:left w:val="none" w:sz="0" w:space="0" w:color="auto"/>
        <w:bottom w:val="none" w:sz="0" w:space="0" w:color="auto"/>
        <w:right w:val="none" w:sz="0" w:space="0" w:color="auto"/>
      </w:divBdr>
    </w:div>
    <w:div w:id="14676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9D331-9714-42E8-81C8-59EBE17B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71684</Words>
  <Characters>408599</Characters>
  <Application>Microsoft Office Word</Application>
  <DocSecurity>0</DocSecurity>
  <Lines>3404</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Wills</dc:creator>
  <cp:keywords/>
  <dc:description/>
  <cp:lastModifiedBy>Nicola Wills</cp:lastModifiedBy>
  <cp:revision>4</cp:revision>
  <dcterms:created xsi:type="dcterms:W3CDTF">2022-03-02T18:54:00Z</dcterms:created>
  <dcterms:modified xsi:type="dcterms:W3CDTF">2022-03-03T16:19:00Z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http://www.zotero.org/styles/clinical-infectious-diseases</vt:lpwstr>
  </property>
  <property fmtid="{D5CDD505-2E9C-101B-9397-08002B2CF9AE}" pid="7" name="Mendeley Recent Style Name 2_1">
    <vt:lpwstr>Clinical Infectious Diseases</vt:lpwstr>
  </property>
  <property fmtid="{D5CDD505-2E9C-101B-9397-08002B2CF9AE}" pid="8" name="Mendeley Recent Style Id 3_1">
    <vt:lpwstr>http://www.zotero.org/styles/clinical-microbiology-and-infection</vt:lpwstr>
  </property>
  <property fmtid="{D5CDD505-2E9C-101B-9397-08002B2CF9AE}" pid="9" name="Mendeley Recent Style Name 3_1">
    <vt:lpwstr>Clinical Microbiology and Infection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http://csl.mendeley.com/styles/510330601/sage-vancouver-brackets</vt:lpwstr>
  </property>
  <property fmtid="{D5CDD505-2E9C-101B-9397-08002B2CF9AE}" pid="19" name="Mendeley Recent Style Name 8_1">
    <vt:lpwstr>SAGE - Vancouver (brackets) - Nicola Wills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d3e957f0-6cab-348b-b75c-f01a9bde0c18</vt:lpwstr>
  </property>
  <property fmtid="{D5CDD505-2E9C-101B-9397-08002B2CF9AE}" pid="24" name="Mendeley Citation Style_1">
    <vt:lpwstr>http://www.zotero.org/styles/clinical-infectious-diseases</vt:lpwstr>
  </property>
</Properties>
</file>