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8057" w14:textId="21C35BA5" w:rsidR="00DD4BDD" w:rsidRPr="002F6EAE" w:rsidRDefault="00DD4BDD" w:rsidP="00DD4BDD">
      <w:pPr>
        <w:spacing w:line="240" w:lineRule="auto"/>
        <w:rPr>
          <w:rFonts w:ascii="Times New Roman" w:eastAsia="Calibri" w:hAnsi="Times New Roman" w:cs="Times New Roman"/>
          <w:lang w:val="en-CA"/>
        </w:rPr>
      </w:pPr>
      <w:r>
        <w:rPr>
          <w:rFonts w:ascii="Times New Roman" w:eastAsia="Calibri" w:hAnsi="Times New Roman" w:cs="Times New Roman"/>
          <w:b/>
          <w:lang w:val="en-CA"/>
        </w:rPr>
        <w:t xml:space="preserve">Supplemental </w:t>
      </w:r>
      <w:r w:rsidRPr="002F6EAE">
        <w:rPr>
          <w:rFonts w:ascii="Times New Roman" w:eastAsia="Calibri" w:hAnsi="Times New Roman" w:cs="Times New Roman"/>
          <w:b/>
          <w:lang w:val="en-CA"/>
        </w:rPr>
        <w:t xml:space="preserve">Table </w:t>
      </w:r>
      <w:r>
        <w:rPr>
          <w:rFonts w:ascii="Times New Roman" w:eastAsia="Calibri" w:hAnsi="Times New Roman" w:cs="Times New Roman"/>
          <w:b/>
          <w:lang w:val="en-CA"/>
        </w:rPr>
        <w:t>S1.</w:t>
      </w:r>
      <w:r w:rsidRPr="002F6EAE">
        <w:rPr>
          <w:rFonts w:ascii="Times New Roman" w:eastAsia="Calibri" w:hAnsi="Times New Roman" w:cs="Times New Roman"/>
          <w:lang w:val="en-CA"/>
        </w:rPr>
        <w:t xml:space="preserve"> Medication Management for Potentially Inappropriate Medications with </w:t>
      </w:r>
      <w:proofErr w:type="spellStart"/>
      <w:r w:rsidRPr="002F6EAE">
        <w:rPr>
          <w:rFonts w:ascii="Times New Roman" w:eastAsia="Calibri" w:hAnsi="Times New Roman" w:cs="Times New Roman"/>
          <w:lang w:val="en-CA"/>
        </w:rPr>
        <w:t>Nirmatrelvir</w:t>
      </w:r>
      <w:proofErr w:type="spellEnd"/>
      <w:r w:rsidRPr="002F6EAE">
        <w:rPr>
          <w:rFonts w:ascii="Times New Roman" w:eastAsia="Calibri" w:hAnsi="Times New Roman" w:cs="Times New Roman"/>
          <w:lang w:val="en-CA"/>
        </w:rPr>
        <w:t>-ritonavir Drug-Drug Interactions</w:t>
      </w:r>
    </w:p>
    <w:tbl>
      <w:tblPr>
        <w:tblW w:w="10725" w:type="dxa"/>
        <w:tblInd w:w="-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1417"/>
        <w:gridCol w:w="1701"/>
        <w:gridCol w:w="2268"/>
        <w:gridCol w:w="1468"/>
        <w:gridCol w:w="2685"/>
      </w:tblGrid>
      <w:tr w:rsidR="00DD4BDD" w:rsidRPr="00730AAF" w14:paraId="7562B725" w14:textId="77777777" w:rsidTr="0076390A">
        <w:trPr>
          <w:trHeight w:val="1155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506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b/>
                <w:lang w:val="en-CA"/>
              </w:rPr>
              <w:t>AHFS Drug Class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BEF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b/>
                <w:lang w:val="en-CA"/>
              </w:rPr>
              <w:t>Potentially Inappropriate Medication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BB2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b/>
                <w:lang w:val="en-CA"/>
              </w:rPr>
              <w:t>Triggering Condition or Medication: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A95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b/>
                <w:lang w:val="en-CA"/>
              </w:rPr>
              <w:t>General Rationale for Deprescribing: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AD0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CA"/>
              </w:rPr>
            </w:pPr>
            <w:proofErr w:type="spellStart"/>
            <w:r w:rsidRPr="002F6EAE">
              <w:rPr>
                <w:rFonts w:ascii="Times New Roman" w:eastAsia="Calibri" w:hAnsi="Times New Roman" w:cs="Times New Roman"/>
                <w:b/>
                <w:lang w:val="en-CA"/>
              </w:rPr>
              <w:t>Preemptive</w:t>
            </w:r>
            <w:proofErr w:type="spellEnd"/>
            <w:r w:rsidRPr="002F6EAE">
              <w:rPr>
                <w:rFonts w:ascii="Times New Roman" w:eastAsia="Calibri" w:hAnsi="Times New Roman" w:cs="Times New Roman"/>
                <w:b/>
                <w:lang w:val="en-CA"/>
              </w:rPr>
              <w:t xml:space="preserve"> Deprescribing Required (Y/N)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5B5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b/>
                <w:lang w:val="en-CA"/>
              </w:rPr>
              <w:t xml:space="preserve">Suggested Medication management for </w:t>
            </w:r>
            <w:proofErr w:type="spellStart"/>
            <w:r w:rsidRPr="002F6EAE">
              <w:rPr>
                <w:rFonts w:ascii="Times New Roman" w:eastAsia="Calibri" w:hAnsi="Times New Roman" w:cs="Times New Roman"/>
                <w:b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b/>
                <w:lang w:val="en-CA"/>
              </w:rPr>
              <w:t>-ritonavir interaction IF unable to deprescribe in advance:</w:t>
            </w:r>
          </w:p>
        </w:tc>
      </w:tr>
      <w:tr w:rsidR="00DD4BDD" w:rsidRPr="00730AAF" w14:paraId="6FBB25B6" w14:textId="77777777" w:rsidTr="0076390A">
        <w:trPr>
          <w:trHeight w:val="189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F14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24040420</w:t>
            </w:r>
          </w:p>
          <w:p w14:paraId="42ED7E9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7254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Amiodarone</w:t>
            </w:r>
          </w:p>
          <w:p w14:paraId="4D71CED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FAA6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Atrial fibrillation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7A2A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Amiodarone is associated with multiple toxicities including thyroid disease, pulmonary disorders, and QT- interval prolongation. Consider a safer alternative.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582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Y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A12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2373AFA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2826B35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If unable to deprescribe well in advance (weeks); likely precludes use of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>-ritonavir given increased risk of life-threatening cardiac arrhythmias.</w:t>
            </w:r>
          </w:p>
        </w:tc>
      </w:tr>
      <w:tr w:rsidR="00DD4BDD" w:rsidRPr="00730AAF" w14:paraId="493061A2" w14:textId="77777777" w:rsidTr="0076390A">
        <w:trPr>
          <w:trHeight w:val="108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A2C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24040420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F9F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Dronedarone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902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CHF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527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Potential to increase mortality in older adults with heart failure.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0D8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Y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D904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 DO NOT CO-ADMINISTER</w:t>
            </w:r>
          </w:p>
          <w:p w14:paraId="6D614F6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br/>
              <w:t xml:space="preserve">If unable to deprescribe well in advance (weeks); likely precludes use of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>-ritonavir given increased risk of life-threatening cardiac arrhythmias.</w:t>
            </w:r>
          </w:p>
        </w:tc>
      </w:tr>
      <w:tr w:rsidR="00DD4BDD" w:rsidRPr="00730AAF" w14:paraId="62F086EA" w14:textId="77777777" w:rsidTr="0076390A">
        <w:trPr>
          <w:trHeight w:val="199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72A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24040404</w:t>
            </w:r>
          </w:p>
          <w:p w14:paraId="0B21FCC4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31EA9B3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24040412</w:t>
            </w:r>
          </w:p>
          <w:p w14:paraId="105210D6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928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Quinidine</w:t>
            </w:r>
          </w:p>
          <w:p w14:paraId="756DDBA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129129C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Flecainide</w:t>
            </w:r>
          </w:p>
          <w:p w14:paraId="65FC9E7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Propafenone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400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Atrial fibrillation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3B1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Data suggest that rate control yields better balance of benefits and harms than pharmacological rhythm control for most older adults.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655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394A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60FF8E9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470D43D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If unable to deprescribe or hold, likely precludes use of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-ritonavir given increased risk of life-threatening cardiac arrhythmias. </w:t>
            </w:r>
          </w:p>
        </w:tc>
      </w:tr>
      <w:tr w:rsidR="00DD4BDD" w:rsidRPr="00730AAF" w14:paraId="5D26C101" w14:textId="77777777" w:rsidTr="0076390A">
        <w:trPr>
          <w:trHeight w:val="96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A9D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240408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112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Digoxin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A97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Atrial fibrillation, CHF, CKD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DDDE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 higher dose of digoxin (&gt;125mcg daily) has an increased risk of toxicity.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5F9E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25A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ADJUST DOSE </w:t>
            </w:r>
          </w:p>
          <w:p w14:paraId="2B89A88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5B1203C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Exercise caution. Individualize dose or dosing schedule based on plasma concentration, renal </w:t>
            </w:r>
            <w:proofErr w:type="gramStart"/>
            <w:r w:rsidRPr="002F6EAE">
              <w:rPr>
                <w:rFonts w:ascii="Times New Roman" w:eastAsia="Calibri" w:hAnsi="Times New Roman" w:cs="Times New Roman"/>
                <w:lang w:val="en-CA"/>
              </w:rPr>
              <w:t>function</w:t>
            </w:r>
            <w:proofErr w:type="gram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 and treatment indication. If digoxin levels are not available, evaluate the risks/benefit of co-administration.</w:t>
            </w:r>
          </w:p>
        </w:tc>
      </w:tr>
      <w:tr w:rsidR="00DD4BDD" w:rsidRPr="002F6EAE" w14:paraId="284E43E2" w14:textId="77777777" w:rsidTr="0076390A">
        <w:trPr>
          <w:trHeight w:val="135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1E8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lastRenderedPageBreak/>
              <w:t>20120408</w:t>
            </w:r>
          </w:p>
          <w:p w14:paraId="1BEBE33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437950B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201B114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36C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Warfarin</w:t>
            </w:r>
          </w:p>
          <w:p w14:paraId="3DACE276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2C78A51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2B62C74A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2A7E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in combination with dual antiplatelet medications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D79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Dual antithrombotic therapy increases the risk of major hemorrhage.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E346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DFA7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ADJUST DOSE</w:t>
            </w:r>
          </w:p>
          <w:p w14:paraId="2E71E0D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61CA488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Closely monitor anticoagulation parameters (INR) during co-administration. Warfarin dose may need to be increased.</w:t>
            </w:r>
          </w:p>
        </w:tc>
      </w:tr>
      <w:tr w:rsidR="00DD4BDD" w:rsidRPr="00730AAF" w14:paraId="2BB867FF" w14:textId="77777777" w:rsidTr="0076390A">
        <w:trPr>
          <w:trHeight w:val="135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F5D7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20120412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108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Dabigatran</w:t>
            </w:r>
          </w:p>
          <w:p w14:paraId="75D9A3B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DA6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in combination with dual antiplatelet medications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A3EA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Dual antithrombotic therapy increases the risk of major hemorrhage.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185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43EE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ADJUST DOSE</w:t>
            </w:r>
          </w:p>
          <w:p w14:paraId="0791CD24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7F77A31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Co-administration possible with dose reduction to 110 mg BID and clinical monitoring for signs of bleeding.</w:t>
            </w:r>
          </w:p>
        </w:tc>
      </w:tr>
      <w:tr w:rsidR="00DD4BDD" w:rsidRPr="00730AAF" w14:paraId="37041122" w14:textId="77777777" w:rsidTr="0076390A">
        <w:trPr>
          <w:trHeight w:val="135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75C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20120414</w:t>
            </w:r>
          </w:p>
          <w:p w14:paraId="610552D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21F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Rivaroxaban</w:t>
            </w:r>
          </w:p>
          <w:p w14:paraId="57EF259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Apixaban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434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in combination with dual antiplatelet medications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000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Dual antithrombotic therapy increases the risk of major hemorrhage.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2B6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9E4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CO-ADMINSTER</w:t>
            </w:r>
          </w:p>
          <w:p w14:paraId="67172384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7DBA5B1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Hold medication during co-administration with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-ritonavir. Treatment should resume 3 days after last dose. </w:t>
            </w:r>
          </w:p>
          <w:p w14:paraId="7146516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31ADF5F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Rivaroxaban carries a very high risk for bleeding. </w:t>
            </w:r>
          </w:p>
          <w:p w14:paraId="79C125C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01D3D7A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Apixaban carries a moderate risk of bleeding. Some product monographs indicate a lower dose (2.5 mg BID) may be co-administered.</w:t>
            </w:r>
          </w:p>
        </w:tc>
      </w:tr>
      <w:tr w:rsidR="00DD4BDD" w:rsidRPr="00730AAF" w14:paraId="46E7FD99" w14:textId="77777777" w:rsidTr="0076390A">
        <w:trPr>
          <w:trHeight w:val="118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106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20120414</w:t>
            </w:r>
          </w:p>
          <w:p w14:paraId="7A0D3CF3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332E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Edoxaban</w:t>
            </w:r>
            <w:proofErr w:type="spellEnd"/>
          </w:p>
          <w:p w14:paraId="2F00641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CF2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in combination with dual antiplatelet medications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04F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Dual antithrombotic therapy increases the risk of major hemorrhage.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9216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105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ADJUST DOSE</w:t>
            </w:r>
          </w:p>
          <w:p w14:paraId="0980865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22AFA20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Co-administration is possible with dose reduction to 30 mg daily and clinical monitoring for signs of bleeding.</w:t>
            </w:r>
          </w:p>
        </w:tc>
      </w:tr>
      <w:tr w:rsidR="00DD4BDD" w:rsidRPr="00730AAF" w14:paraId="7791ACEE" w14:textId="77777777" w:rsidTr="0076390A">
        <w:trPr>
          <w:trHeight w:val="175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B79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201218</w:t>
            </w:r>
          </w:p>
          <w:p w14:paraId="7CA8E47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832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Ticagrelor</w:t>
            </w:r>
          </w:p>
          <w:p w14:paraId="567F214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Clopidogrel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6E3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Flagged in combination with dual antiplatelet medications; reduced life </w:t>
            </w:r>
            <w:r w:rsidRPr="002F6EAE">
              <w:rPr>
                <w:rFonts w:ascii="Times New Roman" w:eastAsia="Calibri" w:hAnsi="Times New Roman" w:cs="Times New Roman"/>
                <w:lang w:val="en-CA"/>
              </w:rPr>
              <w:lastRenderedPageBreak/>
              <w:t>expectancy; palliative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F9C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lastRenderedPageBreak/>
              <w:t>Primary prevention with antiplatelet agents could be reconsidered in patients with limited life expectancy.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CBB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FA7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</w:t>
            </w:r>
            <w:proofErr w:type="gramStart"/>
            <w:r w:rsidRPr="002F6EAE">
              <w:rPr>
                <w:rFonts w:ascii="Times New Roman" w:eastAsia="Calibri" w:hAnsi="Times New Roman" w:cs="Times New Roman"/>
                <w:lang w:val="en-CA"/>
              </w:rPr>
              <w:t>ADMINISTER;</w:t>
            </w:r>
            <w:proofErr w:type="gram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 DRUG SUBSTITUTION</w:t>
            </w:r>
          </w:p>
          <w:p w14:paraId="06B61F3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13D84A1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highlight w:val="white"/>
                <w:lang w:val="en-CA"/>
              </w:rPr>
              <w:t xml:space="preserve">Prasugrel can be prescribed instead unless the patient's </w:t>
            </w:r>
            <w:r w:rsidRPr="002F6EAE">
              <w:rPr>
                <w:rFonts w:ascii="Times New Roman" w:eastAsia="Calibri" w:hAnsi="Times New Roman" w:cs="Times New Roman"/>
                <w:highlight w:val="white"/>
                <w:lang w:val="en-CA"/>
              </w:rPr>
              <w:lastRenderedPageBreak/>
              <w:t>clinical condition contraindicates its use.</w:t>
            </w:r>
          </w:p>
          <w:p w14:paraId="6B9FF8C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7318A823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Co-administration with ticagrelor leads to increased risk of bleeding.</w:t>
            </w:r>
          </w:p>
          <w:p w14:paraId="13F734A3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0DAB16A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Co-administration with clopidogrel leads to reduced efficacy and risk of thrombosis.</w:t>
            </w:r>
          </w:p>
        </w:tc>
      </w:tr>
      <w:tr w:rsidR="00DD4BDD" w:rsidRPr="00730AAF" w14:paraId="082BA3FD" w14:textId="77777777" w:rsidTr="0076390A">
        <w:trPr>
          <w:trHeight w:val="609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2E9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lastRenderedPageBreak/>
              <w:t>282404</w:t>
            </w:r>
          </w:p>
          <w:p w14:paraId="779CCBC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22A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Phenobarbital</w:t>
            </w:r>
          </w:p>
          <w:p w14:paraId="0B946C4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C2C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Flagged for all older adults who do not have a seizure disorder or psychiatric condition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23D7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High rate of physical dependence; tolerance to sleep benefits; risk of overdose at low dosages.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C22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Y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295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288758D6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6B67CCE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If unable to deprescribe well in advance (weeks); precludes use of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-ritonavir due to decreased efficacy of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-ritonavir and risk of developing virologic resistance. </w:t>
            </w:r>
          </w:p>
        </w:tc>
      </w:tr>
      <w:tr w:rsidR="00DD4BDD" w:rsidRPr="00730AAF" w14:paraId="6014A3FF" w14:textId="77777777" w:rsidTr="0076390A">
        <w:trPr>
          <w:trHeight w:val="21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E91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240608</w:t>
            </w:r>
          </w:p>
          <w:p w14:paraId="418007F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8F6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Lovastatin</w:t>
            </w:r>
          </w:p>
          <w:p w14:paraId="6E34317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Simvastatin</w:t>
            </w:r>
          </w:p>
          <w:p w14:paraId="635BBA5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Atorvastatin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6AE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for primary prevention in people with reduced life expectancy or receipt of palliative care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406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In patients with restricted life expectancy based on their age, demographics, and recent health utilization, statins may offer little benefit and possible harm.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FF3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EF2A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HOLD</w:t>
            </w:r>
          </w:p>
          <w:p w14:paraId="1903FB7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48D302E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Hold medication during co-administration with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-ritonavir. </w:t>
            </w:r>
          </w:p>
          <w:p w14:paraId="62246A9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2A19B537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Treatment should only resume 3 days after last dose. </w:t>
            </w:r>
          </w:p>
          <w:p w14:paraId="3749C5B7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2432C2F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Risk of severe myopathy and rhabdomyolysis.</w:t>
            </w:r>
          </w:p>
          <w:p w14:paraId="4A6D59A3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</w:tr>
      <w:tr w:rsidR="00DD4BDD" w:rsidRPr="002F6EAE" w14:paraId="6D3EBA10" w14:textId="77777777" w:rsidTr="0076390A">
        <w:trPr>
          <w:trHeight w:val="187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490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241212</w:t>
            </w:r>
          </w:p>
          <w:p w14:paraId="5AD34246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6D5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Sildenafil</w:t>
            </w:r>
          </w:p>
          <w:p w14:paraId="734A853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Vardenafil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6A2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in combination with Isosorbide dinitrate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15E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High risk of cardiovascular collapse. Avoid this combination of medications.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302A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99E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14E0A97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09D28B8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Hold medication during co-administration with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-ritonavir. Treatment should resume 3 days after last dose. </w:t>
            </w:r>
          </w:p>
        </w:tc>
      </w:tr>
      <w:tr w:rsidR="00DD4BDD" w:rsidRPr="00730AAF" w14:paraId="37514EF6" w14:textId="77777777" w:rsidTr="0076390A">
        <w:trPr>
          <w:trHeight w:val="175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EEBA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lastRenderedPageBreak/>
              <w:t>12160412</w:t>
            </w:r>
          </w:p>
          <w:p w14:paraId="12F7133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D17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Alfuzosin</w:t>
            </w:r>
          </w:p>
          <w:p w14:paraId="2CD4C46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Tamsulosin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646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Orthostatic hypotension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EFA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High risk of orthostatic hypotension; not recommended as routine treatment for hypertension.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B076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9F4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6498E6F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58E1B96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Hold during therapy and monitor for emergence of symptoms. </w:t>
            </w:r>
          </w:p>
          <w:p w14:paraId="66932B57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36F290E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Alfuzosin is absolutely contraindicated due to risk of severe orthostatic hypotension.</w:t>
            </w:r>
          </w:p>
          <w:p w14:paraId="12ADE82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34AEF74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Tamsulosin carries a moderate risk.</w:t>
            </w:r>
          </w:p>
        </w:tc>
      </w:tr>
      <w:tr w:rsidR="00DD4BDD" w:rsidRPr="00730AAF" w14:paraId="69E7897B" w14:textId="77777777" w:rsidTr="0076390A">
        <w:trPr>
          <w:trHeight w:val="312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09F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28160804</w:t>
            </w:r>
          </w:p>
          <w:p w14:paraId="043EE17E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7B5D432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43E76CE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204A3D2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28160892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BDF7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Clozapine</w:t>
            </w:r>
          </w:p>
          <w:p w14:paraId="059985A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Lurasidone</w:t>
            </w:r>
          </w:p>
          <w:p w14:paraId="6DA9E243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Quetiapine</w:t>
            </w:r>
          </w:p>
          <w:p w14:paraId="295A08D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7E112A17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Pimozide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B15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for all older adults who do not have a psychiatric disorder such as schizophrenia or bipolar affective disorder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092E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Don’t routinely use antipsychotics in parkinsonism, dementia and treatment of insomnia or sleep disorders. Increase the risk of stroke, falls, confusion, extrapyramidal side effects, aspiration, and death. Quetiapine and clozapine have a lower risk but in general their use should be avoided.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1AE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Y (for high doses)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E18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06377D9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19DAF45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If low dose for sleep or agitation (e.g., &lt;25mg of quetiapine daily), consider holding during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-ritonavir co-administration and monitor closely for emergence of behavioral symptoms. </w:t>
            </w:r>
          </w:p>
          <w:p w14:paraId="7FDD3EB7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65BBF5C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For higher doses, do not co-administer. High risk of serious sedation and coma.</w:t>
            </w:r>
          </w:p>
          <w:p w14:paraId="76CFCFF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1D6940C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Deprescribing usually requires tapering for higher doses. </w:t>
            </w:r>
          </w:p>
        </w:tc>
      </w:tr>
      <w:tr w:rsidR="00DD4BDD" w:rsidRPr="00730AAF" w14:paraId="4FB4BB93" w14:textId="77777777" w:rsidTr="0076390A">
        <w:trPr>
          <w:trHeight w:val="213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167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28080492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AFF6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Piroxicam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5227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for most older adults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573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Avoid NSAIDS with a history of ischemic heart disease, gastrointestinal hemorrhages, hypertension, gastritis, CKD, GERD, peptic ulcers as they may exacerbate the underlying condition.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C9E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4C2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12F7643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37CD07E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Hold medication during co-administration due to potential for respiratory depression or hematologic abnormalities.</w:t>
            </w:r>
          </w:p>
        </w:tc>
      </w:tr>
      <w:tr w:rsidR="00DD4BDD" w:rsidRPr="002F6EAE" w14:paraId="376BFC24" w14:textId="77777777" w:rsidTr="0076390A">
        <w:trPr>
          <w:trHeight w:val="2058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D90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lastRenderedPageBreak/>
              <w:t>280808</w:t>
            </w:r>
          </w:p>
          <w:p w14:paraId="2D6DFD1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38C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Fentanyl</w:t>
            </w:r>
          </w:p>
          <w:p w14:paraId="5798648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B19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for all older adults who in the absence of cancer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BA54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Avoid opioids for chronic non-cancer related pain.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FA44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Y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BCB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69F1E92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0089897C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Fatal respiratory depression can occur. temporarily holding chronic, regular use opioids is not advised as this can precipitate withdrawal in the absence of tapering. Deprescribing requires tapering.</w:t>
            </w:r>
          </w:p>
        </w:tc>
      </w:tr>
      <w:tr w:rsidR="00DD4BDD" w:rsidRPr="00730AAF" w14:paraId="52578A0B" w14:textId="77777777" w:rsidTr="0076390A">
        <w:trPr>
          <w:trHeight w:val="120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BD5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280808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2DEA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Methadone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4C63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for all older adults in the absence of cancer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5EC3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Avoid opioids for chronic non-cancer related pain.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2EC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Y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CDF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ADJUST DOSE</w:t>
            </w:r>
          </w:p>
          <w:p w14:paraId="35E2E9E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5D34EC3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Increased methadone dose may be necessary when co-administered.</w:t>
            </w:r>
          </w:p>
        </w:tc>
      </w:tr>
      <w:tr w:rsidR="00DD4BDD" w:rsidRPr="002F6EAE" w14:paraId="5DE0EDCE" w14:textId="77777777" w:rsidTr="0076390A">
        <w:trPr>
          <w:trHeight w:val="157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B67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282408</w:t>
            </w:r>
          </w:p>
          <w:p w14:paraId="56FEDCD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5BD5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Diazepam</w:t>
            </w:r>
          </w:p>
          <w:p w14:paraId="53AEBC8A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Midazolam (Oral)</w:t>
            </w:r>
          </w:p>
          <w:p w14:paraId="7183E2E1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Triazolam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CF64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for all older adults who do not have a seizure disorder or severe anxiety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820B3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In general, all benzodiazepines increase risk of cognitive impairment, delirium, falls, fractures, and motor vehicle accidents in older adults.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1FC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Y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402D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4960CB0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215891D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If unable to deprescribe well in advance (weeks); likely precludes use of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-ritonavir. Deprescribing requires tapering. </w:t>
            </w:r>
          </w:p>
        </w:tc>
      </w:tr>
      <w:tr w:rsidR="00DD4BDD" w:rsidRPr="00730AAF" w14:paraId="44553B6B" w14:textId="77777777" w:rsidTr="0076390A">
        <w:trPr>
          <w:trHeight w:val="157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D0DA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563200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0CF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Cisapride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59E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for all older adults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09BF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Can cause extrapyramidal effects, including tardive dyskinesia; risk may be greater in frail older adults and with prolonged exposure.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D6E0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3E33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79B7D083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</w:p>
          <w:p w14:paraId="1BC7355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Hold medication during co-administration with </w:t>
            </w:r>
            <w:proofErr w:type="spellStart"/>
            <w:r w:rsidRPr="002F6EAE">
              <w:rPr>
                <w:rFonts w:ascii="Times New Roman" w:eastAsia="Calibri" w:hAnsi="Times New Roman" w:cs="Times New Roman"/>
                <w:lang w:val="en-CA"/>
              </w:rPr>
              <w:t>nirmatrelvir</w:t>
            </w:r>
            <w:proofErr w:type="spellEnd"/>
            <w:r w:rsidRPr="002F6EAE">
              <w:rPr>
                <w:rFonts w:ascii="Times New Roman" w:eastAsia="Calibri" w:hAnsi="Times New Roman" w:cs="Times New Roman"/>
                <w:lang w:val="en-CA"/>
              </w:rPr>
              <w:t>-ritonavir due to known risk of life-threatening cardiac arrhythmias.</w:t>
            </w:r>
          </w:p>
        </w:tc>
      </w:tr>
      <w:tr w:rsidR="00DD4BDD" w:rsidRPr="00730AAF" w14:paraId="180A30E0" w14:textId="77777777" w:rsidTr="0076390A">
        <w:trPr>
          <w:trHeight w:val="190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4D4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921600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EC6B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Colchicine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AB39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Flagged for patients with a reduced eGFR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8832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There is a risk of colchicine toxicity at reduced eGFR. Xanthine-oxidase inhibitors (</w:t>
            </w:r>
            <w:proofErr w:type="gramStart"/>
            <w:r w:rsidRPr="002F6EAE">
              <w:rPr>
                <w:rFonts w:ascii="Times New Roman" w:eastAsia="Calibri" w:hAnsi="Times New Roman" w:cs="Times New Roman"/>
                <w:lang w:val="en-CA"/>
              </w:rPr>
              <w:t>e.g.</w:t>
            </w:r>
            <w:proofErr w:type="gramEnd"/>
            <w:r w:rsidRPr="002F6EAE">
              <w:rPr>
                <w:rFonts w:ascii="Times New Roman" w:eastAsia="Calibri" w:hAnsi="Times New Roman" w:cs="Times New Roman"/>
                <w:lang w:val="en-CA"/>
              </w:rPr>
              <w:t xml:space="preserve"> allopurinol, febuxostat) are first choice for prophylactic drugs in gout.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9B84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D704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t>DO NOT CO-ADMINISTER</w:t>
            </w:r>
          </w:p>
          <w:p w14:paraId="24D199E8" w14:textId="77777777" w:rsidR="00DD4BDD" w:rsidRPr="002F6EAE" w:rsidRDefault="00DD4BDD" w:rsidP="0076390A">
            <w:pPr>
              <w:spacing w:line="240" w:lineRule="auto"/>
              <w:rPr>
                <w:rFonts w:ascii="Times New Roman" w:eastAsia="Calibri" w:hAnsi="Times New Roman" w:cs="Times New Roman"/>
                <w:lang w:val="en-CA"/>
              </w:rPr>
            </w:pPr>
            <w:r w:rsidRPr="002F6EAE">
              <w:rPr>
                <w:rFonts w:ascii="Times New Roman" w:eastAsia="Calibri" w:hAnsi="Times New Roman" w:cs="Times New Roman"/>
                <w:lang w:val="en-CA"/>
              </w:rPr>
              <w:br/>
              <w:t xml:space="preserve">This interaction can be deadly, especially in patients with renal and/or hepatic impairment. Life-threatening and fatal drug interactions have occurred with co-administration. </w:t>
            </w:r>
          </w:p>
        </w:tc>
      </w:tr>
    </w:tbl>
    <w:p w14:paraId="5A01C1D0" w14:textId="77777777" w:rsidR="00DD4BDD" w:rsidRPr="002F6EAE" w:rsidRDefault="00DD4BDD" w:rsidP="00DD4BDD">
      <w:pPr>
        <w:spacing w:line="240" w:lineRule="auto"/>
        <w:ind w:left="-1000"/>
        <w:rPr>
          <w:rFonts w:ascii="Times New Roman" w:eastAsia="Calibri" w:hAnsi="Times New Roman" w:cs="Times New Roman"/>
          <w:lang w:val="en-CA"/>
        </w:rPr>
      </w:pPr>
    </w:p>
    <w:p w14:paraId="0EF76125" w14:textId="0D909359" w:rsidR="00DD4BDD" w:rsidRPr="00DD4BDD" w:rsidRDefault="00DD4BDD" w:rsidP="00DD4BDD">
      <w:pPr>
        <w:spacing w:line="240" w:lineRule="auto"/>
        <w:ind w:left="-709"/>
        <w:rPr>
          <w:rFonts w:ascii="Times New Roman" w:eastAsia="Calibri" w:hAnsi="Times New Roman" w:cs="Times New Roman"/>
          <w:lang w:val="en-CA"/>
        </w:rPr>
      </w:pPr>
      <w:r w:rsidRPr="002F6EAE">
        <w:rPr>
          <w:rFonts w:ascii="Times New Roman" w:eastAsia="Calibri" w:hAnsi="Times New Roman" w:cs="Times New Roman"/>
          <w:lang w:val="en-CA"/>
        </w:rPr>
        <w:t>CKD= chronic kidney disease; GERD= gastroesophageal reflux disease; AHFS=American Hospital Formulary Servic</w:t>
      </w:r>
      <w:r>
        <w:rPr>
          <w:rFonts w:ascii="Times New Roman" w:eastAsia="Calibri" w:hAnsi="Times New Roman" w:cs="Times New Roman"/>
          <w:lang w:val="en-CA"/>
        </w:rPr>
        <w:t>e</w:t>
      </w:r>
    </w:p>
    <w:sectPr w:rsidR="00DD4BDD" w:rsidRPr="00DD4BDD" w:rsidSect="00E44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5C"/>
    <w:rsid w:val="0001613B"/>
    <w:rsid w:val="00054C8F"/>
    <w:rsid w:val="00070B5C"/>
    <w:rsid w:val="0007700A"/>
    <w:rsid w:val="000B61F4"/>
    <w:rsid w:val="000D114B"/>
    <w:rsid w:val="000E0235"/>
    <w:rsid w:val="00131664"/>
    <w:rsid w:val="00161A05"/>
    <w:rsid w:val="00163A7A"/>
    <w:rsid w:val="0019788D"/>
    <w:rsid w:val="001B7BC3"/>
    <w:rsid w:val="00202C94"/>
    <w:rsid w:val="00214939"/>
    <w:rsid w:val="00261C24"/>
    <w:rsid w:val="00263457"/>
    <w:rsid w:val="002871F1"/>
    <w:rsid w:val="00300B99"/>
    <w:rsid w:val="00304644"/>
    <w:rsid w:val="0032331D"/>
    <w:rsid w:val="00357F42"/>
    <w:rsid w:val="003644B7"/>
    <w:rsid w:val="003B20F9"/>
    <w:rsid w:val="003B45D5"/>
    <w:rsid w:val="003F13FC"/>
    <w:rsid w:val="003F7FD7"/>
    <w:rsid w:val="00420360"/>
    <w:rsid w:val="00452F9B"/>
    <w:rsid w:val="00455BA9"/>
    <w:rsid w:val="00490532"/>
    <w:rsid w:val="00495401"/>
    <w:rsid w:val="004A430F"/>
    <w:rsid w:val="004A5DBA"/>
    <w:rsid w:val="004B57B6"/>
    <w:rsid w:val="004C310A"/>
    <w:rsid w:val="004E7A2D"/>
    <w:rsid w:val="00505E54"/>
    <w:rsid w:val="005406FA"/>
    <w:rsid w:val="00545E6C"/>
    <w:rsid w:val="0056033D"/>
    <w:rsid w:val="00560EAC"/>
    <w:rsid w:val="00563D81"/>
    <w:rsid w:val="00584AB1"/>
    <w:rsid w:val="005A20D3"/>
    <w:rsid w:val="005F0A53"/>
    <w:rsid w:val="00624819"/>
    <w:rsid w:val="00632ABC"/>
    <w:rsid w:val="006500C4"/>
    <w:rsid w:val="006932BA"/>
    <w:rsid w:val="00693BCA"/>
    <w:rsid w:val="0069555D"/>
    <w:rsid w:val="006A2AC6"/>
    <w:rsid w:val="006D2BF0"/>
    <w:rsid w:val="006F3841"/>
    <w:rsid w:val="00730AAF"/>
    <w:rsid w:val="007A18CF"/>
    <w:rsid w:val="007F03AE"/>
    <w:rsid w:val="008350BC"/>
    <w:rsid w:val="008B562E"/>
    <w:rsid w:val="008C241B"/>
    <w:rsid w:val="008D6A5E"/>
    <w:rsid w:val="008E5E3A"/>
    <w:rsid w:val="00944D96"/>
    <w:rsid w:val="009535F5"/>
    <w:rsid w:val="0096393C"/>
    <w:rsid w:val="009E6ED3"/>
    <w:rsid w:val="009F13A6"/>
    <w:rsid w:val="00A41E6A"/>
    <w:rsid w:val="00A61D6D"/>
    <w:rsid w:val="00A81173"/>
    <w:rsid w:val="00A872CC"/>
    <w:rsid w:val="00A933FB"/>
    <w:rsid w:val="00AB150D"/>
    <w:rsid w:val="00AD2228"/>
    <w:rsid w:val="00AF6911"/>
    <w:rsid w:val="00B0252D"/>
    <w:rsid w:val="00B24BF5"/>
    <w:rsid w:val="00B340B2"/>
    <w:rsid w:val="00B66377"/>
    <w:rsid w:val="00B7402C"/>
    <w:rsid w:val="00B908C1"/>
    <w:rsid w:val="00BC5548"/>
    <w:rsid w:val="00BC5B16"/>
    <w:rsid w:val="00BD35E7"/>
    <w:rsid w:val="00BD50B4"/>
    <w:rsid w:val="00BD7BE3"/>
    <w:rsid w:val="00BE027D"/>
    <w:rsid w:val="00BE16DA"/>
    <w:rsid w:val="00BE31C8"/>
    <w:rsid w:val="00BE5E31"/>
    <w:rsid w:val="00C244CE"/>
    <w:rsid w:val="00C26F78"/>
    <w:rsid w:val="00CA6DDF"/>
    <w:rsid w:val="00CB631E"/>
    <w:rsid w:val="00CC4568"/>
    <w:rsid w:val="00CC56FF"/>
    <w:rsid w:val="00CD0302"/>
    <w:rsid w:val="00D06BA0"/>
    <w:rsid w:val="00D12D20"/>
    <w:rsid w:val="00D43A62"/>
    <w:rsid w:val="00DA0D4A"/>
    <w:rsid w:val="00DD4BDD"/>
    <w:rsid w:val="00DE1B87"/>
    <w:rsid w:val="00DE2D5A"/>
    <w:rsid w:val="00E048C2"/>
    <w:rsid w:val="00E25BA0"/>
    <w:rsid w:val="00E44525"/>
    <w:rsid w:val="00E61085"/>
    <w:rsid w:val="00E95DF3"/>
    <w:rsid w:val="00EA0C0A"/>
    <w:rsid w:val="00EC377F"/>
    <w:rsid w:val="00EE011A"/>
    <w:rsid w:val="00EF246E"/>
    <w:rsid w:val="00F32AF4"/>
    <w:rsid w:val="00F606FC"/>
    <w:rsid w:val="00F62600"/>
    <w:rsid w:val="00F812E2"/>
    <w:rsid w:val="00F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D1641"/>
  <w15:chartTrackingRefBased/>
  <w15:docId w15:val="{8645A99B-B0E6-E24C-AEA9-E7227B5D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A0"/>
    <w:pPr>
      <w:spacing w:line="276" w:lineRule="auto"/>
    </w:pPr>
    <w:rPr>
      <w:rFonts w:ascii="Arial" w:eastAsia="Arial" w:hAnsi="Arial" w:cs="Arial"/>
      <w:sz w:val="22"/>
      <w:szCs w:val="2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1276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Ross</dc:creator>
  <cp:keywords/>
  <dc:description/>
  <cp:lastModifiedBy>Émilie Courval</cp:lastModifiedBy>
  <cp:revision>3</cp:revision>
  <dcterms:created xsi:type="dcterms:W3CDTF">2022-02-20T21:44:00Z</dcterms:created>
  <dcterms:modified xsi:type="dcterms:W3CDTF">2022-02-20T21:45:00Z</dcterms:modified>
</cp:coreProperties>
</file>