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A1196" w14:textId="33514EFB" w:rsidR="00585786" w:rsidRDefault="00585786" w:rsidP="00D7254C">
      <w:pPr>
        <w:rPr>
          <w:b/>
          <w:bCs/>
        </w:rPr>
      </w:pPr>
    </w:p>
    <w:p w14:paraId="514FC275" w14:textId="7FDF758F" w:rsidR="00585786" w:rsidRPr="00CE76BE" w:rsidRDefault="00CE76BE" w:rsidP="00CE76BE">
      <w:pPr>
        <w:spacing w:after="145"/>
        <w:ind w:left="-5"/>
        <w:rPr>
          <w:vertAlign w:val="superscript"/>
        </w:rPr>
      </w:pPr>
      <w:r w:rsidRPr="7339469F">
        <w:t xml:space="preserve">Rebecca J </w:t>
      </w:r>
      <w:proofErr w:type="spellStart"/>
      <w:r w:rsidRPr="7339469F">
        <w:t>Rockett</w:t>
      </w:r>
      <w:proofErr w:type="spellEnd"/>
      <w:r>
        <w:t>#</w:t>
      </w:r>
      <w:r w:rsidRPr="7339469F">
        <w:t>, Jenny Draper</w:t>
      </w:r>
      <w:r>
        <w:t>#</w:t>
      </w:r>
      <w:r w:rsidRPr="7339469F">
        <w:t xml:space="preserve">, </w:t>
      </w:r>
      <w:proofErr w:type="spellStart"/>
      <w:r w:rsidRPr="7339469F">
        <w:t>Mailie</w:t>
      </w:r>
      <w:proofErr w:type="spellEnd"/>
      <w:r w:rsidRPr="7339469F">
        <w:t xml:space="preserve"> Gall</w:t>
      </w:r>
      <w:r>
        <w:t>#</w:t>
      </w:r>
      <w:r w:rsidRPr="7339469F">
        <w:t xml:space="preserve">, </w:t>
      </w:r>
      <w:proofErr w:type="spellStart"/>
      <w:r w:rsidRPr="7339469F">
        <w:t>Eby</w:t>
      </w:r>
      <w:proofErr w:type="spellEnd"/>
      <w:r w:rsidRPr="7339469F">
        <w:t xml:space="preserve"> M Sim</w:t>
      </w:r>
      <w:r>
        <w:t>#</w:t>
      </w:r>
      <w:r w:rsidRPr="7339469F">
        <w:t xml:space="preserve">, Alicia Arnott, Jessica E Agius, Jessica Johnson-Mackinnon, Elena Martinez, Alexander </w:t>
      </w:r>
      <w:r>
        <w:t xml:space="preserve">P </w:t>
      </w:r>
      <w:r w:rsidRPr="7339469F">
        <w:t xml:space="preserve">Drew, Clement Lee, Christine Ngo, Marc Ramsperger, Andrew N Ginn, </w:t>
      </w:r>
      <w:proofErr w:type="spellStart"/>
      <w:r w:rsidRPr="7339469F">
        <w:t>Qinning</w:t>
      </w:r>
      <w:proofErr w:type="spellEnd"/>
      <w:r w:rsidRPr="7339469F">
        <w:t xml:space="preserve"> Wang, Michael Fennell, Danny Ko, Linda Huston, Lukas </w:t>
      </w:r>
      <w:proofErr w:type="spellStart"/>
      <w:r w:rsidRPr="7339469F">
        <w:t>Kairaitis</w:t>
      </w:r>
      <w:proofErr w:type="spellEnd"/>
      <w:r w:rsidRPr="7339469F">
        <w:t xml:space="preserve">, Edward </w:t>
      </w:r>
      <w:r>
        <w:t xml:space="preserve">C </w:t>
      </w:r>
      <w:r w:rsidRPr="7339469F">
        <w:t>Holmes, Matthew N O’Sullivan, Sharon C-A Chen,</w:t>
      </w:r>
      <w:r>
        <w:t xml:space="preserve"> </w:t>
      </w:r>
      <w:r w:rsidRPr="7339469F">
        <w:t xml:space="preserve">Jen </w:t>
      </w:r>
      <w:proofErr w:type="spellStart"/>
      <w:r w:rsidRPr="7339469F">
        <w:t>Kok</w:t>
      </w:r>
      <w:proofErr w:type="spellEnd"/>
      <w:r w:rsidRPr="7339469F">
        <w:t xml:space="preserve">, Dominic E Dwyer, Vitali </w:t>
      </w:r>
      <w:proofErr w:type="spellStart"/>
      <w:r w:rsidRPr="7339469F">
        <w:t>Sintchenko</w:t>
      </w:r>
      <w:proofErr w:type="spellEnd"/>
      <w:r>
        <w:rPr>
          <w:vertAlign w:val="superscript"/>
        </w:rPr>
        <w:t xml:space="preserve">. </w:t>
      </w:r>
      <w:r w:rsidR="00585786" w:rsidRPr="00CE76BE">
        <w:t xml:space="preserve">Co-infection with SARS-COV-2 Omicron and Delta Variants Revealed by Genomic Surveillance (2022) </w:t>
      </w:r>
      <w:proofErr w:type="spellStart"/>
      <w:r w:rsidR="00585786" w:rsidRPr="00CE76BE">
        <w:t>BioR</w:t>
      </w:r>
      <w:r>
        <w:t>xiv</w:t>
      </w:r>
      <w:proofErr w:type="spellEnd"/>
    </w:p>
    <w:p w14:paraId="7D041DF9" w14:textId="2B206513" w:rsidR="00CE76BE" w:rsidRPr="00CE76BE" w:rsidRDefault="00CE76BE" w:rsidP="00D7254C">
      <w:r>
        <w:t># These authors contributed equally</w:t>
      </w:r>
    </w:p>
    <w:p w14:paraId="61B98A36" w14:textId="0E8A442A" w:rsidR="00D7254C" w:rsidRDefault="00D7254C" w:rsidP="00D7254C">
      <w:pPr>
        <w:rPr>
          <w:b/>
          <w:bCs/>
        </w:rPr>
      </w:pPr>
    </w:p>
    <w:p w14:paraId="7D41B692" w14:textId="77777777" w:rsidR="00CE76BE" w:rsidRDefault="00CE76BE" w:rsidP="00CE76BE">
      <w:pPr>
        <w:rPr>
          <w:b/>
          <w:bCs/>
        </w:rPr>
      </w:pPr>
      <w:r w:rsidRPr="7339469F">
        <w:rPr>
          <w:b/>
          <w:bCs/>
        </w:rPr>
        <w:t>SUPPLEMENTARY MATERIAL</w:t>
      </w:r>
    </w:p>
    <w:p w14:paraId="6965B0EF" w14:textId="77777777" w:rsidR="00CE76BE" w:rsidRDefault="00CE76BE" w:rsidP="00D7254C">
      <w:pPr>
        <w:rPr>
          <w:b/>
          <w:bCs/>
        </w:rPr>
      </w:pPr>
    </w:p>
    <w:p w14:paraId="3D0313A7" w14:textId="0DFBE9DD" w:rsidR="00D7254C" w:rsidRDefault="00D7254C" w:rsidP="00D7254C">
      <w:pPr>
        <w:rPr>
          <w:b/>
          <w:bCs/>
        </w:rPr>
      </w:pPr>
      <w:r w:rsidRPr="7339469F">
        <w:rPr>
          <w:b/>
          <w:bCs/>
        </w:rPr>
        <w:t>METHODS</w:t>
      </w:r>
    </w:p>
    <w:p w14:paraId="3A15CE40" w14:textId="77777777" w:rsidR="00D7254C" w:rsidRPr="00F64946" w:rsidRDefault="00D7254C" w:rsidP="00D7254C"/>
    <w:p w14:paraId="71964C42" w14:textId="68D77906" w:rsidR="00D7254C" w:rsidRPr="00A858F9" w:rsidRDefault="00D7254C" w:rsidP="00D7254C">
      <w:pPr>
        <w:spacing w:line="360" w:lineRule="auto"/>
        <w:ind w:left="-5"/>
        <w:jc w:val="both"/>
      </w:pPr>
      <w:r w:rsidRPr="7339469F">
        <w:rPr>
          <w:b/>
          <w:bCs/>
          <w:i/>
          <w:iCs/>
        </w:rPr>
        <w:t>Respiratory virus detection by RT-PCR</w:t>
      </w:r>
      <w:r w:rsidRPr="7339469F">
        <w:t xml:space="preserve">. RNA was extracted using either the Viral NA Small volume kit on the </w:t>
      </w:r>
      <w:proofErr w:type="spellStart"/>
      <w:r w:rsidRPr="7339469F">
        <w:t>MagNA</w:t>
      </w:r>
      <w:proofErr w:type="spellEnd"/>
      <w:r w:rsidRPr="7339469F">
        <w:t xml:space="preserve"> Pure 96 system (Roche Diagnostics GmbH) or RNeasy </w:t>
      </w:r>
      <w:proofErr w:type="gramStart"/>
      <w:r w:rsidRPr="7339469F">
        <w:t>mini-kit</w:t>
      </w:r>
      <w:proofErr w:type="gramEnd"/>
      <w:r w:rsidRPr="7339469F">
        <w:t xml:space="preserve"> (Qiagen). Both protocols </w:t>
      </w:r>
      <w:r>
        <w:t>used</w:t>
      </w:r>
      <w:r w:rsidRPr="7339469F">
        <w:t xml:space="preserve"> 200μL of clinical specimen, </w:t>
      </w:r>
      <w:r>
        <w:t>although</w:t>
      </w:r>
      <w:r w:rsidRPr="7339469F">
        <w:t xml:space="preserve"> minor modifications were performed during the RNeasy extraction, as previously described.</w:t>
      </w:r>
      <w:r>
        <w:fldChar w:fldCharType="begin" w:fldLock="1"/>
      </w:r>
      <w:r w:rsidR="00EB17BB">
        <w:instrText>ADDIN CSL_CITATION {"citationItems":[{"id":"ITEM-1","itemData":{"DOI":"10.1128/JCM.01046-21","ISSN":"1098660X","PMID":"34379527","abstract":"Severe acute respiratory syndrome coronavirus 2 (SARS-CoV-2) genomic surveillance has been vital in understanding the spread of coronavirus disease 2019 (COVID-19), the emergence of viral escape mutants, and variants of concern. However, low viral loads in clinical specimens affect variant calling for phylogenetic analyses and detection of low-frequency variants, important in uncovering infection transmission chains. We systematically evaluated three widely adopted SARS-CoV-2 whole-genome sequencing methods for their sensitivity, specificity, and ability to reliably detect low-frequency variants. Our analyses reveal that the ARTIC v3 protocol consistently displays high sensitivity for generating complete genomes at low viral loads compared with the probe-based Illumina Respiratory Viral Oligo panel and a pooled long-amplicon method. We show substantial variability in the number and location of low-frequency variants detected using the three methods, highlighting the importance of selecting appropriate methods to obtain high-quality sequence data from low-viral-load samples for public health and genomic surveillance purposes.","author":[{"dropping-particle":"","family":"Lam","given":"C.","non-dropping-particle":"","parse-names":false,"suffix":""},{"dropping-particle":"","family":"Gray","given":"K.","non-dropping-particle":"","parse-names":false,"suffix":""},{"dropping-particle":"","family":"Gall","given":"M.","non-dropping-particle":"","parse-names":false,"suffix":""},{"dropping-particle":"","family":"Sadsad","given":"R.","non-dropping-particle":"","parse-names":false,"suffix":""},{"dropping-particle":"","family":"Arnott","given":"A.","non-dropping-particle":"","parse-names":false,"suffix":""},{"dropping-particle":"","family":"Johnson-Mackinnon","given":"J.","non-dropping-particle":"","parse-names":false,"suffix":""},{"dropping-particle":"","family":"Fong","given":"W.","non-dropping-particle":"","parse-names":false,"suffix":""},{"dropping-particle":"","family":"Basile","given":"K.","non-dropping-particle":"","parse-names":false,"suffix":""},{"dropping-particle":"","family":"Kok","given":"J.","non-dropping-particle":"","parse-names":false,"suffix":""},{"dropping-particle":"","family":"Dwyer","given":"D. E.","non-dropping-particle":"","parse-names":false,"suffix":""},{"dropping-particle":"","family":"Sintchenko","given":"V.","non-dropping-particle":"","parse-names":false,"suffix":""},{"dropping-particle":"","family":"Rockett","given":"R. J.","non-dropping-particle":"","parse-names":false,"suffix":""}],"container-title":"Journal of Clinical Microbiology","id":"ITEM-1","issue":"11","issued":{"date-parts":[["2021","10","19"]]},"publisher":"J Clin Microbiol","title":"SARS-CoV-2 Genome Sequencing Methods Differ in Their Abilities to Detect Variants from Low-Viral-Load Samples","type":"article-journal","volume":"59"},"uris":["http://www.mendeley.com/documents/?uuid=d8275ade-48ea-36ab-bc10-035d78a8d72c"]}],"mendeley":{"formattedCitation":"&lt;sup&gt;1&lt;/sup&gt;","plainTextFormattedCitation":"1","previouslyFormattedCitation":"&lt;sup&gt;1&lt;/sup&gt;"},"properties":{"noteIndex":0},"schema":"https://github.com/citation-style-language/schema/raw/master/csl-citation.json"}</w:instrText>
      </w:r>
      <w:r>
        <w:fldChar w:fldCharType="separate"/>
      </w:r>
      <w:r w:rsidR="007E2F1F" w:rsidRPr="007E2F1F">
        <w:rPr>
          <w:noProof/>
          <w:vertAlign w:val="superscript"/>
        </w:rPr>
        <w:t>1</w:t>
      </w:r>
      <w:r>
        <w:fldChar w:fldCharType="end"/>
      </w:r>
      <w:r w:rsidRPr="7339469F">
        <w:t xml:space="preserve"> A final elution volume of 100μL was used during </w:t>
      </w:r>
      <w:proofErr w:type="spellStart"/>
      <w:r w:rsidRPr="7339469F">
        <w:t>MagNA</w:t>
      </w:r>
      <w:proofErr w:type="spellEnd"/>
      <w:r w:rsidRPr="7339469F">
        <w:t xml:space="preserve"> Pure 96 system whereas the RNeasy extraction elute was 30μL.</w:t>
      </w:r>
    </w:p>
    <w:p w14:paraId="2DF8661B" w14:textId="0BD0ED83" w:rsidR="00D7254C" w:rsidRDefault="00D7254C" w:rsidP="00D7254C">
      <w:pPr>
        <w:spacing w:line="360" w:lineRule="auto"/>
        <w:ind w:left="-5" w:firstLine="725"/>
        <w:jc w:val="both"/>
      </w:pPr>
      <w:r w:rsidRPr="00A858F9">
        <w:t>A previously described RT-PCR</w:t>
      </w:r>
      <w:r>
        <w:fldChar w:fldCharType="begin" w:fldLock="1"/>
      </w:r>
      <w:r w:rsidR="00EB17BB">
        <w:instrText>ADDIN CSL_CITATION {"citationItems":[{"id":"ITEM-1","itemData":{"DOI":"10.1016/j.jcv.2020.104374","ISSN":"18735967","PMID":"32361322","abstract":"Introduction: There is limited data on the analytical performance of commercial nucleic acid tests (NATs) for laboratory confirmation of COVID-19 infection. Methods: Nasopharyngeal, combined nose and throat swabs, nasopharyngeal aspirates and sputum was collected from persons with suspected SARS-CoV-2 infection, serial dilutions of SARS-CoV-2 viral cultures and synthetic positive controls (gBlocks, Integrated DNA Technologies) were tested using i) AusDiagnostics assay (AusDiagnostics Pty Ltd); ii) in-house developed assays targeting the E and RdRp genes; iii) multiplex PCR assay targeting endemic respiratory viruses. Discrepant SARS-CoV-2 results were resolved by testing the N, ORF1b, ORF1ab and M genes. Results: Of 52 clinical samples collected from 50 persons tested, respiratory viruses were detected in 22 samples (42 %), including SARS CoV-2 (n = 5), rhinovirus (n = 7), enterovirus (n = 5), influenza B (n = 4), hMPV (n = 5), influenza A (n = 2), PIV-2 (n = 1), RSV (n = 2), CoV-NL63 (n = 1) and CoV-229E (n = 1). SARS-CoV-2 was detected in four additional samples by the AusDiagnostics assay. Using the in-house assays as the \"gold standard\", the sensitivity, specificity, positive and negative predictive values of the AusDiagnostics assay was 100 %, 92.16 %, 55.56 % and 100 % respectively. The Ct values of the real-time in-house-developed PCR assay targeting the E gene was significantly lower than the corresponding RdRp gene assay when applied to clinical samples, viral culture and positive controls (mean 21.75 vs 28.1, p = 0.0031). Conclusions: The AusDiagnostics assay is not specific for the detection SARS-CoV-2. Any positive results should be confirmed using another NAT or sequencing. The case definition used to investigate persons with suspected COVID-19 infection is not specific.","author":[{"dropping-particle":"","family":"Rahman","given":"H.","non-dropping-particle":"","parse-names":false,"suffix":""},{"dropping-particle":"","family":"Carter","given":"I.","non-dropping-particle":"","parse-names":false,"suffix":""},{"dropping-particle":"","family":"Basile","given":"K.","non-dropping-particle":"","parse-names":false,"suffix":""},{"dropping-particle":"","family":"Donovan","given":"L.","non-dropping-particle":"","parse-names":false,"suffix":""},{"dropping-particle":"","family":"Kumar","given":"S.","non-dropping-particle":"","parse-names":false,"suffix":""},{"dropping-particle":"","family":"Tran","given":"T.","non-dropping-particle":"","parse-names":false,"suffix":""},{"dropping-particle":"","family":"Ko","given":"D.","non-dropping-particle":"","parse-names":false,"suffix":""},{"dropping-particle":"","family":"Alderson","given":"S.","non-dropping-particle":"","parse-names":false,"suffix":""},{"dropping-particle":"","family":"Sivaruban","given":"T.","non-dropping-particle":"","parse-names":false,"suffix":""},{"dropping-particle":"","family":"Eden","given":"J. S.","non-dropping-particle":"","parse-names":false,"suffix":""},{"dropping-particle":"","family":"Rockett","given":"R.","non-dropping-particle":"","parse-names":false,"suffix":""},{"dropping-particle":"V.","family":"O'Sullivan","given":"M.","non-dropping-particle":"","parse-names":false,"suffix":""},{"dropping-particle":"","family":"Sintchenko","given":"V.","non-dropping-particle":"","parse-names":false,"suffix":""},{"dropping-particle":"","family":"Chen","given":"S. C.A.","non-dropping-particle":"","parse-names":false,"suffix":""},{"dropping-particle":"","family":"Maddocks","given":"S.","non-dropping-particle":"","parse-names":false,"suffix":""},{"dropping-particle":"","family":"Dwyer","given":"D. E.","non-dropping-particle":"","parse-names":false,"suffix":""},{"dropping-particle":"","family":"Kok","given":"J.","non-dropping-particle":"","parse-names":false,"suffix":""}],"container-title":"Journal of Clinical Virology","id":"ITEM-1","issued":{"date-parts":[["2020","6","1"]]},"publisher":"Elsevier B.V.","title":"Interpret with caution: An evaluation of the commercial AusDiagnostics versus in-house developed assays for the detection of SARS-CoV-2 virus","type":"article-journal","volume":"127"},"uris":["http://www.mendeley.com/documents/?uuid=eb005f7c-5056-345d-821a-d5cd3e619b62"]}],"mendeley":{"formattedCitation":"&lt;sup&gt;2&lt;/sup&gt;","plainTextFormattedCitation":"2","previouslyFormattedCitation":"&lt;sup&gt;2&lt;/sup&gt;"},"properties":{"noteIndex":0},"schema":"https://github.com/citation-style-language/schema/raw/master/csl-citation.json"}</w:instrText>
      </w:r>
      <w:r>
        <w:fldChar w:fldCharType="separate"/>
      </w:r>
      <w:r w:rsidR="007E2F1F" w:rsidRPr="007E2F1F">
        <w:rPr>
          <w:noProof/>
          <w:vertAlign w:val="superscript"/>
        </w:rPr>
        <w:t>2</w:t>
      </w:r>
      <w:r>
        <w:fldChar w:fldCharType="end"/>
      </w:r>
      <w:r w:rsidRPr="00A858F9">
        <w:t>, targeting the SAR</w:t>
      </w:r>
      <w:r>
        <w:t>S</w:t>
      </w:r>
      <w:r w:rsidRPr="00A858F9">
        <w:t>-CoV-2 nucleocapsid gene was employed to estimate the viral load of clinical specimens from the RNeasy extraction. A commercially available synthetic RNA control (Wuhan-</w:t>
      </w:r>
      <w:r>
        <w:t>Hu-</w:t>
      </w:r>
      <w:r w:rsidRPr="00A858F9">
        <w:t xml:space="preserve">1 </w:t>
      </w:r>
      <w:r>
        <w:t>reference sequence</w:t>
      </w:r>
      <w:r w:rsidRPr="00A858F9">
        <w:t>, TWIST Biosciences NCBI GenBank accession MN908947.3) was used in 10-fold dilutions starting at 20,000 copies/µL to 2 copies/µL to generate a standard curve and quantify the viral load per microlitre of extracted RNA per specimen</w:t>
      </w:r>
      <w:r>
        <w:t xml:space="preserve"> (</w:t>
      </w:r>
      <w:proofErr w:type="spellStart"/>
      <w:r>
        <w:t>cpy</w:t>
      </w:r>
      <w:proofErr w:type="spellEnd"/>
      <w:r>
        <w:t>/</w:t>
      </w:r>
      <w:proofErr w:type="spellStart"/>
      <w:r w:rsidRPr="7339469F">
        <w:t>μ</w:t>
      </w:r>
      <w:r>
        <w:t>L</w:t>
      </w:r>
      <w:proofErr w:type="spellEnd"/>
      <w:r>
        <w:t>)</w:t>
      </w:r>
      <w:r w:rsidRPr="00A858F9">
        <w:t>. Additional RT-PCRs were used to investigate the presence of common viral respiratory viruses: human influenza viruses A and B, parainfluenza</w:t>
      </w:r>
      <w:r>
        <w:t xml:space="preserve"> </w:t>
      </w:r>
      <w:r w:rsidRPr="00A858F9">
        <w:t>viruses 1, 2, and 3, respiratory syncytial virus, adenovirus, and rhinovirus</w:t>
      </w:r>
      <w:r>
        <w:fldChar w:fldCharType="begin" w:fldLock="1"/>
      </w:r>
      <w:r w:rsidR="00EB17BB">
        <w:instrText>ADDIN CSL_CITATION {"citationItems":[{"id":"ITEM-1","itemData":{"DOI":"10.1186/1743-422X-11-113","ISSN":"1743422X","PMID":"24942807","abstract":"Background: During the early phases of the 2009 pandemic, subjects with influenza-like illness only had laboratory testing specific for the new A(H1N1)pdm09 virus. Findings. Between 25th May and 7th June 2009, during the pandemic CONTAIN phase, A(H1N1)pdm09 virus was detected using nucleic acid tests in only 56 of 1466 (3.8%) samples meeting the clinical case definition required for A(H1N1)pdm09 testing. Two hundred and fifty-five randomly selected A(H1N1)pdm09 virus-negative samples were tested for other respiratory viruses using a real-time multiplex PCR assay. Of the 255 samples tested, 113 (44.3%) had other respiratory viruses detected: rhinoviruses 63.7%, seasonal influenza A 17.6%, respiratory syncytial virus 7.9%, human metapneumovirus 5.3%, parainfluenzaviruses 4.4%, influenza B virus 4.4%, and enteroviruses 0.8%. Viral co-infections were present in 4.3% of samples. Conclusions: In the very early stages of a new pandemic, limiting testing to only the novel virus will miss other clinically important co-circulating respiratory pathogens. © 2014 Ratnamohan et al.; licensee BioMed Central Ltd.","author":[{"dropping-particle":"","family":"Ratnamohan","given":"Vigneswary Mala","non-dropping-particle":"","parse-names":false,"suffix":""},{"dropping-particle":"","family":"Taylor","given":"Janette","non-dropping-particle":"","parse-names":false,"suffix":""},{"dropping-particle":"","family":"Zeng","given":"Frank","non-dropping-particle":"","parse-names":false,"suffix":""},{"dropping-particle":"","family":"McPhie","given":"Kenneth","non-dropping-particle":"","parse-names":false,"suffix":""},{"dropping-particle":"","family":"Blyth","given":"Christopher C.","non-dropping-particle":"","parse-names":false,"suffix":""},{"dropping-particle":"","family":"Adamson","given":"Sheena","non-dropping-particle":"","parse-names":false,"suffix":""},{"dropping-particle":"","family":"Kok","given":"Jen","non-dropping-particle":"","parse-names":false,"suffix":""},{"dropping-particle":"","family":"Dwyer","given":"Dominic E.","non-dropping-particle":"","parse-names":false,"suffix":""}],"container-title":"Virology Journal","id":"ITEM-1","issue":"1","issued":{"date-parts":[["2014","6","18"]]},"page":"1-5","publisher":"BioMed Central Ltd.","title":"Pandemic clinical case definitions are non-specific: Multiple respiratory viruses circulating in the early phases of the 2009 influenza pandemic in New South Wales, Australia","type":"article-journal","volume":"11"},"uris":["http://www.mendeley.com/documents/?uuid=783b3d34-be71-3fe1-96c2-31f949828033"]}],"mendeley":{"formattedCitation":"&lt;sup&gt;3&lt;/sup&gt;","plainTextFormattedCitation":"3","previouslyFormattedCitation":"&lt;sup&gt;3&lt;/sup&gt;"},"properties":{"noteIndex":0},"schema":"https://github.com/citation-style-language/schema/raw/master/csl-citation.json"}</w:instrText>
      </w:r>
      <w:r>
        <w:fldChar w:fldCharType="separate"/>
      </w:r>
      <w:r w:rsidR="007E2F1F" w:rsidRPr="007E2F1F">
        <w:rPr>
          <w:noProof/>
          <w:vertAlign w:val="superscript"/>
        </w:rPr>
        <w:t>3</w:t>
      </w:r>
      <w:r>
        <w:fldChar w:fldCharType="end"/>
      </w:r>
      <w:r w:rsidRPr="00A858F9">
        <w:t xml:space="preserve"> </w:t>
      </w:r>
    </w:p>
    <w:p w14:paraId="2D71E377" w14:textId="77777777" w:rsidR="00D7254C" w:rsidRPr="00A858F9" w:rsidRDefault="00D7254C" w:rsidP="00D7254C">
      <w:pPr>
        <w:spacing w:line="360" w:lineRule="auto"/>
        <w:ind w:left="-5" w:firstLine="725"/>
        <w:jc w:val="both"/>
      </w:pPr>
    </w:p>
    <w:p w14:paraId="053014EA" w14:textId="4427D07F" w:rsidR="00D7254C" w:rsidRDefault="00D7254C" w:rsidP="00D7254C">
      <w:pPr>
        <w:spacing w:line="361" w:lineRule="auto"/>
        <w:ind w:left="-5"/>
        <w:jc w:val="both"/>
      </w:pPr>
      <w:r w:rsidRPr="00A858F9">
        <w:rPr>
          <w:b/>
          <w:i/>
        </w:rPr>
        <w:t>SARS-CoV-2 culture</w:t>
      </w:r>
      <w:r w:rsidRPr="00A858F9">
        <w:rPr>
          <w:i/>
        </w:rPr>
        <w:t>.</w:t>
      </w:r>
      <w:r w:rsidRPr="00A858F9">
        <w:t xml:space="preserve">  Respiratory specimens were cultured in </w:t>
      </w:r>
      <w:r>
        <w:t>V</w:t>
      </w:r>
      <w:r w:rsidRPr="00A858F9">
        <w:t>ero E6 cells expressing transmembrane serine protease 2 (VeroE6/TMPRSS2; JCRB1819) as previously outlined.</w:t>
      </w:r>
      <w:r>
        <w:fldChar w:fldCharType="begin" w:fldLock="1"/>
      </w:r>
      <w:r w:rsidR="00EB17BB">
        <w:instrText>ADDIN CSL_CITATION {"citationItems":[{"id":"ITEM-1","itemData":{"DOI":"10.1093/cid/ciaa1579","ISSN":"1058-4838","PMID":"33098412","abstract":"BACKGROUND The detection of SARS-CoV-2 RNA by real-time polymerase chain reaction (PCR) in respiratory samples collected from persons recovered from COVID-19 does not necessarily indicate shedding of infective virions. By contrast, the isolation of SARS-CoV-2 using cell-based culture likely indicates infectivity, but there are limited data on the correlation between SARS-CoV-2 culture and PCR. METHODS One hundred and ninety-five patients with varying severity of COVID-19 were tested (outpatients [n=178]), inpatients [n=12] and critically unwell patients admitted to the intensive care unit [ICU; n=5]). SARS-CoV-2 PCR positive samples were cultured in Vero C1008 cells and inspected daily for cytopathic effect (CPE). SARS-CoV-2-induced CPE was confirmed by PCR of culture supernatant. Where no CPE was observed, PCR was performed on day four to confirm absence of virus replication. Cycle threshold (Ct) of the day four PCR (Ctculture) and the PCR of the original clinical sample (Ctsample) were compared, and positive cultures were defined where Ctsample - Ctculture was ≥3. FINDINGS Of 234 samples collected, 228 (97%) were from the upper respiratory tract. SARS-CoV-2 was only successfully isolated from samples with Ctsample ≤32, including in 28/181 (15%), 19/42 (45%) and 9/11 samples (82%) collected from outpatients, inpatients, and ICU patients, respectively. The mean duration from symptom onset to culture positivity was 4.5 days (range 0-18). SARS-CoV-2 was significantly more likely to be isolated from samples collected from inpatients (p&lt;0∙001) and ICU patients (p&lt;0∙0001) compared with outpatients respectively, and in samples with lower Ctsample. CONCLUSION SARS-CoV-2 culture may be used as a surrogate marker for infectivity and inform de-isolation protocols.","author":[{"dropping-particle":"","family":"Basile","given":"Kerri","non-dropping-particle":"","parse-names":false,"suffix":""},{"dropping-particle":"","family":"McPhie","given":"Kenneth","non-dropping-particle":"","parse-names":false,"suffix":""},{"dropping-particle":"","family":"Carter","given":"Ian","non-dropping-particle":"","parse-names":false,"suffix":""},{"dropping-particle":"","family":"Alderson","given":"Susan","non-dropping-particle":"","parse-names":false,"suffix":""},{"dropping-particle":"","family":"Rahman","given":"Hossinur","non-dropping-particle":"","parse-names":false,"suffix":""},{"dropping-particle":"","family":"Donovan","given":"Linda","non-dropping-particle":"","parse-names":false,"suffix":""},{"dropping-particle":"","family":"Kumar","given":"Shanil","non-dropping-particle":"","parse-names":false,"suffix":""},{"dropping-particle":"","family":"Tran","given":"Tyna","non-dropping-particle":"","parse-names":false,"suffix":""},{"dropping-particle":"","family":"Ko","given":"Danny","non-dropping-particle":"","parse-names":false,"suffix":""},{"dropping-particle":"","family":"Sivaruban","given":"Tharshini","non-dropping-particle":"","parse-names":false,"suffix":""},{"dropping-particle":"","family":"Ngo","given":"Christine","non-dropping-particle":"","parse-names":false,"suffix":""},{"dropping-particle":"","family":"Toi","given":"Cheryl","non-dropping-particle":"","parse-names":false,"suffix":""},{"dropping-particle":"V","family":"O’Sullivan","given":"Matthew","non-dropping-particle":"","parse-names":false,"suffix":""},{"dropping-particle":"","family":"Sintchenko","given":"Vitali","non-dropping-particle":"","parse-names":false,"suffix":""},{"dropping-particle":"","family":"Chen","given":"Sharon C-A","non-dropping-particle":"","parse-names":false,"suffix":""},{"dropping-particle":"","family":"Maddocks","given":"Susan","non-dropping-particle":"","parse-names":false,"suffix":""},{"dropping-particle":"","family":"Dwyer","given":"Dominic E","non-dropping-particle":"","parse-names":false,"suffix":""},{"dropping-particle":"","family":"Kok","given":"Jen","non-dropping-particle":"","parse-names":false,"suffix":""}],"container-title":"Clinical Infectious Diseases","id":"ITEM-1","issued":{"date-parts":[["2020","10","24"]]},"publisher":"Oxford University Press (OUP)","title":"Cell-based culture of SARS-CoV-2 informs infectivity and safe de-isolation assessments during COVID-19","type":"article-journal"},"uris":["http://www.mendeley.com/documents/?uuid=7d7b3bbc-fcac-348a-b23b-a11c4f7c72f1"]}],"mendeley":{"formattedCitation":"&lt;sup&gt;4&lt;/sup&gt;","plainTextFormattedCitation":"4","previouslyFormattedCitation":"&lt;sup&gt;4&lt;/sup&gt;"},"properties":{"noteIndex":0},"schema":"https://github.com/citation-style-language/schema/raw/master/csl-citation.json"}</w:instrText>
      </w:r>
      <w:r>
        <w:fldChar w:fldCharType="separate"/>
      </w:r>
      <w:r w:rsidR="007E2F1F" w:rsidRPr="007E2F1F">
        <w:rPr>
          <w:noProof/>
          <w:vertAlign w:val="superscript"/>
        </w:rPr>
        <w:t>4</w:t>
      </w:r>
      <w:r>
        <w:fldChar w:fldCharType="end"/>
      </w:r>
      <w:r w:rsidRPr="00A858F9">
        <w:t xml:space="preserve"> Briefly, cell cultures were seeded at 1-3x10</w:t>
      </w:r>
      <w:r w:rsidRPr="00A858F9">
        <w:rPr>
          <w:vertAlign w:val="superscript"/>
        </w:rPr>
        <w:t>4</w:t>
      </w:r>
      <w:r w:rsidRPr="00A858F9">
        <w:t xml:space="preserve"> cells/cm</w:t>
      </w:r>
      <w:r w:rsidRPr="00A858F9">
        <w:rPr>
          <w:vertAlign w:val="superscript"/>
        </w:rPr>
        <w:t>2</w:t>
      </w:r>
      <w:r w:rsidRPr="00A858F9">
        <w:t xml:space="preserve"> in Dulbecco’s minimal essential medium (DMEM, Lonza, Basel, Switzerland) supplemented with 9% foetal bovine serum (FBS, </w:t>
      </w:r>
      <w:proofErr w:type="spellStart"/>
      <w:r w:rsidRPr="00A858F9">
        <w:t>HyClone</w:t>
      </w:r>
      <w:proofErr w:type="spellEnd"/>
      <w:r w:rsidRPr="00A858F9">
        <w:t>). Media was replaced within 12 hours with inoculation media containing 1% FBS with the addition of penicillin (10,000 U/mL), streptomycin (10,000 µg/mL) and amphotericin B deoxycholate (25 µg/mL) (Lonza) to prevent microbial overgrowth and then inoculated with 100µL of SARS-CoV-2</w:t>
      </w:r>
      <w:r>
        <w:t xml:space="preserve"> RT-PCR</w:t>
      </w:r>
      <w:r w:rsidRPr="00A858F9">
        <w:t xml:space="preserve"> positive respiratory sample. The inoculated cultures were incubated at 37˚C in 5% CO</w:t>
      </w:r>
      <w:r w:rsidRPr="00A858F9">
        <w:rPr>
          <w:vertAlign w:val="subscript"/>
        </w:rPr>
        <w:t>2</w:t>
      </w:r>
      <w:r w:rsidRPr="00A858F9">
        <w:t xml:space="preserve"> for </w:t>
      </w:r>
      <w:r>
        <w:t>four</w:t>
      </w:r>
      <w:r w:rsidRPr="00A858F9">
        <w:t xml:space="preserve"> days and observed daily for cytopathic effect (CPE). Routine mycoplasma testing using RT-PCR was performed to exclude cell line mycoplasma </w:t>
      </w:r>
      <w:r w:rsidRPr="00A858F9">
        <w:lastRenderedPageBreak/>
        <w:t>contamination and culture work was undertaken under physical containment laboratory level 3 (PC3) biosafety conditions. The presence of CPE and increasing viral load as measured by the before mentioned SARS-CoV-2 RT-PCR was indicative of positive SARS-CoV-2 culture. RNA extracts were also subject</w:t>
      </w:r>
      <w:r>
        <w:t>ed</w:t>
      </w:r>
      <w:r w:rsidRPr="00A858F9">
        <w:t xml:space="preserve"> to </w:t>
      </w:r>
      <w:r>
        <w:t xml:space="preserve">the </w:t>
      </w:r>
      <w:r w:rsidRPr="00A858F9">
        <w:t xml:space="preserve">SARS-CoV-2 genomics workflow as described below. </w:t>
      </w:r>
    </w:p>
    <w:p w14:paraId="209F0FD4" w14:textId="77777777" w:rsidR="00D7254C" w:rsidRPr="001A2EBD" w:rsidRDefault="00D7254C" w:rsidP="00D7254C">
      <w:pPr>
        <w:spacing w:line="361" w:lineRule="auto"/>
        <w:ind w:left="-5"/>
        <w:jc w:val="both"/>
      </w:pPr>
    </w:p>
    <w:p w14:paraId="112F020C" w14:textId="77777777" w:rsidR="00D7254C" w:rsidRDefault="00D7254C" w:rsidP="00D7254C">
      <w:pPr>
        <w:spacing w:line="361" w:lineRule="auto"/>
        <w:ind w:left="-5"/>
        <w:jc w:val="both"/>
      </w:pPr>
      <w:r w:rsidRPr="7339469F">
        <w:rPr>
          <w:b/>
          <w:bCs/>
          <w:i/>
          <w:iCs/>
        </w:rPr>
        <w:t xml:space="preserve">Frequency of SARS-CoV-2 variant heterozygosity.  </w:t>
      </w:r>
      <w:r w:rsidRPr="7339469F">
        <w:t xml:space="preserve">The frequency of </w:t>
      </w:r>
      <w:r>
        <w:t>“</w:t>
      </w:r>
      <w:r w:rsidRPr="7339469F">
        <w:t>heterozygosity</w:t>
      </w:r>
      <w:r>
        <w:t>” (i.e., mixed nucleotides at a single site)</w:t>
      </w:r>
      <w:r w:rsidRPr="7339469F">
        <w:t xml:space="preserve"> during SARS-CoV-2 variant calling is monitor</w:t>
      </w:r>
      <w:r>
        <w:t>ed</w:t>
      </w:r>
      <w:r w:rsidRPr="7339469F">
        <w:t xml:space="preserve"> as part of our in-house bioinformatic quality control system, as is the inability to determine a SARS-CoV-2 </w:t>
      </w:r>
      <w:proofErr w:type="spellStart"/>
      <w:r w:rsidRPr="7339469F">
        <w:t>Pango</w:t>
      </w:r>
      <w:proofErr w:type="spellEnd"/>
      <w:r w:rsidRPr="7339469F">
        <w:t xml:space="preserve"> lineage designation on an otherwise complete and high coverage genome</w:t>
      </w:r>
      <w:r>
        <w:t xml:space="preserve"> (Figure S1)</w:t>
      </w:r>
      <w:r w:rsidRPr="7339469F">
        <w:t xml:space="preserve">. These two markers signal that a specimen requires repeat extraction, SARS-CoV-2 amplification, library preparation and sequencing. </w:t>
      </w:r>
    </w:p>
    <w:p w14:paraId="536E4B84" w14:textId="77777777" w:rsidR="00D7254C" w:rsidRPr="009766E1" w:rsidRDefault="00D7254C" w:rsidP="00D7254C">
      <w:pPr>
        <w:spacing w:line="361" w:lineRule="auto"/>
        <w:ind w:left="-5"/>
        <w:jc w:val="both"/>
      </w:pPr>
    </w:p>
    <w:p w14:paraId="4953F9E5" w14:textId="77777777" w:rsidR="00D7254C" w:rsidRPr="00A858F9" w:rsidRDefault="00D7254C" w:rsidP="00D7254C">
      <w:pPr>
        <w:spacing w:line="360" w:lineRule="auto"/>
        <w:ind w:left="-5"/>
        <w:jc w:val="both"/>
      </w:pPr>
      <w:r w:rsidRPr="00A858F9">
        <w:rPr>
          <w:b/>
          <w:i/>
        </w:rPr>
        <w:t xml:space="preserve">SARS-CoV-2 whole genome amplification. </w:t>
      </w:r>
      <w:r w:rsidRPr="00A858F9">
        <w:t>Tiling PCR was used to amplify the entire SARS-CoV-2 genome from RNA extracts of clinical specimens using primers outlined in the Midnight sequencing protocol.</w:t>
      </w:r>
      <w:r w:rsidRPr="00A858F9">
        <w:rPr>
          <w:vertAlign w:val="superscript"/>
        </w:rPr>
        <w:t>4</w:t>
      </w:r>
      <w:r w:rsidRPr="00A858F9">
        <w:t xml:space="preserve"> Each PCR included 12.5µL Q5 High Fidelity 2x Master Mix (New England Biolabs), 1.1µL of either pool 1 or pool 2 10µM primer master mix, 2.5µL of template RNA and molecular grade water was added to generate a total volume of 25µL. Cycling conditions were initial denaturation at 95°C for 2 min, then 35 cycles of: 95°C for 30s, 65°C for 2 min 45s, and a final extension step of 75°C for 10 min. Pool 1 and pool 2 amplicons were combined and purified with a 1:1 ratio of </w:t>
      </w:r>
      <w:proofErr w:type="spellStart"/>
      <w:r w:rsidRPr="00A858F9">
        <w:t>AMPureXP</w:t>
      </w:r>
      <w:proofErr w:type="spellEnd"/>
      <w:r w:rsidRPr="00A858F9">
        <w:t xml:space="preserve"> beads (Beckman Coulter) and eluted in 30µL of </w:t>
      </w:r>
      <w:proofErr w:type="spellStart"/>
      <w:r w:rsidRPr="00A858F9">
        <w:t>RNAase</w:t>
      </w:r>
      <w:proofErr w:type="spellEnd"/>
      <w:r w:rsidRPr="00A858F9">
        <w:t xml:space="preserve"> free water. Purified products were quantified using Qubit™ 1x dsDNA HS Assay Kit (Thermo Fisher Scientific) and diluted to the desired input concentration for library preparation. </w:t>
      </w:r>
    </w:p>
    <w:p w14:paraId="35A69218" w14:textId="77777777" w:rsidR="00D7254C" w:rsidRDefault="00D7254C" w:rsidP="00D7254C">
      <w:pPr>
        <w:spacing w:line="360" w:lineRule="auto"/>
        <w:ind w:left="-5"/>
        <w:jc w:val="both"/>
        <w:rPr>
          <w:b/>
          <w:bCs/>
          <w:i/>
          <w:iCs/>
        </w:rPr>
      </w:pPr>
    </w:p>
    <w:p w14:paraId="523F7CA2" w14:textId="77777777" w:rsidR="00D7254C" w:rsidRDefault="00D7254C" w:rsidP="00D7254C">
      <w:pPr>
        <w:spacing w:line="360" w:lineRule="auto"/>
        <w:ind w:left="-5"/>
        <w:jc w:val="both"/>
      </w:pPr>
      <w:r w:rsidRPr="00A858F9">
        <w:rPr>
          <w:b/>
          <w:bCs/>
          <w:i/>
          <w:iCs/>
        </w:rPr>
        <w:t>Amplicon short-read library preparation</w:t>
      </w:r>
      <w:r>
        <w:rPr>
          <w:b/>
          <w:bCs/>
          <w:i/>
          <w:iCs/>
        </w:rPr>
        <w:t xml:space="preserve">. </w:t>
      </w:r>
      <w:r w:rsidRPr="00A858F9">
        <w:rPr>
          <w:b/>
          <w:bCs/>
          <w:i/>
          <w:iCs/>
        </w:rPr>
        <w:t xml:space="preserve"> </w:t>
      </w:r>
      <w:r w:rsidRPr="00A858F9">
        <w:t xml:space="preserve">Purified amplicon pools were used to generate sequencing libraries using </w:t>
      </w:r>
      <w:proofErr w:type="spellStart"/>
      <w:r w:rsidRPr="00A858F9">
        <w:t>Nextera</w:t>
      </w:r>
      <w:proofErr w:type="spellEnd"/>
      <w:r w:rsidRPr="00A858F9">
        <w:t xml:space="preserve"> XT (Illumina) according to the manufacturer’s instructions and pooled with the aim of producing 1x10</w:t>
      </w:r>
      <w:r w:rsidRPr="00A858F9">
        <w:rPr>
          <w:vertAlign w:val="superscript"/>
        </w:rPr>
        <w:t>6</w:t>
      </w:r>
      <w:r w:rsidRPr="00A858F9">
        <w:t xml:space="preserve"> reads per library. Sequencing libraries were th</w:t>
      </w:r>
      <w:r>
        <w:t>en sequenced with paired-end 76-</w:t>
      </w:r>
      <w:r w:rsidRPr="00A858F9">
        <w:t xml:space="preserve">bp chemistry on the </w:t>
      </w:r>
      <w:proofErr w:type="spellStart"/>
      <w:r w:rsidRPr="00A858F9">
        <w:t>iSeq</w:t>
      </w:r>
      <w:proofErr w:type="spellEnd"/>
      <w:r w:rsidRPr="00A858F9">
        <w:t xml:space="preserve"> or </w:t>
      </w:r>
      <w:proofErr w:type="spellStart"/>
      <w:r w:rsidRPr="00A858F9">
        <w:t>MiniSeq</w:t>
      </w:r>
      <w:proofErr w:type="spellEnd"/>
      <w:r w:rsidRPr="00A858F9">
        <w:t xml:space="preserve"> or </w:t>
      </w:r>
      <w:proofErr w:type="spellStart"/>
      <w:r w:rsidRPr="00A858F9">
        <w:t>NextSeq</w:t>
      </w:r>
      <w:proofErr w:type="spellEnd"/>
      <w:r w:rsidRPr="00A858F9">
        <w:t xml:space="preserve"> (Illumina) platforms.  </w:t>
      </w:r>
    </w:p>
    <w:p w14:paraId="689D2B7D" w14:textId="77777777" w:rsidR="00D7254C" w:rsidRPr="009766E1" w:rsidRDefault="00D7254C" w:rsidP="00D7254C">
      <w:pPr>
        <w:spacing w:line="360" w:lineRule="auto"/>
        <w:ind w:left="-5"/>
        <w:jc w:val="both"/>
        <w:rPr>
          <w:b/>
          <w:bCs/>
          <w:i/>
          <w:iCs/>
        </w:rPr>
      </w:pPr>
    </w:p>
    <w:p w14:paraId="709A560A" w14:textId="77777777" w:rsidR="00D7254C" w:rsidRDefault="00D7254C" w:rsidP="00D7254C">
      <w:pPr>
        <w:spacing w:line="360" w:lineRule="auto"/>
        <w:ind w:left="-5"/>
        <w:jc w:val="both"/>
      </w:pPr>
      <w:r w:rsidRPr="00A858F9">
        <w:rPr>
          <w:b/>
          <w:bCs/>
          <w:i/>
          <w:iCs/>
        </w:rPr>
        <w:t>A</w:t>
      </w:r>
      <w:r>
        <w:rPr>
          <w:b/>
          <w:bCs/>
          <w:i/>
          <w:iCs/>
        </w:rPr>
        <w:t xml:space="preserve">mplicon ONT library preparation. </w:t>
      </w:r>
      <w:r w:rsidRPr="00A858F9">
        <w:t>In parallel</w:t>
      </w:r>
      <w:r>
        <w:t>,</w:t>
      </w:r>
      <w:r w:rsidRPr="00A858F9">
        <w:t xml:space="preserve"> the purified amplicon pools were also used to generate libraries using SQK-RBK004 (Oxford Nanopore Technologies) according to the manufacturer’s instructions, loaded onto a R9.4.1 flow cell. Sequencing was performed on the </w:t>
      </w:r>
      <w:proofErr w:type="spellStart"/>
      <w:r w:rsidRPr="00A858F9">
        <w:t>GridION</w:t>
      </w:r>
      <w:proofErr w:type="spellEnd"/>
      <w:r w:rsidRPr="00A858F9">
        <w:t xml:space="preserve"> platform running </w:t>
      </w:r>
      <w:proofErr w:type="spellStart"/>
      <w:r w:rsidRPr="00A858F9">
        <w:t>MinKNOW</w:t>
      </w:r>
      <w:proofErr w:type="spellEnd"/>
      <w:r w:rsidRPr="00A858F9">
        <w:t xml:space="preserve"> version 21.05.25 with live base-calling on high </w:t>
      </w:r>
      <w:r w:rsidRPr="00A858F9">
        <w:lastRenderedPageBreak/>
        <w:t xml:space="preserve">accuracy mode with demultiplexing enabled (Guppy version 5.0.16). Sequencing run status was monitored on board </w:t>
      </w:r>
      <w:proofErr w:type="spellStart"/>
      <w:r w:rsidRPr="00A858F9">
        <w:t>MinKNOW</w:t>
      </w:r>
      <w:proofErr w:type="spellEnd"/>
      <w:r w:rsidRPr="00A858F9">
        <w:t xml:space="preserve"> and run was terminated after more than 20 MB of passed base-called data was obtained per sample.</w:t>
      </w:r>
    </w:p>
    <w:p w14:paraId="6BE3B298" w14:textId="77777777" w:rsidR="00D7254C" w:rsidRPr="009766E1" w:rsidRDefault="00D7254C" w:rsidP="00D7254C">
      <w:pPr>
        <w:spacing w:line="360" w:lineRule="auto"/>
        <w:ind w:left="-5"/>
        <w:jc w:val="both"/>
        <w:rPr>
          <w:b/>
          <w:bCs/>
          <w:i/>
          <w:iCs/>
        </w:rPr>
      </w:pPr>
    </w:p>
    <w:p w14:paraId="19475FE4" w14:textId="77777777" w:rsidR="00D7254C" w:rsidRDefault="00D7254C" w:rsidP="00D7254C">
      <w:pPr>
        <w:spacing w:line="360" w:lineRule="auto"/>
        <w:ind w:left="-5"/>
        <w:jc w:val="both"/>
      </w:pPr>
      <w:r>
        <w:rPr>
          <w:b/>
          <w:bCs/>
          <w:i/>
          <w:iCs/>
        </w:rPr>
        <w:t>Respiratory viral enrichment using h</w:t>
      </w:r>
      <w:r w:rsidRPr="00A858F9">
        <w:rPr>
          <w:b/>
          <w:bCs/>
          <w:i/>
          <w:iCs/>
        </w:rPr>
        <w:t>ybridisation capture probes</w:t>
      </w:r>
      <w:r>
        <w:rPr>
          <w:b/>
          <w:bCs/>
          <w:i/>
          <w:iCs/>
        </w:rPr>
        <w:t xml:space="preserve">. </w:t>
      </w:r>
      <w:r w:rsidRPr="00A858F9">
        <w:t xml:space="preserve">The cDNA generated prior to whole genome amplification was used as input into the RNA Prep with Enrichment kit (Illumina). Second-strand cDNA synthesis, cDNA </w:t>
      </w:r>
      <w:proofErr w:type="spellStart"/>
      <w:r w:rsidRPr="00A858F9">
        <w:t>tagmentation</w:t>
      </w:r>
      <w:proofErr w:type="spellEnd"/>
      <w:r w:rsidRPr="00A858F9">
        <w:t>, library construction, clean</w:t>
      </w:r>
      <w:r>
        <w:t>-</w:t>
      </w:r>
      <w:r w:rsidRPr="00A858F9">
        <w:t xml:space="preserve">up, and normalization were performed according to manufacturer’s instructions. Individual libraries were then combined in 3-plex reactions for probe hybridization. The Respiratory Viral Oligo panel v2 (Illumina) was used for probe hybridization with the final hybridization step held at 58°C overnight. Hybridized probes were then captured and washed according to manufacturer’s instructions and amplified as follows: initial denaturation 98°C for 30 s, 14 cycles of: 98°C for 10 s, 60°C for 30 s, 72°C for 30 s, and a final 72°C for 5 min. Library quantities and fragment size were determined using a Qubit 1× dsDNA HS assay and Agilent HS </w:t>
      </w:r>
      <w:proofErr w:type="spellStart"/>
      <w:r w:rsidRPr="00A858F9">
        <w:t>Tapestation</w:t>
      </w:r>
      <w:proofErr w:type="spellEnd"/>
      <w:r w:rsidRPr="00A858F9">
        <w:t xml:space="preserve"> and sequenced using 2 × 76-bp runs on the Illumina </w:t>
      </w:r>
      <w:proofErr w:type="spellStart"/>
      <w:r w:rsidRPr="00A858F9">
        <w:t>iSeq</w:t>
      </w:r>
      <w:proofErr w:type="spellEnd"/>
      <w:r w:rsidRPr="00A858F9">
        <w:t xml:space="preserve">. </w:t>
      </w:r>
    </w:p>
    <w:p w14:paraId="62366C3E" w14:textId="77777777" w:rsidR="00D7254C" w:rsidRPr="001A2EBD" w:rsidRDefault="00D7254C" w:rsidP="00D7254C">
      <w:pPr>
        <w:spacing w:line="360" w:lineRule="auto"/>
        <w:ind w:left="-5"/>
        <w:jc w:val="both"/>
        <w:rPr>
          <w:b/>
          <w:bCs/>
          <w:i/>
          <w:iCs/>
        </w:rPr>
      </w:pPr>
    </w:p>
    <w:p w14:paraId="5CE36C20" w14:textId="79A110FA" w:rsidR="00D7254C" w:rsidRDefault="00D7254C" w:rsidP="00D7254C">
      <w:pPr>
        <w:spacing w:line="359" w:lineRule="auto"/>
        <w:ind w:left="-5"/>
        <w:jc w:val="both"/>
      </w:pPr>
      <w:r w:rsidRPr="7339469F">
        <w:rPr>
          <w:b/>
          <w:bCs/>
          <w:i/>
          <w:iCs/>
        </w:rPr>
        <w:t xml:space="preserve">Bioinformatic analysis of Illumina data. </w:t>
      </w:r>
      <w:r w:rsidRPr="7339469F">
        <w:t>Raw sequence data were processed using an in</w:t>
      </w:r>
      <w:r w:rsidRPr="7339469F">
        <w:rPr>
          <w:color w:val="881798"/>
          <w:u w:val="single"/>
        </w:rPr>
        <w:t>-</w:t>
      </w:r>
      <w:r w:rsidRPr="7339469F">
        <w:t>house quality control procedure prior to further analysis as described previously.</w:t>
      </w:r>
      <w:r>
        <w:fldChar w:fldCharType="begin" w:fldLock="1"/>
      </w:r>
      <w:r w:rsidR="00EB17BB">
        <w:instrText>ADDIN CSL_CITATION {"citationItems":[{"id":"ITEM-1","itemData":{"DOI":"10.1038/s41591-020-1000-7","ISSN":"1546170X","PMID":"32647358","abstract":"In January 2020, a novel betacoronavirus (family Coronaviridae), named severe acute respiratory syndrome coronavirus 2 (SARS-CoV-2), was identified as the etiological agent of a cluster of pneumonia cases occurring in Wuhan City, Hubei Province, China1,2. The disease arising from SARS-CoV-2 infection, coronavirus disease 2019 (COVID-19), subsequently spread rapidly causing a worldwide pandemic. Here we examine the added value of near real-time genome sequencing of SARS-CoV-2 in a subpopulation of infected patients during the first 10 weeks of COVID-19 containment in Australia and compare findings from genomic surveillance with predictions of a computational agent-based model (ABM). Using the Australian census data, the ABM generates over 24 million software agents representing the population of Australia, each with demographic attributes of an anonymous individual. It then simulates transmission of the disease over time, spreading from specific infection sources, using contact rates of individuals within different social contexts. We report that the prospective sequencing of SARS-CoV-2 clarified the probable source of infection in cases where epidemiological links could not be determined, significantly decreased the proportion of COVID-19 cases with contentious links, documented genomically similar cases associated with concurrent transmission in several institutions and identified previously unsuspected links. Only a quarter of sequenced cases appeared to be locally acquired and were concordant with predictions from the ABM. These high-resolution genomic data are crucial to track cases with locally acquired COVID-19 and for timely recognition of independent importations once border restrictions are lifted and trade and travel resume.","author":[{"dropping-particle":"","family":"Rockett","given":"Rebecca J","non-dropping-particle":"","parse-names":false,"suffix":""},{"dropping-particle":"","family":"Arnott","given":"Alicia","non-dropping-particle":"","parse-names":false,"suffix":""},{"dropping-particle":"","family":"Lam","given":"Connie","non-dropping-particle":"","parse-names":false,"suffix":""},{"dropping-particle":"","family":"Sadsad","given":"Rosemarie","non-dropping-particle":"","parse-names":false,"suffix":""},{"dropping-particle":"","family":"Timms","given":"Verlaine","non-dropping-particle":"","parse-names":false,"suffix":""},{"dropping-particle":"","family":"Gray","given":"Karen Ann","non-dropping-particle":"","parse-names":false,"suffix":""},{"dropping-particle":"","family":"Eden","given":"John Sebastian","non-dropping-particle":"","parse-names":false,"suffix":""},{"dropping-particle":"","family":"Chang","given":"Sheryl","non-dropping-particle":"","parse-names":false,"suffix":""},{"dropping-particle":"","family":"Gall","given":"Mailie","non-dropping-particle":"","parse-names":false,"suffix":""},{"dropping-particle":"","family":"Draper","given":"Jenny","non-dropping-particle":"","parse-names":false,"suffix":""},{"dropping-particle":"","family":"Sim","given":"Eby M","non-dropping-particle":"","parse-names":false,"suffix":""},{"dropping-particle":"","family":"Bachmann","given":"Nathan L","non-dropping-particle":"","parse-names":false,"suffix":""},{"dropping-particle":"","family":"Carter","given":"Ian","non-dropping-particle":"","parse-names":false,"suffix":""},{"dropping-particle":"","family":"Basile","given":"Kerri","non-dropping-particle":"","parse-names":false,"suffix":""},{"dropping-particle":"","family":"Byun","given":"Roy","non-dropping-particle":"","parse-names":false,"suffix":""},{"dropping-particle":"V.","family":"O’Sullivan","given":"Matthew","non-dropping-particle":"","parse-names":false,"suffix":""},{"dropping-particle":"","family":"Chen","given":"Sharon C-A","non-dropping-particle":"","parse-names":false,"suffix":""},{"dropping-particle":"","family":"Maddocks","given":"Susan","non-dropping-particle":"","parse-names":false,"suffix":""},{"dropping-particle":"","family":"Sorrell","given":"Tania C","non-dropping-particle":"","parse-names":false,"suffix":""},{"dropping-particle":"","family":"Dwyer","given":"Dominic E","non-dropping-particle":"","parse-names":false,"suffix":""},{"dropping-particle":"","family":"Holmes","given":"Edward C","non-dropping-particle":"","parse-names":false,"suffix":""},{"dropping-particle":"","family":"Kok","given":"Jen","non-dropping-particle":"","parse-names":false,"suffix":""},{"dropping-particle":"","family":"Prokopenko","given":"Mikhail","non-dropping-particle":"","parse-names":false,"suffix":""},{"dropping-particle":"","family":"Sintchenko","given":"Vitali","non-dropping-particle":"","parse-names":false,"suffix":""}],"container-title":"Nature Medicine","id":"ITEM-1","issued":{"date-parts":[["2020","7","9"]]},"publisher":"Nat Med","title":"Revealing COVID-19 transmission in Australia by SARS-CoV-2 genome sequencing and agent-based modeling","type":"article-journal"},"uris":["http://www.mendeley.com/documents/?uuid=746b335d-3172-3ed9-9e50-ff75d1463580"]},{"id":"ITEM-2","itemData":{"DOI":"10.1128/JCM.01046-21","ISSN":"1098660X","PMID":"34379527","abstract":"Severe acute respiratory syndrome coronavirus 2 (SARS-CoV-2) genomic surveillance has been vital in understanding the spread of coronavirus disease 2019 (COVID-19), the emergence of viral escape mutants, and variants of concern. However, low viral loads in clinical specimens affect variant calling for phylogenetic analyses and detection of low-frequency variants, important in uncovering infection transmission chains. We systematically evaluated three widely adopted SARS-CoV-2 whole-genome sequencing methods for their sensitivity, specificity, and ability to reliably detect low-frequency variants. Our analyses reveal that the ARTIC v3 protocol consistently displays high sensitivity for generating complete genomes at low viral loads compared with the probe-based Illumina Respiratory Viral Oligo panel and a pooled long-amplicon method. We show substantial variability in the number and location of low-frequency variants detected using the three methods, highlighting the importance of selecting appropriate methods to obtain high-quality sequence data from low-viral-load samples for public health and genomic surveillance purposes.","author":[{"dropping-particle":"","family":"Lam","given":"C.","non-dropping-particle":"","parse-names":false,"suffix":""},{"dropping-particle":"","family":"Gray","given":"K.","non-dropping-particle":"","parse-names":false,"suffix":""},{"dropping-particle":"","family":"Gall","given":"M.","non-dropping-particle":"","parse-names":false,"suffix":""},{"dropping-particle":"","family":"Sadsad","given":"R.","non-dropping-particle":"","parse-names":false,"suffix":""},{"dropping-particle":"","family":"Arnott","given":"A.","non-dropping-particle":"","parse-names":false,"suffix":""},{"dropping-particle":"","family":"Johnson-Mackinnon","given":"J.","non-dropping-particle":"","parse-names":false,"suffix":""},{"dropping-particle":"","family":"Fong","given":"W.","non-dropping-particle":"","parse-names":false,"suffix":""},{"dropping-particle":"","family":"Basile","given":"K.","non-dropping-particle":"","parse-names":false,"suffix":""},{"dropping-particle":"","family":"Kok","given":"J.","non-dropping-particle":"","parse-names":false,"suffix":""},{"dropping-particle":"","family":"Dwyer","given":"D. E.","non-dropping-particle":"","parse-names":false,"suffix":""},{"dropping-particle":"","family":"Sintchenko","given":"V.","non-dropping-particle":"","parse-names":false,"suffix":""},{"dropping-particle":"","family":"Rockett","given":"R. J.","non-dropping-particle":"","parse-names":false,"suffix":""}],"container-title":"Journal of Clinical Microbiology","id":"ITEM-2","issue":"11","issued":{"date-parts":[["2021","10","19"]]},"publisher":"J Clin Microbiol","title":"SARS-CoV-2 Genome Sequencing Methods Differ in Their Abilities to Detect Variants from Low-Viral-Load Samples","type":"article-journal","volume":"59"},"uris":["http://www.mendeley.com/documents/?uuid=d8275ade-48ea-36ab-bc10-035d78a8d72c"]}],"mendeley":{"formattedCitation":"&lt;sup&gt;1,5&lt;/sup&gt;","plainTextFormattedCitation":"1,5","previouslyFormattedCitation":"&lt;sup&gt;1,5&lt;/sup&gt;"},"properties":{"noteIndex":0},"schema":"https://github.com/citation-style-language/schema/raw/master/csl-citation.json"}</w:instrText>
      </w:r>
      <w:r>
        <w:fldChar w:fldCharType="separate"/>
      </w:r>
      <w:r w:rsidR="007E2F1F" w:rsidRPr="007E2F1F">
        <w:rPr>
          <w:noProof/>
          <w:vertAlign w:val="superscript"/>
        </w:rPr>
        <w:t>1,5</w:t>
      </w:r>
      <w:r>
        <w:fldChar w:fldCharType="end"/>
      </w:r>
      <w:r w:rsidRPr="7339469F">
        <w:rPr>
          <w:vertAlign w:val="superscript"/>
        </w:rPr>
        <w:t xml:space="preserve"> </w:t>
      </w:r>
      <w:r w:rsidRPr="7339469F">
        <w:t xml:space="preserve">De-multiplexed reads were quality trimmed using </w:t>
      </w:r>
      <w:proofErr w:type="spellStart"/>
      <w:r w:rsidRPr="7339469F">
        <w:t>Trimmomatic</w:t>
      </w:r>
      <w:proofErr w:type="spellEnd"/>
      <w:r w:rsidRPr="7339469F">
        <w:t xml:space="preserve"> v0.36 (sliding window of 4, minimum read quality score of 20, leading/trailing quality of 5 and minimum length of 36 after trimming).</w:t>
      </w:r>
      <w:r>
        <w:fldChar w:fldCharType="begin" w:fldLock="1"/>
      </w:r>
      <w:r w:rsidR="00EB17BB">
        <w:instrText>ADDIN CSL_CITATION {"citationItems":[{"id":"ITEM-1","itemData":{"DOI":"10.1093/bioinformatics/btu170","ISBN":"1367-4803","ISSN":"14602059","PMID":"24695404","abstract":"MOTIVATION: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data.\\n\\nRESULTS: The value of NGS read preprocessing is demonstrated for both reference-based and reference-free tasks. Trimmomatic is shown to produce output that is at least competitive with, and in many cases superior to, that produced by other tools, in all scenarios tested.\\n\\nAVAILABILITY AND IMPLEMENTATION: Trimmomatic is licensed under GPL V3. It is cross-platform (Java 1.5+ required) and available at http://www.usadellab.org/cms/index.php?page=trimmomatic\\n\\nCONTACT: usadel@bio1.rwth-aachen.de\\n\\nSUPPLEMENTARY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page":"2114-2120","title":"Trimmomatic: A flexible trimmer for Illumina sequence data","type":"article-journal","volume":"30"},"uris":["http://www.mendeley.com/documents/?uuid=c7f64386-0fa0-4640-afdd-59a01a2b3bd6"]}],"mendeley":{"formattedCitation":"&lt;sup&gt;6&lt;/sup&gt;","plainTextFormattedCitation":"6","previouslyFormattedCitation":"&lt;sup&gt;6&lt;/sup&gt;"},"properties":{"noteIndex":0},"schema":"https://github.com/citation-style-language/schema/raw/master/csl-citation.json"}</w:instrText>
      </w:r>
      <w:r>
        <w:fldChar w:fldCharType="separate"/>
      </w:r>
      <w:r w:rsidR="007E2F1F" w:rsidRPr="007E2F1F">
        <w:rPr>
          <w:noProof/>
          <w:vertAlign w:val="superscript"/>
        </w:rPr>
        <w:t>6</w:t>
      </w:r>
      <w:r>
        <w:fldChar w:fldCharType="end"/>
      </w:r>
      <w:r w:rsidRPr="7339469F">
        <w:t xml:space="preserve"> Briefly, reads were mapped to the reference SARS-CoV-2 genome (NCBI GenBank accession MN908947.3) using Burrows-Wheeler Aligner (BWA)-mem version 0.7.17</w:t>
      </w:r>
      <w:r>
        <w:fldChar w:fldCharType="begin" w:fldLock="1"/>
      </w:r>
      <w:r w:rsidR="00EB17BB">
        <w:instrText>ADDIN CSL_CITATION {"citationItems":[{"id":"ITEM-1","itemData":{"DOI":"10.1093/bioinformatics/btp324","ISSN":"1367-4803","PMID":"19451168","abstract":"MOTIVATION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 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approximately 10-20x faster than MAQ, while achieving similar accuracy. In addition, BWA outputs alignment in the new standard SAM (Sequence Alignment/Map) format. Variant calling and other downstream analyses after the alignment can be achieved with the open source SAMtools software package. AVAILABILITY http://maq.sourceforge.net.","author":[{"dropping-particle":"","family":"Li","given":"H.","non-dropping-particle":"","parse-names":false,"suffix":""},{"dropping-particle":"","family":"Durbin","given":"R.","non-dropping-particle":"","parse-names":false,"suffix":""}],"container-title":"Bioinformatics","id":"ITEM-1","issue":"14","issued":{"date-parts":[["2009","7","15"]]},"page":"1754-1760","title":"Fast and accurate short read alignment with Burrows-Wheeler transform","type":"article-journal","volume":"25"},"uris":["http://www.mendeley.com/documents/?uuid=a8cc2d65-d734-378c-96c7-aec5976b421b"]}],"mendeley":{"formattedCitation":"&lt;sup&gt;7&lt;/sup&gt;","plainTextFormattedCitation":"7","previouslyFormattedCitation":"&lt;sup&gt;7&lt;/sup&gt;"},"properties":{"noteIndex":0},"schema":"https://github.com/citation-style-language/schema/raw/master/csl-citation.json"}</w:instrText>
      </w:r>
      <w:r>
        <w:fldChar w:fldCharType="separate"/>
      </w:r>
      <w:r w:rsidR="007E2F1F" w:rsidRPr="007E2F1F">
        <w:rPr>
          <w:noProof/>
          <w:vertAlign w:val="superscript"/>
        </w:rPr>
        <w:t>7</w:t>
      </w:r>
      <w:r>
        <w:fldChar w:fldCharType="end"/>
      </w:r>
      <w:r w:rsidRPr="7339469F">
        <w:t>, with unmapped reads discarded. Average genome coverage was estimated by determining the number of missing bases (Ns) in each sequenced genome. For amplicon generated reads variant calling and the generation of consensus sequences was conducted using iVar</w:t>
      </w:r>
      <w:r>
        <w:fldChar w:fldCharType="begin" w:fldLock="1"/>
      </w:r>
      <w:r w:rsidR="00EB17BB">
        <w:instrText>ADDIN CSL_CITATION {"citationItems":[{"id":"ITEM-1","itemData":{"DOI":"10.1186/s13059-018-1618-7","ISSN":"1474760X","PMID":"30621750","abstract":"How viruses evolve within hosts can dictate infection outcomes; however, reconstructing this process is challenging. We evaluate our multiplexed amplicon approach, PrimalSeq, to demonstrate how virus concentration, sequencing coverage, primer mismatches, and replicates influence the accuracy of measuring intrahost virus diversity. We develop an experimental protocol and computational tool, iVar, for using PrimalSeq to measure virus diversity using Illumina and compare the results to Oxford Nanopore sequencing. We demonstrate the utility of PrimalSeq by measuring Zika and West Nile virus diversity from varied sample types and show that the accumulation of genetic diversity is influenced by experimental and biological systems.","author":[{"dropping-particle":"","family":"Grubaugh","given":"Nathan D.","non-dropping-particle":"","parse-names":false,"suffix":""},{"dropping-particle":"","family":"Gangavarapu","given":"Karthik","non-dropping-particle":"","parse-names":false,"suffix":""},{"dropping-particle":"","family":"Quick","given":"Joshua","non-dropping-particle":"","parse-names":false,"suffix":""},{"dropping-particle":"","family":"Matteson","given":"Nathaniel L.","non-dropping-particle":"","parse-names":false,"suffix":""},{"dropping-particle":"","family":"Jesus","given":"Jaqueline Goes","non-dropping-particle":"De","parse-names":false,"suffix":""},{"dropping-particle":"","family":"Main","given":"Bradley J.","non-dropping-particle":"","parse-names":false,"suffix":""},{"dropping-particle":"","family":"Tan","given":"Amanda L.","non-dropping-particle":"","parse-names":false,"suffix":""},{"dropping-particle":"","family":"Paul","given":"Lauren M.","non-dropping-particle":"","parse-names":false,"suffix":""},{"dropping-particle":"","family":"Brackney","given":"Doug E.","non-dropping-particle":"","parse-names":false,"suffix":""},{"dropping-particle":"","family":"Grewal","given":"Saran","non-dropping-particle":"","parse-names":false,"suffix":""},{"dropping-particle":"","family":"Gurfield","given":"Nikos","non-dropping-particle":"","parse-names":false,"suffix":""},{"dropping-particle":"","family":"Rompay","given":"Koen K.A.","non-dropping-particle":"Van","parse-names":false,"suffix":""},{"dropping-particle":"","family":"Isern","given":"Sharon","non-dropping-particle":"","parse-names":false,"suffix":""},{"dropping-particle":"","family":"Michael","given":"Scott F.","non-dropping-particle":"","parse-names":false,"suffix":""},{"dropping-particle":"","family":"Coffey","given":"Lark L.","non-dropping-particle":"","parse-names":false,"suffix":""},{"dropping-particle":"","family":"Loman","given":"Nicholas J.","non-dropping-particle":"","parse-names":false,"suffix":""},{"dropping-particle":"","family":"Andersen","given":"Kristian G.","non-dropping-particle":"","parse-names":false,"suffix":""}],"container-title":"Genome Biology","id":"ITEM-1","issue":"1","issued":{"date-parts":[["2019","1","8"]]},"page":"8","publisher":"BioMed Central Ltd.","title":"An amplicon-based sequencing framework for accurately measuring intrahost virus diversity using PrimalSeq and iVar","type":"article-journal","volume":"20"},"uris":["http://www.mendeley.com/documents/?uuid=6050ee18-d626-3fe7-a15e-5b137db7ed34"]}],"mendeley":{"formattedCitation":"&lt;sup&gt;8&lt;/sup&gt;","plainTextFormattedCitation":"8","previouslyFormattedCitation":"&lt;sup&gt;8&lt;/sup&gt;"},"properties":{"noteIndex":0},"schema":"https://github.com/citation-style-language/schema/raw/master/csl-citation.json"}</w:instrText>
      </w:r>
      <w:r>
        <w:fldChar w:fldCharType="separate"/>
      </w:r>
      <w:r w:rsidR="007E2F1F" w:rsidRPr="007E2F1F">
        <w:rPr>
          <w:noProof/>
          <w:vertAlign w:val="superscript"/>
        </w:rPr>
        <w:t>8</w:t>
      </w:r>
      <w:r>
        <w:fldChar w:fldCharType="end"/>
      </w:r>
      <w:r w:rsidRPr="7339469F">
        <w:t>, with soft clipping over primer regions (version 1.2.1, min. read depth &gt;10x, quality &gt;20, min frequency threshold of 0.1). Single nucleotide polymorphisms (SNP) were defined based on an alternative frequency &gt;0.75 whereas Minority allele Frequency Variants (MFV) were defined by an alternative frequency between 0.1 and 0.75</w:t>
      </w:r>
      <w:r w:rsidR="00585786">
        <w:t xml:space="preserve"> and verified using manual inspection of bam files</w:t>
      </w:r>
      <w:r w:rsidRPr="7339469F">
        <w:t>. Variants falling in the 5’ and 3’UTR regions were excluded. Polymorphic sites that have previously been highlighted as problematic were monitored.</w:t>
      </w:r>
      <w:r>
        <w:fldChar w:fldCharType="begin" w:fldLock="1"/>
      </w:r>
      <w:r w:rsidR="00EB17BB">
        <w:instrText>ADDIN CSL_CITATION {"citationItems":[{"id":"ITEM-1","itemData":{"DOI":"10.1371/JOURNAL.PGEN.1009175","ISSN":"1553-7404","PMID":"33206635","abstract":"The SARS-CoV-2 pandemic has led to unprecedented, nearly real-time genetic tracing due to the rapid community sequencing response. Researchers immediately leveraged these data to infer the evolutionary relationships among viral samples and to study key biological questions, including whether host viral genome editing and recombination are features of SARS-CoV-2 evolution. This global sequencing effort is inherently decentralized and must rely on data collected by many labs using a wide variety of molecular and bioinformatic techniques. There is thus a strong possibility that systematic errors associated with lab—or protocol—specific practices affect some sequences in the repositories. We find that some recurrent mutations in reported SARS-CoV-2 genome sequences have been observed predominantly or exclusively by single labs, co-localize with commonly used primer binding sites and are more likely to affect the protein-coding sequences than other similarly recurrent mutations. We show that their inclusion can affect phylogenetic inference on scales relevant to local lineage tracing, and make it appear as though there has been an excess of recurrent mutation or recombination among viral lineages. We suggest how samples can be screened and problematic variants removed, and we plan to regularly inform the scientific community with our updated results as more SARS-CoV-2 genome sequences are shared (https://virological.org/t/issues-with-sars-cov-2-sequencing-data/473 and https://virological.org/t/masking-strategies-for-sars-cov-2-alignments/480). We also develop tools for comparing and visualizing differences among very large phylogenies and we show that consistent clade- and tree-based comparisons can be made between phylogenies produced by different groups. These will facilitate evolutionary inferences and comparisons among phylogenies produced for a wide array of purposes. Building on the SARS-CoV-2 Genome Browser at UCSC, we present a toolkit to compare, analyze and combine SARS-CoV-2 phylogenies, find and remove potential sequencing errors and establish a widely shared, stable clade structure for a more accurate scientific inference and discourse.","author":[{"dropping-particle":"","family":"Turakhia","given":"Yatish","non-dropping-particle":"","parse-names":false,"suffix":""},{"dropping-particle":"","family":"Maio","given":"Nicola","non-dropping-particle":"de","parse-names":false,"suffix":""},{"dropping-particle":"","family":"Thornlow","given":"Bryan","non-dropping-particle":"","parse-names":false,"suffix":""},{"dropping-particle":"","family":"Gozashti","given":"Landen","non-dropping-particle":"","parse-names":false,"suffix":""},{"dropping-particle":"","family":"Lanfear","given":"Robert","non-dropping-particle":"","parse-names":false,"suffix":""},{"dropping-particle":"","family":"Walker","given":"Conor R.","non-dropping-particle":"","parse-names":false,"suffix":""},{"dropping-particle":"","family":"Hinrichs","given":"Angie S.","non-dropping-particle":"","parse-names":false,"suffix":""},{"dropping-particle":"","family":"Fernandes","given":"Jason D.","non-dropping-particle":"","parse-names":false,"suffix":""},{"dropping-particle":"","family":"Borges","given":"Rui","non-dropping-particle":"","parse-names":false,"suffix":""},{"dropping-particle":"","family":"Slodkowicz","given":"Greg","non-dropping-particle":"","parse-names":false,"suffix":""},{"dropping-particle":"","family":"Weilguny","given":"Lukas","non-dropping-particle":"","parse-names":false,"suffix":""},{"dropping-particle":"","family":"Haussler","given":"David","non-dropping-particle":"","parse-names":false,"suffix":""},{"dropping-particle":"","family":"Goldman","given":"Nick","non-dropping-particle":"","parse-names":false,"suffix":""},{"dropping-particle":"","family":"Corbett-Detig","given":"Russell","non-dropping-particle":"","parse-names":false,"suffix":""}],"container-title":"PLOS Genetics","id":"ITEM-1","issue":"11","issued":{"date-parts":[["2020","11","18"]]},"page":"e1009175","publisher":"Public Library of Science","title":"Stability of SARS-CoV-2 phylogenies","type":"article-journal","volume":"16"},"uris":["http://www.mendeley.com/documents/?uuid=a2d7dc98-c90a-3826-aa87-c85d556669c6"]}],"mendeley":{"formattedCitation":"&lt;sup&gt;9&lt;/sup&gt;","plainTextFormattedCitation":"9","previouslyFormattedCitation":"&lt;sup&gt;9&lt;/sup&gt;"},"properties":{"noteIndex":0},"schema":"https://github.com/citation-style-language/schema/raw/master/csl-citation.json"}</w:instrText>
      </w:r>
      <w:r>
        <w:fldChar w:fldCharType="separate"/>
      </w:r>
      <w:r w:rsidR="007E2F1F" w:rsidRPr="007E2F1F">
        <w:rPr>
          <w:noProof/>
          <w:vertAlign w:val="superscript"/>
        </w:rPr>
        <w:t>9</w:t>
      </w:r>
      <w:r>
        <w:fldChar w:fldCharType="end"/>
      </w:r>
      <w:r w:rsidRPr="7339469F">
        <w:t xml:space="preserve"> To ensure the accuracy of variant calls only high-quality genomes with &gt;90% genome coverage and a mean depth of &gt;100x were included. The MFV calls were excluded in the base pair either side of the 5’ or 3'-end of indels due to potential mis-mapping. </w:t>
      </w:r>
      <w:r w:rsidR="00533F0D">
        <w:t xml:space="preserve">Host reads were removed from FASTQ files before being uploaded to </w:t>
      </w:r>
      <w:r w:rsidR="00533F0D">
        <w:lastRenderedPageBreak/>
        <w:t xml:space="preserve">SRA. </w:t>
      </w:r>
      <w:r w:rsidRPr="7339469F">
        <w:t xml:space="preserve">SARS-CoV-2 lineages were inferred using Phylogenetic Assignment of Named Global Outbreak </w:t>
      </w:r>
      <w:proofErr w:type="spellStart"/>
      <w:r w:rsidRPr="7339469F">
        <w:t>LINeages</w:t>
      </w:r>
      <w:proofErr w:type="spellEnd"/>
      <w:r w:rsidRPr="7339469F">
        <w:t xml:space="preserve"> v1.2.86 (PANGO and PLEARN).</w:t>
      </w:r>
      <w:r>
        <w:fldChar w:fldCharType="begin" w:fldLock="1"/>
      </w:r>
      <w:r w:rsidR="00EB17BB">
        <w:instrText>ADDIN CSL_CITATION {"citationItems":[{"id":"ITEM-1","itemData":{"DOI":"10.1093/VE/VEAB064","ISSN":"20571577","abstract":"The response of the global virus genomics community to the severe acute respiratory syndrome coronavirus 2 (SARS-CoV-2) pandemic has been unprecedented, with significant advances made towards the ‘real-time’ generation and sharing of SARS-CoV-2 genomic data. The rapid growth in virus genome data production has necessitated the development of new analytical methods that can deal with orders of magnitude of more genomes than previously available. Here, we present and describe Phylogenetic Assignment of Named Global Outbreak Lineages (pangolin), a computational tool that has been developed to assign the most likely lineage to a given SARSCoV-2 genome sequence according to the Pango dynamic lineage nomenclature scheme. To date, nearly two million virus genomes have been submitted to the web-application implementation of pangolin, which has facilitated the SARS-CoV-2 genomic epidemiology and provided researchers with access to actionable information about the pandemic’s transmission lineages.","author":[{"dropping-particle":"","family":"O’Toole","given":"Áine","non-dropping-particle":"","parse-names":false,"suffix":""},{"dropping-particle":"","family":"Scher","given":"Emily","non-dropping-particle":"","parse-names":false,"suffix":""},{"dropping-particle":"","family":"Underwood","given":"Anthony","non-dropping-particle":"","parse-names":false,"suffix":""},{"dropping-particle":"","family":"Jackson","given":"Ben","non-dropping-particle":"","parse-names":false,"suffix":""},{"dropping-particle":"","family":"Hill","given":"Verity","non-dropping-particle":"","parse-names":false,"suffix":""},{"dropping-particle":"","family":"McCrone","given":"John T.","non-dropping-particle":"","parse-names":false,"suffix":""},{"dropping-particle":"","family":"Colquhoun","given":"Rachel","non-dropping-particle":"","parse-names":false,"suffix":""},{"dropping-particle":"","family":"Ruis","given":"Chris","non-dropping-particle":"","parse-names":false,"suffix":""},{"dropping-particle":"","family":"Abu-Dahab","given":"Khalil","non-dropping-particle":"","parse-names":false,"suffix":""},{"dropping-particle":"","family":"Taylor","given":"Ben","non-dropping-particle":"","parse-names":false,"suffix":""},{"dropping-particle":"","family":"Yeats","given":"Corin","non-dropping-particle":"","parse-names":false,"suffix":""},{"dropping-particle":"","family":"Plessis","given":"Louis","non-dropping-particle":"du","parse-names":false,"suffix":""},{"dropping-particle":"","family":"Maloney","given":"Daniel","non-dropping-particle":"","parse-names":false,"suffix":""},{"dropping-particle":"","family":"Medd","given":"Nathan","non-dropping-particle":"","parse-names":false,"suffix":""},{"dropping-particle":"","family":"Attwood","given":"Stephen W.","non-dropping-particle":"","parse-names":false,"suffix":""},{"dropping-particle":"","family":"Aanensen","given":"David M.","non-dropping-particle":"","parse-names":false,"suffix":""},{"dropping-particle":"","family":"Holmes","given":"Edward C.","non-dropping-particle":"","parse-names":false,"suffix":""},{"dropping-particle":"","family":"Pybus","given":"Oliver G.","non-dropping-particle":"","parse-names":false,"suffix":""},{"dropping-particle":"","family":"Rambaut","given":"Andrew","non-dropping-particle":"","parse-names":false,"suffix":""}],"container-title":"Virus Evolution","id":"ITEM-1","issue":"2","issued":{"date-parts":[["2021","11","30"]]},"publisher":"Oxford Academic","title":"Assignment of epidemiological lineages in an emerging pandemic using the pangolin tool","type":"article-journal","volume":"7"},"uris":["http://www.mendeley.com/documents/?uuid=2665fd99-37f4-3b67-b476-48fabb55fbf1"]},{"id":"ITEM-2","itemData":{"DOI":"10.1101/2020.04.17.046086","ISSN":"26928205","abstract":"The ongoing pandemic spread of a novel human coronavirus, SARS-COV-2, associated with severe pneumonia disease (COVID-19), has resulted in the generation of thousands of virus genome sequences. The rate of genome generation is unprecedented, yet there is currently no coherent nor accepted scheme for naming the expanding phylogenetic diversity of SARS-CoV-2. We present a rational and dynamic virus nomenclature that uses a phylogenetic framework to identify those lineages that contribute most to active spread. Our system is made tractable by constraining the number and depth of hierarchical lineage labels and by flagging and declassifying virus lineages that become unobserved and hence are likely inactive. By focusing on active virus lineages and those spreading to new locations this nomenclature will assist in tracking and understanding the patterns and determinants of the global spread of SARS-CoV-2.","author":[{"dropping-particle":"","family":"Rambaut","given":"Andrew","non-dropping-particle":"","parse-names":false,"suffix":""},{"dropping-particle":"","family":"Holmes","given":"Edward C","non-dropping-particle":"","parse-names":false,"suffix":""},{"dropping-particle":"","family":"Hill","given":"Verity","non-dropping-particle":"","parse-names":false,"suffix":""},{"dropping-particle":"","family":"O’Toole","given":"Áine","non-dropping-particle":"","parse-names":false,"suffix":""},{"dropping-particle":"","family":"McCrone","given":"J. T.","non-dropping-particle":"","parse-names":false,"suffix":""},{"dropping-particle":"","family":"Ruis","given":"Chris","non-dropping-particle":"","parse-names":false,"suffix":""},{"dropping-particle":"","family":"Plessis","given":"Louis","non-dropping-particle":"du","parse-names":false,"suffix":""},{"dropping-particle":"","family":"Pybus","given":"Oliver G","non-dropping-particle":"","parse-names":false,"suffix":""}],"container-title":"bioRxiv","id":"ITEM-2","issued":{"date-parts":[["2020"]]},"title":"A dynamic nomenclature proposal for SARS-CoV-2 to assist genomic epidemiology","type":"article"},"uris":["http://www.mendeley.com/documents/?uuid=d1aaee05-f445-3bb1-aedd-be371ea6e2fb"]}],"mendeley":{"formattedCitation":"&lt;sup&gt;10,11&lt;/sup&gt;","plainTextFormattedCitation":"10,11","previouslyFormattedCitation":"&lt;sup&gt;10,11&lt;/sup&gt;"},"properties":{"noteIndex":0},"schema":"https://github.com/citation-style-language/schema/raw/master/csl-citation.json"}</w:instrText>
      </w:r>
      <w:r>
        <w:fldChar w:fldCharType="separate"/>
      </w:r>
      <w:r w:rsidR="007E2F1F" w:rsidRPr="007E2F1F">
        <w:rPr>
          <w:noProof/>
          <w:vertAlign w:val="superscript"/>
        </w:rPr>
        <w:t>10,11</w:t>
      </w:r>
      <w:r>
        <w:fldChar w:fldCharType="end"/>
      </w:r>
      <w:r w:rsidRPr="7339469F">
        <w:t xml:space="preserve"> </w:t>
      </w:r>
    </w:p>
    <w:p w14:paraId="1BB7ED28" w14:textId="77777777" w:rsidR="00D7254C" w:rsidRDefault="00D7254C" w:rsidP="00D7254C">
      <w:pPr>
        <w:spacing w:line="359" w:lineRule="auto"/>
        <w:ind w:left="-5"/>
        <w:jc w:val="both"/>
        <w:rPr>
          <w:b/>
          <w:bCs/>
          <w:i/>
          <w:iCs/>
        </w:rPr>
      </w:pPr>
    </w:p>
    <w:p w14:paraId="7A11CFB9" w14:textId="235BCA4C" w:rsidR="00D7254C" w:rsidRDefault="00D7254C" w:rsidP="00D7254C">
      <w:pPr>
        <w:spacing w:line="359" w:lineRule="auto"/>
        <w:ind w:left="-5"/>
        <w:jc w:val="both"/>
      </w:pPr>
      <w:r w:rsidRPr="7339469F">
        <w:rPr>
          <w:b/>
          <w:bCs/>
          <w:i/>
          <w:iCs/>
        </w:rPr>
        <w:t xml:space="preserve">Bioinformatic analysis of ONT data. </w:t>
      </w:r>
      <w:r w:rsidRPr="7339469F">
        <w:t xml:space="preserve">Quality control and consensus sequence were generated post run using the </w:t>
      </w:r>
      <w:proofErr w:type="spellStart"/>
      <w:r w:rsidRPr="7339469F">
        <w:t>wf</w:t>
      </w:r>
      <w:proofErr w:type="spellEnd"/>
      <w:r w:rsidRPr="7339469F">
        <w:t>-artic workflow version 0.3.9 (</w:t>
      </w:r>
      <w:hyperlink r:id="rId7">
        <w:r w:rsidRPr="7339469F">
          <w:rPr>
            <w:rStyle w:val="Hyperlink"/>
          </w:rPr>
          <w:t>https://github.com/epi2me-labs/wf-artic</w:t>
        </w:r>
      </w:hyperlink>
      <w:r w:rsidRPr="7339469F">
        <w:t xml:space="preserve">). To determine and quantify positional heterozygosity, mapping files generated by the </w:t>
      </w:r>
      <w:proofErr w:type="spellStart"/>
      <w:r w:rsidRPr="7339469F">
        <w:t>wf</w:t>
      </w:r>
      <w:proofErr w:type="spellEnd"/>
      <w:r w:rsidRPr="7339469F">
        <w:t>-artic workflow were visualised on the Integrative Genomics Viewer</w:t>
      </w:r>
      <w:r>
        <w:fldChar w:fldCharType="begin" w:fldLock="1"/>
      </w:r>
      <w:r w:rsidR="00EB17BB">
        <w:instrText>ADDIN CSL_CITATION {"citationItems":[{"id":"ITEM-1","itemData":{"DOI":"10.1093/BIB/BBS017","ISSN":"1477-4054","PMID":"22517427","abstract":"Data visualization is an essential component of genomic data analysis. However, the size and diversity of the data sets produced by today's sequencing and array-based profiling methods present major challenges to visualization tools. The Integrative Genomics Viewer (IGV) is a high-performance viewer that efficiently handles large heterogeneous data sets, while providing a smooth and intuitive user experience at all levels of genome resolution. A key characteristic of IGV is its focus on the integrative nature of genomic studies, with support for both array-based and next-generation sequencing data, and the integration of clinical and phenotypic data. Although IGV is often used to view genomic data from public sources, its primary emphasis is to support researchers who wish to visualize and explore their own data sets or those from colleagues. To that end, IGV supports flexible loading of local and remote data sets, and is optimized to provide high-performance data visualization and exploration on standard desktop systems. © The Author(s) 2012. Published by Oxford University Press.","author":[{"dropping-particle":"","family":"Thorvaldsdóttir","given":"Helga","non-dropping-particle":"","parse-names":false,"suffix":""},{"dropping-particle":"","family":"Robinson","given":"James T.","non-dropping-particle":"","parse-names":false,"suffix":""},{"dropping-particle":"","family":"Mesirov","given":"Jill P.","non-dropping-particle":"","parse-names":false,"suffix":""}],"container-title":"Briefings in bioinformatics","id":"ITEM-1","issue":"2","issued":{"date-parts":[["2013","3"]]},"page":"178-192","publisher":"Brief Bioinform","title":"Integrative Genomics Viewer (IGV): high-performance genomics data visualization and exploration","type":"article-journal","volume":"14"},"uris":["http://www.mendeley.com/documents/?uuid=cfd5c84d-72db-3d7d-9a17-5ea218520765"]}],"mendeley":{"formattedCitation":"&lt;sup&gt;12&lt;/sup&gt;","plainTextFormattedCitation":"12","previouslyFormattedCitation":"&lt;sup&gt;12&lt;/sup&gt;"},"properties":{"noteIndex":0},"schema":"https://github.com/citation-style-language/schema/raw/master/csl-citation.json"}</w:instrText>
      </w:r>
      <w:r>
        <w:fldChar w:fldCharType="separate"/>
      </w:r>
      <w:r w:rsidR="007E2F1F" w:rsidRPr="007E2F1F">
        <w:rPr>
          <w:noProof/>
          <w:vertAlign w:val="superscript"/>
        </w:rPr>
        <w:t>12</w:t>
      </w:r>
      <w:r>
        <w:fldChar w:fldCharType="end"/>
      </w:r>
      <w:r w:rsidRPr="7339469F">
        <w:t xml:space="preserve"> version 2.8.6 and parsed using bam-</w:t>
      </w:r>
      <w:proofErr w:type="spellStart"/>
      <w:r w:rsidRPr="7339469F">
        <w:t>readcount</w:t>
      </w:r>
      <w:proofErr w:type="spellEnd"/>
      <w:r w:rsidRPr="7339469F">
        <w:t xml:space="preserve"> version 1.0.1 (</w:t>
      </w:r>
      <w:hyperlink r:id="rId8">
        <w:r w:rsidRPr="7339469F">
          <w:rPr>
            <w:rStyle w:val="Hyperlink"/>
          </w:rPr>
          <w:t>https://github.com/genome/bam-readcount</w:t>
        </w:r>
      </w:hyperlink>
      <w:r w:rsidRPr="7339469F">
        <w:t>).</w:t>
      </w:r>
    </w:p>
    <w:p w14:paraId="185AF541" w14:textId="77777777" w:rsidR="00D7254C" w:rsidRDefault="00D7254C" w:rsidP="00D7254C">
      <w:pPr>
        <w:spacing w:line="356" w:lineRule="auto"/>
        <w:ind w:left="-5"/>
        <w:rPr>
          <w:b/>
          <w:bCs/>
          <w:i/>
          <w:iCs/>
          <w:color w:val="000000" w:themeColor="text1"/>
        </w:rPr>
      </w:pPr>
    </w:p>
    <w:p w14:paraId="747F7AA1" w14:textId="77777777" w:rsidR="00D7254C" w:rsidRDefault="00D7254C" w:rsidP="00D7254C">
      <w:pPr>
        <w:spacing w:line="356" w:lineRule="auto"/>
        <w:ind w:left="-5"/>
        <w:jc w:val="both"/>
        <w:rPr>
          <w:color w:val="000000" w:themeColor="text1"/>
        </w:rPr>
      </w:pPr>
      <w:r w:rsidRPr="7339469F">
        <w:rPr>
          <w:b/>
          <w:bCs/>
          <w:i/>
          <w:iCs/>
          <w:color w:val="000000" w:themeColor="text1"/>
        </w:rPr>
        <w:t>Amplification bias in co-infection cases</w:t>
      </w:r>
      <w:r>
        <w:rPr>
          <w:b/>
          <w:bCs/>
          <w:i/>
          <w:iCs/>
          <w:color w:val="000000" w:themeColor="text1"/>
        </w:rPr>
        <w:t xml:space="preserve">. </w:t>
      </w:r>
      <w:r w:rsidRPr="7339469F">
        <w:rPr>
          <w:color w:val="000000" w:themeColor="text1"/>
        </w:rPr>
        <w:t>Consensus and minority allele frequency variants were collated over constellations of mutations that define the SARS-CoV-2 lineages B.1.617.2 (Delta) and BA.1 (Omicron) for each genome investigated (</w:t>
      </w:r>
      <w:hyperlink r:id="rId9">
        <w:r w:rsidRPr="7339469F">
          <w:rPr>
            <w:rStyle w:val="Hyperlink"/>
          </w:rPr>
          <w:t>https://github.com/cov-lineages/constellations/blob/main/constellations/</w:t>
        </w:r>
      </w:hyperlink>
      <w:r w:rsidRPr="7339469F">
        <w:rPr>
          <w:color w:val="000000" w:themeColor="text1"/>
        </w:rPr>
        <w:t xml:space="preserve">). This included 10 unique genomic locations that define Delta </w:t>
      </w:r>
      <w:r>
        <w:rPr>
          <w:color w:val="000000" w:themeColor="text1"/>
        </w:rPr>
        <w:t>(</w:t>
      </w:r>
      <w:r w:rsidRPr="7339469F">
        <w:rPr>
          <w:color w:val="000000" w:themeColor="text1"/>
        </w:rPr>
        <w:t>B.1.617.2</w:t>
      </w:r>
      <w:r>
        <w:rPr>
          <w:color w:val="000000" w:themeColor="text1"/>
        </w:rPr>
        <w:t xml:space="preserve">) </w:t>
      </w:r>
      <w:r w:rsidRPr="7339469F">
        <w:rPr>
          <w:color w:val="000000" w:themeColor="text1"/>
        </w:rPr>
        <w:t>(</w:t>
      </w:r>
      <w:proofErr w:type="gramStart"/>
      <w:r w:rsidRPr="7339469F">
        <w:rPr>
          <w:color w:val="000000" w:themeColor="text1"/>
        </w:rPr>
        <w:t>S:T</w:t>
      </w:r>
      <w:proofErr w:type="gramEnd"/>
      <w:r w:rsidRPr="7339469F">
        <w:rPr>
          <w:color w:val="000000" w:themeColor="text1"/>
        </w:rPr>
        <w:t>19R, S:L452R, S:P681R, ORF3a:S26L, M:I82T, ORF7a:V82A, ORF7a:T120I, N:D63G, N:R203M, N:D377Y)</w:t>
      </w:r>
      <w:r>
        <w:rPr>
          <w:color w:val="000000" w:themeColor="text1"/>
        </w:rPr>
        <w:t>. M</w:t>
      </w:r>
      <w:r w:rsidRPr="7339469F">
        <w:rPr>
          <w:color w:val="000000" w:themeColor="text1"/>
        </w:rPr>
        <w:t>utations that co-exist in BA.1 were not included (</w:t>
      </w:r>
      <w:proofErr w:type="gramStart"/>
      <w:r w:rsidRPr="7339469F">
        <w:rPr>
          <w:color w:val="000000" w:themeColor="text1"/>
        </w:rPr>
        <w:t>S:G</w:t>
      </w:r>
      <w:proofErr w:type="gramEnd"/>
      <w:r w:rsidRPr="7339469F">
        <w:rPr>
          <w:color w:val="000000" w:themeColor="text1"/>
        </w:rPr>
        <w:t>142D, S:T478K, S:D950N).  In addition to 17 polymorphisms that define the dominant Omicron lineage BA.1 (orf1</w:t>
      </w:r>
      <w:proofErr w:type="gramStart"/>
      <w:r w:rsidRPr="7339469F">
        <w:rPr>
          <w:color w:val="000000" w:themeColor="text1"/>
        </w:rPr>
        <w:t>ab:K</w:t>
      </w:r>
      <w:proofErr w:type="gramEnd"/>
      <w:r w:rsidRPr="7339469F">
        <w:rPr>
          <w:color w:val="000000" w:themeColor="text1"/>
        </w:rPr>
        <w:t xml:space="preserve">856R, del:6513:3, nuc:T5386G, orf1ab:A2710T, orf1ab:I3758V, nuc:C15240T, S:A67V, del:21765:6, del:21987:9, del:22194:3, nuc:22205+GAGCCAGAA, S:S371L, S:G446S, S:G496S, S:T547K, S:N856K, S:L981F, M:D3G) mutations that co-exist in B.1.617.2 where not included (S:T95I). Alternative read frequencies over each polymorphism were compared using all three sequencing techniques and between sampling timepoint of each case. </w:t>
      </w:r>
    </w:p>
    <w:p w14:paraId="59905F48" w14:textId="77777777" w:rsidR="00D7254C" w:rsidRPr="00A858F9" w:rsidRDefault="00D7254C" w:rsidP="00D7254C">
      <w:pPr>
        <w:spacing w:line="356" w:lineRule="auto"/>
        <w:ind w:left="-5"/>
        <w:jc w:val="both"/>
        <w:rPr>
          <w:color w:val="000000" w:themeColor="text1"/>
        </w:rPr>
      </w:pPr>
    </w:p>
    <w:p w14:paraId="12A44379" w14:textId="3519230F" w:rsidR="00D7254C" w:rsidRDefault="00D7254C" w:rsidP="00D7254C">
      <w:pPr>
        <w:spacing w:line="359" w:lineRule="auto"/>
        <w:ind w:left="-5"/>
        <w:jc w:val="both"/>
      </w:pPr>
      <w:r w:rsidRPr="7339469F">
        <w:rPr>
          <w:b/>
          <w:bCs/>
          <w:i/>
          <w:iCs/>
          <w:color w:val="000000" w:themeColor="text1"/>
        </w:rPr>
        <w:t xml:space="preserve">Phylogenetic </w:t>
      </w:r>
      <w:r>
        <w:rPr>
          <w:b/>
          <w:bCs/>
          <w:i/>
          <w:iCs/>
          <w:color w:val="000000" w:themeColor="text1"/>
        </w:rPr>
        <w:t>analysis</w:t>
      </w:r>
      <w:r w:rsidRPr="7339469F">
        <w:rPr>
          <w:b/>
          <w:bCs/>
          <w:i/>
          <w:iCs/>
          <w:color w:val="000000" w:themeColor="text1"/>
        </w:rPr>
        <w:t xml:space="preserve"> of reconstructed strains. </w:t>
      </w:r>
      <w:r w:rsidRPr="7339469F">
        <w:rPr>
          <w:color w:val="000000" w:themeColor="text1"/>
        </w:rPr>
        <w:t>Representative SARS-CoV-2 genomes collected between December</w:t>
      </w:r>
      <w:r w:rsidRPr="7339469F">
        <w:rPr>
          <w:color w:val="201E1E"/>
        </w:rPr>
        <w:t xml:space="preserve"> 2020 and 31</w:t>
      </w:r>
      <w:r w:rsidRPr="7339469F">
        <w:rPr>
          <w:color w:val="201E1E"/>
          <w:vertAlign w:val="superscript"/>
        </w:rPr>
        <w:t>st</w:t>
      </w:r>
      <w:r w:rsidRPr="7339469F">
        <w:rPr>
          <w:color w:val="201E1E"/>
        </w:rPr>
        <w:t xml:space="preserve"> December 2022 (n=1,300, ≥27,000</w:t>
      </w:r>
      <w:r>
        <w:rPr>
          <w:color w:val="201E1E"/>
        </w:rPr>
        <w:t>-</w:t>
      </w:r>
      <w:r w:rsidRPr="7339469F">
        <w:rPr>
          <w:color w:val="201E1E"/>
        </w:rPr>
        <w:t xml:space="preserve">bp in length) were downloaded from </w:t>
      </w:r>
      <w:r>
        <w:rPr>
          <w:color w:val="201E1E"/>
        </w:rPr>
        <w:t xml:space="preserve">the </w:t>
      </w:r>
      <w:r w:rsidRPr="7339469F">
        <w:rPr>
          <w:color w:val="000000" w:themeColor="text1"/>
        </w:rPr>
        <w:t xml:space="preserve">Global </w:t>
      </w:r>
      <w:r>
        <w:rPr>
          <w:color w:val="000000" w:themeColor="text1"/>
        </w:rPr>
        <w:t>I</w:t>
      </w:r>
      <w:r w:rsidRPr="7339469F">
        <w:rPr>
          <w:color w:val="000000" w:themeColor="text1"/>
        </w:rPr>
        <w:t xml:space="preserve">nitiative on </w:t>
      </w:r>
      <w:r>
        <w:rPr>
          <w:color w:val="000000" w:themeColor="text1"/>
        </w:rPr>
        <w:t>S</w:t>
      </w:r>
      <w:r w:rsidRPr="7339469F">
        <w:rPr>
          <w:color w:val="000000" w:themeColor="text1"/>
        </w:rPr>
        <w:t xml:space="preserve">haring </w:t>
      </w:r>
      <w:r>
        <w:rPr>
          <w:color w:val="000000" w:themeColor="text1"/>
        </w:rPr>
        <w:t>A</w:t>
      </w:r>
      <w:r w:rsidRPr="7339469F">
        <w:rPr>
          <w:color w:val="000000" w:themeColor="text1"/>
        </w:rPr>
        <w:t xml:space="preserve">ll </w:t>
      </w:r>
      <w:r>
        <w:rPr>
          <w:color w:val="000000" w:themeColor="text1"/>
        </w:rPr>
        <w:t>I</w:t>
      </w:r>
      <w:r w:rsidRPr="7339469F">
        <w:rPr>
          <w:color w:val="000000" w:themeColor="text1"/>
        </w:rPr>
        <w:t xml:space="preserve">nfluenza </w:t>
      </w:r>
      <w:r>
        <w:rPr>
          <w:color w:val="000000" w:themeColor="text1"/>
        </w:rPr>
        <w:t>D</w:t>
      </w:r>
      <w:r w:rsidRPr="7339469F">
        <w:rPr>
          <w:color w:val="000000" w:themeColor="text1"/>
        </w:rPr>
        <w:t>ata (</w:t>
      </w:r>
      <w:r w:rsidRPr="7339469F">
        <w:rPr>
          <w:color w:val="201E1E"/>
        </w:rPr>
        <w:t>GISAID)</w:t>
      </w:r>
      <w:r>
        <w:rPr>
          <w:color w:val="201E1E"/>
        </w:rPr>
        <w:fldChar w:fldCharType="begin" w:fldLock="1"/>
      </w:r>
      <w:r w:rsidR="00EB17BB">
        <w:rPr>
          <w:color w:val="201E1E"/>
        </w:rPr>
        <w:instrText>ADDIN CSL_CITATION {"citationItems":[{"id":"ITEM-1","itemData":{"DOI":"10.1093/BIOINFORMATICS","abstract":"Summary: To unlock the full potential of genome data and to enhance data interoperability and reusability of genome annotations we have developed SAPP, a Semantic Annotation Platform with Provenance. SAPP is designed as an infrastructure supporting FAIR de novo computational gen- omics but can also be used to process and analyze existing genome annotations. SAPP automatic- ally predicts, tracks and stores structural and functional annotations and associated dataset- and element-wise provenance in a Linked Data format, thereby enabling information mining and re- trieval with Semantic Web technologies. This greatly reduces the administrative burden of han- dling multiple analysis tools and versions thereof and facilitates multi-level large scale comparative analysis. Availability and implementation: SAPP is written in JAVA and freely available at https://gitlab.com/ sapp and runs on Unix-like operating systems. The documentation, examples and a tutorial are available at https://sapp.gitlab.io.","author":[{"dropping-particle":"","family":"Jasper J. Koehorst, Jesse C. J. van Dam, Edoardo Saccenti, Vitor A. P. Martins dos Santos","given":"Maria Suarez-Diez and Peter J. Schaap","non-dropping-particle":"","parse-names":false,"suffix":""}],"container-title":"Oxford","id":"ITEM-1","issue":"8","issued":{"date-parts":[["2017"]]},"page":"1401-1403","publisher":"Oxford Academic","title":"GISAID Global Initiative on Sharing All Influenza Data. Phylogeny of SARS-like betacoronaviruses including novel coronavirus (nCoV)","type":"article-journal","volume":"34"},"uris":["http://www.mendeley.com/documents/?uuid=27a72638-7ad7-3967-8f62-ae9a32869807"]}],"mendeley":{"formattedCitation":"&lt;sup&gt;13&lt;/sup&gt;","plainTextFormattedCitation":"13","previouslyFormattedCitation":"&lt;sup&gt;13&lt;/sup&gt;"},"properties":{"noteIndex":0},"schema":"https://github.com/citation-style-language/schema/raw/master/csl-citation.json"}</w:instrText>
      </w:r>
      <w:r>
        <w:rPr>
          <w:color w:val="201E1E"/>
        </w:rPr>
        <w:fldChar w:fldCharType="separate"/>
      </w:r>
      <w:r w:rsidR="007E2F1F" w:rsidRPr="007E2F1F">
        <w:rPr>
          <w:noProof/>
          <w:color w:val="201E1E"/>
          <w:vertAlign w:val="superscript"/>
        </w:rPr>
        <w:t>13</w:t>
      </w:r>
      <w:r>
        <w:rPr>
          <w:color w:val="201E1E"/>
        </w:rPr>
        <w:fldChar w:fldCharType="end"/>
      </w:r>
      <w:r w:rsidRPr="7339469F">
        <w:rPr>
          <w:color w:val="201E1E"/>
        </w:rPr>
        <w:t xml:space="preserve"> </w:t>
      </w:r>
      <w:proofErr w:type="spellStart"/>
      <w:r w:rsidRPr="7339469F">
        <w:rPr>
          <w:color w:val="201E1E"/>
        </w:rPr>
        <w:t>EpiCoV</w:t>
      </w:r>
      <w:proofErr w:type="spellEnd"/>
      <w:r w:rsidRPr="7339469F">
        <w:rPr>
          <w:color w:val="201E1E"/>
        </w:rPr>
        <w:t>, using a global subsampling strategy developed by Nextstrain</w:t>
      </w:r>
      <w:r>
        <w:rPr>
          <w:color w:val="201E1E"/>
        </w:rPr>
        <w:t>.</w:t>
      </w:r>
      <w:r>
        <w:rPr>
          <w:color w:val="201E1E"/>
        </w:rPr>
        <w:fldChar w:fldCharType="begin" w:fldLock="1"/>
      </w:r>
      <w:r w:rsidR="00EB17BB">
        <w:rPr>
          <w:color w:val="201E1E"/>
        </w:rPr>
        <w:instrText>ADDIN CSL_CITATION {"citationItems":[{"id":"ITEM-1","itemData":{"DOI":"10.1093/BIOINFORMATICS/BTY407","ISSN":"1367-4803","PMID":"29790939","abstract":"Understanding the spread and evolution of pathogens is important for effective public health measures and surveillance. Nextstrain consists of a database of viral genomes, a bioinformatics pipeline for phylodynamics analysis, and an interactive visualization platform. Together these present a real-time view into the evolution and spread of a range of viral pathogens of high public health importance. The visualization integrates sequence data with other data types such as geographic information, serology, or host species. Nextstrain compiles our current understanding into a single accessible location, open to health professionals, epidemiologists, virologists and the public alike.","author":[{"dropping-particle":"","family":"Hadfield","given":"James","non-dropping-particle":"","parse-names":false,"suffix":""},{"dropping-particle":"","family":"Megill","given":"Colin","non-dropping-particle":"","parse-names":false,"suffix":""},{"dropping-particle":"","family":"Bell","given":"Sidney M.","non-dropping-particle":"","parse-names":false,"suffix":""},{"dropping-particle":"","family":"Huddleston","given":"John","non-dropping-particle":"","parse-names":false,"suffix":""},{"dropping-particle":"","family":"Potter","given":"Barney","non-dropping-particle":"","parse-names":false,"suffix":""},{"dropping-particle":"","family":"Callender","given":"Charlton","non-dropping-particle":"","parse-names":false,"suffix":""},{"dropping-particle":"","family":"Sagulenko","given":"Pavel","non-dropping-particle":"","parse-names":false,"suffix":""},{"dropping-particle":"","family":"Bedford","given":"Trevor","non-dropping-particle":"","parse-names":false,"suffix":""},{"dropping-particle":"","family":"Neher","given":"Richard A.","non-dropping-particle":"","parse-names":false,"suffix":""}],"container-title":"Bioinformatics","id":"ITEM-1","issue":"23","issued":{"date-parts":[["2018","12","1"]]},"page":"4121-4123","publisher":"Oxford Academic","title":"Nextstrain: real-time tracking of pathogen evolution","type":"article-journal","volume":"34"},"uris":["http://www.mendeley.com/documents/?uuid=dba773cd-e0ba-37cc-b666-5967f3c71d4d"]}],"mendeley":{"formattedCitation":"&lt;sup&gt;14&lt;/sup&gt;","plainTextFormattedCitation":"14","previouslyFormattedCitation":"&lt;sup&gt;14&lt;/sup&gt;"},"properties":{"noteIndex":0},"schema":"https://github.com/citation-style-language/schema/raw/master/csl-citation.json"}</w:instrText>
      </w:r>
      <w:r>
        <w:rPr>
          <w:color w:val="201E1E"/>
        </w:rPr>
        <w:fldChar w:fldCharType="separate"/>
      </w:r>
      <w:r w:rsidR="007E2F1F" w:rsidRPr="007E2F1F">
        <w:rPr>
          <w:noProof/>
          <w:color w:val="201E1E"/>
          <w:vertAlign w:val="superscript"/>
        </w:rPr>
        <w:t>14</w:t>
      </w:r>
      <w:r>
        <w:rPr>
          <w:color w:val="201E1E"/>
        </w:rPr>
        <w:fldChar w:fldCharType="end"/>
      </w:r>
      <w:r>
        <w:rPr>
          <w:color w:val="201E1E"/>
          <w:vertAlign w:val="superscript"/>
        </w:rPr>
        <w:t xml:space="preserve"> </w:t>
      </w:r>
      <w:r w:rsidRPr="7339469F">
        <w:rPr>
          <w:color w:val="201E1E"/>
        </w:rPr>
        <w:t>Phylogenetic infe</w:t>
      </w:r>
      <w:r>
        <w:rPr>
          <w:color w:val="201E1E"/>
        </w:rPr>
        <w:t>r</w:t>
      </w:r>
      <w:r w:rsidRPr="7339469F">
        <w:rPr>
          <w:color w:val="201E1E"/>
        </w:rPr>
        <w:t>ence and visualisation of the 1081 high quality consensus SARS-CoV-2 FASTA sequences (GISAID, n =1076; study, n = 5).</w:t>
      </w:r>
      <w:r w:rsidRPr="7339469F">
        <w:rPr>
          <w:color w:val="000000" w:themeColor="text1"/>
        </w:rPr>
        <w:t xml:space="preserve"> The GISAID data</w:t>
      </w:r>
      <w:r>
        <w:rPr>
          <w:color w:val="000000" w:themeColor="text1"/>
        </w:rPr>
        <w:t xml:space="preserve"> </w:t>
      </w:r>
      <w:r w:rsidRPr="7339469F">
        <w:rPr>
          <w:color w:val="000000" w:themeColor="text1"/>
        </w:rPr>
        <w:t xml:space="preserve">set included representatives of primary Delta and Omicron strains currently known to be circulating in Sydney. For </w:t>
      </w:r>
      <w:r w:rsidR="00460239">
        <w:rPr>
          <w:color w:val="000000" w:themeColor="text1"/>
        </w:rPr>
        <w:t>Case</w:t>
      </w:r>
      <w:r w:rsidR="00460239" w:rsidRPr="7339469F">
        <w:rPr>
          <w:color w:val="000000" w:themeColor="text1"/>
        </w:rPr>
        <w:t xml:space="preserve"> </w:t>
      </w:r>
      <w:r w:rsidRPr="7339469F">
        <w:rPr>
          <w:color w:val="000000" w:themeColor="text1"/>
        </w:rPr>
        <w:t>B, the c</w:t>
      </w:r>
      <w:r w:rsidRPr="7339469F">
        <w:t xml:space="preserve">onsensus genomes for the </w:t>
      </w:r>
      <w:r>
        <w:t>D</w:t>
      </w:r>
      <w:r w:rsidRPr="7339469F">
        <w:t xml:space="preserve">ay 0 (Omicron only, Illumina Midnight) and </w:t>
      </w:r>
      <w:r>
        <w:t>D</w:t>
      </w:r>
      <w:r w:rsidRPr="7339469F">
        <w:t xml:space="preserve">ay 3 (Delta dominant, Illumina RVOP to avoid the Midnight artefact) samples were used. The Delta sequence for </w:t>
      </w:r>
      <w:r>
        <w:t>Case</w:t>
      </w:r>
      <w:r w:rsidRPr="7339469F">
        <w:t xml:space="preserve"> A, for which all three samples were of mixed lineage, was obtained from the </w:t>
      </w:r>
      <w:r>
        <w:t>D</w:t>
      </w:r>
      <w:r w:rsidRPr="7339469F">
        <w:t xml:space="preserve">ay 3 sample culture. To obtain the Omicron sequence for </w:t>
      </w:r>
      <w:r>
        <w:t>Case</w:t>
      </w:r>
      <w:r w:rsidRPr="7339469F">
        <w:t xml:space="preserve"> A, the RVOP Illumina </w:t>
      </w:r>
      <w:r w:rsidRPr="7339469F">
        <w:lastRenderedPageBreak/>
        <w:t xml:space="preserve">data from the </w:t>
      </w:r>
      <w:r>
        <w:t>D</w:t>
      </w:r>
      <w:r w:rsidRPr="7339469F">
        <w:t>ay 3 sample that the culture was derived from was hand-reviewed to generate a consensus containing only the Omicron-specific SNPs, minus the Delta-specific SNPs seen in the culture sequence. The resulting reconstructed Case B Omicron was then compared to the Omicron sequence from Case C, who is assumed to have caught their infection from Case B; these two sequences matched. These four sequences, as well as the downloaded sequences from GISAID, were trimmed to remove the 5’ and 3’ UTR regions and aligned with MAFFT v7.402 (FFT-NS-2, progressive method).</w:t>
      </w:r>
      <w:r>
        <w:fldChar w:fldCharType="begin" w:fldLock="1"/>
      </w:r>
      <w:r w:rsidR="00EB17BB">
        <w:instrText>ADDIN CSL_CITATION {"citationItems":[{"id":"ITEM-1","itemData":{"DOI":"10.1093/molbev/mst010","ISBN":"1537-1719 (Electronic)\\r0737-4038 (Linking)","ISSN":"07374038","PMID":"23329690","abstract":"We report a major update of the MAFFT multiple sequence alignment program. This version has several new features, including options for adding unaligned sequences into an existing alignment, adjustment of direction in nucleotide alignment, constrained alignment and parallel processing, which were implemented after the previous major update. This report shows actual examples to explain how these features work, alone and in combination. Some examples incorrectly aligned by MAFFT are also shown to clarify its limitations. We discuss how to avoid misalignments, and our ongoing efforts to overcome such limitations.","author":[{"dropping-particle":"","family":"Katoh","given":"Kazutaka","non-dropping-particle":"","parse-names":false,"suffix":""},{"dropping-particle":"","family":"Standley","given":"Daron M.","non-dropping-particle":"","parse-names":false,"suffix":""}],"container-title":"Molecular Biology and Evolution","id":"ITEM-1","issue":"4","issued":{"date-parts":[["2013"]]},"page":"772-780","title":"MAFFT multiple sequence alignment software version 7: Improvements in performance and usability","type":"article-journal","volume":"30"},"uris":["http://www.mendeley.com/documents/?uuid=92a4b4b3-ac56-4770-9be2-16f0dbe4d52c"]}],"mendeley":{"formattedCitation":"&lt;sup&gt;15&lt;/sup&gt;","plainTextFormattedCitation":"15","previouslyFormattedCitation":"&lt;sup&gt;15&lt;/sup&gt;"},"properties":{"noteIndex":0},"schema":"https://github.com/citation-style-language/schema/raw/master/csl-citation.json"}</w:instrText>
      </w:r>
      <w:r>
        <w:fldChar w:fldCharType="separate"/>
      </w:r>
      <w:r w:rsidR="007E2F1F" w:rsidRPr="007E2F1F">
        <w:rPr>
          <w:noProof/>
          <w:vertAlign w:val="superscript"/>
        </w:rPr>
        <w:t>15</w:t>
      </w:r>
      <w:r>
        <w:fldChar w:fldCharType="end"/>
      </w:r>
      <w:r w:rsidRPr="7339469F">
        <w:t xml:space="preserve"> Phylogenetic analysis was performed using the maximum likelihood approach (</w:t>
      </w:r>
      <w:proofErr w:type="spellStart"/>
      <w:r w:rsidRPr="7339469F">
        <w:t>IQTree</w:t>
      </w:r>
      <w:proofErr w:type="spellEnd"/>
      <w:r w:rsidRPr="7339469F">
        <w:t xml:space="preserve"> v1.6.7 (substitution model: GTR+F+R2) with 1,000 bootstrap replicates.</w:t>
      </w:r>
      <w:r>
        <w:fldChar w:fldCharType="begin" w:fldLock="1"/>
      </w:r>
      <w:r w:rsidR="00EB17BB">
        <w:instrText>ADDIN CSL_CITATION {"citationItems":[{"id":"ITEM-1","itemData":{"DOI":"10.1093/molbev/msu300","ISBN":"0737-4038","ISSN":"15371719","PMID":"25371430","abstract":"Large phylogenomics data sets require fast tree inference methods, especially for maximum-likelihood (ML) phylogenies. Fast programs exist, but due to inherent heuristics to find optimal trees, it is not clear whether the best tree is found. Thus, there is need for additional approaches that employ different search strategies to find ML trees and that are at the same time as fast as currently available ML programs. We show that a combination of hill-climbing approaches and a stochastic perturbation method can be time-efficiently implemented. If we allow the same CPU time as RAxML and PhyML, then our software IQ-TREE found higher likelihoods between 62.2% and 87.1% of the studied alignments, thus efficiently exploring the tree-space. If we use the IQ-TREE stopping rule, RAxML and PhyML are faster in 75.7% and 47.1% of the DNA alignments and 42.2% and 100% of the protein alignments, respectively. However, the range of obtaining higher likelihoods with IQ-TREE improves to 73.3-97.1%. IQ-TREE is freely available at http://www.cibiv.at/software/iqtree.","author":[{"dropping-particle":"","family":"Nguyen","given":"Lam Tung","non-dropping-particle":"","parse-names":false,"suffix":""},{"dropping-particle":"","family":"Schmidt","given":"Heiko A.","non-dropping-particle":"","parse-names":false,"suffix":""},{"dropping-particle":"","family":"Haeseler","given":"Arndt","non-dropping-particle":"Von","parse-names":false,"suffix":""},{"dropping-particle":"","family":"Minh","given":"Bui Quang","non-dropping-particle":"","parse-names":false,"suffix":""}],"container-title":"Molecular Biology and Evolution","id":"ITEM-1","issue":"1","issued":{"date-parts":[["2015"]]},"page":"268-274","title":"IQ-TREE: A fast and effective stochastic algorithm for estimating maximum-likelihood phylogenies","type":"article-journal","volume":"32"},"uris":["http://www.mendeley.com/documents/?uuid=58a1034e-d83d-46d9-a919-09efe3527ca7"]}],"mendeley":{"formattedCitation":"&lt;sup&gt;16&lt;/sup&gt;","plainTextFormattedCitation":"16","previouslyFormattedCitation":"&lt;sup&gt;16&lt;/sup&gt;"},"properties":{"noteIndex":0},"schema":"https://github.com/citation-style-language/schema/raw/master/csl-citation.json"}</w:instrText>
      </w:r>
      <w:r>
        <w:fldChar w:fldCharType="separate"/>
      </w:r>
      <w:r w:rsidR="007E2F1F" w:rsidRPr="007E2F1F">
        <w:rPr>
          <w:noProof/>
          <w:vertAlign w:val="superscript"/>
        </w:rPr>
        <w:t>16</w:t>
      </w:r>
      <w:r>
        <w:fldChar w:fldCharType="end"/>
      </w:r>
      <w:r>
        <w:t xml:space="preserve"> </w:t>
      </w:r>
      <w:r w:rsidRPr="7339469F">
        <w:t>The phylogenetic tree was visualised using the R package ggtree.</w:t>
      </w:r>
      <w:r>
        <w:fldChar w:fldCharType="begin" w:fldLock="1"/>
      </w:r>
      <w:r w:rsidR="00EB17BB">
        <w:instrText>ADDIN CSL_CITATION {"citationItems":[{"id":"ITEM-1","itemData":{"DOI":"10.1111/2041-210X.12628","ISSN":"2041-210X","abstract":"We present an r package, ggtree, which provides programmable visualization and annotation of phylogenetic trees. ggtree can read more tree file formats than other softwares, including newick, nexus, NHX, phylip and jplace formats, and support visualization of phylo, multiphylo, phylo4, phylo4d, obkdata and phyloseq tree objects defined in other r packages. It can also extract the tree/branch/node-specific and other data from the analysis outputs of beast, epa, hyphy, paml, phylodog, pplacer, r8s, raxml and revbayes software, and allows using these data to annotate the tree. The package allows colouring and annotation of a tree by numerical/categorical node attributes, manipulating a tree by rotating, collapsing and zooming out clades, highlighting user selected clades or operational taxonomic units and exploration of a large tree by zooming into a selected portion. A two-dimensional tree can be drawn by scaling the tree width based on an attribute of the nodes. A tree can be annotated with an associated numerical matrix (as a heat map), multiple sequence alignment, subplots or silhouette images. The package ggtree is released under the artistic-2.0 license. The source code and documents are freely available through bioconductor (http://www.bioconductor.org/packages/ggtree).","author":[{"dropping-particle":"","family":"Yu","given":"Guangchuang","non-dropping-particle":"","parse-names":false,"suffix":""},{"dropping-particle":"","family":"Smith","given":"David K.","non-dropping-particle":"","parse-names":false,"suffix":""},{"dropping-particle":"","family":"Zhu","given":"Huachen","non-dropping-particle":"","parse-names":false,"suffix":""},{"dropping-particle":"","family":"Guan","given":"Yi","non-dropping-particle":"","parse-names":false,"suffix":""},{"dropping-particle":"","family":"Lam","given":"Tommy Tsan Yuk","non-dropping-particle":"","parse-names":false,"suffix":""}],"container-title":"Methods in Ecology and Evolution","id":"ITEM-1","issue":"1","issued":{"date-parts":[["2017","1","1"]]},"page":"28-36","publisher":"John Wiley &amp; Sons, Ltd","title":"ggtree: an r package for visualization and annotation of phylogenetic trees with their covariates and other associated data","type":"article-journal","volume":"8"},"uris":["http://www.mendeley.com/documents/?uuid=116c4757-746d-37d0-a44c-14dc152a0c9d"]}],"mendeley":{"formattedCitation":"&lt;sup&gt;17&lt;/sup&gt;","plainTextFormattedCitation":"17","previouslyFormattedCitation":"&lt;sup&gt;17&lt;/sup&gt;"},"properties":{"noteIndex":0},"schema":"https://github.com/citation-style-language/schema/raw/master/csl-citation.json"}</w:instrText>
      </w:r>
      <w:r>
        <w:fldChar w:fldCharType="separate"/>
      </w:r>
      <w:r w:rsidR="007E2F1F" w:rsidRPr="007E2F1F">
        <w:rPr>
          <w:noProof/>
          <w:vertAlign w:val="superscript"/>
        </w:rPr>
        <w:t>17</w:t>
      </w:r>
      <w:r>
        <w:fldChar w:fldCharType="end"/>
      </w:r>
      <w:r w:rsidRPr="7339469F">
        <w:t xml:space="preserve">   </w:t>
      </w:r>
    </w:p>
    <w:p w14:paraId="42BD252A" w14:textId="77777777" w:rsidR="00D7254C" w:rsidRPr="00A858F9" w:rsidRDefault="00D7254C" w:rsidP="00D7254C">
      <w:pPr>
        <w:spacing w:line="359" w:lineRule="auto"/>
        <w:ind w:left="-5"/>
        <w:jc w:val="both"/>
      </w:pPr>
    </w:p>
    <w:p w14:paraId="6D479C8A" w14:textId="42A2C292" w:rsidR="00D7254C" w:rsidRPr="007C726B" w:rsidRDefault="00D7254C" w:rsidP="00D7254C">
      <w:pPr>
        <w:spacing w:line="359" w:lineRule="auto"/>
        <w:ind w:left="-5"/>
        <w:jc w:val="both"/>
      </w:pPr>
      <w:r w:rsidRPr="00170C9F">
        <w:rPr>
          <w:b/>
          <w:bCs/>
          <w:i/>
          <w:iCs/>
        </w:rPr>
        <w:t xml:space="preserve">Statistical analysis.  </w:t>
      </w:r>
      <w:r w:rsidRPr="00170C9F">
        <w:t>Statistical analysis of the read distribution of Delta and Omicron lineage markers was performed by Student's</w:t>
      </w:r>
      <w:r w:rsidRPr="007C726B">
        <w:t xml:space="preserve"> t-Test using R software version 4.1.2</w:t>
      </w:r>
      <w:r w:rsidRPr="007C726B">
        <w:fldChar w:fldCharType="begin" w:fldLock="1"/>
      </w:r>
      <w:r w:rsidR="00EB17BB">
        <w:instrText>ADDIN CSL_CITATION {"citationItems":[{"id":"ITEM-1","itemData":{"author":[{"dropping-particle":"","family":"Team","given":"R Core","non-dropping-particle":"","parse-names":false,"suffix":""}],"container-title":"R Foundation for Statistical Computing","id":"ITEM-1","issued":{"date-parts":[["2021"]]},"title":"R: A Language and Environment for Statistical Computing","type":"webpage"},"uris":["http://www.mendeley.com/documents/?uuid=8b930fca-b4a6-4da0-853f-c9e793d44014"]}],"mendeley":{"formattedCitation":"&lt;sup&gt;18&lt;/sup&gt;","plainTextFormattedCitation":"18","previouslyFormattedCitation":"&lt;sup&gt;18&lt;/sup&gt;"},"properties":{"noteIndex":0},"schema":"https://github.com/citation-style-language/schema/raw/master/csl-citation.json"}</w:instrText>
      </w:r>
      <w:r w:rsidRPr="007C726B">
        <w:fldChar w:fldCharType="separate"/>
      </w:r>
      <w:r w:rsidR="007E2F1F" w:rsidRPr="007E2F1F">
        <w:rPr>
          <w:noProof/>
          <w:vertAlign w:val="superscript"/>
        </w:rPr>
        <w:t>18</w:t>
      </w:r>
      <w:r w:rsidRPr="007C726B">
        <w:fldChar w:fldCharType="end"/>
      </w:r>
      <w:r w:rsidRPr="007C726B">
        <w:t xml:space="preserve"> (2021-11-01) with the </w:t>
      </w:r>
      <w:proofErr w:type="spellStart"/>
      <w:r w:rsidRPr="007C726B">
        <w:t>t.test</w:t>
      </w:r>
      <w:proofErr w:type="spellEnd"/>
      <w:r w:rsidRPr="007C726B">
        <w:t xml:space="preserve"> function from </w:t>
      </w:r>
      <w:r>
        <w:t xml:space="preserve">the </w:t>
      </w:r>
      <w:r w:rsidRPr="007C726B">
        <w:t xml:space="preserve">package </w:t>
      </w:r>
      <w:r>
        <w:t>‘</w:t>
      </w:r>
      <w:r w:rsidRPr="007C726B">
        <w:t>stats</w:t>
      </w:r>
      <w:r>
        <w:t>’</w:t>
      </w:r>
      <w:r w:rsidRPr="007C726B">
        <w:t xml:space="preserve">. Graphs were generated </w:t>
      </w:r>
      <w:r>
        <w:t xml:space="preserve">using </w:t>
      </w:r>
      <w:r w:rsidRPr="007C726B">
        <w:t xml:space="preserve">the package </w:t>
      </w:r>
      <w:r>
        <w:t>‘</w:t>
      </w:r>
      <w:proofErr w:type="spellStart"/>
      <w:r w:rsidRPr="007C726B">
        <w:t>ggplot</w:t>
      </w:r>
      <w:proofErr w:type="spellEnd"/>
      <w:r w:rsidRPr="007C726B">
        <w:t xml:space="preserve"> 2</w:t>
      </w:r>
      <w:r>
        <w:t>’</w:t>
      </w:r>
      <w:r w:rsidRPr="007C726B">
        <w:t xml:space="preserve"> version 3.3.5.</w:t>
      </w:r>
      <w:r w:rsidRPr="007C726B">
        <w:fldChar w:fldCharType="begin" w:fldLock="1"/>
      </w:r>
      <w:r w:rsidR="00EB17BB">
        <w:instrText>ADDIN CSL_CITATION {"citationItems":[{"id":"ITEM-1","itemData":{"ISBN":"978-3-319-24277-4","author":[{"dropping-particle":"","family":"Hadley Wickham","given":"","non-dropping-particle":"","parse-names":false,"suffix":""}],"id":"ITEM-1","issued":{"date-parts":[["2016"]]},"publisher":"Springer-Verlag New York","title":"ggplot2: Elegant Graphics for Data Analysis","type":"book"},"uris":["http://www.mendeley.com/documents/?uuid=7ef05e57-621e-4e4b-8376-fa40a8871a8f"]}],"mendeley":{"formattedCitation":"&lt;sup&gt;19&lt;/sup&gt;","plainTextFormattedCitation":"19","previouslyFormattedCitation":"&lt;sup&gt;19&lt;/sup&gt;"},"properties":{"noteIndex":0},"schema":"https://github.com/citation-style-language/schema/raw/master/csl-citation.json"}</w:instrText>
      </w:r>
      <w:r w:rsidRPr="007C726B">
        <w:fldChar w:fldCharType="separate"/>
      </w:r>
      <w:r w:rsidR="007E2F1F" w:rsidRPr="007E2F1F">
        <w:rPr>
          <w:noProof/>
          <w:vertAlign w:val="superscript"/>
        </w:rPr>
        <w:t>19</w:t>
      </w:r>
      <w:r w:rsidRPr="007C726B">
        <w:fldChar w:fldCharType="end"/>
      </w:r>
    </w:p>
    <w:p w14:paraId="6F4D43A1" w14:textId="77777777" w:rsidR="00D7254C" w:rsidRDefault="00D7254C" w:rsidP="00D7254C">
      <w:pPr>
        <w:spacing w:line="356" w:lineRule="auto"/>
        <w:ind w:left="-5"/>
      </w:pPr>
    </w:p>
    <w:p w14:paraId="02286E1B" w14:textId="0BA8C131" w:rsidR="00D7254C" w:rsidRPr="00A858F9" w:rsidRDefault="00D7254C" w:rsidP="00D7254C">
      <w:pPr>
        <w:spacing w:line="356" w:lineRule="auto"/>
        <w:ind w:left="-5"/>
      </w:pPr>
      <w:r w:rsidRPr="7339469F">
        <w:rPr>
          <w:b/>
          <w:bCs/>
          <w:i/>
          <w:iCs/>
        </w:rPr>
        <w:t>Human research ethics approval.</w:t>
      </w:r>
      <w:r w:rsidRPr="7339469F">
        <w:t xml:space="preserve"> Ethical and governance approval for the study was granted by the Western Sydney Local Health District Human Research Ethics Committee (2020/ETH02426</w:t>
      </w:r>
      <w:r w:rsidRPr="7339469F">
        <w:rPr>
          <w:color w:val="201E1E"/>
        </w:rPr>
        <w:t>)</w:t>
      </w:r>
      <w:r w:rsidRPr="7339469F">
        <w:t>.</w:t>
      </w:r>
    </w:p>
    <w:p w14:paraId="6414A399" w14:textId="77777777" w:rsidR="00D7254C" w:rsidRDefault="00D7254C" w:rsidP="00D7254C">
      <w:pPr>
        <w:spacing w:line="356" w:lineRule="auto"/>
        <w:ind w:left="-5"/>
      </w:pPr>
    </w:p>
    <w:p w14:paraId="0C4E5081" w14:textId="77777777" w:rsidR="00EB17BB" w:rsidRDefault="00EB17BB" w:rsidP="00D7254C">
      <w:pPr>
        <w:spacing w:line="358" w:lineRule="auto"/>
        <w:ind w:left="-5"/>
        <w:rPr>
          <w:b/>
          <w:bCs/>
        </w:rPr>
      </w:pPr>
    </w:p>
    <w:p w14:paraId="79DAB7F7" w14:textId="430AB1A8" w:rsidR="00D7254C" w:rsidRPr="00A858F9" w:rsidRDefault="00D7254C" w:rsidP="00D7254C">
      <w:pPr>
        <w:spacing w:line="358" w:lineRule="auto"/>
        <w:ind w:left="-5"/>
        <w:rPr>
          <w:b/>
          <w:bCs/>
        </w:rPr>
      </w:pPr>
      <w:r w:rsidRPr="7339469F">
        <w:rPr>
          <w:b/>
          <w:bCs/>
        </w:rPr>
        <w:t>SUPPLEMENTARY RESULTS</w:t>
      </w:r>
    </w:p>
    <w:p w14:paraId="56D0732B" w14:textId="77777777" w:rsidR="00D7254C" w:rsidRDefault="00D7254C" w:rsidP="00D7254C">
      <w:pPr>
        <w:spacing w:after="112" w:line="360" w:lineRule="auto"/>
        <w:jc w:val="both"/>
      </w:pPr>
      <w:r w:rsidRPr="7339469F">
        <w:rPr>
          <w:b/>
          <w:bCs/>
          <w:i/>
          <w:iCs/>
        </w:rPr>
        <w:t>Frequency of SARS-CoV-2 variant heterozygosity.</w:t>
      </w:r>
      <w:r>
        <w:rPr>
          <w:b/>
          <w:bCs/>
          <w:i/>
          <w:iCs/>
        </w:rPr>
        <w:t xml:space="preserve"> </w:t>
      </w:r>
      <w:r w:rsidRPr="007C726B">
        <w:t>From a total of 22,942 high quality genomes (</w:t>
      </w:r>
      <w:r>
        <w:t>minimum 90% coverage of the SARS-CoV-2 genome</w:t>
      </w:r>
      <w:r w:rsidRPr="007C726B">
        <w:t>) sequenced between 25 February 2020 and 20 January 2022, only 10 (0.04%) had 30 or more heterozygous sites (min 0, median 1, mean 1.28, max 77, 80</w:t>
      </w:r>
      <w:r w:rsidRPr="007C726B">
        <w:rPr>
          <w:vertAlign w:val="superscript"/>
        </w:rPr>
        <w:t>th</w:t>
      </w:r>
      <w:r w:rsidRPr="007C726B">
        <w:t xml:space="preserve"> percentile 2, 99</w:t>
      </w:r>
      <w:r w:rsidRPr="007C726B">
        <w:rPr>
          <w:vertAlign w:val="superscript"/>
        </w:rPr>
        <w:t>th</w:t>
      </w:r>
      <w:r w:rsidRPr="007C726B">
        <w:t xml:space="preserve"> percentile 6, 99.9</w:t>
      </w:r>
      <w:r w:rsidRPr="007C726B">
        <w:rPr>
          <w:vertAlign w:val="superscript"/>
        </w:rPr>
        <w:t>th</w:t>
      </w:r>
      <w:r w:rsidRPr="007C726B">
        <w:t xml:space="preserve"> percentile 17) (Figure S</w:t>
      </w:r>
      <w:r>
        <w:t>2</w:t>
      </w:r>
      <w:r w:rsidRPr="007C726B">
        <w:t xml:space="preserve">). Sequences with </w:t>
      </w:r>
      <w:r>
        <w:sym w:font="Symbol" w:char="F0B3"/>
      </w:r>
      <w:r w:rsidRPr="007C726B">
        <w:t xml:space="preserve"> 10 heterozygous sites trigger a sequence quality review. A total of 33 heterozygous sites were initially detected in the genome</w:t>
      </w:r>
      <w:r w:rsidRPr="7339469F">
        <w:t xml:space="preserve"> of Case A (Day 2) and 46 heterozygous sites from Case B (Day 3). Failure to pass this bioinformatic quality metric resulted in a complete repeat of the SARS-CoV-2 genomic workflow for these samples, including re-extraction of the original primary specimen. </w:t>
      </w:r>
    </w:p>
    <w:p w14:paraId="15DF1CF4" w14:textId="77777777" w:rsidR="00D7254C" w:rsidRPr="00F64946" w:rsidRDefault="00D7254C" w:rsidP="00D7254C">
      <w:pPr>
        <w:spacing w:line="360" w:lineRule="auto"/>
        <w:jc w:val="both"/>
      </w:pPr>
      <w:r w:rsidRPr="00F64946">
        <w:rPr>
          <w:b/>
          <w:bCs/>
          <w:i/>
          <w:iCs/>
        </w:rPr>
        <w:t>Patient cohort details</w:t>
      </w:r>
      <w:r w:rsidRPr="00F64946">
        <w:t xml:space="preserve">. Three specimens were collected from each case and are summarised in Table S1. </w:t>
      </w:r>
      <w:r>
        <w:t xml:space="preserve">The low SARS-CoV-2 viral load in the index specimen from each case resulted in a </w:t>
      </w:r>
      <w:r>
        <w:lastRenderedPageBreak/>
        <w:t xml:space="preserve">SARS-CoV-2 genome only being generated from the Illumina sequencing methodology, (Case B) and an incomplete genome from Case A (90% coverage).  </w:t>
      </w:r>
    </w:p>
    <w:p w14:paraId="2B66786F" w14:textId="77777777" w:rsidR="00D7254C" w:rsidRDefault="00D7254C" w:rsidP="00D7254C">
      <w:pPr>
        <w:spacing w:after="112" w:line="360" w:lineRule="auto"/>
      </w:pPr>
    </w:p>
    <w:p w14:paraId="15271238" w14:textId="3644C1A4" w:rsidR="00D7254C" w:rsidRDefault="00D7254C" w:rsidP="00D7254C">
      <w:pPr>
        <w:spacing w:line="356" w:lineRule="auto"/>
        <w:ind w:left="-5"/>
        <w:jc w:val="both"/>
        <w:rPr>
          <w:color w:val="000000" w:themeColor="text1"/>
        </w:rPr>
      </w:pPr>
      <w:r>
        <w:rPr>
          <w:b/>
          <w:bCs/>
          <w:i/>
          <w:iCs/>
          <w:color w:val="000000" w:themeColor="text1"/>
        </w:rPr>
        <w:t xml:space="preserve">Investigation of </w:t>
      </w:r>
      <w:r w:rsidRPr="7339469F">
        <w:rPr>
          <w:b/>
          <w:bCs/>
          <w:i/>
          <w:iCs/>
          <w:color w:val="000000" w:themeColor="text1"/>
        </w:rPr>
        <w:t xml:space="preserve">SARS-CoV-2 </w:t>
      </w:r>
      <w:r>
        <w:rPr>
          <w:b/>
          <w:bCs/>
          <w:i/>
          <w:iCs/>
          <w:color w:val="000000" w:themeColor="text1"/>
        </w:rPr>
        <w:t>a</w:t>
      </w:r>
      <w:r w:rsidRPr="7339469F">
        <w:rPr>
          <w:b/>
          <w:bCs/>
          <w:i/>
          <w:iCs/>
          <w:color w:val="000000" w:themeColor="text1"/>
        </w:rPr>
        <w:t>mplification bias in Omicron and Delta co-infection</w:t>
      </w:r>
      <w:r>
        <w:rPr>
          <w:b/>
          <w:bCs/>
          <w:i/>
          <w:iCs/>
          <w:color w:val="000000" w:themeColor="text1"/>
        </w:rPr>
        <w:t xml:space="preserve">. </w:t>
      </w:r>
      <w:r w:rsidRPr="7339469F">
        <w:rPr>
          <w:color w:val="000000" w:themeColor="text1"/>
        </w:rPr>
        <w:t xml:space="preserve">Amplification biases noted in ONT and Illumina data </w:t>
      </w:r>
      <w:r>
        <w:rPr>
          <w:color w:val="000000" w:themeColor="text1"/>
        </w:rPr>
        <w:t xml:space="preserve">are </w:t>
      </w:r>
      <w:r w:rsidRPr="7339469F">
        <w:rPr>
          <w:color w:val="000000" w:themeColor="text1"/>
        </w:rPr>
        <w:t>caused by lineage specific mutations impacting the efficiency of amplification primers</w:t>
      </w:r>
      <w:r>
        <w:rPr>
          <w:color w:val="000000" w:themeColor="text1"/>
        </w:rPr>
        <w:t xml:space="preserve">. These biases resulted in increased variation in the frequency of lineage defining mutations, particularly when comparing amplification-based SARS-CoV-2 enrichment to probe capture-based methodologies (Figure S3 and S4). </w:t>
      </w:r>
      <w:r w:rsidRPr="7339469F">
        <w:rPr>
          <w:color w:val="000000" w:themeColor="text1"/>
        </w:rPr>
        <w:t>Amplification of Omicron subpopulations is reduced in the region encompassing Midnight amplicon 28 (</w:t>
      </w:r>
      <w:proofErr w:type="spellStart"/>
      <w:r w:rsidRPr="7339469F">
        <w:rPr>
          <w:color w:val="000000" w:themeColor="text1"/>
        </w:rPr>
        <w:t>nt</w:t>
      </w:r>
      <w:proofErr w:type="spellEnd"/>
      <w:r w:rsidRPr="7339469F">
        <w:rPr>
          <w:color w:val="000000" w:themeColor="text1"/>
        </w:rPr>
        <w:t xml:space="preserve"> 27808 – 28985). This is due to a mismatch at the 3’end of forward primer 28 (TTTGTGCTTTTTAGCCTTTCTG</w:t>
      </w:r>
      <w:r w:rsidRPr="7339469F">
        <w:rPr>
          <w:b/>
          <w:bCs/>
          <w:color w:val="000000" w:themeColor="text1"/>
          <w:u w:val="single"/>
        </w:rPr>
        <w:t>C</w:t>
      </w:r>
      <w:r w:rsidRPr="7339469F">
        <w:rPr>
          <w:color w:val="000000" w:themeColor="text1"/>
          <w:u w:val="single"/>
        </w:rPr>
        <w:t>(t-</w:t>
      </w:r>
      <w:proofErr w:type="gramStart"/>
      <w:r w:rsidRPr="7339469F">
        <w:rPr>
          <w:color w:val="000000" w:themeColor="text1"/>
          <w:u w:val="single"/>
        </w:rPr>
        <w:t>Omicron)</w:t>
      </w:r>
      <w:r w:rsidRPr="7339469F">
        <w:rPr>
          <w:color w:val="000000" w:themeColor="text1"/>
        </w:rPr>
        <w:t>T.</w:t>
      </w:r>
      <w:proofErr w:type="gramEnd"/>
      <w:r w:rsidRPr="7339469F">
        <w:rPr>
          <w:color w:val="000000" w:themeColor="text1"/>
        </w:rPr>
        <w:t xml:space="preserve"> Mutations in the last 5bp of primer sequences significantly impact the efficiency of amplification, therefore Delta populations were preferentially amplified over lineage markers ORF7a:V82A, ORF7a:T120I (Table S1). Similar biases were noted in Omicron lineage markers (</w:t>
      </w:r>
      <w:proofErr w:type="gramStart"/>
      <w:r w:rsidRPr="7339469F">
        <w:rPr>
          <w:color w:val="000000" w:themeColor="text1"/>
        </w:rPr>
        <w:t>S:N</w:t>
      </w:r>
      <w:proofErr w:type="gramEnd"/>
      <w:r w:rsidRPr="7339469F">
        <w:rPr>
          <w:color w:val="000000" w:themeColor="text1"/>
        </w:rPr>
        <w:t>856K, S:L981F) due to a primer mismatch in forward primer 24 (GCTGAA</w:t>
      </w:r>
      <w:r w:rsidRPr="7339469F">
        <w:rPr>
          <w:b/>
          <w:bCs/>
          <w:color w:val="000000" w:themeColor="text1"/>
          <w:u w:val="single"/>
        </w:rPr>
        <w:t>C</w:t>
      </w:r>
      <w:r w:rsidRPr="7339469F">
        <w:rPr>
          <w:color w:val="000000" w:themeColor="text1"/>
        </w:rPr>
        <w:t xml:space="preserve">(t-Omicron)ATGTCAACAACTC). Although not a lineage defining mutation, a 17-bp deletion in ORF7a predominated in Delta strains circulating in Australia between July and December 2021. This deletion was not detected in the Delta-predominant consensus genomes of Case B, Day 11 in genomes produced using </w:t>
      </w:r>
      <w:r>
        <w:rPr>
          <w:color w:val="000000" w:themeColor="text1"/>
        </w:rPr>
        <w:t>M</w:t>
      </w:r>
      <w:r w:rsidRPr="7339469F">
        <w:rPr>
          <w:color w:val="000000" w:themeColor="text1"/>
        </w:rPr>
        <w:t>idnight primer amplification, but was present in the genomes produced using RVOP. A Delta</w:t>
      </w:r>
      <w:r>
        <w:rPr>
          <w:color w:val="000000" w:themeColor="text1"/>
        </w:rPr>
        <w:t>-</w:t>
      </w:r>
      <w:r w:rsidRPr="7339469F">
        <w:rPr>
          <w:color w:val="000000" w:themeColor="text1"/>
        </w:rPr>
        <w:t>specific mutation in the Midnight reverse primer 27 at the 3’end of the primer was detected, likely causing preferential amplification of the Omicron subpopulation in this region, encompassing Midnight amplicon 27. A similar phenomenon was recently reported for a collection of Delta samples with minor Omicron contamination sequenced using ARTIC V3</w:t>
      </w:r>
      <w:r>
        <w:rPr>
          <w:color w:val="000000" w:themeColor="text1"/>
        </w:rPr>
        <w:t>.</w:t>
      </w:r>
      <w:r>
        <w:rPr>
          <w:color w:val="000000" w:themeColor="text1"/>
        </w:rPr>
        <w:fldChar w:fldCharType="begin" w:fldLock="1"/>
      </w:r>
      <w:r w:rsidR="00EB17BB">
        <w:rPr>
          <w:color w:val="000000" w:themeColor="text1"/>
        </w:rPr>
        <w:instrText>ADDIN CSL_CITATION {"citationItems":[{"id":"ITEM-1","itemData":{"DOI":"10.1038/D41586-022-00149-9","ISSN":"0028-0836","abstract":"Nature, Published online: 21 January 2022; doi:10.1038/d41586-022-00149-9\r\nNews of a 'super variant' combining Delta and Omicron spread rapidly last week, but researchers say it never existed and the sequences may have resulted from contamination.","author":[{"dropping-particle":"","family":"Kreier","given":"Freda","non-dropping-particle":"","parse-names":false,"suffix":""}],"container-title":"Nature","id":"ITEM-1","issued":{"date-parts":[["2022","2","3"]]},"publisher":"Springer Science and Business Media LLC","title":"Deltacron: the story of the variant that wasn’t","type":"article-journal"},"uris":["http://www.mendeley.com/documents/?uuid=eba72eec-9ce2-3284-8c7f-a8591171ae26"]}],"mendeley":{"formattedCitation":"&lt;sup&gt;20&lt;/sup&gt;","plainTextFormattedCitation":"20","previouslyFormattedCitation":"&lt;sup&gt;20,21&lt;/sup&gt;"},"properties":{"noteIndex":0},"schema":"https://github.com/citation-style-language/schema/raw/master/csl-citation.json"}</w:instrText>
      </w:r>
      <w:r>
        <w:rPr>
          <w:color w:val="000000" w:themeColor="text1"/>
        </w:rPr>
        <w:fldChar w:fldCharType="separate"/>
      </w:r>
      <w:r w:rsidR="00EB17BB" w:rsidRPr="00EB17BB">
        <w:rPr>
          <w:noProof/>
          <w:color w:val="000000" w:themeColor="text1"/>
          <w:vertAlign w:val="superscript"/>
        </w:rPr>
        <w:t>20</w:t>
      </w:r>
      <w:r>
        <w:rPr>
          <w:color w:val="000000" w:themeColor="text1"/>
        </w:rPr>
        <w:fldChar w:fldCharType="end"/>
      </w:r>
    </w:p>
    <w:p w14:paraId="7595A2B1" w14:textId="0983DDF6" w:rsidR="00D7254C" w:rsidRDefault="00D7254C" w:rsidP="00D7254C">
      <w:pPr>
        <w:spacing w:after="112" w:line="360" w:lineRule="auto"/>
        <w:rPr>
          <w:color w:val="000000" w:themeColor="text1"/>
        </w:rPr>
      </w:pPr>
    </w:p>
    <w:p w14:paraId="22E6ED1A" w14:textId="1022C3E8" w:rsidR="00EB17BB" w:rsidRDefault="00EB17BB" w:rsidP="00D7254C">
      <w:pPr>
        <w:spacing w:after="112" w:line="360" w:lineRule="auto"/>
        <w:rPr>
          <w:color w:val="000000" w:themeColor="text1"/>
        </w:rPr>
      </w:pPr>
    </w:p>
    <w:p w14:paraId="20C25D5F" w14:textId="5B84C0EE" w:rsidR="00EB17BB" w:rsidRDefault="00EB17BB" w:rsidP="00D7254C">
      <w:pPr>
        <w:spacing w:after="112" w:line="360" w:lineRule="auto"/>
        <w:rPr>
          <w:color w:val="000000" w:themeColor="text1"/>
        </w:rPr>
      </w:pPr>
    </w:p>
    <w:p w14:paraId="0EEA45E0" w14:textId="4C876CEE" w:rsidR="00EB17BB" w:rsidRDefault="00EB17BB" w:rsidP="00D7254C">
      <w:pPr>
        <w:spacing w:after="112" w:line="360" w:lineRule="auto"/>
        <w:rPr>
          <w:color w:val="000000" w:themeColor="text1"/>
        </w:rPr>
      </w:pPr>
    </w:p>
    <w:p w14:paraId="026AB60A" w14:textId="52D64D5C" w:rsidR="00EB17BB" w:rsidRDefault="00EB17BB" w:rsidP="00D7254C">
      <w:pPr>
        <w:spacing w:after="112" w:line="360" w:lineRule="auto"/>
        <w:rPr>
          <w:color w:val="000000" w:themeColor="text1"/>
        </w:rPr>
      </w:pPr>
    </w:p>
    <w:p w14:paraId="0262B751" w14:textId="201F5055" w:rsidR="00EB17BB" w:rsidRDefault="00EB17BB" w:rsidP="00D7254C">
      <w:pPr>
        <w:spacing w:after="112" w:line="360" w:lineRule="auto"/>
        <w:rPr>
          <w:color w:val="000000" w:themeColor="text1"/>
        </w:rPr>
      </w:pPr>
    </w:p>
    <w:p w14:paraId="6C597F4E" w14:textId="4075CD8B" w:rsidR="00EB17BB" w:rsidRDefault="00EB17BB" w:rsidP="00D7254C">
      <w:pPr>
        <w:spacing w:after="112" w:line="360" w:lineRule="auto"/>
        <w:rPr>
          <w:color w:val="000000" w:themeColor="text1"/>
        </w:rPr>
      </w:pPr>
    </w:p>
    <w:p w14:paraId="025B313B" w14:textId="7F7C4ED7" w:rsidR="00EB17BB" w:rsidRDefault="00EB17BB" w:rsidP="00D7254C">
      <w:pPr>
        <w:spacing w:after="112" w:line="360" w:lineRule="auto"/>
        <w:rPr>
          <w:color w:val="000000" w:themeColor="text1"/>
        </w:rPr>
      </w:pPr>
    </w:p>
    <w:p w14:paraId="088F4B27" w14:textId="77777777" w:rsidR="00D7254C" w:rsidRDefault="00D7254C" w:rsidP="00D7254C">
      <w:pPr>
        <w:spacing w:after="112" w:line="360" w:lineRule="auto"/>
        <w:rPr>
          <w:b/>
        </w:rPr>
      </w:pPr>
      <w:r w:rsidRPr="00AA2C98">
        <w:rPr>
          <w:b/>
        </w:rPr>
        <w:lastRenderedPageBreak/>
        <w:t>REFERENCES</w:t>
      </w:r>
    </w:p>
    <w:p w14:paraId="505F95E3" w14:textId="6C64145B" w:rsidR="00EB17BB" w:rsidRPr="00EB17BB" w:rsidRDefault="00D7254C" w:rsidP="00EB17BB">
      <w:pPr>
        <w:widowControl w:val="0"/>
        <w:autoSpaceDE w:val="0"/>
        <w:autoSpaceDN w:val="0"/>
        <w:adjustRightInd w:val="0"/>
        <w:spacing w:after="120" w:line="360" w:lineRule="auto"/>
        <w:ind w:left="640" w:hanging="640"/>
        <w:rPr>
          <w:noProof/>
          <w:lang w:val="en-GB"/>
        </w:rPr>
      </w:pPr>
      <w:r>
        <w:rPr>
          <w:b/>
        </w:rPr>
        <w:fldChar w:fldCharType="begin" w:fldLock="1"/>
      </w:r>
      <w:r>
        <w:rPr>
          <w:b/>
        </w:rPr>
        <w:instrText xml:space="preserve">ADDIN Mendeley Bibliography CSL_BIBLIOGRAPHY </w:instrText>
      </w:r>
      <w:r>
        <w:rPr>
          <w:b/>
        </w:rPr>
        <w:fldChar w:fldCharType="separate"/>
      </w:r>
      <w:r w:rsidR="00EB17BB" w:rsidRPr="00EB17BB">
        <w:rPr>
          <w:noProof/>
          <w:lang w:val="en-GB"/>
        </w:rPr>
        <w:t>1.</w:t>
      </w:r>
      <w:r w:rsidR="00EB17BB" w:rsidRPr="00EB17BB">
        <w:rPr>
          <w:noProof/>
          <w:lang w:val="en-GB"/>
        </w:rPr>
        <w:tab/>
        <w:t xml:space="preserve">Lam, C. </w:t>
      </w:r>
      <w:r w:rsidR="00EB17BB" w:rsidRPr="00EB17BB">
        <w:rPr>
          <w:i/>
          <w:iCs/>
          <w:noProof/>
          <w:lang w:val="en-GB"/>
        </w:rPr>
        <w:t>et al.</w:t>
      </w:r>
      <w:r w:rsidR="00EB17BB" w:rsidRPr="00EB17BB">
        <w:rPr>
          <w:noProof/>
          <w:lang w:val="en-GB"/>
        </w:rPr>
        <w:t xml:space="preserve"> SARS-CoV-2 Genome Sequencing Methods Differ in Their Abilities to Detect Variants from Low-Viral-Load Samples. </w:t>
      </w:r>
      <w:r w:rsidR="00EB17BB" w:rsidRPr="00EB17BB">
        <w:rPr>
          <w:i/>
          <w:iCs/>
          <w:noProof/>
          <w:lang w:val="en-GB"/>
        </w:rPr>
        <w:t>J. Clin. Microbiol.</w:t>
      </w:r>
      <w:r w:rsidR="00EB17BB" w:rsidRPr="00EB17BB">
        <w:rPr>
          <w:noProof/>
          <w:lang w:val="en-GB"/>
        </w:rPr>
        <w:t xml:space="preserve"> </w:t>
      </w:r>
      <w:r w:rsidR="00EB17BB" w:rsidRPr="00EB17BB">
        <w:rPr>
          <w:b/>
          <w:bCs/>
          <w:noProof/>
          <w:lang w:val="en-GB"/>
        </w:rPr>
        <w:t>59</w:t>
      </w:r>
      <w:r w:rsidR="00EB17BB" w:rsidRPr="00EB17BB">
        <w:rPr>
          <w:noProof/>
          <w:lang w:val="en-GB"/>
        </w:rPr>
        <w:t>, (2021).</w:t>
      </w:r>
    </w:p>
    <w:p w14:paraId="7E06055F"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2.</w:t>
      </w:r>
      <w:r w:rsidRPr="00EB17BB">
        <w:rPr>
          <w:noProof/>
          <w:lang w:val="en-GB"/>
        </w:rPr>
        <w:tab/>
        <w:t xml:space="preserve">Rahman, H. </w:t>
      </w:r>
      <w:r w:rsidRPr="00EB17BB">
        <w:rPr>
          <w:i/>
          <w:iCs/>
          <w:noProof/>
          <w:lang w:val="en-GB"/>
        </w:rPr>
        <w:t>et al.</w:t>
      </w:r>
      <w:r w:rsidRPr="00EB17BB">
        <w:rPr>
          <w:noProof/>
          <w:lang w:val="en-GB"/>
        </w:rPr>
        <w:t xml:space="preserve"> Interpret with caution: An evaluation of the commercial AusDiagnostics versus in-house developed assays for the detection of SARS-CoV-2 virus. </w:t>
      </w:r>
      <w:r w:rsidRPr="00EB17BB">
        <w:rPr>
          <w:i/>
          <w:iCs/>
          <w:noProof/>
          <w:lang w:val="en-GB"/>
        </w:rPr>
        <w:t>J. Clin. Virol.</w:t>
      </w:r>
      <w:r w:rsidRPr="00EB17BB">
        <w:rPr>
          <w:noProof/>
          <w:lang w:val="en-GB"/>
        </w:rPr>
        <w:t xml:space="preserve"> </w:t>
      </w:r>
      <w:r w:rsidRPr="00EB17BB">
        <w:rPr>
          <w:b/>
          <w:bCs/>
          <w:noProof/>
          <w:lang w:val="en-GB"/>
        </w:rPr>
        <w:t>127</w:t>
      </w:r>
      <w:r w:rsidRPr="00EB17BB">
        <w:rPr>
          <w:noProof/>
          <w:lang w:val="en-GB"/>
        </w:rPr>
        <w:t>, (2020).</w:t>
      </w:r>
    </w:p>
    <w:p w14:paraId="4808FA88"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3.</w:t>
      </w:r>
      <w:r w:rsidRPr="00EB17BB">
        <w:rPr>
          <w:noProof/>
          <w:lang w:val="en-GB"/>
        </w:rPr>
        <w:tab/>
        <w:t xml:space="preserve">Ratnamohan, V. M. </w:t>
      </w:r>
      <w:r w:rsidRPr="00EB17BB">
        <w:rPr>
          <w:i/>
          <w:iCs/>
          <w:noProof/>
          <w:lang w:val="en-GB"/>
        </w:rPr>
        <w:t>et al.</w:t>
      </w:r>
      <w:r w:rsidRPr="00EB17BB">
        <w:rPr>
          <w:noProof/>
          <w:lang w:val="en-GB"/>
        </w:rPr>
        <w:t xml:space="preserve"> Pandemic clinical case definitions are non-specific: Multiple respiratory viruses circulating in the early phases of the 2009 influenza pandemic in New South Wales, Australia. </w:t>
      </w:r>
      <w:r w:rsidRPr="00EB17BB">
        <w:rPr>
          <w:i/>
          <w:iCs/>
          <w:noProof/>
          <w:lang w:val="en-GB"/>
        </w:rPr>
        <w:t>Virol. J.</w:t>
      </w:r>
      <w:r w:rsidRPr="00EB17BB">
        <w:rPr>
          <w:noProof/>
          <w:lang w:val="en-GB"/>
        </w:rPr>
        <w:t xml:space="preserve"> </w:t>
      </w:r>
      <w:r w:rsidRPr="00EB17BB">
        <w:rPr>
          <w:b/>
          <w:bCs/>
          <w:noProof/>
          <w:lang w:val="en-GB"/>
        </w:rPr>
        <w:t>11</w:t>
      </w:r>
      <w:r w:rsidRPr="00EB17BB">
        <w:rPr>
          <w:noProof/>
          <w:lang w:val="en-GB"/>
        </w:rPr>
        <w:t>, 1–5 (2014).</w:t>
      </w:r>
    </w:p>
    <w:p w14:paraId="1B801856"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4.</w:t>
      </w:r>
      <w:r w:rsidRPr="00EB17BB">
        <w:rPr>
          <w:noProof/>
          <w:lang w:val="en-GB"/>
        </w:rPr>
        <w:tab/>
        <w:t xml:space="preserve">Basile, K. </w:t>
      </w:r>
      <w:r w:rsidRPr="00EB17BB">
        <w:rPr>
          <w:i/>
          <w:iCs/>
          <w:noProof/>
          <w:lang w:val="en-GB"/>
        </w:rPr>
        <w:t>et al.</w:t>
      </w:r>
      <w:r w:rsidRPr="00EB17BB">
        <w:rPr>
          <w:noProof/>
          <w:lang w:val="en-GB"/>
        </w:rPr>
        <w:t xml:space="preserve"> Cell-based culture of SARS-CoV-2 informs infectivity and safe de-isolation assessments during COVID-19. </w:t>
      </w:r>
      <w:r w:rsidRPr="00EB17BB">
        <w:rPr>
          <w:i/>
          <w:iCs/>
          <w:noProof/>
          <w:lang w:val="en-GB"/>
        </w:rPr>
        <w:t>Clin. Infect. Dis.</w:t>
      </w:r>
      <w:r w:rsidRPr="00EB17BB">
        <w:rPr>
          <w:noProof/>
          <w:lang w:val="en-GB"/>
        </w:rPr>
        <w:t xml:space="preserve"> (2020) doi:10.1093/cid/ciaa1579.</w:t>
      </w:r>
    </w:p>
    <w:p w14:paraId="1C32686C"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5.</w:t>
      </w:r>
      <w:r w:rsidRPr="00EB17BB">
        <w:rPr>
          <w:noProof/>
          <w:lang w:val="en-GB"/>
        </w:rPr>
        <w:tab/>
        <w:t xml:space="preserve">Rockett, R. J. </w:t>
      </w:r>
      <w:r w:rsidRPr="00EB17BB">
        <w:rPr>
          <w:i/>
          <w:iCs/>
          <w:noProof/>
          <w:lang w:val="en-GB"/>
        </w:rPr>
        <w:t>et al.</w:t>
      </w:r>
      <w:r w:rsidRPr="00EB17BB">
        <w:rPr>
          <w:noProof/>
          <w:lang w:val="en-GB"/>
        </w:rPr>
        <w:t xml:space="preserve"> Revealing COVID-19 transmission in Australia by SARS-CoV-2 genome sequencing and agent-based modeling. </w:t>
      </w:r>
      <w:r w:rsidRPr="00EB17BB">
        <w:rPr>
          <w:i/>
          <w:iCs/>
          <w:noProof/>
          <w:lang w:val="en-GB"/>
        </w:rPr>
        <w:t>Nat. Med.</w:t>
      </w:r>
      <w:r w:rsidRPr="00EB17BB">
        <w:rPr>
          <w:noProof/>
          <w:lang w:val="en-GB"/>
        </w:rPr>
        <w:t xml:space="preserve"> (2020) doi:10.1038/s41591-020-1000-7.</w:t>
      </w:r>
    </w:p>
    <w:p w14:paraId="54DCAE28"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6.</w:t>
      </w:r>
      <w:r w:rsidRPr="00EB17BB">
        <w:rPr>
          <w:noProof/>
          <w:lang w:val="en-GB"/>
        </w:rPr>
        <w:tab/>
        <w:t xml:space="preserve">Bolger, A. M., Lohse, M. &amp; Usadel, B. Trimmomatic: A flexible trimmer for Illumina sequence data. </w:t>
      </w:r>
      <w:r w:rsidRPr="00EB17BB">
        <w:rPr>
          <w:i/>
          <w:iCs/>
          <w:noProof/>
          <w:lang w:val="en-GB"/>
        </w:rPr>
        <w:t>Bioinformatics</w:t>
      </w:r>
      <w:r w:rsidRPr="00EB17BB">
        <w:rPr>
          <w:noProof/>
          <w:lang w:val="en-GB"/>
        </w:rPr>
        <w:t xml:space="preserve"> </w:t>
      </w:r>
      <w:r w:rsidRPr="00EB17BB">
        <w:rPr>
          <w:b/>
          <w:bCs/>
          <w:noProof/>
          <w:lang w:val="en-GB"/>
        </w:rPr>
        <w:t>30</w:t>
      </w:r>
      <w:r w:rsidRPr="00EB17BB">
        <w:rPr>
          <w:noProof/>
          <w:lang w:val="en-GB"/>
        </w:rPr>
        <w:t>, 2114–2120 (2014).</w:t>
      </w:r>
    </w:p>
    <w:p w14:paraId="311213D7"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7.</w:t>
      </w:r>
      <w:r w:rsidRPr="00EB17BB">
        <w:rPr>
          <w:noProof/>
          <w:lang w:val="en-GB"/>
        </w:rPr>
        <w:tab/>
        <w:t xml:space="preserve">Li, H. &amp; Durbin, R. Fast and accurate short read alignment with Burrows-Wheeler transform. </w:t>
      </w:r>
      <w:r w:rsidRPr="00EB17BB">
        <w:rPr>
          <w:i/>
          <w:iCs/>
          <w:noProof/>
          <w:lang w:val="en-GB"/>
        </w:rPr>
        <w:t>Bioinformatics</w:t>
      </w:r>
      <w:r w:rsidRPr="00EB17BB">
        <w:rPr>
          <w:noProof/>
          <w:lang w:val="en-GB"/>
        </w:rPr>
        <w:t xml:space="preserve"> </w:t>
      </w:r>
      <w:r w:rsidRPr="00EB17BB">
        <w:rPr>
          <w:b/>
          <w:bCs/>
          <w:noProof/>
          <w:lang w:val="en-GB"/>
        </w:rPr>
        <w:t>25</w:t>
      </w:r>
      <w:r w:rsidRPr="00EB17BB">
        <w:rPr>
          <w:noProof/>
          <w:lang w:val="en-GB"/>
        </w:rPr>
        <w:t>, 1754–1760 (2009).</w:t>
      </w:r>
    </w:p>
    <w:p w14:paraId="1D8FFABF"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8.</w:t>
      </w:r>
      <w:r w:rsidRPr="00EB17BB">
        <w:rPr>
          <w:noProof/>
          <w:lang w:val="en-GB"/>
        </w:rPr>
        <w:tab/>
        <w:t xml:space="preserve">Grubaugh, N. D. </w:t>
      </w:r>
      <w:r w:rsidRPr="00EB17BB">
        <w:rPr>
          <w:i/>
          <w:iCs/>
          <w:noProof/>
          <w:lang w:val="en-GB"/>
        </w:rPr>
        <w:t>et al.</w:t>
      </w:r>
      <w:r w:rsidRPr="00EB17BB">
        <w:rPr>
          <w:noProof/>
          <w:lang w:val="en-GB"/>
        </w:rPr>
        <w:t xml:space="preserve"> An amplicon-based sequencing framework for accurately measuring intrahost virus diversity using PrimalSeq and iVar. </w:t>
      </w:r>
      <w:r w:rsidRPr="00EB17BB">
        <w:rPr>
          <w:i/>
          <w:iCs/>
          <w:noProof/>
          <w:lang w:val="en-GB"/>
        </w:rPr>
        <w:t>Genome Biol.</w:t>
      </w:r>
      <w:r w:rsidRPr="00EB17BB">
        <w:rPr>
          <w:noProof/>
          <w:lang w:val="en-GB"/>
        </w:rPr>
        <w:t xml:space="preserve"> </w:t>
      </w:r>
      <w:r w:rsidRPr="00EB17BB">
        <w:rPr>
          <w:b/>
          <w:bCs/>
          <w:noProof/>
          <w:lang w:val="en-GB"/>
        </w:rPr>
        <w:t>20</w:t>
      </w:r>
      <w:r w:rsidRPr="00EB17BB">
        <w:rPr>
          <w:noProof/>
          <w:lang w:val="en-GB"/>
        </w:rPr>
        <w:t>, 8 (2019).</w:t>
      </w:r>
    </w:p>
    <w:p w14:paraId="37932A7C"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9.</w:t>
      </w:r>
      <w:r w:rsidRPr="00EB17BB">
        <w:rPr>
          <w:noProof/>
          <w:lang w:val="en-GB"/>
        </w:rPr>
        <w:tab/>
        <w:t xml:space="preserve">Turakhia, Y. </w:t>
      </w:r>
      <w:r w:rsidRPr="00EB17BB">
        <w:rPr>
          <w:i/>
          <w:iCs/>
          <w:noProof/>
          <w:lang w:val="en-GB"/>
        </w:rPr>
        <w:t>et al.</w:t>
      </w:r>
      <w:r w:rsidRPr="00EB17BB">
        <w:rPr>
          <w:noProof/>
          <w:lang w:val="en-GB"/>
        </w:rPr>
        <w:t xml:space="preserve"> Stability of SARS-CoV-2 phylogenies. </w:t>
      </w:r>
      <w:r w:rsidRPr="00EB17BB">
        <w:rPr>
          <w:i/>
          <w:iCs/>
          <w:noProof/>
          <w:lang w:val="en-GB"/>
        </w:rPr>
        <w:t>PLOS Genet.</w:t>
      </w:r>
      <w:r w:rsidRPr="00EB17BB">
        <w:rPr>
          <w:noProof/>
          <w:lang w:val="en-GB"/>
        </w:rPr>
        <w:t xml:space="preserve"> </w:t>
      </w:r>
      <w:r w:rsidRPr="00EB17BB">
        <w:rPr>
          <w:b/>
          <w:bCs/>
          <w:noProof/>
          <w:lang w:val="en-GB"/>
        </w:rPr>
        <w:t>16</w:t>
      </w:r>
      <w:r w:rsidRPr="00EB17BB">
        <w:rPr>
          <w:noProof/>
          <w:lang w:val="en-GB"/>
        </w:rPr>
        <w:t>, e1009175 (2020).</w:t>
      </w:r>
    </w:p>
    <w:p w14:paraId="23D19A42"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10.</w:t>
      </w:r>
      <w:r w:rsidRPr="00EB17BB">
        <w:rPr>
          <w:noProof/>
          <w:lang w:val="en-GB"/>
        </w:rPr>
        <w:tab/>
        <w:t xml:space="preserve">O’Toole, Á. </w:t>
      </w:r>
      <w:r w:rsidRPr="00EB17BB">
        <w:rPr>
          <w:i/>
          <w:iCs/>
          <w:noProof/>
          <w:lang w:val="en-GB"/>
        </w:rPr>
        <w:t>et al.</w:t>
      </w:r>
      <w:r w:rsidRPr="00EB17BB">
        <w:rPr>
          <w:noProof/>
          <w:lang w:val="en-GB"/>
        </w:rPr>
        <w:t xml:space="preserve"> Assignment of epidemiological lineages in an emerging pandemic using the pangolin tool. </w:t>
      </w:r>
      <w:r w:rsidRPr="00EB17BB">
        <w:rPr>
          <w:i/>
          <w:iCs/>
          <w:noProof/>
          <w:lang w:val="en-GB"/>
        </w:rPr>
        <w:t>Virus Evol.</w:t>
      </w:r>
      <w:r w:rsidRPr="00EB17BB">
        <w:rPr>
          <w:noProof/>
          <w:lang w:val="en-GB"/>
        </w:rPr>
        <w:t xml:space="preserve"> </w:t>
      </w:r>
      <w:r w:rsidRPr="00EB17BB">
        <w:rPr>
          <w:b/>
          <w:bCs/>
          <w:noProof/>
          <w:lang w:val="en-GB"/>
        </w:rPr>
        <w:t>7</w:t>
      </w:r>
      <w:r w:rsidRPr="00EB17BB">
        <w:rPr>
          <w:noProof/>
          <w:lang w:val="en-GB"/>
        </w:rPr>
        <w:t>, (2021).</w:t>
      </w:r>
    </w:p>
    <w:p w14:paraId="3B17AD32"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11.</w:t>
      </w:r>
      <w:r w:rsidRPr="00EB17BB">
        <w:rPr>
          <w:noProof/>
          <w:lang w:val="en-GB"/>
        </w:rPr>
        <w:tab/>
        <w:t xml:space="preserve">Rambaut, A. </w:t>
      </w:r>
      <w:r w:rsidRPr="00EB17BB">
        <w:rPr>
          <w:i/>
          <w:iCs/>
          <w:noProof/>
          <w:lang w:val="en-GB"/>
        </w:rPr>
        <w:t>et al.</w:t>
      </w:r>
      <w:r w:rsidRPr="00EB17BB">
        <w:rPr>
          <w:noProof/>
          <w:lang w:val="en-GB"/>
        </w:rPr>
        <w:t xml:space="preserve"> A dynamic nomenclature proposal for SARS-CoV-2 to assist genomic epidemiology. </w:t>
      </w:r>
      <w:r w:rsidRPr="00EB17BB">
        <w:rPr>
          <w:i/>
          <w:iCs/>
          <w:noProof/>
          <w:lang w:val="en-GB"/>
        </w:rPr>
        <w:t>bioRxiv</w:t>
      </w:r>
      <w:r w:rsidRPr="00EB17BB">
        <w:rPr>
          <w:noProof/>
          <w:lang w:val="en-GB"/>
        </w:rPr>
        <w:t xml:space="preserve"> (2020) doi:10.1101/2020.04.17.046086.</w:t>
      </w:r>
    </w:p>
    <w:p w14:paraId="165C1B20"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12.</w:t>
      </w:r>
      <w:r w:rsidRPr="00EB17BB">
        <w:rPr>
          <w:noProof/>
          <w:lang w:val="en-GB"/>
        </w:rPr>
        <w:tab/>
        <w:t xml:space="preserve">Thorvaldsdóttir, H., Robinson, J. T. &amp; Mesirov, J. P. Integrative Genomics Viewer (IGV): high-performance genomics data visualization and exploration. </w:t>
      </w:r>
      <w:r w:rsidRPr="00EB17BB">
        <w:rPr>
          <w:i/>
          <w:iCs/>
          <w:noProof/>
          <w:lang w:val="en-GB"/>
        </w:rPr>
        <w:t xml:space="preserve">Brief. </w:t>
      </w:r>
      <w:r w:rsidRPr="00EB17BB">
        <w:rPr>
          <w:i/>
          <w:iCs/>
          <w:noProof/>
          <w:lang w:val="en-GB"/>
        </w:rPr>
        <w:lastRenderedPageBreak/>
        <w:t>Bioinform.</w:t>
      </w:r>
      <w:r w:rsidRPr="00EB17BB">
        <w:rPr>
          <w:noProof/>
          <w:lang w:val="en-GB"/>
        </w:rPr>
        <w:t xml:space="preserve"> </w:t>
      </w:r>
      <w:r w:rsidRPr="00EB17BB">
        <w:rPr>
          <w:b/>
          <w:bCs/>
          <w:noProof/>
          <w:lang w:val="en-GB"/>
        </w:rPr>
        <w:t>14</w:t>
      </w:r>
      <w:r w:rsidRPr="00EB17BB">
        <w:rPr>
          <w:noProof/>
          <w:lang w:val="en-GB"/>
        </w:rPr>
        <w:t>, 178–192 (2013).</w:t>
      </w:r>
    </w:p>
    <w:p w14:paraId="66896ACC"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13.</w:t>
      </w:r>
      <w:r w:rsidRPr="00EB17BB">
        <w:rPr>
          <w:noProof/>
          <w:lang w:val="en-GB"/>
        </w:rPr>
        <w:tab/>
        <w:t xml:space="preserve">Jasper J. Koehorst, Jesse C. J. van Dam, Edoardo Saccenti, Vitor A. P. Martins dos Santos, M. S.-D. and P. J. S. GISAID Global Initiative on Sharing All Influenza Data. Phylogeny of SARS-like betacoronaviruses including novel coronavirus (nCoV). </w:t>
      </w:r>
      <w:r w:rsidRPr="00EB17BB">
        <w:rPr>
          <w:i/>
          <w:iCs/>
          <w:noProof/>
          <w:lang w:val="en-GB"/>
        </w:rPr>
        <w:t>Oxford</w:t>
      </w:r>
      <w:r w:rsidRPr="00EB17BB">
        <w:rPr>
          <w:noProof/>
          <w:lang w:val="en-GB"/>
        </w:rPr>
        <w:t xml:space="preserve"> </w:t>
      </w:r>
      <w:r w:rsidRPr="00EB17BB">
        <w:rPr>
          <w:b/>
          <w:bCs/>
          <w:noProof/>
          <w:lang w:val="en-GB"/>
        </w:rPr>
        <w:t>34</w:t>
      </w:r>
      <w:r w:rsidRPr="00EB17BB">
        <w:rPr>
          <w:noProof/>
          <w:lang w:val="en-GB"/>
        </w:rPr>
        <w:t>, 1401–1403 (2017).</w:t>
      </w:r>
    </w:p>
    <w:p w14:paraId="40D2FB96"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14.</w:t>
      </w:r>
      <w:r w:rsidRPr="00EB17BB">
        <w:rPr>
          <w:noProof/>
          <w:lang w:val="en-GB"/>
        </w:rPr>
        <w:tab/>
        <w:t xml:space="preserve">Hadfield, J. </w:t>
      </w:r>
      <w:r w:rsidRPr="00EB17BB">
        <w:rPr>
          <w:i/>
          <w:iCs/>
          <w:noProof/>
          <w:lang w:val="en-GB"/>
        </w:rPr>
        <w:t>et al.</w:t>
      </w:r>
      <w:r w:rsidRPr="00EB17BB">
        <w:rPr>
          <w:noProof/>
          <w:lang w:val="en-GB"/>
        </w:rPr>
        <w:t xml:space="preserve"> Nextstrain: real-time tracking of pathogen evolution. </w:t>
      </w:r>
      <w:r w:rsidRPr="00EB17BB">
        <w:rPr>
          <w:i/>
          <w:iCs/>
          <w:noProof/>
          <w:lang w:val="en-GB"/>
        </w:rPr>
        <w:t>Bioinformatics</w:t>
      </w:r>
      <w:r w:rsidRPr="00EB17BB">
        <w:rPr>
          <w:noProof/>
          <w:lang w:val="en-GB"/>
        </w:rPr>
        <w:t xml:space="preserve"> </w:t>
      </w:r>
      <w:r w:rsidRPr="00EB17BB">
        <w:rPr>
          <w:b/>
          <w:bCs/>
          <w:noProof/>
          <w:lang w:val="en-GB"/>
        </w:rPr>
        <w:t>34</w:t>
      </w:r>
      <w:r w:rsidRPr="00EB17BB">
        <w:rPr>
          <w:noProof/>
          <w:lang w:val="en-GB"/>
        </w:rPr>
        <w:t>, 4121–4123 (2018).</w:t>
      </w:r>
    </w:p>
    <w:p w14:paraId="790A7D69"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15.</w:t>
      </w:r>
      <w:r w:rsidRPr="00EB17BB">
        <w:rPr>
          <w:noProof/>
          <w:lang w:val="en-GB"/>
        </w:rPr>
        <w:tab/>
        <w:t xml:space="preserve">Katoh, K. &amp; Standley, D. M. MAFFT multiple sequence alignment software version 7: Improvements in performance and usability. </w:t>
      </w:r>
      <w:r w:rsidRPr="00EB17BB">
        <w:rPr>
          <w:i/>
          <w:iCs/>
          <w:noProof/>
          <w:lang w:val="en-GB"/>
        </w:rPr>
        <w:t>Mol. Biol. Evol.</w:t>
      </w:r>
      <w:r w:rsidRPr="00EB17BB">
        <w:rPr>
          <w:noProof/>
          <w:lang w:val="en-GB"/>
        </w:rPr>
        <w:t xml:space="preserve"> </w:t>
      </w:r>
      <w:r w:rsidRPr="00EB17BB">
        <w:rPr>
          <w:b/>
          <w:bCs/>
          <w:noProof/>
          <w:lang w:val="en-GB"/>
        </w:rPr>
        <w:t>30</w:t>
      </w:r>
      <w:r w:rsidRPr="00EB17BB">
        <w:rPr>
          <w:noProof/>
          <w:lang w:val="en-GB"/>
        </w:rPr>
        <w:t>, 772–780 (2013).</w:t>
      </w:r>
    </w:p>
    <w:p w14:paraId="227A0FC5"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16.</w:t>
      </w:r>
      <w:r w:rsidRPr="00EB17BB">
        <w:rPr>
          <w:noProof/>
          <w:lang w:val="en-GB"/>
        </w:rPr>
        <w:tab/>
        <w:t xml:space="preserve">Nguyen, L. T., Schmidt, H. A., Von Haeseler, A. &amp; Minh, B. Q. IQ-TREE: A fast and effective stochastic algorithm for estimating maximum-likelihood phylogenies. </w:t>
      </w:r>
      <w:r w:rsidRPr="00EB17BB">
        <w:rPr>
          <w:i/>
          <w:iCs/>
          <w:noProof/>
          <w:lang w:val="en-GB"/>
        </w:rPr>
        <w:t>Mol. Biol. Evol.</w:t>
      </w:r>
      <w:r w:rsidRPr="00EB17BB">
        <w:rPr>
          <w:noProof/>
          <w:lang w:val="en-GB"/>
        </w:rPr>
        <w:t xml:space="preserve"> </w:t>
      </w:r>
      <w:r w:rsidRPr="00EB17BB">
        <w:rPr>
          <w:b/>
          <w:bCs/>
          <w:noProof/>
          <w:lang w:val="en-GB"/>
        </w:rPr>
        <w:t>32</w:t>
      </w:r>
      <w:r w:rsidRPr="00EB17BB">
        <w:rPr>
          <w:noProof/>
          <w:lang w:val="en-GB"/>
        </w:rPr>
        <w:t>, 268–274 (2015).</w:t>
      </w:r>
    </w:p>
    <w:p w14:paraId="3FBBBE53"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17.</w:t>
      </w:r>
      <w:r w:rsidRPr="00EB17BB">
        <w:rPr>
          <w:noProof/>
          <w:lang w:val="en-GB"/>
        </w:rPr>
        <w:tab/>
        <w:t xml:space="preserve">Yu, G., Smith, D. K., Zhu, H., Guan, Y. &amp; Lam, T. T. Y. ggtree: an r package for visualization and annotation of phylogenetic trees with their covariates and other associated data. </w:t>
      </w:r>
      <w:r w:rsidRPr="00EB17BB">
        <w:rPr>
          <w:i/>
          <w:iCs/>
          <w:noProof/>
          <w:lang w:val="en-GB"/>
        </w:rPr>
        <w:t>Methods Ecol. Evol.</w:t>
      </w:r>
      <w:r w:rsidRPr="00EB17BB">
        <w:rPr>
          <w:noProof/>
          <w:lang w:val="en-GB"/>
        </w:rPr>
        <w:t xml:space="preserve"> </w:t>
      </w:r>
      <w:r w:rsidRPr="00EB17BB">
        <w:rPr>
          <w:b/>
          <w:bCs/>
          <w:noProof/>
          <w:lang w:val="en-GB"/>
        </w:rPr>
        <w:t>8</w:t>
      </w:r>
      <w:r w:rsidRPr="00EB17BB">
        <w:rPr>
          <w:noProof/>
          <w:lang w:val="en-GB"/>
        </w:rPr>
        <w:t>, 28–36 (2017).</w:t>
      </w:r>
    </w:p>
    <w:p w14:paraId="2081541D"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18.</w:t>
      </w:r>
      <w:r w:rsidRPr="00EB17BB">
        <w:rPr>
          <w:noProof/>
          <w:lang w:val="en-GB"/>
        </w:rPr>
        <w:tab/>
        <w:t xml:space="preserve">Team, R. C. R: A Language and Environment for Statistical Computing. </w:t>
      </w:r>
      <w:r w:rsidRPr="00EB17BB">
        <w:rPr>
          <w:i/>
          <w:iCs/>
          <w:noProof/>
          <w:lang w:val="en-GB"/>
        </w:rPr>
        <w:t>R Foundation for Statistical Computing</w:t>
      </w:r>
      <w:r w:rsidRPr="00EB17BB">
        <w:rPr>
          <w:noProof/>
          <w:lang w:val="en-GB"/>
        </w:rPr>
        <w:t xml:space="preserve"> (2021).</w:t>
      </w:r>
    </w:p>
    <w:p w14:paraId="1C84ADD6" w14:textId="77777777" w:rsidR="00EB17BB" w:rsidRPr="00EB17BB" w:rsidRDefault="00EB17BB" w:rsidP="00EB17BB">
      <w:pPr>
        <w:widowControl w:val="0"/>
        <w:autoSpaceDE w:val="0"/>
        <w:autoSpaceDN w:val="0"/>
        <w:adjustRightInd w:val="0"/>
        <w:spacing w:after="120" w:line="360" w:lineRule="auto"/>
        <w:ind w:left="640" w:hanging="640"/>
        <w:rPr>
          <w:noProof/>
          <w:lang w:val="en-GB"/>
        </w:rPr>
      </w:pPr>
      <w:r w:rsidRPr="00EB17BB">
        <w:rPr>
          <w:noProof/>
          <w:lang w:val="en-GB"/>
        </w:rPr>
        <w:t>19.</w:t>
      </w:r>
      <w:r w:rsidRPr="00EB17BB">
        <w:rPr>
          <w:noProof/>
          <w:lang w:val="en-GB"/>
        </w:rPr>
        <w:tab/>
        <w:t xml:space="preserve">Hadley Wickham. </w:t>
      </w:r>
      <w:r w:rsidRPr="00EB17BB">
        <w:rPr>
          <w:i/>
          <w:iCs/>
          <w:noProof/>
          <w:lang w:val="en-GB"/>
        </w:rPr>
        <w:t>ggplot2: Elegant Graphics for Data Analysis</w:t>
      </w:r>
      <w:r w:rsidRPr="00EB17BB">
        <w:rPr>
          <w:noProof/>
          <w:lang w:val="en-GB"/>
        </w:rPr>
        <w:t>. (Springer-Verlag New York, 2016).</w:t>
      </w:r>
    </w:p>
    <w:p w14:paraId="290DA14B" w14:textId="77777777" w:rsidR="00EB17BB" w:rsidRPr="00EB17BB" w:rsidRDefault="00EB17BB" w:rsidP="00EB17BB">
      <w:pPr>
        <w:widowControl w:val="0"/>
        <w:autoSpaceDE w:val="0"/>
        <w:autoSpaceDN w:val="0"/>
        <w:adjustRightInd w:val="0"/>
        <w:spacing w:after="120" w:line="360" w:lineRule="auto"/>
        <w:ind w:left="640" w:hanging="640"/>
        <w:rPr>
          <w:noProof/>
        </w:rPr>
      </w:pPr>
      <w:r w:rsidRPr="00EB17BB">
        <w:rPr>
          <w:noProof/>
          <w:lang w:val="en-GB"/>
        </w:rPr>
        <w:t>20.</w:t>
      </w:r>
      <w:r w:rsidRPr="00EB17BB">
        <w:rPr>
          <w:noProof/>
          <w:lang w:val="en-GB"/>
        </w:rPr>
        <w:tab/>
        <w:t xml:space="preserve">Kreier, F. Deltacron: the story of the variant that wasn’t. </w:t>
      </w:r>
      <w:r w:rsidRPr="00EB17BB">
        <w:rPr>
          <w:i/>
          <w:iCs/>
          <w:noProof/>
          <w:lang w:val="en-GB"/>
        </w:rPr>
        <w:t>Nature</w:t>
      </w:r>
      <w:r w:rsidRPr="00EB17BB">
        <w:rPr>
          <w:noProof/>
          <w:lang w:val="en-GB"/>
        </w:rPr>
        <w:t xml:space="preserve"> (2022) doi:10.1038/D41586-022-00149-9.</w:t>
      </w:r>
    </w:p>
    <w:p w14:paraId="00A4F958" w14:textId="4962F1BE" w:rsidR="00EB17BB" w:rsidRDefault="00D7254C" w:rsidP="00EB17BB">
      <w:pPr>
        <w:widowControl w:val="0"/>
        <w:autoSpaceDE w:val="0"/>
        <w:autoSpaceDN w:val="0"/>
        <w:adjustRightInd w:val="0"/>
        <w:spacing w:after="120" w:line="360" w:lineRule="auto"/>
        <w:ind w:left="640" w:hanging="640"/>
        <w:rPr>
          <w:b/>
        </w:rPr>
      </w:pPr>
      <w:r>
        <w:rPr>
          <w:b/>
        </w:rPr>
        <w:fldChar w:fldCharType="end"/>
      </w:r>
    </w:p>
    <w:p w14:paraId="5D66382D" w14:textId="77777777" w:rsidR="00EB17BB" w:rsidRDefault="00EB17BB" w:rsidP="00EB17BB">
      <w:pPr>
        <w:widowControl w:val="0"/>
        <w:autoSpaceDE w:val="0"/>
        <w:autoSpaceDN w:val="0"/>
        <w:adjustRightInd w:val="0"/>
        <w:spacing w:after="120" w:line="360" w:lineRule="auto"/>
        <w:ind w:left="640" w:hanging="640"/>
        <w:rPr>
          <w:b/>
        </w:rPr>
      </w:pPr>
    </w:p>
    <w:p w14:paraId="6F170AB3" w14:textId="77777777" w:rsidR="00EB17BB" w:rsidRDefault="00EB17BB" w:rsidP="00EB17BB">
      <w:pPr>
        <w:widowControl w:val="0"/>
        <w:autoSpaceDE w:val="0"/>
        <w:autoSpaceDN w:val="0"/>
        <w:adjustRightInd w:val="0"/>
        <w:spacing w:after="120" w:line="360" w:lineRule="auto"/>
        <w:ind w:left="640" w:hanging="640"/>
        <w:rPr>
          <w:b/>
        </w:rPr>
      </w:pPr>
    </w:p>
    <w:p w14:paraId="1360C9DF" w14:textId="77777777" w:rsidR="00EB17BB" w:rsidRDefault="00EB17BB" w:rsidP="00EB17BB">
      <w:pPr>
        <w:widowControl w:val="0"/>
        <w:autoSpaceDE w:val="0"/>
        <w:autoSpaceDN w:val="0"/>
        <w:adjustRightInd w:val="0"/>
        <w:spacing w:after="120" w:line="360" w:lineRule="auto"/>
        <w:ind w:left="640" w:hanging="640"/>
        <w:rPr>
          <w:b/>
        </w:rPr>
      </w:pPr>
    </w:p>
    <w:p w14:paraId="75E26224" w14:textId="77777777" w:rsidR="00EB17BB" w:rsidRDefault="00EB17BB" w:rsidP="00EB17BB">
      <w:pPr>
        <w:widowControl w:val="0"/>
        <w:autoSpaceDE w:val="0"/>
        <w:autoSpaceDN w:val="0"/>
        <w:adjustRightInd w:val="0"/>
        <w:spacing w:after="120" w:line="360" w:lineRule="auto"/>
        <w:ind w:left="640" w:hanging="640"/>
        <w:rPr>
          <w:b/>
        </w:rPr>
      </w:pPr>
    </w:p>
    <w:p w14:paraId="77485F28" w14:textId="77777777" w:rsidR="00EB17BB" w:rsidRDefault="00EB17BB" w:rsidP="00EB17BB">
      <w:pPr>
        <w:widowControl w:val="0"/>
        <w:autoSpaceDE w:val="0"/>
        <w:autoSpaceDN w:val="0"/>
        <w:adjustRightInd w:val="0"/>
        <w:spacing w:after="120" w:line="360" w:lineRule="auto"/>
        <w:ind w:left="640" w:hanging="640"/>
        <w:rPr>
          <w:b/>
        </w:rPr>
      </w:pPr>
    </w:p>
    <w:p w14:paraId="3AE0EDCC" w14:textId="77777777" w:rsidR="00EB17BB" w:rsidRDefault="00EB17BB" w:rsidP="00EB17BB">
      <w:pPr>
        <w:widowControl w:val="0"/>
        <w:autoSpaceDE w:val="0"/>
        <w:autoSpaceDN w:val="0"/>
        <w:adjustRightInd w:val="0"/>
        <w:spacing w:after="120" w:line="360" w:lineRule="auto"/>
        <w:ind w:left="640" w:hanging="640"/>
        <w:rPr>
          <w:b/>
        </w:rPr>
      </w:pPr>
    </w:p>
    <w:p w14:paraId="0A12BCF1" w14:textId="77777777" w:rsidR="00EB17BB" w:rsidRDefault="00EB17BB" w:rsidP="00EB17BB">
      <w:pPr>
        <w:widowControl w:val="0"/>
        <w:autoSpaceDE w:val="0"/>
        <w:autoSpaceDN w:val="0"/>
        <w:adjustRightInd w:val="0"/>
        <w:spacing w:after="120" w:line="360" w:lineRule="auto"/>
        <w:ind w:left="640" w:hanging="640"/>
        <w:rPr>
          <w:b/>
        </w:rPr>
      </w:pPr>
    </w:p>
    <w:p w14:paraId="572C3E6E" w14:textId="61AEA8F5" w:rsidR="00D7254C" w:rsidRDefault="00D7254C" w:rsidP="00E017E4">
      <w:pPr>
        <w:widowControl w:val="0"/>
        <w:autoSpaceDE w:val="0"/>
        <w:autoSpaceDN w:val="0"/>
        <w:adjustRightInd w:val="0"/>
        <w:spacing w:after="120" w:line="360" w:lineRule="auto"/>
        <w:ind w:left="640" w:hanging="640"/>
        <w:rPr>
          <w:b/>
          <w:bCs/>
        </w:rPr>
      </w:pPr>
      <w:r w:rsidRPr="7339469F">
        <w:rPr>
          <w:b/>
          <w:bCs/>
        </w:rPr>
        <w:lastRenderedPageBreak/>
        <w:t xml:space="preserve">SUPPLEMENTARY TABLES </w:t>
      </w:r>
      <w:r>
        <w:rPr>
          <w:b/>
          <w:bCs/>
        </w:rPr>
        <w:t xml:space="preserve">AND </w:t>
      </w:r>
      <w:r w:rsidRPr="7339469F">
        <w:rPr>
          <w:b/>
          <w:bCs/>
        </w:rPr>
        <w:t>FIGURE</w:t>
      </w:r>
      <w:r w:rsidR="00585786">
        <w:rPr>
          <w:b/>
          <w:bCs/>
        </w:rPr>
        <w:t>S</w:t>
      </w:r>
    </w:p>
    <w:p w14:paraId="5763D7D4" w14:textId="77777777" w:rsidR="00D7254C" w:rsidRDefault="00D7254C" w:rsidP="00D7254C">
      <w:pPr>
        <w:rPr>
          <w:b/>
          <w:bCs/>
        </w:rPr>
      </w:pPr>
    </w:p>
    <w:p w14:paraId="2C5BC000" w14:textId="77777777" w:rsidR="00D7254C" w:rsidRDefault="00D7254C" w:rsidP="00D7254C">
      <w:pPr>
        <w:jc w:val="both"/>
        <w:rPr>
          <w:b/>
          <w:bCs/>
        </w:rPr>
      </w:pPr>
      <w:r w:rsidRPr="00CB5136">
        <w:rPr>
          <w:b/>
          <w:bCs/>
        </w:rPr>
        <w:t>Supplementary Table S1</w:t>
      </w:r>
      <w:r w:rsidRPr="7339469F">
        <w:t>.</w:t>
      </w:r>
      <w:r>
        <w:t xml:space="preserve"> </w:t>
      </w:r>
      <w:r w:rsidRPr="7339469F">
        <w:t xml:space="preserve">SARS-CoV-2 yield </w:t>
      </w:r>
      <w:r>
        <w:t xml:space="preserve">and sequencing metrics for co-infection cases. </w:t>
      </w:r>
    </w:p>
    <w:p w14:paraId="56E18DA0" w14:textId="77777777" w:rsidR="00D7254C" w:rsidRDefault="00D7254C" w:rsidP="00D7254C">
      <w:pPr>
        <w:jc w:val="both"/>
      </w:pPr>
    </w:p>
    <w:p w14:paraId="260313DC" w14:textId="77777777" w:rsidR="00D7254C" w:rsidRDefault="00D7254C" w:rsidP="00D7254C">
      <w:pPr>
        <w:jc w:val="both"/>
        <w:rPr>
          <w:b/>
          <w:bCs/>
        </w:rPr>
      </w:pPr>
      <w:r w:rsidRPr="00CB5136">
        <w:rPr>
          <w:b/>
          <w:bCs/>
        </w:rPr>
        <w:t>Supplementary Table S</w:t>
      </w:r>
      <w:r>
        <w:rPr>
          <w:b/>
          <w:bCs/>
        </w:rPr>
        <w:t>2</w:t>
      </w:r>
      <w:r w:rsidRPr="00CB5136">
        <w:rPr>
          <w:b/>
          <w:bCs/>
        </w:rPr>
        <w:t>.</w:t>
      </w:r>
      <w:r>
        <w:t xml:space="preserve"> Acknowledgement of SARS-CoV-2 genomes used in the study, generously contributed by international laboratories on the GISAID repository. </w:t>
      </w:r>
    </w:p>
    <w:p w14:paraId="5F1DA581" w14:textId="77777777" w:rsidR="00D7254C" w:rsidRDefault="00D7254C" w:rsidP="00D7254C">
      <w:pPr>
        <w:jc w:val="both"/>
        <w:rPr>
          <w:b/>
          <w:bCs/>
        </w:rPr>
      </w:pPr>
    </w:p>
    <w:p w14:paraId="6BB88152" w14:textId="77777777" w:rsidR="00585786" w:rsidRDefault="00585786" w:rsidP="00D7254C">
      <w:pPr>
        <w:jc w:val="both"/>
        <w:rPr>
          <w:b/>
          <w:bCs/>
        </w:rPr>
      </w:pPr>
    </w:p>
    <w:p w14:paraId="3D4FFBA9" w14:textId="77777777" w:rsidR="00585786" w:rsidRDefault="00585786" w:rsidP="00D7254C">
      <w:pPr>
        <w:jc w:val="both"/>
        <w:rPr>
          <w:b/>
          <w:bCs/>
        </w:rPr>
      </w:pPr>
    </w:p>
    <w:p w14:paraId="16CEA635" w14:textId="77777777" w:rsidR="00585786" w:rsidRDefault="00585786" w:rsidP="00D7254C">
      <w:pPr>
        <w:jc w:val="both"/>
        <w:rPr>
          <w:b/>
          <w:bCs/>
        </w:rPr>
      </w:pPr>
    </w:p>
    <w:p w14:paraId="5441E7F1" w14:textId="77777777" w:rsidR="00585786" w:rsidRDefault="00585786" w:rsidP="00D7254C">
      <w:pPr>
        <w:jc w:val="both"/>
        <w:rPr>
          <w:b/>
          <w:bCs/>
        </w:rPr>
      </w:pPr>
    </w:p>
    <w:p w14:paraId="6A4BB751" w14:textId="77777777" w:rsidR="00585786" w:rsidRDefault="00585786" w:rsidP="00D7254C">
      <w:pPr>
        <w:jc w:val="both"/>
        <w:rPr>
          <w:b/>
          <w:bCs/>
        </w:rPr>
      </w:pPr>
    </w:p>
    <w:p w14:paraId="0F6323C0" w14:textId="7F6BEC0D" w:rsidR="00D7254C" w:rsidRDefault="00D7254C" w:rsidP="00D7254C">
      <w:pPr>
        <w:jc w:val="both"/>
      </w:pPr>
      <w:r w:rsidRPr="00C22171">
        <w:rPr>
          <w:b/>
          <w:bCs/>
        </w:rPr>
        <w:t>Supplementary Figure S1.</w:t>
      </w:r>
      <w:r w:rsidR="007E2F1F">
        <w:t xml:space="preserve"> </w:t>
      </w:r>
      <w:r w:rsidRPr="7339469F">
        <w:t xml:space="preserve">Bioinformatics workflow, highlighting critical quality performance parameters used. </w:t>
      </w:r>
    </w:p>
    <w:p w14:paraId="57E5B808" w14:textId="6969833F" w:rsidR="00585786" w:rsidRPr="00EC684A" w:rsidRDefault="00585786" w:rsidP="00D7254C">
      <w:pPr>
        <w:jc w:val="both"/>
      </w:pPr>
      <w:r>
        <w:rPr>
          <w:noProof/>
        </w:rPr>
        <w:drawing>
          <wp:inline distT="0" distB="0" distL="0" distR="0" wp14:anchorId="0FDCF450" wp14:editId="698859B6">
            <wp:extent cx="5731510" cy="41357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35755"/>
                    </a:xfrm>
                    <a:prstGeom prst="rect">
                      <a:avLst/>
                    </a:prstGeom>
                  </pic:spPr>
                </pic:pic>
              </a:graphicData>
            </a:graphic>
          </wp:inline>
        </w:drawing>
      </w:r>
    </w:p>
    <w:p w14:paraId="695F4714" w14:textId="77777777" w:rsidR="00D7254C" w:rsidRDefault="00D7254C" w:rsidP="00D7254C">
      <w:pPr>
        <w:jc w:val="both"/>
        <w:rPr>
          <w:b/>
          <w:bCs/>
        </w:rPr>
      </w:pPr>
    </w:p>
    <w:p w14:paraId="60124843" w14:textId="77777777" w:rsidR="00585786" w:rsidRDefault="00585786" w:rsidP="00D7254C">
      <w:pPr>
        <w:jc w:val="both"/>
        <w:rPr>
          <w:b/>
          <w:bCs/>
        </w:rPr>
      </w:pPr>
    </w:p>
    <w:p w14:paraId="7EADA7A5" w14:textId="77777777" w:rsidR="00585786" w:rsidRDefault="00585786" w:rsidP="00D7254C">
      <w:pPr>
        <w:jc w:val="both"/>
        <w:rPr>
          <w:b/>
          <w:bCs/>
        </w:rPr>
      </w:pPr>
    </w:p>
    <w:p w14:paraId="55706954" w14:textId="77777777" w:rsidR="00585786" w:rsidRDefault="00585786" w:rsidP="00D7254C">
      <w:pPr>
        <w:jc w:val="both"/>
        <w:rPr>
          <w:b/>
          <w:bCs/>
        </w:rPr>
      </w:pPr>
    </w:p>
    <w:p w14:paraId="0736AB4D" w14:textId="0F687FB9" w:rsidR="00D7254C" w:rsidRPr="00EC684A" w:rsidRDefault="00D7254C" w:rsidP="00D7254C">
      <w:pPr>
        <w:jc w:val="both"/>
      </w:pPr>
      <w:r w:rsidRPr="00C22171">
        <w:rPr>
          <w:b/>
          <w:bCs/>
        </w:rPr>
        <w:t>Supplementary Figure S2.</w:t>
      </w:r>
      <w:r w:rsidRPr="7339469F">
        <w:t xml:space="preserve"> Log-scale histogram of heterozygosity in 22,2942 high quality (</w:t>
      </w:r>
      <w:r>
        <w:sym w:font="Symbol" w:char="F0B3"/>
      </w:r>
      <w:r>
        <w:t>90% SARS-CoV-2 genome coverage</w:t>
      </w:r>
      <w:r w:rsidRPr="7339469F">
        <w:t>) SARS-CoV-2 genomes produced from NSW, Australia.</w:t>
      </w:r>
      <w:r>
        <w:t xml:space="preserve"> Larger dark blue dots indicate the genomes investigated in this study, the regression is depicted by the blue line, with the grey area showing the 95% confidence intervals. </w:t>
      </w:r>
    </w:p>
    <w:p w14:paraId="57566510" w14:textId="79EEEFC2" w:rsidR="00D7254C" w:rsidRDefault="00D7254C" w:rsidP="00D7254C">
      <w:pPr>
        <w:jc w:val="both"/>
      </w:pPr>
    </w:p>
    <w:p w14:paraId="5E70E407" w14:textId="1ED21EC5" w:rsidR="00585786" w:rsidRPr="00EC684A" w:rsidRDefault="00585786" w:rsidP="00D7254C">
      <w:pPr>
        <w:jc w:val="both"/>
      </w:pPr>
      <w:r>
        <w:rPr>
          <w:noProof/>
        </w:rPr>
        <w:lastRenderedPageBreak/>
        <w:drawing>
          <wp:inline distT="0" distB="0" distL="0" distR="0" wp14:anchorId="7DF32D6D" wp14:editId="469F1CEB">
            <wp:extent cx="5731510" cy="2865755"/>
            <wp:effectExtent l="0" t="0" r="0" b="444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6A31AEBD" w14:textId="77777777" w:rsidR="00585786" w:rsidRDefault="00585786" w:rsidP="00D7254C">
      <w:pPr>
        <w:jc w:val="both"/>
        <w:rPr>
          <w:b/>
          <w:bCs/>
        </w:rPr>
      </w:pPr>
    </w:p>
    <w:p w14:paraId="79A6B10B" w14:textId="77777777" w:rsidR="00585786" w:rsidRDefault="00585786" w:rsidP="00D7254C">
      <w:pPr>
        <w:jc w:val="both"/>
        <w:rPr>
          <w:b/>
          <w:bCs/>
        </w:rPr>
      </w:pPr>
    </w:p>
    <w:p w14:paraId="3E9BC8A8" w14:textId="77777777" w:rsidR="00585786" w:rsidRDefault="00585786" w:rsidP="00D7254C">
      <w:pPr>
        <w:jc w:val="both"/>
        <w:rPr>
          <w:b/>
          <w:bCs/>
        </w:rPr>
      </w:pPr>
    </w:p>
    <w:p w14:paraId="7DAFABA4" w14:textId="77777777" w:rsidR="00585786" w:rsidRDefault="00585786" w:rsidP="00D7254C">
      <w:pPr>
        <w:jc w:val="both"/>
        <w:rPr>
          <w:b/>
          <w:bCs/>
        </w:rPr>
      </w:pPr>
    </w:p>
    <w:p w14:paraId="7F3746C4" w14:textId="77777777" w:rsidR="00585786" w:rsidRDefault="00585786" w:rsidP="00D7254C">
      <w:pPr>
        <w:jc w:val="both"/>
        <w:rPr>
          <w:b/>
          <w:bCs/>
        </w:rPr>
      </w:pPr>
    </w:p>
    <w:p w14:paraId="2B5EE69B" w14:textId="77777777" w:rsidR="00585786" w:rsidRDefault="00585786" w:rsidP="00D7254C">
      <w:pPr>
        <w:jc w:val="both"/>
        <w:rPr>
          <w:b/>
          <w:bCs/>
        </w:rPr>
      </w:pPr>
    </w:p>
    <w:p w14:paraId="079C12D2" w14:textId="77777777" w:rsidR="00585786" w:rsidRDefault="00585786" w:rsidP="00D7254C">
      <w:pPr>
        <w:jc w:val="both"/>
        <w:rPr>
          <w:b/>
          <w:bCs/>
        </w:rPr>
      </w:pPr>
    </w:p>
    <w:p w14:paraId="27C844C2" w14:textId="77777777" w:rsidR="00585786" w:rsidRDefault="00585786" w:rsidP="00D7254C">
      <w:pPr>
        <w:jc w:val="both"/>
        <w:rPr>
          <w:b/>
          <w:bCs/>
        </w:rPr>
      </w:pPr>
    </w:p>
    <w:p w14:paraId="02EA2AD4" w14:textId="77777777" w:rsidR="00585786" w:rsidRDefault="00585786" w:rsidP="00D7254C">
      <w:pPr>
        <w:jc w:val="both"/>
        <w:rPr>
          <w:b/>
          <w:bCs/>
        </w:rPr>
      </w:pPr>
    </w:p>
    <w:p w14:paraId="1528031F" w14:textId="77777777" w:rsidR="00585786" w:rsidRDefault="00585786" w:rsidP="00D7254C">
      <w:pPr>
        <w:jc w:val="both"/>
        <w:rPr>
          <w:b/>
          <w:bCs/>
        </w:rPr>
      </w:pPr>
    </w:p>
    <w:p w14:paraId="6AED4BE0" w14:textId="77777777" w:rsidR="00585786" w:rsidRDefault="00585786" w:rsidP="00D7254C">
      <w:pPr>
        <w:jc w:val="both"/>
        <w:rPr>
          <w:b/>
          <w:bCs/>
        </w:rPr>
      </w:pPr>
    </w:p>
    <w:p w14:paraId="7DA7567E" w14:textId="77777777" w:rsidR="00585786" w:rsidRDefault="00585786" w:rsidP="00D7254C">
      <w:pPr>
        <w:jc w:val="both"/>
        <w:rPr>
          <w:b/>
          <w:bCs/>
        </w:rPr>
      </w:pPr>
    </w:p>
    <w:p w14:paraId="0DE26D6F" w14:textId="77777777" w:rsidR="00585786" w:rsidRDefault="00585786" w:rsidP="00D7254C">
      <w:pPr>
        <w:jc w:val="both"/>
        <w:rPr>
          <w:b/>
          <w:bCs/>
        </w:rPr>
      </w:pPr>
    </w:p>
    <w:p w14:paraId="37247871" w14:textId="77777777" w:rsidR="00585786" w:rsidRDefault="00585786" w:rsidP="00D7254C">
      <w:pPr>
        <w:jc w:val="both"/>
        <w:rPr>
          <w:b/>
          <w:bCs/>
        </w:rPr>
      </w:pPr>
    </w:p>
    <w:p w14:paraId="20F93BDB" w14:textId="77777777" w:rsidR="00585786" w:rsidRDefault="00585786" w:rsidP="00D7254C">
      <w:pPr>
        <w:jc w:val="both"/>
        <w:rPr>
          <w:b/>
          <w:bCs/>
        </w:rPr>
      </w:pPr>
    </w:p>
    <w:p w14:paraId="282BD112" w14:textId="77777777" w:rsidR="00585786" w:rsidRDefault="00585786" w:rsidP="00D7254C">
      <w:pPr>
        <w:jc w:val="both"/>
        <w:rPr>
          <w:b/>
          <w:bCs/>
        </w:rPr>
      </w:pPr>
    </w:p>
    <w:p w14:paraId="0C7D669E" w14:textId="77777777" w:rsidR="00585786" w:rsidRDefault="00585786" w:rsidP="00D7254C">
      <w:pPr>
        <w:jc w:val="both"/>
        <w:rPr>
          <w:b/>
          <w:bCs/>
        </w:rPr>
      </w:pPr>
    </w:p>
    <w:p w14:paraId="5CDDDCB9" w14:textId="77777777" w:rsidR="00585786" w:rsidRDefault="00585786" w:rsidP="00D7254C">
      <w:pPr>
        <w:jc w:val="both"/>
        <w:rPr>
          <w:b/>
          <w:bCs/>
        </w:rPr>
      </w:pPr>
    </w:p>
    <w:p w14:paraId="5AE50261" w14:textId="77777777" w:rsidR="00585786" w:rsidRDefault="00585786" w:rsidP="00D7254C">
      <w:pPr>
        <w:jc w:val="both"/>
        <w:rPr>
          <w:b/>
          <w:bCs/>
        </w:rPr>
      </w:pPr>
    </w:p>
    <w:p w14:paraId="760856E3" w14:textId="77777777" w:rsidR="00585786" w:rsidRDefault="00585786" w:rsidP="00D7254C">
      <w:pPr>
        <w:jc w:val="both"/>
        <w:rPr>
          <w:b/>
          <w:bCs/>
        </w:rPr>
      </w:pPr>
    </w:p>
    <w:p w14:paraId="732753F0" w14:textId="77777777" w:rsidR="00585786" w:rsidRDefault="00585786" w:rsidP="00D7254C">
      <w:pPr>
        <w:jc w:val="both"/>
        <w:rPr>
          <w:b/>
          <w:bCs/>
        </w:rPr>
      </w:pPr>
    </w:p>
    <w:p w14:paraId="1E4F6451" w14:textId="77777777" w:rsidR="00585786" w:rsidRDefault="00585786" w:rsidP="00D7254C">
      <w:pPr>
        <w:jc w:val="both"/>
        <w:rPr>
          <w:b/>
          <w:bCs/>
        </w:rPr>
      </w:pPr>
    </w:p>
    <w:p w14:paraId="2C9D9DFE" w14:textId="77777777" w:rsidR="00585786" w:rsidRDefault="00585786" w:rsidP="00D7254C">
      <w:pPr>
        <w:jc w:val="both"/>
        <w:rPr>
          <w:b/>
          <w:bCs/>
        </w:rPr>
      </w:pPr>
    </w:p>
    <w:p w14:paraId="0DF08B05" w14:textId="77777777" w:rsidR="00585786" w:rsidRDefault="00585786" w:rsidP="00D7254C">
      <w:pPr>
        <w:jc w:val="both"/>
        <w:rPr>
          <w:b/>
          <w:bCs/>
        </w:rPr>
      </w:pPr>
    </w:p>
    <w:p w14:paraId="2B919888" w14:textId="77777777" w:rsidR="00585786" w:rsidRDefault="00585786" w:rsidP="00D7254C">
      <w:pPr>
        <w:jc w:val="both"/>
        <w:rPr>
          <w:b/>
          <w:bCs/>
        </w:rPr>
      </w:pPr>
    </w:p>
    <w:p w14:paraId="7D877FAB" w14:textId="77777777" w:rsidR="00585786" w:rsidRDefault="00585786" w:rsidP="00D7254C">
      <w:pPr>
        <w:jc w:val="both"/>
        <w:rPr>
          <w:b/>
          <w:bCs/>
        </w:rPr>
      </w:pPr>
    </w:p>
    <w:p w14:paraId="0F152150" w14:textId="77777777" w:rsidR="00585786" w:rsidRDefault="00585786" w:rsidP="00D7254C">
      <w:pPr>
        <w:jc w:val="both"/>
        <w:rPr>
          <w:b/>
          <w:bCs/>
        </w:rPr>
      </w:pPr>
    </w:p>
    <w:p w14:paraId="2B6A0D1C" w14:textId="77777777" w:rsidR="00585786" w:rsidRDefault="00585786" w:rsidP="00D7254C">
      <w:pPr>
        <w:jc w:val="both"/>
        <w:rPr>
          <w:b/>
          <w:bCs/>
        </w:rPr>
      </w:pPr>
    </w:p>
    <w:p w14:paraId="0C0C3F77" w14:textId="77777777" w:rsidR="00585786" w:rsidRDefault="00585786" w:rsidP="00D7254C">
      <w:pPr>
        <w:jc w:val="both"/>
        <w:rPr>
          <w:b/>
          <w:bCs/>
        </w:rPr>
      </w:pPr>
    </w:p>
    <w:p w14:paraId="28700A94" w14:textId="4CEB6D6E" w:rsidR="00D7254C" w:rsidRDefault="00D7254C" w:rsidP="00D7254C">
      <w:pPr>
        <w:jc w:val="both"/>
        <w:rPr>
          <w:rStyle w:val="normaltextrun"/>
          <w:color w:val="000000"/>
        </w:rPr>
      </w:pPr>
      <w:r w:rsidRPr="00C22171">
        <w:rPr>
          <w:b/>
          <w:bCs/>
        </w:rPr>
        <w:t>Supplementary Figure S3.</w:t>
      </w:r>
      <w:r>
        <w:t xml:space="preserve"> Comparison of sensitivity of different sequencing methods and technologies to detect SARS-CoV-2 co-infection with the Delta and Omicron lineages.</w:t>
      </w:r>
      <w:r w:rsidRPr="00247486">
        <w:rPr>
          <w:rStyle w:val="normaltextrun"/>
          <w:color w:val="000000"/>
        </w:rPr>
        <w:t xml:space="preserve"> </w:t>
      </w:r>
      <w:r>
        <w:rPr>
          <w:rStyle w:val="normaltextrun"/>
          <w:color w:val="000000"/>
        </w:rPr>
        <w:t>Average population frequency of the Omicron and Delta-lineage defining mutations in clinical samples by different sequencing method. Segments in grey represent differences in Omicron and Delta mutational frequencies.</w:t>
      </w:r>
    </w:p>
    <w:p w14:paraId="7ED1ED73" w14:textId="50F5F2CC" w:rsidR="00585786" w:rsidRDefault="00585786" w:rsidP="00D7254C">
      <w:pPr>
        <w:jc w:val="both"/>
        <w:rPr>
          <w:b/>
          <w:bCs/>
        </w:rPr>
      </w:pPr>
      <w:r>
        <w:rPr>
          <w:b/>
          <w:bCs/>
          <w:noProof/>
        </w:rPr>
        <w:lastRenderedPageBreak/>
        <w:drawing>
          <wp:inline distT="0" distB="0" distL="0" distR="0" wp14:anchorId="067069F5" wp14:editId="398971C1">
            <wp:extent cx="5731510" cy="2060448"/>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45775"/>
                    <a:stretch/>
                  </pic:blipFill>
                  <pic:spPr bwMode="auto">
                    <a:xfrm>
                      <a:off x="0" y="0"/>
                      <a:ext cx="5731510" cy="2060448"/>
                    </a:xfrm>
                    <a:prstGeom prst="rect">
                      <a:avLst/>
                    </a:prstGeom>
                    <a:ln>
                      <a:noFill/>
                    </a:ln>
                    <a:extLst>
                      <a:ext uri="{53640926-AAD7-44D8-BBD7-CCE9431645EC}">
                        <a14:shadowObscured xmlns:a14="http://schemas.microsoft.com/office/drawing/2010/main"/>
                      </a:ext>
                    </a:extLst>
                  </pic:spPr>
                </pic:pic>
              </a:graphicData>
            </a:graphic>
          </wp:inline>
        </w:drawing>
      </w:r>
    </w:p>
    <w:p w14:paraId="6D529B97" w14:textId="77777777" w:rsidR="00D7254C" w:rsidRDefault="00D7254C" w:rsidP="00D7254C">
      <w:pPr>
        <w:jc w:val="both"/>
        <w:rPr>
          <w:b/>
          <w:bCs/>
        </w:rPr>
      </w:pPr>
    </w:p>
    <w:p w14:paraId="2082915C" w14:textId="77777777" w:rsidR="00585786" w:rsidRDefault="00585786" w:rsidP="00D7254C">
      <w:pPr>
        <w:jc w:val="both"/>
        <w:rPr>
          <w:b/>
          <w:bCs/>
        </w:rPr>
      </w:pPr>
    </w:p>
    <w:p w14:paraId="7DCCC274" w14:textId="77777777" w:rsidR="00585786" w:rsidRDefault="00585786" w:rsidP="00D7254C">
      <w:pPr>
        <w:jc w:val="both"/>
        <w:rPr>
          <w:b/>
          <w:bCs/>
        </w:rPr>
      </w:pPr>
    </w:p>
    <w:p w14:paraId="27E73F8C" w14:textId="77777777" w:rsidR="00585786" w:rsidRDefault="00585786" w:rsidP="00D7254C">
      <w:pPr>
        <w:jc w:val="both"/>
        <w:rPr>
          <w:b/>
          <w:bCs/>
        </w:rPr>
      </w:pPr>
    </w:p>
    <w:p w14:paraId="06D86F6D" w14:textId="77777777" w:rsidR="00585786" w:rsidRDefault="00585786" w:rsidP="00D7254C">
      <w:pPr>
        <w:jc w:val="both"/>
        <w:rPr>
          <w:b/>
          <w:bCs/>
        </w:rPr>
      </w:pPr>
    </w:p>
    <w:p w14:paraId="3CB1EF26" w14:textId="77777777" w:rsidR="00585786" w:rsidRDefault="00585786" w:rsidP="00D7254C">
      <w:pPr>
        <w:jc w:val="both"/>
        <w:rPr>
          <w:b/>
          <w:bCs/>
        </w:rPr>
      </w:pPr>
    </w:p>
    <w:p w14:paraId="04365973" w14:textId="77777777" w:rsidR="00585786" w:rsidRDefault="00585786" w:rsidP="00D7254C">
      <w:pPr>
        <w:jc w:val="both"/>
        <w:rPr>
          <w:b/>
          <w:bCs/>
        </w:rPr>
      </w:pPr>
    </w:p>
    <w:p w14:paraId="3C3E7E5F" w14:textId="77777777" w:rsidR="00585786" w:rsidRDefault="00585786" w:rsidP="00D7254C">
      <w:pPr>
        <w:jc w:val="both"/>
        <w:rPr>
          <w:b/>
          <w:bCs/>
        </w:rPr>
      </w:pPr>
    </w:p>
    <w:p w14:paraId="6AC24093" w14:textId="77777777" w:rsidR="00585786" w:rsidRDefault="00585786" w:rsidP="00D7254C">
      <w:pPr>
        <w:jc w:val="both"/>
        <w:rPr>
          <w:b/>
          <w:bCs/>
        </w:rPr>
      </w:pPr>
    </w:p>
    <w:p w14:paraId="20C0CFA1" w14:textId="77777777" w:rsidR="00585786" w:rsidRDefault="00585786" w:rsidP="00D7254C">
      <w:pPr>
        <w:jc w:val="both"/>
        <w:rPr>
          <w:b/>
          <w:bCs/>
        </w:rPr>
      </w:pPr>
    </w:p>
    <w:p w14:paraId="705380D0" w14:textId="77777777" w:rsidR="00585786" w:rsidRDefault="00585786" w:rsidP="00D7254C">
      <w:pPr>
        <w:jc w:val="both"/>
        <w:rPr>
          <w:b/>
          <w:bCs/>
        </w:rPr>
      </w:pPr>
    </w:p>
    <w:p w14:paraId="5EBB9A8E" w14:textId="77777777" w:rsidR="00585786" w:rsidRDefault="00585786" w:rsidP="00D7254C">
      <w:pPr>
        <w:jc w:val="both"/>
        <w:rPr>
          <w:b/>
          <w:bCs/>
        </w:rPr>
      </w:pPr>
    </w:p>
    <w:p w14:paraId="4F476FB1" w14:textId="77777777" w:rsidR="00585786" w:rsidRDefault="00585786" w:rsidP="00D7254C">
      <w:pPr>
        <w:jc w:val="both"/>
        <w:rPr>
          <w:b/>
          <w:bCs/>
        </w:rPr>
      </w:pPr>
    </w:p>
    <w:p w14:paraId="1EA35280" w14:textId="77777777" w:rsidR="00585786" w:rsidRDefault="00585786" w:rsidP="00D7254C">
      <w:pPr>
        <w:jc w:val="both"/>
        <w:rPr>
          <w:b/>
          <w:bCs/>
        </w:rPr>
      </w:pPr>
    </w:p>
    <w:p w14:paraId="04A433F3" w14:textId="77777777" w:rsidR="00585786" w:rsidRDefault="00585786" w:rsidP="00D7254C">
      <w:pPr>
        <w:jc w:val="both"/>
        <w:rPr>
          <w:b/>
          <w:bCs/>
        </w:rPr>
      </w:pPr>
    </w:p>
    <w:p w14:paraId="3443B65E" w14:textId="77777777" w:rsidR="00585786" w:rsidRDefault="00585786" w:rsidP="00D7254C">
      <w:pPr>
        <w:jc w:val="both"/>
        <w:rPr>
          <w:b/>
          <w:bCs/>
        </w:rPr>
      </w:pPr>
    </w:p>
    <w:p w14:paraId="4539A65B" w14:textId="77777777" w:rsidR="00585786" w:rsidRDefault="00585786" w:rsidP="00D7254C">
      <w:pPr>
        <w:jc w:val="both"/>
        <w:rPr>
          <w:b/>
          <w:bCs/>
        </w:rPr>
      </w:pPr>
    </w:p>
    <w:p w14:paraId="27049FD9" w14:textId="77777777" w:rsidR="00585786" w:rsidRDefault="00585786" w:rsidP="00D7254C">
      <w:pPr>
        <w:jc w:val="both"/>
        <w:rPr>
          <w:b/>
          <w:bCs/>
        </w:rPr>
      </w:pPr>
    </w:p>
    <w:p w14:paraId="60ED73EF" w14:textId="77777777" w:rsidR="00585786" w:rsidRDefault="00585786" w:rsidP="00D7254C">
      <w:pPr>
        <w:jc w:val="both"/>
        <w:rPr>
          <w:b/>
          <w:bCs/>
        </w:rPr>
      </w:pPr>
    </w:p>
    <w:p w14:paraId="6D96B3B3" w14:textId="77777777" w:rsidR="00585786" w:rsidRDefault="00585786" w:rsidP="00D7254C">
      <w:pPr>
        <w:jc w:val="both"/>
        <w:rPr>
          <w:b/>
          <w:bCs/>
        </w:rPr>
      </w:pPr>
    </w:p>
    <w:p w14:paraId="395C3D95" w14:textId="77777777" w:rsidR="00585786" w:rsidRDefault="00585786" w:rsidP="00D7254C">
      <w:pPr>
        <w:jc w:val="both"/>
        <w:rPr>
          <w:b/>
          <w:bCs/>
        </w:rPr>
      </w:pPr>
    </w:p>
    <w:p w14:paraId="53A3AAB5" w14:textId="77777777" w:rsidR="00585786" w:rsidRDefault="00585786" w:rsidP="00D7254C">
      <w:pPr>
        <w:jc w:val="both"/>
        <w:rPr>
          <w:b/>
          <w:bCs/>
        </w:rPr>
      </w:pPr>
    </w:p>
    <w:p w14:paraId="3DFAA3E2" w14:textId="77777777" w:rsidR="00585786" w:rsidRDefault="00585786" w:rsidP="00D7254C">
      <w:pPr>
        <w:jc w:val="both"/>
        <w:rPr>
          <w:b/>
          <w:bCs/>
        </w:rPr>
      </w:pPr>
    </w:p>
    <w:p w14:paraId="397D5BDB" w14:textId="77777777" w:rsidR="00585786" w:rsidRDefault="00585786" w:rsidP="00D7254C">
      <w:pPr>
        <w:jc w:val="both"/>
        <w:rPr>
          <w:b/>
          <w:bCs/>
        </w:rPr>
      </w:pPr>
    </w:p>
    <w:p w14:paraId="55775AD2" w14:textId="77777777" w:rsidR="00585786" w:rsidRDefault="00585786" w:rsidP="00D7254C">
      <w:pPr>
        <w:jc w:val="both"/>
        <w:rPr>
          <w:b/>
          <w:bCs/>
        </w:rPr>
      </w:pPr>
    </w:p>
    <w:p w14:paraId="7081697D" w14:textId="77777777" w:rsidR="00585786" w:rsidRDefault="00585786" w:rsidP="00D7254C">
      <w:pPr>
        <w:jc w:val="both"/>
        <w:rPr>
          <w:b/>
          <w:bCs/>
        </w:rPr>
      </w:pPr>
    </w:p>
    <w:p w14:paraId="6079F0C8" w14:textId="77777777" w:rsidR="00585786" w:rsidRDefault="00585786" w:rsidP="00D7254C">
      <w:pPr>
        <w:jc w:val="both"/>
        <w:rPr>
          <w:b/>
          <w:bCs/>
        </w:rPr>
      </w:pPr>
    </w:p>
    <w:p w14:paraId="2C1224F0" w14:textId="77777777" w:rsidR="00585786" w:rsidRDefault="00585786" w:rsidP="00D7254C">
      <w:pPr>
        <w:jc w:val="both"/>
        <w:rPr>
          <w:b/>
          <w:bCs/>
        </w:rPr>
      </w:pPr>
    </w:p>
    <w:p w14:paraId="13888767" w14:textId="77777777" w:rsidR="00585786" w:rsidRDefault="00585786" w:rsidP="00D7254C">
      <w:pPr>
        <w:jc w:val="both"/>
        <w:rPr>
          <w:b/>
          <w:bCs/>
        </w:rPr>
      </w:pPr>
    </w:p>
    <w:p w14:paraId="7CC096D1" w14:textId="77777777" w:rsidR="00585786" w:rsidRDefault="00585786" w:rsidP="00D7254C">
      <w:pPr>
        <w:jc w:val="both"/>
        <w:rPr>
          <w:b/>
          <w:bCs/>
        </w:rPr>
      </w:pPr>
    </w:p>
    <w:p w14:paraId="192620EE" w14:textId="77777777" w:rsidR="00585786" w:rsidRDefault="00585786" w:rsidP="00D7254C">
      <w:pPr>
        <w:jc w:val="both"/>
        <w:rPr>
          <w:b/>
          <w:bCs/>
        </w:rPr>
      </w:pPr>
    </w:p>
    <w:p w14:paraId="6EDA8973" w14:textId="77777777" w:rsidR="00585786" w:rsidRDefault="00585786" w:rsidP="00D7254C">
      <w:pPr>
        <w:jc w:val="both"/>
        <w:rPr>
          <w:b/>
          <w:bCs/>
        </w:rPr>
      </w:pPr>
    </w:p>
    <w:p w14:paraId="09B30E9F" w14:textId="77777777" w:rsidR="00585786" w:rsidRDefault="00585786" w:rsidP="00D7254C">
      <w:pPr>
        <w:jc w:val="both"/>
        <w:rPr>
          <w:b/>
          <w:bCs/>
        </w:rPr>
      </w:pPr>
    </w:p>
    <w:p w14:paraId="1527E92B" w14:textId="50D80134" w:rsidR="00D7254C" w:rsidRDefault="00D7254C" w:rsidP="00D7254C">
      <w:pPr>
        <w:jc w:val="both"/>
      </w:pPr>
      <w:r w:rsidRPr="00C22171">
        <w:rPr>
          <w:b/>
          <w:bCs/>
        </w:rPr>
        <w:t>Supplementary Figure S4.</w:t>
      </w:r>
      <w:r>
        <w:t xml:space="preserve"> </w:t>
      </w:r>
      <w:r w:rsidRPr="00140EDC">
        <w:rPr>
          <w:rStyle w:val="normaltextrun"/>
          <w:color w:val="000000" w:themeColor="text1"/>
        </w:rPr>
        <w:t>Read frequency distribution of Delta and Omicron lineage markers using three SARS-CoV-2 sequencing methods.</w:t>
      </w:r>
      <w:r w:rsidRPr="00247486">
        <w:rPr>
          <w:rStyle w:val="normaltextrun"/>
          <w:color w:val="000000"/>
        </w:rPr>
        <w:t xml:space="preserve"> </w:t>
      </w:r>
      <w:r>
        <w:rPr>
          <w:rStyle w:val="normaltextrun"/>
          <w:color w:val="000000"/>
        </w:rPr>
        <w:t xml:space="preserve">Both </w:t>
      </w:r>
      <w:r w:rsidRPr="00247486">
        <w:rPr>
          <w:rStyle w:val="normaltextrun"/>
          <w:color w:val="000000"/>
        </w:rPr>
        <w:t>Delta and Omicron lineages markers were detected</w:t>
      </w:r>
      <w:r w:rsidRPr="00140EDC">
        <w:rPr>
          <w:rStyle w:val="normaltextrun"/>
          <w:color w:val="000000" w:themeColor="text1"/>
        </w:rPr>
        <w:t xml:space="preserve"> </w:t>
      </w:r>
      <w:r w:rsidRPr="00140EDC">
        <w:rPr>
          <w:rStyle w:val="normaltextrun"/>
          <w:b/>
          <w:bCs/>
          <w:color w:val="000000" w:themeColor="text1"/>
        </w:rPr>
        <w:t>Case A</w:t>
      </w:r>
      <w:r w:rsidRPr="00140EDC">
        <w:rPr>
          <w:rStyle w:val="normaltextrun"/>
          <w:color w:val="000000" w:themeColor="text1"/>
        </w:rPr>
        <w:t xml:space="preserve"> </w:t>
      </w:r>
      <w:r w:rsidRPr="00247486">
        <w:rPr>
          <w:rStyle w:val="normaltextrun"/>
          <w:color w:val="000000"/>
        </w:rPr>
        <w:t xml:space="preserve">on </w:t>
      </w:r>
      <w:r>
        <w:rPr>
          <w:rStyle w:val="normaltextrun"/>
          <w:color w:val="000000"/>
        </w:rPr>
        <w:t>D</w:t>
      </w:r>
      <w:r w:rsidRPr="00247486">
        <w:rPr>
          <w:rStyle w:val="normaltextrun"/>
          <w:color w:val="000000"/>
        </w:rPr>
        <w:t>ay 2</w:t>
      </w:r>
      <w:r>
        <w:rPr>
          <w:rStyle w:val="normaltextrun"/>
          <w:color w:val="000000"/>
        </w:rPr>
        <w:t>,</w:t>
      </w:r>
      <w:r w:rsidRPr="00247486">
        <w:rPr>
          <w:rStyle w:val="normaltextrun"/>
          <w:color w:val="000000"/>
        </w:rPr>
        <w:t xml:space="preserve"> with Delta </w:t>
      </w:r>
      <w:r>
        <w:rPr>
          <w:rStyle w:val="normaltextrun"/>
          <w:color w:val="000000"/>
        </w:rPr>
        <w:t xml:space="preserve">being </w:t>
      </w:r>
      <w:r w:rsidRPr="00247486">
        <w:rPr>
          <w:rStyle w:val="normaltextrun"/>
          <w:color w:val="000000"/>
        </w:rPr>
        <w:t xml:space="preserve">the dominant lineage. On </w:t>
      </w:r>
      <w:r>
        <w:rPr>
          <w:rStyle w:val="normaltextrun"/>
          <w:color w:val="000000"/>
        </w:rPr>
        <w:t>D</w:t>
      </w:r>
      <w:r w:rsidRPr="00247486">
        <w:rPr>
          <w:rStyle w:val="normaltextrun"/>
          <w:color w:val="000000"/>
        </w:rPr>
        <w:t>ay 3, the difference was reduced</w:t>
      </w:r>
      <w:r>
        <w:rPr>
          <w:rStyle w:val="normaltextrun"/>
          <w:color w:val="000000"/>
        </w:rPr>
        <w:t>,</w:t>
      </w:r>
      <w:r w:rsidRPr="00247486">
        <w:rPr>
          <w:rStyle w:val="normaltextrun"/>
          <w:color w:val="000000"/>
        </w:rPr>
        <w:t xml:space="preserve"> with no difference in the proportion of Delta / Omicron detected by Illumina or ONT. RVOP still detected a significant difference in the proportion of Delta and Omicron </w:t>
      </w:r>
      <w:r w:rsidRPr="00247486">
        <w:rPr>
          <w:rStyle w:val="normaltextrun"/>
          <w:color w:val="000000"/>
        </w:rPr>
        <w:lastRenderedPageBreak/>
        <w:t>lineage markers.  </w:t>
      </w:r>
      <w:r>
        <w:rPr>
          <w:rStyle w:val="normaltextrun"/>
          <w:color w:val="000000"/>
        </w:rPr>
        <w:t xml:space="preserve">For </w:t>
      </w:r>
      <w:r w:rsidRPr="00247486">
        <w:rPr>
          <w:rStyle w:val="normaltextrun"/>
          <w:b/>
          <w:bCs/>
          <w:color w:val="000000"/>
        </w:rPr>
        <w:t>Case B</w:t>
      </w:r>
      <w:r w:rsidRPr="00247486">
        <w:rPr>
          <w:rStyle w:val="normaltextrun"/>
          <w:color w:val="000000"/>
        </w:rPr>
        <w:t xml:space="preserve"> </w:t>
      </w:r>
      <w:r>
        <w:rPr>
          <w:rStyle w:val="normaltextrun"/>
          <w:color w:val="000000"/>
        </w:rPr>
        <w:t>o</w:t>
      </w:r>
      <w:r w:rsidRPr="00247486">
        <w:rPr>
          <w:rStyle w:val="normaltextrun"/>
          <w:color w:val="000000"/>
        </w:rPr>
        <w:t xml:space="preserve">n </w:t>
      </w:r>
      <w:r>
        <w:rPr>
          <w:rStyle w:val="normaltextrun"/>
          <w:color w:val="000000"/>
        </w:rPr>
        <w:t>D</w:t>
      </w:r>
      <w:r w:rsidRPr="00247486">
        <w:rPr>
          <w:rStyle w:val="normaltextrun"/>
          <w:color w:val="000000"/>
        </w:rPr>
        <w:t xml:space="preserve">ay </w:t>
      </w:r>
      <w:r>
        <w:rPr>
          <w:rStyle w:val="normaltextrun"/>
          <w:color w:val="000000"/>
        </w:rPr>
        <w:t>3 -</w:t>
      </w:r>
      <w:r w:rsidRPr="00247486">
        <w:rPr>
          <w:rStyle w:val="normaltextrun"/>
          <w:color w:val="000000"/>
        </w:rPr>
        <w:t xml:space="preserve"> there</w:t>
      </w:r>
      <w:r>
        <w:rPr>
          <w:rStyle w:val="normaltextrun"/>
          <w:color w:val="000000"/>
        </w:rPr>
        <w:t xml:space="preserve"> was</w:t>
      </w:r>
      <w:r w:rsidRPr="00247486">
        <w:rPr>
          <w:rStyle w:val="normaltextrun"/>
          <w:color w:val="000000"/>
        </w:rPr>
        <w:t xml:space="preserve"> more Delta than Omicron lineage detected by Illumina sequencing, but no difference in the proportion of Delta/Omicron detected by ONT or RVOP. By Day 11 the proportion of Delta/Omicron has increased as detected by all three-sequencing</w:t>
      </w:r>
      <w:r>
        <w:rPr>
          <w:rStyle w:val="normaltextrun"/>
          <w:color w:val="000000"/>
        </w:rPr>
        <w:t xml:space="preserve"> methods </w:t>
      </w:r>
      <w:r w:rsidRPr="00247486">
        <w:rPr>
          <w:rStyle w:val="normaltextrun"/>
          <w:color w:val="000000"/>
        </w:rPr>
        <w:t xml:space="preserve">NS (not significant) p &gt; 0.05, * p &lt;= 0.05, *** p &lt;= 0.001. </w:t>
      </w:r>
      <w:r>
        <w:rPr>
          <w:rStyle w:val="normaltextrun"/>
          <w:color w:val="000000"/>
        </w:rPr>
        <w:t>Sequencing methods</w:t>
      </w:r>
      <w:r w:rsidRPr="00247486">
        <w:rPr>
          <w:rStyle w:val="normaltextrun"/>
          <w:color w:val="000000"/>
        </w:rPr>
        <w:t>: ONT - Oxford Nanopore Technologies sequencing, Illumina – Illumina short read sequencing, RVOP - Respiratory Virus Oligo</w:t>
      </w:r>
      <w:r>
        <w:rPr>
          <w:rStyle w:val="normaltextrun"/>
          <w:color w:val="000000"/>
        </w:rPr>
        <w:t xml:space="preserve"> Panel.</w:t>
      </w:r>
      <w:r>
        <w:rPr>
          <w:rStyle w:val="eop"/>
          <w:color w:val="000000"/>
        </w:rPr>
        <w:t> </w:t>
      </w:r>
    </w:p>
    <w:p w14:paraId="42B73B21" w14:textId="247C1CE5" w:rsidR="00D7254C" w:rsidRDefault="00585786" w:rsidP="00D7254C">
      <w:pPr>
        <w:rPr>
          <w:b/>
          <w:bCs/>
        </w:rPr>
      </w:pPr>
      <w:r>
        <w:rPr>
          <w:b/>
          <w:bCs/>
          <w:noProof/>
        </w:rPr>
        <w:drawing>
          <wp:inline distT="0" distB="0" distL="0" distR="0" wp14:anchorId="486D3F21" wp14:editId="2E820842">
            <wp:extent cx="5731510" cy="6579235"/>
            <wp:effectExtent l="0" t="0" r="0" b="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6579235"/>
                    </a:xfrm>
                    <a:prstGeom prst="rect">
                      <a:avLst/>
                    </a:prstGeom>
                  </pic:spPr>
                </pic:pic>
              </a:graphicData>
            </a:graphic>
          </wp:inline>
        </w:drawing>
      </w:r>
    </w:p>
    <w:p w14:paraId="0A643E34" w14:textId="77777777" w:rsidR="00D7254C" w:rsidRDefault="00D7254C" w:rsidP="00D7254C">
      <w:pPr>
        <w:rPr>
          <w:b/>
          <w:bCs/>
        </w:rPr>
      </w:pPr>
    </w:p>
    <w:p w14:paraId="48198102" w14:textId="32C53C92" w:rsidR="00585786" w:rsidRDefault="00585786" w:rsidP="00D7254C">
      <w:pPr>
        <w:rPr>
          <w:b/>
          <w:bCs/>
        </w:rPr>
        <w:sectPr w:rsidR="00585786" w:rsidSect="007541D3">
          <w:footerReference w:type="even" r:id="rId14"/>
          <w:footerReference w:type="default" r:id="rId15"/>
          <w:pgSz w:w="11906" w:h="16838"/>
          <w:pgMar w:top="1440" w:right="1440" w:bottom="1440" w:left="1440" w:header="708" w:footer="708" w:gutter="0"/>
          <w:cols w:space="708"/>
          <w:docGrid w:linePitch="360"/>
        </w:sectPr>
      </w:pPr>
    </w:p>
    <w:p w14:paraId="4C3B4E97" w14:textId="34B4F908" w:rsidR="00D7254C" w:rsidRDefault="00585786" w:rsidP="00D7254C">
      <w:pPr>
        <w:rPr>
          <w:b/>
          <w:bCs/>
        </w:rPr>
      </w:pPr>
      <w:r>
        <w:rPr>
          <w:noProof/>
        </w:rPr>
        <w:lastRenderedPageBreak/>
        <w:drawing>
          <wp:inline distT="0" distB="0" distL="0" distR="0" wp14:anchorId="1DC26E31" wp14:editId="470A0FD0">
            <wp:extent cx="8745855" cy="573151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45855" cy="5731510"/>
                    </a:xfrm>
                    <a:prstGeom prst="rect">
                      <a:avLst/>
                    </a:prstGeom>
                  </pic:spPr>
                </pic:pic>
              </a:graphicData>
            </a:graphic>
          </wp:inline>
        </w:drawing>
      </w:r>
    </w:p>
    <w:p w14:paraId="1001D82C" w14:textId="680D7960" w:rsidR="00585786" w:rsidRDefault="00585786" w:rsidP="00585786">
      <w:pPr>
        <w:jc w:val="both"/>
      </w:pPr>
      <w:r w:rsidRPr="00C22171">
        <w:rPr>
          <w:b/>
          <w:bCs/>
        </w:rPr>
        <w:lastRenderedPageBreak/>
        <w:t>Supplementary Figure S</w:t>
      </w:r>
      <w:r>
        <w:rPr>
          <w:b/>
          <w:bCs/>
        </w:rPr>
        <w:t>5</w:t>
      </w:r>
      <w:r w:rsidRPr="00C22171">
        <w:rPr>
          <w:b/>
          <w:bCs/>
        </w:rPr>
        <w:t>.</w:t>
      </w:r>
      <w:r>
        <w:rPr>
          <w:b/>
          <w:bCs/>
        </w:rPr>
        <w:t xml:space="preserve">  </w:t>
      </w:r>
      <w:r w:rsidRPr="7339469F">
        <w:t>Genome-wide view of SARS-CoV-2</w:t>
      </w:r>
      <w:r>
        <w:t xml:space="preserve"> with</w:t>
      </w:r>
      <w:r w:rsidRPr="7339469F">
        <w:t xml:space="preserve"> the variant frequency of Delta and Omicron lineage</w:t>
      </w:r>
      <w:r>
        <w:t>-</w:t>
      </w:r>
      <w:r w:rsidRPr="7339469F">
        <w:t>defining polymorphisms in specimen</w:t>
      </w:r>
      <w:r>
        <w:t>s</w:t>
      </w:r>
      <w:r w:rsidRPr="7339469F">
        <w:t xml:space="preserve"> sequenced </w:t>
      </w:r>
      <w:r>
        <w:t>using three SARS-CoV-2 sequencing methodologies.</w:t>
      </w:r>
      <w:r w:rsidRPr="008E0362">
        <w:t xml:space="preserve"> </w:t>
      </w:r>
      <w:r>
        <w:t>A total of 27 polymorphism defining Delta and Omicron lineages are shown in relation to the annotated SARS-CoV-2 genome. The frequency of sequencing reads encoding each mutation is shown by histograms highlighting the constellation of mutations defining each lineage. Blue bars demonstrate the frequency of mutations defining the Delta lineage and yellow bars the Omicron lineage. Due to the close genomic location of lineage defining mutations in the spike region some bars are overlapping. Read frequencies are collected from ONT, Illumina and RVOP data and although there is high concordance between sequencing methods and technologies, the dashed line inserts indicate regions of amplification bias that preferentially amplify Delta or Omicron in ONT and Illumina sequencing results, in contrast to RVOP data where lineage defining mutational frequencies remain more consistent.</w:t>
      </w:r>
    </w:p>
    <w:p w14:paraId="593E1ADD" w14:textId="65CE24C9" w:rsidR="00585786" w:rsidRDefault="00585786" w:rsidP="00D7254C">
      <w:pPr>
        <w:rPr>
          <w:b/>
          <w:bCs/>
        </w:rPr>
        <w:sectPr w:rsidR="00585786" w:rsidSect="00585786">
          <w:pgSz w:w="16838" w:h="11906" w:orient="landscape"/>
          <w:pgMar w:top="1440" w:right="1440" w:bottom="1440" w:left="1440" w:header="708" w:footer="708" w:gutter="0"/>
          <w:cols w:space="708"/>
          <w:docGrid w:linePitch="360"/>
        </w:sectPr>
      </w:pPr>
    </w:p>
    <w:p w14:paraId="00CBFE6E" w14:textId="33EB7D6B" w:rsidR="001D2327" w:rsidRDefault="001D2327"/>
    <w:sectPr w:rsidR="001D2327" w:rsidSect="007541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70AF1" w14:textId="77777777" w:rsidR="006E49AB" w:rsidRDefault="006E49AB">
      <w:r>
        <w:separator/>
      </w:r>
    </w:p>
  </w:endnote>
  <w:endnote w:type="continuationSeparator" w:id="0">
    <w:p w14:paraId="7872ADA8" w14:textId="77777777" w:rsidR="006E49AB" w:rsidRDefault="006E4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2CDE6" w14:textId="77777777" w:rsidR="007541D3" w:rsidRDefault="00EB063D" w:rsidP="007541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11D256" w14:textId="77777777" w:rsidR="007541D3" w:rsidRDefault="007541D3" w:rsidP="007541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BDF95" w14:textId="77777777" w:rsidR="007541D3" w:rsidRPr="001D759E" w:rsidRDefault="00EB063D" w:rsidP="007541D3">
    <w:pPr>
      <w:pStyle w:val="Footer"/>
      <w:framePr w:wrap="none" w:vAnchor="text" w:hAnchor="margin" w:xAlign="right" w:y="1"/>
      <w:rPr>
        <w:rStyle w:val="PageNumber"/>
        <w:rFonts w:ascii="Times New Roman" w:hAnsi="Times New Roman" w:cs="Times New Roman"/>
      </w:rPr>
    </w:pPr>
    <w:r w:rsidRPr="001D759E">
      <w:rPr>
        <w:rStyle w:val="PageNumber"/>
        <w:rFonts w:ascii="Times New Roman" w:hAnsi="Times New Roman" w:cs="Times New Roman"/>
      </w:rPr>
      <w:fldChar w:fldCharType="begin"/>
    </w:r>
    <w:r w:rsidRPr="001D759E">
      <w:rPr>
        <w:rStyle w:val="PageNumber"/>
        <w:rFonts w:ascii="Times New Roman" w:hAnsi="Times New Roman" w:cs="Times New Roman"/>
      </w:rPr>
      <w:instrText xml:space="preserve">PAGE  </w:instrText>
    </w:r>
    <w:r w:rsidRPr="001D759E">
      <w:rPr>
        <w:rStyle w:val="PageNumber"/>
        <w:rFonts w:ascii="Times New Roman" w:hAnsi="Times New Roman" w:cs="Times New Roman"/>
      </w:rPr>
      <w:fldChar w:fldCharType="separate"/>
    </w:r>
    <w:r w:rsidR="00460239">
      <w:rPr>
        <w:rStyle w:val="PageNumber"/>
        <w:rFonts w:ascii="Times New Roman" w:hAnsi="Times New Roman" w:cs="Times New Roman"/>
        <w:noProof/>
      </w:rPr>
      <w:t>2</w:t>
    </w:r>
    <w:r w:rsidRPr="001D759E">
      <w:rPr>
        <w:rStyle w:val="PageNumber"/>
        <w:rFonts w:ascii="Times New Roman" w:hAnsi="Times New Roman" w:cs="Times New Roman"/>
      </w:rPr>
      <w:fldChar w:fldCharType="end"/>
    </w:r>
  </w:p>
  <w:p w14:paraId="217D4D25" w14:textId="77777777" w:rsidR="007541D3" w:rsidRDefault="007541D3" w:rsidP="007541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0EA5E" w14:textId="77777777" w:rsidR="006E49AB" w:rsidRDefault="006E49AB">
      <w:r>
        <w:separator/>
      </w:r>
    </w:p>
  </w:footnote>
  <w:footnote w:type="continuationSeparator" w:id="0">
    <w:p w14:paraId="2D6015D5" w14:textId="77777777" w:rsidR="006E49AB" w:rsidRDefault="006E49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54C"/>
    <w:rsid w:val="00034879"/>
    <w:rsid w:val="000F0FBF"/>
    <w:rsid w:val="00176852"/>
    <w:rsid w:val="001A7598"/>
    <w:rsid w:val="001D2327"/>
    <w:rsid w:val="002134BF"/>
    <w:rsid w:val="00247E82"/>
    <w:rsid w:val="00253948"/>
    <w:rsid w:val="00256636"/>
    <w:rsid w:val="002D588D"/>
    <w:rsid w:val="00303686"/>
    <w:rsid w:val="00364CC9"/>
    <w:rsid w:val="003D4534"/>
    <w:rsid w:val="004300C2"/>
    <w:rsid w:val="0045216E"/>
    <w:rsid w:val="00457FAC"/>
    <w:rsid w:val="00460239"/>
    <w:rsid w:val="00464071"/>
    <w:rsid w:val="00476588"/>
    <w:rsid w:val="004C5DFE"/>
    <w:rsid w:val="00533F0D"/>
    <w:rsid w:val="00542294"/>
    <w:rsid w:val="00563FCC"/>
    <w:rsid w:val="00581678"/>
    <w:rsid w:val="00585786"/>
    <w:rsid w:val="005A2EF0"/>
    <w:rsid w:val="005B084D"/>
    <w:rsid w:val="00690320"/>
    <w:rsid w:val="006E49AB"/>
    <w:rsid w:val="007006CF"/>
    <w:rsid w:val="00735486"/>
    <w:rsid w:val="007541D3"/>
    <w:rsid w:val="007E2F1F"/>
    <w:rsid w:val="00835755"/>
    <w:rsid w:val="008D2573"/>
    <w:rsid w:val="009D21F1"/>
    <w:rsid w:val="00AA699E"/>
    <w:rsid w:val="00AE052C"/>
    <w:rsid w:val="00AF30F6"/>
    <w:rsid w:val="00B336BB"/>
    <w:rsid w:val="00B81CDE"/>
    <w:rsid w:val="00B90C6D"/>
    <w:rsid w:val="00BA1801"/>
    <w:rsid w:val="00C2181C"/>
    <w:rsid w:val="00CC7E30"/>
    <w:rsid w:val="00CE76BE"/>
    <w:rsid w:val="00D26269"/>
    <w:rsid w:val="00D315AB"/>
    <w:rsid w:val="00D7254C"/>
    <w:rsid w:val="00D95CEF"/>
    <w:rsid w:val="00DA05E7"/>
    <w:rsid w:val="00DD3917"/>
    <w:rsid w:val="00E017E4"/>
    <w:rsid w:val="00EB063D"/>
    <w:rsid w:val="00EB17BB"/>
    <w:rsid w:val="00EC4538"/>
    <w:rsid w:val="00ED3697"/>
    <w:rsid w:val="00EE6A7A"/>
    <w:rsid w:val="00F20702"/>
    <w:rsid w:val="00F209E8"/>
    <w:rsid w:val="00FE4A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8722"/>
  <w15:chartTrackingRefBased/>
  <w15:docId w15:val="{AE0A830D-C4F0-FE4F-9CCE-31B28A04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54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54C"/>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D7254C"/>
    <w:rPr>
      <w:rFonts w:ascii="Times New Roman" w:hAnsi="Times New Roman" w:cs="Times New Roman"/>
      <w:sz w:val="18"/>
      <w:szCs w:val="18"/>
    </w:rPr>
  </w:style>
  <w:style w:type="character" w:styleId="Hyperlink">
    <w:name w:val="Hyperlink"/>
    <w:basedOn w:val="DefaultParagraphFont"/>
    <w:uiPriority w:val="99"/>
    <w:unhideWhenUsed/>
    <w:rsid w:val="00D7254C"/>
    <w:rPr>
      <w:color w:val="0563C1" w:themeColor="hyperlink"/>
      <w:u w:val="single"/>
    </w:rPr>
  </w:style>
  <w:style w:type="paragraph" w:styleId="Footer">
    <w:name w:val="footer"/>
    <w:basedOn w:val="Normal"/>
    <w:link w:val="FooterChar"/>
    <w:uiPriority w:val="99"/>
    <w:unhideWhenUsed/>
    <w:rsid w:val="00D7254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7254C"/>
    <w:rPr>
      <w:sz w:val="22"/>
      <w:szCs w:val="22"/>
    </w:rPr>
  </w:style>
  <w:style w:type="character" w:styleId="PageNumber">
    <w:name w:val="page number"/>
    <w:basedOn w:val="DefaultParagraphFont"/>
    <w:uiPriority w:val="99"/>
    <w:semiHidden/>
    <w:unhideWhenUsed/>
    <w:rsid w:val="00D7254C"/>
  </w:style>
  <w:style w:type="character" w:customStyle="1" w:styleId="normaltextrun">
    <w:name w:val="normaltextrun"/>
    <w:basedOn w:val="DefaultParagraphFont"/>
    <w:rsid w:val="00D7254C"/>
  </w:style>
  <w:style w:type="character" w:customStyle="1" w:styleId="eop">
    <w:name w:val="eop"/>
    <w:basedOn w:val="DefaultParagraphFont"/>
    <w:rsid w:val="00D72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genome/bam-readcount"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ithub.com/epi2me-labs/wf-artic" TargetMode="Externa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github.com/cov-lineages/constellations/blob/main/constellation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4E1E0-C67B-4C04-9877-7A4DBC97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Pages>
  <Words>12032</Words>
  <Characters>68589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Rockett</dc:creator>
  <cp:keywords/>
  <dc:description/>
  <cp:lastModifiedBy>Rebecca Rockett</cp:lastModifiedBy>
  <cp:revision>1</cp:revision>
  <cp:lastPrinted>2022-02-10T01:52:00Z</cp:lastPrinted>
  <dcterms:created xsi:type="dcterms:W3CDTF">2022-02-10T01:52:00Z</dcterms:created>
  <dcterms:modified xsi:type="dcterms:W3CDTF">2022-02-13T22:50:00Z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29906fa1-4df3-3c09-879e-6323734b12da</vt:lpwstr>
  </property>
  <property fmtid="{D5CDD505-2E9C-101B-9397-08002B2CF9AE}" pid="24" name="Mendeley Citation Style_1">
    <vt:lpwstr>http://www.zotero.org/styles/nature</vt:lpwstr>
  </property>
</Properties>
</file>