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45" w:type="dxa"/>
        <w:tblLook w:val="04A0" w:firstRow="1" w:lastRow="0" w:firstColumn="1" w:lastColumn="0" w:noHBand="0" w:noVBand="1"/>
      </w:tblPr>
      <w:tblGrid>
        <w:gridCol w:w="714"/>
        <w:gridCol w:w="1391"/>
        <w:gridCol w:w="4038"/>
        <w:gridCol w:w="4036"/>
        <w:gridCol w:w="4666"/>
      </w:tblGrid>
      <w:tr w:rsidR="008B5D7C" w14:paraId="30F658C4" w14:textId="77777777" w:rsidTr="00FF692F">
        <w:tc>
          <w:tcPr>
            <w:tcW w:w="14845" w:type="dxa"/>
            <w:gridSpan w:val="5"/>
          </w:tcPr>
          <w:p w14:paraId="2CB82F2B" w14:textId="77777777" w:rsidR="008B5D7C" w:rsidRPr="0051541F" w:rsidRDefault="008B5D7C" w:rsidP="00F46CA2">
            <w:pPr>
              <w:rPr>
                <w:rFonts w:ascii="Arial" w:hAnsi="Arial" w:cs="Arial"/>
              </w:rPr>
            </w:pPr>
            <w:r w:rsidRPr="0051541F">
              <w:rPr>
                <w:rFonts w:ascii="Arial" w:hAnsi="Arial" w:cs="Arial"/>
              </w:rPr>
              <w:t>Table 1: COVID-19 Community Research Partnership Collaborating Health Systems/Centers, Participant Eligibility Criteria and Enrollment Strategy.</w:t>
            </w:r>
          </w:p>
        </w:tc>
      </w:tr>
      <w:tr w:rsidR="00F46CA2" w14:paraId="3513663C" w14:textId="77777777" w:rsidTr="008B5D7C">
        <w:tc>
          <w:tcPr>
            <w:tcW w:w="715" w:type="dxa"/>
          </w:tcPr>
          <w:p w14:paraId="75B8305D" w14:textId="77777777" w:rsidR="00F46CA2" w:rsidRPr="0051541F" w:rsidRDefault="00F46CA2" w:rsidP="00F46CA2">
            <w:pPr>
              <w:rPr>
                <w:rFonts w:ascii="Arial" w:hAnsi="Arial" w:cs="Arial"/>
              </w:rPr>
            </w:pPr>
          </w:p>
        </w:tc>
        <w:tc>
          <w:tcPr>
            <w:tcW w:w="1350" w:type="dxa"/>
          </w:tcPr>
          <w:p w14:paraId="362465D5" w14:textId="77777777" w:rsidR="00F46CA2" w:rsidRPr="0051541F" w:rsidRDefault="00F46CA2" w:rsidP="00F46CA2">
            <w:pPr>
              <w:rPr>
                <w:rFonts w:ascii="Arial" w:hAnsi="Arial" w:cs="Arial"/>
              </w:rPr>
            </w:pPr>
            <w:r w:rsidRPr="0051541F">
              <w:rPr>
                <w:rFonts w:ascii="Arial" w:hAnsi="Arial" w:cs="Arial"/>
              </w:rPr>
              <w:t>Health System</w:t>
            </w:r>
            <w:r w:rsidR="00C02F6B" w:rsidRPr="0051541F">
              <w:rPr>
                <w:rFonts w:ascii="Arial" w:hAnsi="Arial" w:cs="Arial"/>
              </w:rPr>
              <w:t xml:space="preserve"> or Center</w:t>
            </w:r>
          </w:p>
        </w:tc>
        <w:tc>
          <w:tcPr>
            <w:tcW w:w="4050" w:type="dxa"/>
          </w:tcPr>
          <w:p w14:paraId="2D637492" w14:textId="77777777" w:rsidR="00F46CA2" w:rsidRPr="0051541F" w:rsidRDefault="00F46CA2" w:rsidP="00F46CA2">
            <w:pPr>
              <w:rPr>
                <w:rFonts w:ascii="Arial" w:hAnsi="Arial" w:cs="Arial"/>
              </w:rPr>
            </w:pPr>
            <w:r w:rsidRPr="0051541F">
              <w:rPr>
                <w:rFonts w:ascii="Arial" w:hAnsi="Arial" w:cs="Arial"/>
              </w:rPr>
              <w:t>Characteristics</w:t>
            </w:r>
          </w:p>
        </w:tc>
        <w:tc>
          <w:tcPr>
            <w:tcW w:w="4050" w:type="dxa"/>
          </w:tcPr>
          <w:p w14:paraId="5B7BD6DC" w14:textId="77777777" w:rsidR="00F46CA2" w:rsidRPr="0051541F" w:rsidRDefault="00F46CA2" w:rsidP="00F46CA2">
            <w:pPr>
              <w:rPr>
                <w:rFonts w:ascii="Arial" w:hAnsi="Arial" w:cs="Arial"/>
              </w:rPr>
            </w:pPr>
            <w:r w:rsidRPr="0051541F">
              <w:rPr>
                <w:rFonts w:ascii="Arial" w:hAnsi="Arial" w:cs="Arial"/>
              </w:rPr>
              <w:t>Eligibility Criteria</w:t>
            </w:r>
          </w:p>
        </w:tc>
        <w:tc>
          <w:tcPr>
            <w:tcW w:w="4680" w:type="dxa"/>
          </w:tcPr>
          <w:p w14:paraId="38EE9D40" w14:textId="77777777" w:rsidR="00F46CA2" w:rsidRPr="0051541F" w:rsidRDefault="00F46CA2" w:rsidP="00F46CA2">
            <w:pPr>
              <w:rPr>
                <w:rFonts w:ascii="Arial" w:hAnsi="Arial" w:cs="Arial"/>
              </w:rPr>
            </w:pPr>
            <w:r w:rsidRPr="0051541F">
              <w:rPr>
                <w:rFonts w:ascii="Arial" w:hAnsi="Arial" w:cs="Arial"/>
              </w:rPr>
              <w:t>Enrollment Strategy</w:t>
            </w:r>
          </w:p>
        </w:tc>
      </w:tr>
      <w:tr w:rsidR="00F46CA2" w14:paraId="790510A4" w14:textId="77777777" w:rsidTr="008B5D7C">
        <w:tc>
          <w:tcPr>
            <w:tcW w:w="715" w:type="dxa"/>
          </w:tcPr>
          <w:p w14:paraId="4445D84C" w14:textId="2811D3FF" w:rsidR="00F46CA2" w:rsidRPr="0051541F" w:rsidRDefault="00F46CA2" w:rsidP="00F46CA2">
            <w:pPr>
              <w:rPr>
                <w:rFonts w:ascii="Arial" w:hAnsi="Arial" w:cs="Arial"/>
              </w:rPr>
            </w:pPr>
            <w:r w:rsidRPr="0051541F">
              <w:rPr>
                <w:rFonts w:ascii="Arial" w:hAnsi="Arial" w:cs="Arial"/>
              </w:rPr>
              <w:t>1</w:t>
            </w:r>
            <w:r w:rsidR="002D79AD" w:rsidRPr="0051541F">
              <w:rPr>
                <w:rFonts w:ascii="Arial" w:hAnsi="Arial" w:cs="Arial"/>
              </w:rPr>
              <w:t>.</w:t>
            </w:r>
          </w:p>
        </w:tc>
        <w:tc>
          <w:tcPr>
            <w:tcW w:w="1350" w:type="dxa"/>
          </w:tcPr>
          <w:p w14:paraId="4687C6E8" w14:textId="6D0261EB" w:rsidR="00F46CA2" w:rsidRPr="0051541F" w:rsidRDefault="00F46CA2" w:rsidP="00CB7CF9">
            <w:pPr>
              <w:rPr>
                <w:rFonts w:ascii="Arial" w:hAnsi="Arial" w:cs="Arial"/>
              </w:rPr>
            </w:pPr>
            <w:bookmarkStart w:id="0" w:name="_Toc58400324"/>
            <w:r w:rsidRPr="0051541F">
              <w:rPr>
                <w:rFonts w:ascii="Arial" w:hAnsi="Arial" w:cs="Arial"/>
              </w:rPr>
              <w:t xml:space="preserve">Wake Forest Baptist Health </w:t>
            </w:r>
            <w:bookmarkEnd w:id="0"/>
          </w:p>
        </w:tc>
        <w:tc>
          <w:tcPr>
            <w:tcW w:w="4050" w:type="dxa"/>
          </w:tcPr>
          <w:p w14:paraId="61E69051" w14:textId="5119A2B6" w:rsidR="00F46CA2" w:rsidRPr="0051541F" w:rsidRDefault="00F46CA2" w:rsidP="001377FF">
            <w:pPr>
              <w:spacing w:after="80" w:line="260" w:lineRule="exact"/>
              <w:jc w:val="both"/>
              <w:rPr>
                <w:rFonts w:ascii="Arial" w:hAnsi="Arial" w:cs="Arial"/>
              </w:rPr>
            </w:pPr>
            <w:r w:rsidRPr="0051541F">
              <w:rPr>
                <w:rFonts w:ascii="Arial" w:hAnsi="Arial" w:cs="Arial"/>
              </w:rPr>
              <w:t>WFBH serves 3 million lives in the Piedmont Triad of northwest North Carolina including the cities of Greensboro, Winston-Salem, and High Point. The WFBH system includes Wake Forest Baptist M</w:t>
            </w:r>
            <w:bookmarkStart w:id="1" w:name="_GoBack"/>
            <w:bookmarkEnd w:id="1"/>
            <w:r w:rsidRPr="0051541F">
              <w:rPr>
                <w:rFonts w:ascii="Arial" w:hAnsi="Arial" w:cs="Arial"/>
              </w:rPr>
              <w:t xml:space="preserve">edical Center, an 855-bed tertiary care facility in Winston Salem that includes Brenner Children’s Hospital, five community hospitals, more than 350 primary and specialty care locations </w:t>
            </w:r>
            <w:r w:rsidR="001377FF" w:rsidRPr="0051541F">
              <w:rPr>
                <w:rFonts w:ascii="Arial" w:hAnsi="Arial" w:cs="Arial"/>
              </w:rPr>
              <w:t xml:space="preserve">with </w:t>
            </w:r>
            <w:r w:rsidRPr="0051541F">
              <w:rPr>
                <w:rFonts w:ascii="Arial" w:hAnsi="Arial" w:cs="Arial"/>
              </w:rPr>
              <w:t xml:space="preserve">more than 2,500 physicians and Wake Forest School of Medicine. </w:t>
            </w:r>
          </w:p>
        </w:tc>
        <w:tc>
          <w:tcPr>
            <w:tcW w:w="4050" w:type="dxa"/>
          </w:tcPr>
          <w:p w14:paraId="653B4BB0" w14:textId="673190C4" w:rsidR="00AE359B" w:rsidRPr="0051541F" w:rsidRDefault="00F02AAA" w:rsidP="00F02AAA">
            <w:pPr>
              <w:rPr>
                <w:rFonts w:ascii="Arial" w:hAnsi="Arial" w:cs="Arial"/>
              </w:rPr>
            </w:pPr>
            <w:r w:rsidRPr="0051541F">
              <w:rPr>
                <w:rFonts w:ascii="Arial" w:hAnsi="Arial" w:cs="Arial"/>
              </w:rPr>
              <w:t>Began the study cohort of only health care workers and clients Wake Forest Baptist Health</w:t>
            </w:r>
            <w:r w:rsidR="001377FF" w:rsidRPr="0051541F">
              <w:rPr>
                <w:rFonts w:ascii="Arial" w:hAnsi="Arial" w:cs="Arial"/>
              </w:rPr>
              <w:t xml:space="preserve"> clinic locations</w:t>
            </w:r>
            <w:r w:rsidRPr="0051541F">
              <w:rPr>
                <w:rFonts w:ascii="Arial" w:hAnsi="Arial" w:cs="Arial"/>
              </w:rPr>
              <w:t xml:space="preserve">.  Health care workers who did not seek medical services through WFBH </w:t>
            </w:r>
            <w:proofErr w:type="gramStart"/>
            <w:r w:rsidRPr="0051541F">
              <w:rPr>
                <w:rFonts w:ascii="Arial" w:hAnsi="Arial" w:cs="Arial"/>
              </w:rPr>
              <w:t>were not enrolled</w:t>
            </w:r>
            <w:proofErr w:type="gramEnd"/>
            <w:r w:rsidRPr="0051541F">
              <w:rPr>
                <w:rFonts w:ascii="Arial" w:hAnsi="Arial" w:cs="Arial"/>
              </w:rPr>
              <w:t xml:space="preserve"> initially. </w:t>
            </w:r>
            <w:r w:rsidR="00AE5046" w:rsidRPr="0051541F">
              <w:rPr>
                <w:rFonts w:ascii="Arial" w:hAnsi="Arial" w:cs="Arial"/>
              </w:rPr>
              <w:t>As the study progressed, enrolment was open</w:t>
            </w:r>
            <w:r w:rsidR="001377FF" w:rsidRPr="0051541F">
              <w:rPr>
                <w:rFonts w:ascii="Arial" w:hAnsi="Arial" w:cs="Arial"/>
              </w:rPr>
              <w:t>ed</w:t>
            </w:r>
            <w:r w:rsidR="00AE5046" w:rsidRPr="0051541F">
              <w:rPr>
                <w:rFonts w:ascii="Arial" w:hAnsi="Arial" w:cs="Arial"/>
              </w:rPr>
              <w:t xml:space="preserve"> to all adults</w:t>
            </w:r>
            <w:r w:rsidR="00AE359B" w:rsidRPr="0051541F">
              <w:rPr>
                <w:rFonts w:ascii="Arial" w:hAnsi="Arial" w:cs="Arial"/>
              </w:rPr>
              <w:t xml:space="preserve"> (18 years or older)</w:t>
            </w:r>
            <w:r w:rsidR="00AE5046" w:rsidRPr="0051541F">
              <w:rPr>
                <w:rFonts w:ascii="Arial" w:hAnsi="Arial" w:cs="Arial"/>
              </w:rPr>
              <w:t xml:space="preserve"> </w:t>
            </w:r>
            <w:r w:rsidR="001377FF" w:rsidRPr="0051541F">
              <w:rPr>
                <w:rFonts w:ascii="Arial" w:hAnsi="Arial" w:cs="Arial"/>
              </w:rPr>
              <w:t>in October 2020</w:t>
            </w:r>
            <w:r w:rsidR="00AE5046" w:rsidRPr="0051541F">
              <w:rPr>
                <w:rFonts w:ascii="Arial" w:hAnsi="Arial" w:cs="Arial"/>
              </w:rPr>
              <w:t xml:space="preserve">.  </w:t>
            </w:r>
            <w:r w:rsidR="008C7EAA" w:rsidRPr="0051541F">
              <w:rPr>
                <w:rFonts w:ascii="Arial" w:hAnsi="Arial" w:cs="Arial"/>
              </w:rPr>
              <w:t xml:space="preserve">Participant decision </w:t>
            </w:r>
            <w:proofErr w:type="gramStart"/>
            <w:r w:rsidR="008C7EAA" w:rsidRPr="0051541F">
              <w:rPr>
                <w:rFonts w:ascii="Arial" w:hAnsi="Arial" w:cs="Arial"/>
              </w:rPr>
              <w:t>to not provide</w:t>
            </w:r>
            <w:proofErr w:type="gramEnd"/>
            <w:r w:rsidR="008C7EAA" w:rsidRPr="0051541F">
              <w:rPr>
                <w:rFonts w:ascii="Arial" w:hAnsi="Arial" w:cs="Arial"/>
              </w:rPr>
              <w:t xml:space="preserve"> informed consent was t</w:t>
            </w:r>
            <w:r w:rsidR="00AE5046" w:rsidRPr="0051541F">
              <w:rPr>
                <w:rFonts w:ascii="Arial" w:hAnsi="Arial" w:cs="Arial"/>
              </w:rPr>
              <w:t xml:space="preserve">he only exclusion criteria.  </w:t>
            </w:r>
          </w:p>
          <w:p w14:paraId="2ED39E18" w14:textId="77777777" w:rsidR="00AE359B" w:rsidRPr="0051541F" w:rsidRDefault="00AE359B" w:rsidP="00F02AAA">
            <w:pPr>
              <w:rPr>
                <w:rFonts w:ascii="Arial" w:hAnsi="Arial" w:cs="Arial"/>
              </w:rPr>
            </w:pPr>
          </w:p>
          <w:p w14:paraId="0764BB90" w14:textId="77777777" w:rsidR="00027887" w:rsidRPr="0051541F" w:rsidRDefault="00027887" w:rsidP="00F02AAA">
            <w:pPr>
              <w:rPr>
                <w:rFonts w:ascii="Arial" w:hAnsi="Arial" w:cs="Arial"/>
              </w:rPr>
            </w:pPr>
            <w:r w:rsidRPr="0051541F">
              <w:rPr>
                <w:rFonts w:ascii="Arial" w:hAnsi="Arial" w:cs="Arial"/>
              </w:rPr>
              <w:t xml:space="preserve">A secondary pediatric cohort </w:t>
            </w:r>
            <w:proofErr w:type="gramStart"/>
            <w:r w:rsidRPr="0051541F">
              <w:rPr>
                <w:rFonts w:ascii="Arial" w:hAnsi="Arial" w:cs="Arial"/>
              </w:rPr>
              <w:t>was also added</w:t>
            </w:r>
            <w:proofErr w:type="gramEnd"/>
            <w:r w:rsidR="00AE359B" w:rsidRPr="0051541F">
              <w:rPr>
                <w:rFonts w:ascii="Arial" w:hAnsi="Arial" w:cs="Arial"/>
              </w:rPr>
              <w:t xml:space="preserve"> to the study late in December</w:t>
            </w:r>
            <w:r w:rsidR="008C7EAA" w:rsidRPr="0051541F">
              <w:rPr>
                <w:rFonts w:ascii="Arial" w:hAnsi="Arial" w:cs="Arial"/>
              </w:rPr>
              <w:t xml:space="preserve"> 2020</w:t>
            </w:r>
            <w:r w:rsidRPr="0051541F">
              <w:rPr>
                <w:rFonts w:ascii="Arial" w:hAnsi="Arial" w:cs="Arial"/>
              </w:rPr>
              <w:t>.  Only children ages 2-17 were eligible for participation.</w:t>
            </w:r>
          </w:p>
        </w:tc>
        <w:tc>
          <w:tcPr>
            <w:tcW w:w="4680" w:type="dxa"/>
          </w:tcPr>
          <w:p w14:paraId="3E7C49AC" w14:textId="6057D341" w:rsidR="00F46CA2" w:rsidRPr="0051541F" w:rsidRDefault="005B1E1A" w:rsidP="00027887">
            <w:pPr>
              <w:rPr>
                <w:rFonts w:ascii="Arial" w:hAnsi="Arial" w:cs="Arial"/>
              </w:rPr>
            </w:pPr>
            <w:r w:rsidRPr="0051541F">
              <w:rPr>
                <w:rFonts w:ascii="Arial" w:hAnsi="Arial" w:cs="Arial"/>
              </w:rPr>
              <w:t xml:space="preserve">At the start of the study, only healthcare workers and clients of the Wake Forest Baptist Health system were eligible for enrollment in the CRP study.  </w:t>
            </w:r>
            <w:r w:rsidR="00E60E66" w:rsidRPr="0051541F">
              <w:rPr>
                <w:rFonts w:ascii="Arial" w:hAnsi="Arial" w:cs="Arial"/>
              </w:rPr>
              <w:t>Messaging via s</w:t>
            </w:r>
            <w:r w:rsidR="00CE7F1D" w:rsidRPr="0051541F">
              <w:rPr>
                <w:rFonts w:ascii="Arial" w:hAnsi="Arial" w:cs="Arial"/>
              </w:rPr>
              <w:t>tudy advertisements, email</w:t>
            </w:r>
            <w:r w:rsidR="00E60E66" w:rsidRPr="0051541F">
              <w:rPr>
                <w:rFonts w:ascii="Arial" w:hAnsi="Arial" w:cs="Arial"/>
              </w:rPr>
              <w:t>,</w:t>
            </w:r>
            <w:r w:rsidR="00CE7F1D" w:rsidRPr="0051541F">
              <w:rPr>
                <w:rFonts w:ascii="Arial" w:hAnsi="Arial" w:cs="Arial"/>
              </w:rPr>
              <w:t xml:space="preserve"> and </w:t>
            </w:r>
            <w:r w:rsidR="00E60E66" w:rsidRPr="0051541F">
              <w:rPr>
                <w:rFonts w:ascii="Arial" w:hAnsi="Arial" w:cs="Arial"/>
              </w:rPr>
              <w:t xml:space="preserve">the electronic </w:t>
            </w:r>
            <w:r w:rsidR="00A56F65" w:rsidRPr="0051541F">
              <w:rPr>
                <w:rFonts w:ascii="Arial" w:hAnsi="Arial" w:cs="Arial"/>
              </w:rPr>
              <w:t>patient</w:t>
            </w:r>
            <w:r w:rsidR="00E60E66" w:rsidRPr="0051541F">
              <w:rPr>
                <w:rFonts w:ascii="Arial" w:hAnsi="Arial" w:cs="Arial"/>
              </w:rPr>
              <w:t xml:space="preserve"> portal “</w:t>
            </w:r>
            <w:r w:rsidR="00CE7F1D" w:rsidRPr="0051541F">
              <w:rPr>
                <w:rFonts w:ascii="Arial" w:hAnsi="Arial" w:cs="Arial"/>
              </w:rPr>
              <w:t>MyWakeHealth</w:t>
            </w:r>
            <w:r w:rsidR="00E60E66" w:rsidRPr="0051541F">
              <w:rPr>
                <w:rFonts w:ascii="Arial" w:hAnsi="Arial" w:cs="Arial"/>
              </w:rPr>
              <w:t>”</w:t>
            </w:r>
            <w:r w:rsidR="00CE7F1D" w:rsidRPr="0051541F">
              <w:rPr>
                <w:rFonts w:ascii="Arial" w:hAnsi="Arial" w:cs="Arial"/>
              </w:rPr>
              <w:t xml:space="preserve"> </w:t>
            </w:r>
            <w:proofErr w:type="gramStart"/>
            <w:r w:rsidRPr="0051541F">
              <w:rPr>
                <w:rFonts w:ascii="Arial" w:hAnsi="Arial" w:cs="Arial"/>
              </w:rPr>
              <w:t>were all used</w:t>
            </w:r>
            <w:proofErr w:type="gramEnd"/>
            <w:r w:rsidRPr="0051541F">
              <w:rPr>
                <w:rFonts w:ascii="Arial" w:hAnsi="Arial" w:cs="Arial"/>
              </w:rPr>
              <w:t xml:space="preserve"> for the first rounds of recruitment</w:t>
            </w:r>
            <w:r w:rsidR="00CE7F1D" w:rsidRPr="0051541F">
              <w:rPr>
                <w:rFonts w:ascii="Arial" w:hAnsi="Arial" w:cs="Arial"/>
              </w:rPr>
              <w:t xml:space="preserve">. </w:t>
            </w:r>
            <w:r w:rsidR="006623A9" w:rsidRPr="0051541F">
              <w:rPr>
                <w:rFonts w:ascii="Arial" w:hAnsi="Arial" w:cs="Arial"/>
              </w:rPr>
              <w:t>My</w:t>
            </w:r>
            <w:r w:rsidR="00CE7F1D" w:rsidRPr="0051541F">
              <w:rPr>
                <w:rFonts w:ascii="Arial" w:hAnsi="Arial" w:cs="Arial"/>
              </w:rPr>
              <w:t>WakeHealth varied to target healthcare workers separately from patients.</w:t>
            </w:r>
            <w:r w:rsidR="00784D25" w:rsidRPr="0051541F">
              <w:rPr>
                <w:rFonts w:ascii="Arial" w:hAnsi="Arial" w:cs="Arial"/>
              </w:rPr>
              <w:t xml:space="preserve"> </w:t>
            </w:r>
            <w:r w:rsidR="00884AC2" w:rsidRPr="0051541F">
              <w:rPr>
                <w:rFonts w:ascii="Arial" w:hAnsi="Arial" w:cs="Arial"/>
              </w:rPr>
              <w:t xml:space="preserve">Once enrollment was open </w:t>
            </w:r>
            <w:r w:rsidR="00784D25" w:rsidRPr="0051541F">
              <w:rPr>
                <w:rFonts w:ascii="Arial" w:hAnsi="Arial" w:cs="Arial"/>
              </w:rPr>
              <w:t>to all adults, a generic public-</w:t>
            </w:r>
            <w:r w:rsidR="00884AC2" w:rsidRPr="0051541F">
              <w:rPr>
                <w:rFonts w:ascii="Arial" w:hAnsi="Arial" w:cs="Arial"/>
              </w:rPr>
              <w:t xml:space="preserve">facing website </w:t>
            </w:r>
            <w:proofErr w:type="gramStart"/>
            <w:r w:rsidR="00884AC2" w:rsidRPr="0051541F">
              <w:rPr>
                <w:rFonts w:ascii="Arial" w:hAnsi="Arial" w:cs="Arial"/>
              </w:rPr>
              <w:t>was established</w:t>
            </w:r>
            <w:proofErr w:type="gramEnd"/>
            <w:r w:rsidR="00884AC2" w:rsidRPr="0051541F">
              <w:rPr>
                <w:rFonts w:ascii="Arial" w:hAnsi="Arial" w:cs="Arial"/>
              </w:rPr>
              <w:t xml:space="preserve"> to show general study information and link potential participants to an enrollment questionnaire and informed consent if they wished to join the study.</w:t>
            </w:r>
            <w:r w:rsidRPr="0051541F">
              <w:rPr>
                <w:rFonts w:ascii="Arial" w:hAnsi="Arial" w:cs="Arial"/>
              </w:rPr>
              <w:t xml:space="preserve"> </w:t>
            </w:r>
            <w:r w:rsidR="00027887" w:rsidRPr="0051541F">
              <w:rPr>
                <w:rFonts w:ascii="Arial" w:hAnsi="Arial" w:cs="Arial"/>
              </w:rPr>
              <w:t>C</w:t>
            </w:r>
            <w:r w:rsidRPr="0051541F">
              <w:rPr>
                <w:rFonts w:ascii="Arial" w:hAnsi="Arial" w:cs="Arial"/>
              </w:rPr>
              <w:t xml:space="preserve">ommunity volunteers </w:t>
            </w:r>
            <w:r w:rsidR="00027887" w:rsidRPr="0051541F">
              <w:rPr>
                <w:rFonts w:ascii="Arial" w:hAnsi="Arial" w:cs="Arial"/>
              </w:rPr>
              <w:t xml:space="preserve">were also added </w:t>
            </w:r>
            <w:r w:rsidRPr="0051541F">
              <w:rPr>
                <w:rFonts w:ascii="Arial" w:hAnsi="Arial" w:cs="Arial"/>
              </w:rPr>
              <w:t>to help recruit individuals from underserved and dive</w:t>
            </w:r>
            <w:r w:rsidR="00784D25" w:rsidRPr="0051541F">
              <w:rPr>
                <w:rFonts w:ascii="Arial" w:hAnsi="Arial" w:cs="Arial"/>
              </w:rPr>
              <w:t>rse communities around the WFBH-</w:t>
            </w:r>
            <w:r w:rsidRPr="0051541F">
              <w:rPr>
                <w:rFonts w:ascii="Arial" w:hAnsi="Arial" w:cs="Arial"/>
              </w:rPr>
              <w:t>supported area.</w:t>
            </w:r>
            <w:r w:rsidR="006623A9" w:rsidRPr="0051541F">
              <w:rPr>
                <w:rFonts w:ascii="Arial" w:hAnsi="Arial" w:cs="Arial"/>
              </w:rPr>
              <w:t xml:space="preserve"> </w:t>
            </w:r>
          </w:p>
          <w:p w14:paraId="41231477" w14:textId="77777777" w:rsidR="00027887" w:rsidRPr="0051541F" w:rsidRDefault="00027887" w:rsidP="00027887">
            <w:pPr>
              <w:rPr>
                <w:rFonts w:ascii="Arial" w:hAnsi="Arial" w:cs="Arial"/>
              </w:rPr>
            </w:pPr>
          </w:p>
          <w:p w14:paraId="79D4EFEB" w14:textId="77777777" w:rsidR="00027887" w:rsidRPr="0051541F" w:rsidRDefault="00027887" w:rsidP="00027887">
            <w:pPr>
              <w:rPr>
                <w:rFonts w:ascii="Arial" w:hAnsi="Arial" w:cs="Arial"/>
              </w:rPr>
            </w:pPr>
            <w:r w:rsidRPr="0051541F">
              <w:rPr>
                <w:rFonts w:ascii="Arial" w:hAnsi="Arial" w:cs="Arial"/>
              </w:rPr>
              <w:t xml:space="preserve">For pediatric enrollment, messages </w:t>
            </w:r>
            <w:proofErr w:type="gramStart"/>
            <w:r w:rsidRPr="0051541F">
              <w:rPr>
                <w:rFonts w:ascii="Arial" w:hAnsi="Arial" w:cs="Arial"/>
              </w:rPr>
              <w:t>were sent</w:t>
            </w:r>
            <w:proofErr w:type="gramEnd"/>
            <w:r w:rsidRPr="0051541F">
              <w:rPr>
                <w:rFonts w:ascii="Arial" w:hAnsi="Arial" w:cs="Arial"/>
              </w:rPr>
              <w:t xml:space="preserve"> via MyWakeHealth to guardians enrolled in the </w:t>
            </w:r>
            <w:r w:rsidR="00B710F9" w:rsidRPr="0051541F">
              <w:rPr>
                <w:rFonts w:ascii="Arial" w:hAnsi="Arial" w:cs="Arial"/>
              </w:rPr>
              <w:t>C</w:t>
            </w:r>
            <w:r w:rsidRPr="0051541F">
              <w:rPr>
                <w:rFonts w:ascii="Arial" w:hAnsi="Arial" w:cs="Arial"/>
              </w:rPr>
              <w:t xml:space="preserve">CRP asking if they wished to enroll their adolescent or young child in the study.  </w:t>
            </w:r>
          </w:p>
        </w:tc>
      </w:tr>
      <w:tr w:rsidR="00F46CA2" w14:paraId="527A20FE" w14:textId="77777777" w:rsidTr="008B5D7C">
        <w:tc>
          <w:tcPr>
            <w:tcW w:w="715" w:type="dxa"/>
          </w:tcPr>
          <w:p w14:paraId="525C5099" w14:textId="77777777" w:rsidR="00F46CA2" w:rsidRPr="0051541F" w:rsidRDefault="00F46CA2" w:rsidP="00F46CA2">
            <w:pPr>
              <w:rPr>
                <w:rFonts w:ascii="Arial" w:hAnsi="Arial" w:cs="Arial"/>
              </w:rPr>
            </w:pPr>
            <w:r w:rsidRPr="0051541F">
              <w:rPr>
                <w:rFonts w:ascii="Arial" w:hAnsi="Arial" w:cs="Arial"/>
              </w:rPr>
              <w:t xml:space="preserve">2. </w:t>
            </w:r>
          </w:p>
        </w:tc>
        <w:tc>
          <w:tcPr>
            <w:tcW w:w="1350" w:type="dxa"/>
          </w:tcPr>
          <w:p w14:paraId="3A8CE283" w14:textId="77777777" w:rsidR="00F46CA2" w:rsidRPr="0051541F" w:rsidRDefault="00F46CA2" w:rsidP="00F46CA2">
            <w:pPr>
              <w:rPr>
                <w:rFonts w:ascii="Arial" w:hAnsi="Arial" w:cs="Arial"/>
              </w:rPr>
            </w:pPr>
            <w:r w:rsidRPr="0051541F">
              <w:rPr>
                <w:rFonts w:ascii="Arial" w:hAnsi="Arial" w:cs="Arial"/>
              </w:rPr>
              <w:t>Atrium Health</w:t>
            </w:r>
          </w:p>
        </w:tc>
        <w:tc>
          <w:tcPr>
            <w:tcW w:w="4050" w:type="dxa"/>
          </w:tcPr>
          <w:p w14:paraId="49DA88C4" w14:textId="77777777" w:rsidR="00F46CA2" w:rsidRPr="0051541F" w:rsidRDefault="00F46CA2" w:rsidP="00F46CA2">
            <w:pPr>
              <w:rPr>
                <w:rFonts w:ascii="Arial" w:hAnsi="Arial" w:cs="Arial"/>
              </w:rPr>
            </w:pPr>
            <w:r w:rsidRPr="0051541F">
              <w:rPr>
                <w:rFonts w:ascii="Arial" w:hAnsi="Arial" w:cs="Arial"/>
              </w:rPr>
              <w:t xml:space="preserve">Formerly known as Carolinas HealthCare System, </w:t>
            </w:r>
            <w:r w:rsidR="00B710F9" w:rsidRPr="0051541F">
              <w:rPr>
                <w:rFonts w:ascii="Arial" w:hAnsi="Arial" w:cs="Arial"/>
              </w:rPr>
              <w:t xml:space="preserve">Atrium Health </w:t>
            </w:r>
            <w:r w:rsidRPr="0051541F">
              <w:rPr>
                <w:rFonts w:ascii="Arial" w:hAnsi="Arial" w:cs="Arial"/>
              </w:rPr>
              <w:t>is a not-for-profit hospital network with operates hospitals, freestanding emergency departments, urgent care centers and medical practices in North Carolina, South Carolina, and Georgia.</w:t>
            </w:r>
          </w:p>
        </w:tc>
        <w:tc>
          <w:tcPr>
            <w:tcW w:w="4050" w:type="dxa"/>
          </w:tcPr>
          <w:p w14:paraId="5FBDA47D" w14:textId="77777777" w:rsidR="00F46CA2" w:rsidRPr="0051541F" w:rsidRDefault="008B5D7C" w:rsidP="00F46CA2">
            <w:pPr>
              <w:rPr>
                <w:rFonts w:ascii="Arial" w:hAnsi="Arial" w:cs="Arial"/>
              </w:rPr>
            </w:pPr>
            <w:r w:rsidRPr="0051541F">
              <w:rPr>
                <w:rFonts w:ascii="Arial" w:hAnsi="Arial" w:cs="Arial"/>
              </w:rPr>
              <w:t xml:space="preserve">Adult: </w:t>
            </w:r>
            <w:r w:rsidR="001B656E" w:rsidRPr="0051541F">
              <w:rPr>
                <w:rFonts w:ascii="Arial" w:hAnsi="Arial" w:cs="Arial"/>
              </w:rPr>
              <w:t>No exclusionary criteria other than unwillingness to give consent.</w:t>
            </w:r>
          </w:p>
          <w:p w14:paraId="095C2EB9" w14:textId="77777777" w:rsidR="001B656E" w:rsidRPr="0051541F" w:rsidRDefault="001B656E" w:rsidP="00F46CA2">
            <w:pPr>
              <w:rPr>
                <w:rFonts w:ascii="Arial" w:hAnsi="Arial" w:cs="Arial"/>
              </w:rPr>
            </w:pPr>
          </w:p>
          <w:p w14:paraId="3079247B" w14:textId="77777777" w:rsidR="008B5D7C" w:rsidRPr="0051541F" w:rsidRDefault="008B5D7C" w:rsidP="00F46CA2">
            <w:pPr>
              <w:rPr>
                <w:rFonts w:ascii="Arial" w:hAnsi="Arial" w:cs="Arial"/>
              </w:rPr>
            </w:pPr>
            <w:r w:rsidRPr="0051541F">
              <w:rPr>
                <w:rFonts w:ascii="Arial" w:hAnsi="Arial" w:cs="Arial"/>
              </w:rPr>
              <w:t xml:space="preserve">Pediatric: </w:t>
            </w:r>
            <w:r w:rsidR="001B656E" w:rsidRPr="0051541F">
              <w:rPr>
                <w:rFonts w:ascii="Arial" w:hAnsi="Arial" w:cs="Arial"/>
              </w:rPr>
              <w:t>No exclusionary criteria other than unwillingness for parent to give consent.</w:t>
            </w:r>
          </w:p>
        </w:tc>
        <w:tc>
          <w:tcPr>
            <w:tcW w:w="4680" w:type="dxa"/>
          </w:tcPr>
          <w:p w14:paraId="75B6E8A6" w14:textId="08EBD7BB" w:rsidR="006D2719" w:rsidRPr="0051541F" w:rsidRDefault="008B5D7C" w:rsidP="008B5D7C">
            <w:pPr>
              <w:rPr>
                <w:rFonts w:ascii="Arial" w:hAnsi="Arial" w:cs="Arial"/>
                <w:iCs/>
              </w:rPr>
            </w:pPr>
            <w:r w:rsidRPr="0051541F">
              <w:rPr>
                <w:rFonts w:ascii="Arial" w:hAnsi="Arial" w:cs="Arial"/>
                <w:iCs/>
              </w:rPr>
              <w:t xml:space="preserve">Adult: </w:t>
            </w:r>
            <w:r w:rsidR="00A56F65" w:rsidRPr="0051541F">
              <w:rPr>
                <w:rFonts w:ascii="Arial" w:hAnsi="Arial" w:cs="Arial"/>
                <w:iCs/>
              </w:rPr>
              <w:t xml:space="preserve">Information about the study </w:t>
            </w:r>
            <w:proofErr w:type="gramStart"/>
            <w:r w:rsidR="00A56F65" w:rsidRPr="0051541F">
              <w:rPr>
                <w:rFonts w:ascii="Arial" w:hAnsi="Arial" w:cs="Arial"/>
                <w:iCs/>
              </w:rPr>
              <w:t>was emailed</w:t>
            </w:r>
            <w:proofErr w:type="gramEnd"/>
            <w:r w:rsidR="00A56F65" w:rsidRPr="0051541F">
              <w:rPr>
                <w:rFonts w:ascii="Arial" w:hAnsi="Arial" w:cs="Arial"/>
                <w:iCs/>
              </w:rPr>
              <w:t xml:space="preserve"> to all</w:t>
            </w:r>
            <w:r w:rsidRPr="0051541F">
              <w:rPr>
                <w:rFonts w:ascii="Arial" w:hAnsi="Arial" w:cs="Arial"/>
                <w:iCs/>
              </w:rPr>
              <w:t xml:space="preserve"> Atrium Health </w:t>
            </w:r>
            <w:r w:rsidR="00A56F65" w:rsidRPr="0051541F">
              <w:rPr>
                <w:rFonts w:ascii="Arial" w:hAnsi="Arial" w:cs="Arial"/>
                <w:iCs/>
              </w:rPr>
              <w:t xml:space="preserve">employees </w:t>
            </w:r>
            <w:r w:rsidRPr="0051541F">
              <w:rPr>
                <w:rFonts w:ascii="Arial" w:hAnsi="Arial" w:cs="Arial"/>
                <w:iCs/>
              </w:rPr>
              <w:t xml:space="preserve">(~60k) and all Atrium Health patients (~900k). In addition, flyers </w:t>
            </w:r>
            <w:proofErr w:type="gramStart"/>
            <w:r w:rsidR="00A56F65" w:rsidRPr="0051541F">
              <w:rPr>
                <w:rFonts w:ascii="Arial" w:hAnsi="Arial" w:cs="Arial"/>
                <w:iCs/>
              </w:rPr>
              <w:t>were shared</w:t>
            </w:r>
            <w:proofErr w:type="gramEnd"/>
            <w:r w:rsidR="00A56F65" w:rsidRPr="0051541F">
              <w:rPr>
                <w:rFonts w:ascii="Arial" w:hAnsi="Arial" w:cs="Arial"/>
                <w:iCs/>
              </w:rPr>
              <w:t xml:space="preserve"> </w:t>
            </w:r>
            <w:r w:rsidRPr="0051541F">
              <w:rPr>
                <w:rFonts w:ascii="Arial" w:hAnsi="Arial" w:cs="Arial"/>
                <w:iCs/>
              </w:rPr>
              <w:t xml:space="preserve">at clinics, mass vaccination events and in discharge instructions. </w:t>
            </w:r>
            <w:r w:rsidR="00A56F65" w:rsidRPr="0051541F">
              <w:rPr>
                <w:rFonts w:ascii="Arial" w:hAnsi="Arial" w:cs="Arial"/>
                <w:iCs/>
              </w:rPr>
              <w:t>D</w:t>
            </w:r>
            <w:r w:rsidRPr="0051541F">
              <w:rPr>
                <w:rFonts w:ascii="Arial" w:hAnsi="Arial" w:cs="Arial"/>
                <w:iCs/>
              </w:rPr>
              <w:t>etails o</w:t>
            </w:r>
            <w:r w:rsidR="00A56F65" w:rsidRPr="0051541F">
              <w:rPr>
                <w:rFonts w:ascii="Arial" w:hAnsi="Arial" w:cs="Arial"/>
                <w:iCs/>
              </w:rPr>
              <w:t>f</w:t>
            </w:r>
            <w:r w:rsidRPr="0051541F">
              <w:rPr>
                <w:rFonts w:ascii="Arial" w:hAnsi="Arial" w:cs="Arial"/>
                <w:iCs/>
              </w:rPr>
              <w:t xml:space="preserve"> the study </w:t>
            </w:r>
            <w:proofErr w:type="gramStart"/>
            <w:r w:rsidR="00A56F65" w:rsidRPr="0051541F">
              <w:rPr>
                <w:rFonts w:ascii="Arial" w:hAnsi="Arial" w:cs="Arial"/>
                <w:iCs/>
              </w:rPr>
              <w:t>were also provided</w:t>
            </w:r>
            <w:proofErr w:type="gramEnd"/>
            <w:r w:rsidR="00A56F65" w:rsidRPr="0051541F">
              <w:rPr>
                <w:rFonts w:ascii="Arial" w:hAnsi="Arial" w:cs="Arial"/>
                <w:iCs/>
              </w:rPr>
              <w:t xml:space="preserve"> to </w:t>
            </w:r>
            <w:r w:rsidRPr="0051541F">
              <w:rPr>
                <w:rFonts w:ascii="Arial" w:hAnsi="Arial" w:cs="Arial"/>
                <w:iCs/>
              </w:rPr>
              <w:t xml:space="preserve">local news </w:t>
            </w:r>
            <w:r w:rsidR="00A56F65" w:rsidRPr="0051541F">
              <w:rPr>
                <w:rFonts w:ascii="Arial" w:hAnsi="Arial" w:cs="Arial"/>
                <w:iCs/>
              </w:rPr>
              <w:t xml:space="preserve">outlets </w:t>
            </w:r>
            <w:r w:rsidRPr="0051541F">
              <w:rPr>
                <w:rFonts w:ascii="Arial" w:hAnsi="Arial" w:cs="Arial"/>
                <w:iCs/>
              </w:rPr>
              <w:t xml:space="preserve">as well as through the </w:t>
            </w:r>
            <w:proofErr w:type="spellStart"/>
            <w:r w:rsidRPr="0051541F">
              <w:rPr>
                <w:rFonts w:ascii="Arial" w:hAnsi="Arial" w:cs="Arial"/>
                <w:iCs/>
              </w:rPr>
              <w:t>MyAtriumHealth</w:t>
            </w:r>
            <w:proofErr w:type="spellEnd"/>
            <w:r w:rsidRPr="0051541F">
              <w:rPr>
                <w:rFonts w:ascii="Arial" w:hAnsi="Arial" w:cs="Arial"/>
                <w:iCs/>
              </w:rPr>
              <w:t xml:space="preserve"> patient portal, and </w:t>
            </w:r>
            <w:r w:rsidR="00A56F65" w:rsidRPr="0051541F">
              <w:rPr>
                <w:rFonts w:ascii="Arial" w:hAnsi="Arial" w:cs="Arial"/>
                <w:iCs/>
              </w:rPr>
              <w:t>the</w:t>
            </w:r>
            <w:r w:rsidRPr="0051541F">
              <w:rPr>
                <w:rFonts w:ascii="Arial" w:hAnsi="Arial" w:cs="Arial"/>
                <w:iCs/>
              </w:rPr>
              <w:t xml:space="preserve"> Atrium Health website </w:t>
            </w:r>
            <w:proofErr w:type="spellStart"/>
            <w:r w:rsidRPr="0051541F">
              <w:rPr>
                <w:rFonts w:ascii="Arial" w:hAnsi="Arial" w:cs="Arial"/>
                <w:iCs/>
              </w:rPr>
              <w:t>Healthbot</w:t>
            </w:r>
            <w:proofErr w:type="spellEnd"/>
            <w:r w:rsidRPr="0051541F">
              <w:rPr>
                <w:rFonts w:ascii="Arial" w:hAnsi="Arial" w:cs="Arial"/>
                <w:iCs/>
              </w:rPr>
              <w:t xml:space="preserve">. </w:t>
            </w:r>
            <w:r w:rsidR="00A56F65" w:rsidRPr="0051541F">
              <w:rPr>
                <w:rFonts w:ascii="Arial" w:hAnsi="Arial" w:cs="Arial"/>
                <w:iCs/>
              </w:rPr>
              <w:t xml:space="preserve">Approximately </w:t>
            </w:r>
            <w:r w:rsidRPr="0051541F">
              <w:rPr>
                <w:rFonts w:ascii="Arial" w:hAnsi="Arial" w:cs="Arial"/>
                <w:iCs/>
              </w:rPr>
              <w:t xml:space="preserve">17000 postcards </w:t>
            </w:r>
            <w:proofErr w:type="gramStart"/>
            <w:r w:rsidR="00A56F65" w:rsidRPr="0051541F">
              <w:rPr>
                <w:rFonts w:ascii="Arial" w:hAnsi="Arial" w:cs="Arial"/>
                <w:iCs/>
              </w:rPr>
              <w:t>were mailed</w:t>
            </w:r>
            <w:proofErr w:type="gramEnd"/>
            <w:r w:rsidR="00A56F65" w:rsidRPr="0051541F">
              <w:rPr>
                <w:rFonts w:ascii="Arial" w:hAnsi="Arial" w:cs="Arial"/>
                <w:iCs/>
              </w:rPr>
              <w:t xml:space="preserve"> </w:t>
            </w:r>
            <w:r w:rsidRPr="0051541F">
              <w:rPr>
                <w:rFonts w:ascii="Arial" w:hAnsi="Arial" w:cs="Arial"/>
                <w:iCs/>
              </w:rPr>
              <w:t xml:space="preserve">to patients from Atrium Health clinics that serve large racial/ethnic minority populations based on geographic location. </w:t>
            </w:r>
            <w:r w:rsidR="007D49B1" w:rsidRPr="0051541F">
              <w:rPr>
                <w:rFonts w:ascii="Arial" w:hAnsi="Arial" w:cs="Arial"/>
                <w:iCs/>
              </w:rPr>
              <w:t xml:space="preserve">Flyers </w:t>
            </w:r>
            <w:proofErr w:type="gramStart"/>
            <w:r w:rsidR="007D49B1" w:rsidRPr="0051541F">
              <w:rPr>
                <w:rFonts w:ascii="Arial" w:hAnsi="Arial" w:cs="Arial"/>
                <w:iCs/>
              </w:rPr>
              <w:t>were distributed</w:t>
            </w:r>
            <w:proofErr w:type="gramEnd"/>
            <w:r w:rsidR="007D49B1" w:rsidRPr="0051541F">
              <w:rPr>
                <w:rFonts w:ascii="Arial" w:hAnsi="Arial" w:cs="Arial"/>
                <w:iCs/>
              </w:rPr>
              <w:t xml:space="preserve"> from Atrium mobile health units.</w:t>
            </w:r>
          </w:p>
          <w:p w14:paraId="050825E3" w14:textId="77777777" w:rsidR="008B5D7C" w:rsidRPr="0051541F" w:rsidRDefault="008B5D7C" w:rsidP="008B5D7C">
            <w:pPr>
              <w:rPr>
                <w:rFonts w:ascii="Arial" w:hAnsi="Arial" w:cs="Arial"/>
                <w:iCs/>
              </w:rPr>
            </w:pPr>
          </w:p>
          <w:p w14:paraId="56B29F0B" w14:textId="77777777" w:rsidR="006D2719" w:rsidRPr="0051541F" w:rsidRDefault="006D2719" w:rsidP="008B5D7C">
            <w:pPr>
              <w:rPr>
                <w:rFonts w:ascii="Arial" w:hAnsi="Arial" w:cs="Arial"/>
                <w:iCs/>
              </w:rPr>
            </w:pPr>
            <w:proofErr w:type="gramStart"/>
            <w:r w:rsidRPr="0051541F">
              <w:rPr>
                <w:rFonts w:ascii="Arial" w:hAnsi="Arial" w:cs="Arial"/>
                <w:iCs/>
              </w:rPr>
              <w:t>Atrium research team members</w:t>
            </w:r>
            <w:proofErr w:type="gramEnd"/>
            <w:r w:rsidRPr="0051541F">
              <w:rPr>
                <w:rFonts w:ascii="Arial" w:hAnsi="Arial" w:cs="Arial"/>
                <w:iCs/>
              </w:rPr>
              <w:t xml:space="preserve"> worked with the Atrium Health Diversity and Inclusion department to </w:t>
            </w:r>
            <w:r w:rsidR="00DE551C" w:rsidRPr="0051541F">
              <w:rPr>
                <w:rFonts w:ascii="Arial" w:hAnsi="Arial" w:cs="Arial"/>
                <w:iCs/>
              </w:rPr>
              <w:t xml:space="preserve">facilitate community engagement. </w:t>
            </w:r>
            <w:r w:rsidR="00423BBE" w:rsidRPr="0051541F">
              <w:rPr>
                <w:rFonts w:ascii="Arial" w:hAnsi="Arial" w:cs="Arial"/>
                <w:iCs/>
              </w:rPr>
              <w:t>Social media and t</w:t>
            </w:r>
            <w:r w:rsidR="00DE551C" w:rsidRPr="0051541F">
              <w:rPr>
                <w:rFonts w:ascii="Arial" w:hAnsi="Arial" w:cs="Arial"/>
                <w:iCs/>
              </w:rPr>
              <w:t xml:space="preserve">own hall events took place in early 2021 to discuss the study among other topics, including COVID-19 and vaccine hesitancy. COVID care packages, with flyers, masks and hand sanitizer, </w:t>
            </w:r>
            <w:proofErr w:type="gramStart"/>
            <w:r w:rsidR="00DE551C" w:rsidRPr="0051541F">
              <w:rPr>
                <w:rFonts w:ascii="Arial" w:hAnsi="Arial" w:cs="Arial"/>
                <w:iCs/>
              </w:rPr>
              <w:t>were distributed</w:t>
            </w:r>
            <w:proofErr w:type="gramEnd"/>
            <w:r w:rsidR="00DE551C" w:rsidRPr="0051541F">
              <w:rPr>
                <w:rFonts w:ascii="Arial" w:hAnsi="Arial" w:cs="Arial"/>
                <w:iCs/>
              </w:rPr>
              <w:t xml:space="preserve"> at community outreach events.</w:t>
            </w:r>
          </w:p>
          <w:p w14:paraId="0882C16E" w14:textId="59463022" w:rsidR="008B5D7C" w:rsidRPr="0051541F" w:rsidRDefault="008B5D7C" w:rsidP="008B5D7C">
            <w:pPr>
              <w:rPr>
                <w:rFonts w:ascii="Arial" w:hAnsi="Arial" w:cs="Arial"/>
                <w:iCs/>
              </w:rPr>
            </w:pPr>
          </w:p>
          <w:p w14:paraId="1B4349F7" w14:textId="77777777" w:rsidR="008B5D7C" w:rsidRPr="0051541F" w:rsidRDefault="008B5D7C" w:rsidP="008B5D7C">
            <w:pPr>
              <w:rPr>
                <w:rFonts w:ascii="Arial" w:hAnsi="Arial" w:cs="Arial"/>
                <w:iCs/>
              </w:rPr>
            </w:pPr>
            <w:r w:rsidRPr="0051541F">
              <w:rPr>
                <w:rFonts w:ascii="Arial" w:hAnsi="Arial" w:cs="Arial"/>
                <w:iCs/>
              </w:rPr>
              <w:t>The recruitment team has also developed educational videos on COVID-</w:t>
            </w:r>
            <w:proofErr w:type="gramStart"/>
            <w:r w:rsidRPr="0051541F">
              <w:rPr>
                <w:rFonts w:ascii="Arial" w:hAnsi="Arial" w:cs="Arial"/>
                <w:iCs/>
              </w:rPr>
              <w:t>19 which</w:t>
            </w:r>
            <w:proofErr w:type="gramEnd"/>
            <w:r w:rsidRPr="0051541F">
              <w:rPr>
                <w:rFonts w:ascii="Arial" w:hAnsi="Arial" w:cs="Arial"/>
                <w:iCs/>
              </w:rPr>
              <w:t xml:space="preserve"> provide an overview of the study, myths surrounding COVID-19, benefits to participating in the study, and how the data will be used. The videos </w:t>
            </w:r>
            <w:proofErr w:type="gramStart"/>
            <w:r w:rsidRPr="0051541F">
              <w:rPr>
                <w:rFonts w:ascii="Arial" w:hAnsi="Arial" w:cs="Arial"/>
                <w:iCs/>
              </w:rPr>
              <w:t>have been produced</w:t>
            </w:r>
            <w:proofErr w:type="gramEnd"/>
            <w:r w:rsidRPr="0051541F">
              <w:rPr>
                <w:rFonts w:ascii="Arial" w:hAnsi="Arial" w:cs="Arial"/>
                <w:iCs/>
              </w:rPr>
              <w:t xml:space="preserve"> by Picnic Table Productions and are available in English and Spanish. The videos </w:t>
            </w:r>
            <w:proofErr w:type="gramStart"/>
            <w:r w:rsidRPr="0051541F">
              <w:rPr>
                <w:rFonts w:ascii="Arial" w:hAnsi="Arial" w:cs="Arial"/>
                <w:iCs/>
              </w:rPr>
              <w:t>are finalized</w:t>
            </w:r>
            <w:proofErr w:type="gramEnd"/>
            <w:r w:rsidRPr="0051541F">
              <w:rPr>
                <w:rFonts w:ascii="Arial" w:hAnsi="Arial" w:cs="Arial"/>
                <w:iCs/>
              </w:rPr>
              <w:t xml:space="preserve"> and are now live on the study website for participants to view.</w:t>
            </w:r>
          </w:p>
          <w:p w14:paraId="15C038A7" w14:textId="7FF69C39" w:rsidR="008B5D7C" w:rsidRPr="0051541F" w:rsidRDefault="008B5D7C" w:rsidP="008B5D7C">
            <w:pPr>
              <w:rPr>
                <w:rFonts w:ascii="Arial" w:hAnsi="Arial" w:cs="Arial"/>
                <w:iCs/>
              </w:rPr>
            </w:pPr>
          </w:p>
          <w:p w14:paraId="61738EE7" w14:textId="39F0E7F5" w:rsidR="001B656E" w:rsidRPr="0051541F" w:rsidRDefault="001B656E" w:rsidP="001B656E">
            <w:pPr>
              <w:rPr>
                <w:rFonts w:ascii="Arial" w:hAnsi="Arial" w:cs="Arial"/>
              </w:rPr>
            </w:pPr>
            <w:r w:rsidRPr="0051541F">
              <w:rPr>
                <w:rFonts w:ascii="Arial" w:hAnsi="Arial" w:cs="Arial"/>
                <w:iCs/>
              </w:rPr>
              <w:t xml:space="preserve">Pediatric: </w:t>
            </w:r>
            <w:r w:rsidR="008B14DE" w:rsidRPr="0051541F">
              <w:rPr>
                <w:rFonts w:ascii="Arial" w:hAnsi="Arial" w:cs="Arial"/>
              </w:rPr>
              <w:t>R</w:t>
            </w:r>
            <w:r w:rsidRPr="0051541F">
              <w:rPr>
                <w:rFonts w:ascii="Arial" w:hAnsi="Arial" w:cs="Arial"/>
              </w:rPr>
              <w:t>ecruitment efforts for pediatric</w:t>
            </w:r>
            <w:r w:rsidR="008B14DE" w:rsidRPr="0051541F">
              <w:rPr>
                <w:rFonts w:ascii="Arial" w:hAnsi="Arial" w:cs="Arial"/>
              </w:rPr>
              <w:t xml:space="preserve"> participants</w:t>
            </w:r>
            <w:r w:rsidRPr="0051541F">
              <w:rPr>
                <w:rFonts w:ascii="Arial" w:hAnsi="Arial" w:cs="Arial"/>
              </w:rPr>
              <w:t xml:space="preserve"> has been very similar to adults</w:t>
            </w:r>
            <w:r w:rsidR="008B14DE" w:rsidRPr="0051541F">
              <w:rPr>
                <w:rFonts w:ascii="Arial" w:hAnsi="Arial" w:cs="Arial"/>
              </w:rPr>
              <w:t>, with town hall events, distribution of flyers, and community outreach events</w:t>
            </w:r>
            <w:r w:rsidRPr="0051541F">
              <w:rPr>
                <w:rFonts w:ascii="Arial" w:hAnsi="Arial" w:cs="Arial"/>
              </w:rPr>
              <w:t xml:space="preserve">. </w:t>
            </w:r>
          </w:p>
          <w:p w14:paraId="4CC23BBA" w14:textId="74B15D9E" w:rsidR="00F46CA2" w:rsidRPr="0051541F" w:rsidRDefault="00F46CA2" w:rsidP="00F46CA2">
            <w:pPr>
              <w:rPr>
                <w:rFonts w:ascii="Arial" w:hAnsi="Arial" w:cs="Arial"/>
              </w:rPr>
            </w:pPr>
          </w:p>
        </w:tc>
      </w:tr>
      <w:tr w:rsidR="005763F9" w14:paraId="0C1CFB36" w14:textId="77777777" w:rsidTr="008B5D7C">
        <w:tc>
          <w:tcPr>
            <w:tcW w:w="715" w:type="dxa"/>
          </w:tcPr>
          <w:p w14:paraId="3250829F" w14:textId="77777777" w:rsidR="005763F9" w:rsidRPr="0051541F" w:rsidRDefault="005763F9" w:rsidP="005763F9">
            <w:pPr>
              <w:rPr>
                <w:rFonts w:ascii="Arial" w:hAnsi="Arial" w:cs="Arial"/>
              </w:rPr>
            </w:pPr>
            <w:r w:rsidRPr="0051541F">
              <w:rPr>
                <w:rFonts w:ascii="Arial" w:hAnsi="Arial" w:cs="Arial"/>
              </w:rPr>
              <w:lastRenderedPageBreak/>
              <w:t xml:space="preserve">3. </w:t>
            </w:r>
          </w:p>
        </w:tc>
        <w:tc>
          <w:tcPr>
            <w:tcW w:w="1350" w:type="dxa"/>
          </w:tcPr>
          <w:p w14:paraId="55AFD923" w14:textId="77777777" w:rsidR="005763F9" w:rsidRPr="0051541F" w:rsidRDefault="005763F9" w:rsidP="005763F9">
            <w:pPr>
              <w:rPr>
                <w:rFonts w:ascii="Arial" w:hAnsi="Arial" w:cs="Arial"/>
              </w:rPr>
            </w:pPr>
            <w:bookmarkStart w:id="2" w:name="_Toc58400326"/>
            <w:r w:rsidRPr="0051541F">
              <w:rPr>
                <w:rFonts w:ascii="Arial" w:hAnsi="Arial" w:cs="Arial"/>
              </w:rPr>
              <w:t>Tulane University School of Public Health (SPH) and Tropical Medicine</w:t>
            </w:r>
            <w:bookmarkEnd w:id="2"/>
          </w:p>
        </w:tc>
        <w:tc>
          <w:tcPr>
            <w:tcW w:w="4050" w:type="dxa"/>
          </w:tcPr>
          <w:p w14:paraId="562A0993" w14:textId="24B6459F" w:rsidR="005763F9" w:rsidRPr="0051541F" w:rsidRDefault="009114CB" w:rsidP="009114CB">
            <w:pPr>
              <w:rPr>
                <w:rFonts w:ascii="Arial" w:hAnsi="Arial" w:cs="Arial"/>
              </w:rPr>
            </w:pPr>
            <w:r w:rsidRPr="0051541F">
              <w:rPr>
                <w:rFonts w:ascii="Arial" w:hAnsi="Arial" w:cs="Arial"/>
              </w:rPr>
              <w:t xml:space="preserve">Tulane recruited participants from three health networks that serve New Orleans and southeast Louisiana: Tulane University Medical Group (TUMG), Access Health Louisiana (AHL), and DePaul Community Health Centers (DCHC).  </w:t>
            </w:r>
          </w:p>
        </w:tc>
        <w:tc>
          <w:tcPr>
            <w:tcW w:w="4050" w:type="dxa"/>
          </w:tcPr>
          <w:p w14:paraId="25BE41E4" w14:textId="7F99BBFA" w:rsidR="005763F9" w:rsidRPr="0051541F" w:rsidRDefault="005763F9" w:rsidP="005763F9">
            <w:pPr>
              <w:rPr>
                <w:rFonts w:ascii="Arial" w:hAnsi="Arial" w:cs="Arial"/>
              </w:rPr>
            </w:pPr>
            <w:r w:rsidRPr="0051541F">
              <w:rPr>
                <w:rFonts w:ascii="Arial" w:hAnsi="Arial" w:cs="Arial"/>
              </w:rPr>
              <w:t xml:space="preserve">Individuals were eligible to enroll if they were a patient or employee of one of the three </w:t>
            </w:r>
            <w:r w:rsidR="00700974" w:rsidRPr="0051541F">
              <w:rPr>
                <w:rFonts w:ascii="Arial" w:hAnsi="Arial" w:cs="Arial"/>
              </w:rPr>
              <w:t xml:space="preserve">associated </w:t>
            </w:r>
            <w:r w:rsidRPr="0051541F">
              <w:rPr>
                <w:rFonts w:ascii="Arial" w:hAnsi="Arial" w:cs="Arial"/>
              </w:rPr>
              <w:t>health networks and were 18 years of age or older.</w:t>
            </w:r>
          </w:p>
        </w:tc>
        <w:tc>
          <w:tcPr>
            <w:tcW w:w="4680" w:type="dxa"/>
          </w:tcPr>
          <w:p w14:paraId="0EF29A7A" w14:textId="47CD5025" w:rsidR="005763F9" w:rsidRPr="0051541F" w:rsidRDefault="005763F9" w:rsidP="005763F9">
            <w:pPr>
              <w:rPr>
                <w:rFonts w:ascii="Arial" w:hAnsi="Arial" w:cs="Arial"/>
              </w:rPr>
            </w:pPr>
            <w:r w:rsidRPr="0051541F">
              <w:rPr>
                <w:rFonts w:ascii="Arial" w:hAnsi="Arial" w:cs="Arial"/>
              </w:rPr>
              <w:t xml:space="preserve">Participants </w:t>
            </w:r>
            <w:proofErr w:type="gramStart"/>
            <w:r w:rsidRPr="0051541F">
              <w:rPr>
                <w:rFonts w:ascii="Arial" w:hAnsi="Arial" w:cs="Arial"/>
              </w:rPr>
              <w:t>were enrolled</w:t>
            </w:r>
            <w:proofErr w:type="gramEnd"/>
            <w:r w:rsidRPr="0051541F">
              <w:rPr>
                <w:rFonts w:ascii="Arial" w:hAnsi="Arial" w:cs="Arial"/>
              </w:rPr>
              <w:t xml:space="preserve"> through the Tulane CRP study website. The website has information about the study and a health network</w:t>
            </w:r>
            <w:r w:rsidR="00700974" w:rsidRPr="0051541F">
              <w:rPr>
                <w:rFonts w:ascii="Arial" w:hAnsi="Arial" w:cs="Arial"/>
              </w:rPr>
              <w:t>-</w:t>
            </w:r>
            <w:r w:rsidRPr="0051541F">
              <w:rPr>
                <w:rFonts w:ascii="Arial" w:hAnsi="Arial" w:cs="Arial"/>
              </w:rPr>
              <w:t xml:space="preserve">specific link to the SneezSafe website where potential participants could complete the enrollment questionnaire and sign the informed consent. The major enrollment pushes occurred through rounds of email, text, and automated phone messages from the health networks to their eligible patient population with information about the study and a link to the Tulane CRP study website. Flyers and posters, digital and printed, </w:t>
            </w:r>
            <w:proofErr w:type="gramStart"/>
            <w:r w:rsidRPr="0051541F">
              <w:rPr>
                <w:rFonts w:ascii="Arial" w:hAnsi="Arial" w:cs="Arial"/>
              </w:rPr>
              <w:t>were placed</w:t>
            </w:r>
            <w:proofErr w:type="gramEnd"/>
            <w:r w:rsidRPr="0051541F">
              <w:rPr>
                <w:rFonts w:ascii="Arial" w:hAnsi="Arial" w:cs="Arial"/>
              </w:rPr>
              <w:t xml:space="preserve"> in clinics with a QR code </w:t>
            </w:r>
            <w:r w:rsidRPr="0051541F">
              <w:rPr>
                <w:rFonts w:ascii="Arial" w:hAnsi="Arial" w:cs="Arial"/>
              </w:rPr>
              <w:lastRenderedPageBreak/>
              <w:t>and link for the Tulane CRP study website. Recruitment messages and materials were IRB-approved and given to the sites to utilize.</w:t>
            </w:r>
          </w:p>
        </w:tc>
      </w:tr>
      <w:tr w:rsidR="005763F9" w14:paraId="53A78C60" w14:textId="77777777" w:rsidTr="008B5D7C">
        <w:tc>
          <w:tcPr>
            <w:tcW w:w="715" w:type="dxa"/>
          </w:tcPr>
          <w:p w14:paraId="4EDE05A2" w14:textId="77777777" w:rsidR="005763F9" w:rsidRPr="0051541F" w:rsidRDefault="005763F9" w:rsidP="005763F9">
            <w:pPr>
              <w:rPr>
                <w:rFonts w:ascii="Arial" w:hAnsi="Arial" w:cs="Arial"/>
              </w:rPr>
            </w:pPr>
            <w:r w:rsidRPr="0051541F">
              <w:rPr>
                <w:rFonts w:ascii="Arial" w:hAnsi="Arial" w:cs="Arial"/>
              </w:rPr>
              <w:lastRenderedPageBreak/>
              <w:t xml:space="preserve">4. </w:t>
            </w:r>
          </w:p>
        </w:tc>
        <w:tc>
          <w:tcPr>
            <w:tcW w:w="1350" w:type="dxa"/>
          </w:tcPr>
          <w:p w14:paraId="368AE87A" w14:textId="77777777" w:rsidR="005763F9" w:rsidRPr="0051541F" w:rsidRDefault="005763F9" w:rsidP="005763F9">
            <w:pPr>
              <w:rPr>
                <w:rFonts w:ascii="Arial" w:hAnsi="Arial" w:cs="Arial"/>
              </w:rPr>
            </w:pPr>
            <w:bookmarkStart w:id="3" w:name="_Toc58400327"/>
            <w:r w:rsidRPr="0051541F">
              <w:rPr>
                <w:rFonts w:ascii="Arial" w:hAnsi="Arial" w:cs="Arial"/>
              </w:rPr>
              <w:t>University of Mississippi Medical Center</w:t>
            </w:r>
            <w:bookmarkEnd w:id="3"/>
          </w:p>
        </w:tc>
        <w:tc>
          <w:tcPr>
            <w:tcW w:w="4050" w:type="dxa"/>
          </w:tcPr>
          <w:p w14:paraId="0A0554E2" w14:textId="2A886BB1" w:rsidR="005763F9" w:rsidRPr="0051541F" w:rsidRDefault="005763F9" w:rsidP="005763F9">
            <w:pPr>
              <w:rPr>
                <w:rFonts w:ascii="Arial" w:hAnsi="Arial" w:cs="Arial"/>
              </w:rPr>
            </w:pPr>
            <w:r w:rsidRPr="0051541F">
              <w:rPr>
                <w:rFonts w:ascii="Arial" w:hAnsi="Arial" w:cs="Arial"/>
              </w:rPr>
              <w:t>UMMC provides wide-ranging patient care programs, including a children's hospital, a women and infants' hospital, and a critical care hospital, along with University Hospital. University Physicians includes about 500 doctors, many of them among leaders in their field, who care for patients in the hospitals and clinics on campus, around the Jackson metro area, and in outreach clinics around the state. UMMC includes two community hospitals, UMMC Holmes County and UMMC Grenada.</w:t>
            </w:r>
          </w:p>
          <w:p w14:paraId="09961D4C" w14:textId="77777777" w:rsidR="005763F9" w:rsidRPr="0051541F" w:rsidRDefault="005763F9" w:rsidP="005763F9">
            <w:pPr>
              <w:rPr>
                <w:rFonts w:ascii="Arial" w:hAnsi="Arial" w:cs="Arial"/>
              </w:rPr>
            </w:pPr>
          </w:p>
        </w:tc>
        <w:tc>
          <w:tcPr>
            <w:tcW w:w="4050" w:type="dxa"/>
          </w:tcPr>
          <w:p w14:paraId="5EEEB31E" w14:textId="4E982D62" w:rsidR="005763F9" w:rsidRPr="0051541F" w:rsidRDefault="00B36049" w:rsidP="005763F9">
            <w:pPr>
              <w:rPr>
                <w:rFonts w:ascii="Arial" w:hAnsi="Arial" w:cs="Arial"/>
              </w:rPr>
            </w:pPr>
            <w:r w:rsidRPr="0051541F">
              <w:rPr>
                <w:rFonts w:ascii="Arial" w:hAnsi="Arial" w:cs="Arial"/>
              </w:rPr>
              <w:t>P</w:t>
            </w:r>
            <w:r w:rsidR="005763F9" w:rsidRPr="0051541F">
              <w:rPr>
                <w:rFonts w:ascii="Arial" w:hAnsi="Arial" w:cs="Arial"/>
              </w:rPr>
              <w:t>atients and employees within the UMMC healthcare system aged 18 or older at time of enrollment.</w:t>
            </w:r>
          </w:p>
        </w:tc>
        <w:tc>
          <w:tcPr>
            <w:tcW w:w="4680" w:type="dxa"/>
          </w:tcPr>
          <w:p w14:paraId="065A5CD2" w14:textId="3F9FF4A3" w:rsidR="005763F9" w:rsidRPr="0051541F" w:rsidRDefault="00B36049" w:rsidP="00B36049">
            <w:pPr>
              <w:rPr>
                <w:rFonts w:ascii="Arial" w:hAnsi="Arial" w:cs="Arial"/>
              </w:rPr>
            </w:pPr>
            <w:r w:rsidRPr="0051541F">
              <w:rPr>
                <w:rFonts w:ascii="Arial" w:hAnsi="Arial" w:cs="Arial"/>
              </w:rPr>
              <w:t>S</w:t>
            </w:r>
            <w:r w:rsidR="005763F9" w:rsidRPr="0051541F">
              <w:rPr>
                <w:rFonts w:ascii="Arial" w:hAnsi="Arial" w:cs="Arial"/>
              </w:rPr>
              <w:t>tudy advertisements, email, and messaging</w:t>
            </w:r>
            <w:r w:rsidRPr="0051541F">
              <w:rPr>
                <w:rFonts w:ascii="Arial" w:hAnsi="Arial" w:cs="Arial"/>
              </w:rPr>
              <w:t xml:space="preserve"> via electronic patient portal (</w:t>
            </w:r>
            <w:proofErr w:type="spellStart"/>
            <w:r w:rsidRPr="0051541F">
              <w:rPr>
                <w:rFonts w:ascii="Arial" w:hAnsi="Arial" w:cs="Arial"/>
              </w:rPr>
              <w:t>MyChart</w:t>
            </w:r>
            <w:proofErr w:type="spellEnd"/>
            <w:r w:rsidRPr="0051541F">
              <w:rPr>
                <w:rFonts w:ascii="Arial" w:hAnsi="Arial" w:cs="Arial"/>
              </w:rPr>
              <w:t>)</w:t>
            </w:r>
            <w:r w:rsidR="005763F9" w:rsidRPr="0051541F">
              <w:rPr>
                <w:rFonts w:ascii="Arial" w:hAnsi="Arial" w:cs="Arial"/>
              </w:rPr>
              <w:t xml:space="preserve"> </w:t>
            </w:r>
            <w:proofErr w:type="gramStart"/>
            <w:r w:rsidR="005763F9" w:rsidRPr="0051541F">
              <w:rPr>
                <w:rFonts w:ascii="Arial" w:hAnsi="Arial" w:cs="Arial"/>
              </w:rPr>
              <w:t>were utilized</w:t>
            </w:r>
            <w:proofErr w:type="gramEnd"/>
            <w:r w:rsidR="005763F9" w:rsidRPr="0051541F">
              <w:rPr>
                <w:rFonts w:ascii="Arial" w:hAnsi="Arial" w:cs="Arial"/>
              </w:rPr>
              <w:t xml:space="preserve"> to recruit UMMC patients and employees.  Interested participants reviewed study information and completed consent form online.  </w:t>
            </w:r>
          </w:p>
        </w:tc>
      </w:tr>
      <w:tr w:rsidR="005763F9" w14:paraId="3352BD72" w14:textId="77777777" w:rsidTr="008B5D7C">
        <w:tc>
          <w:tcPr>
            <w:tcW w:w="715" w:type="dxa"/>
          </w:tcPr>
          <w:p w14:paraId="5DC11F88" w14:textId="77777777" w:rsidR="005763F9" w:rsidRPr="0051541F" w:rsidRDefault="005763F9" w:rsidP="005763F9">
            <w:pPr>
              <w:rPr>
                <w:rFonts w:ascii="Arial" w:hAnsi="Arial" w:cs="Arial"/>
              </w:rPr>
            </w:pPr>
            <w:r w:rsidRPr="0051541F">
              <w:rPr>
                <w:rFonts w:ascii="Arial" w:hAnsi="Arial" w:cs="Arial"/>
              </w:rPr>
              <w:t>5.</w:t>
            </w:r>
          </w:p>
        </w:tc>
        <w:tc>
          <w:tcPr>
            <w:tcW w:w="1350" w:type="dxa"/>
          </w:tcPr>
          <w:p w14:paraId="54E38A62" w14:textId="77777777" w:rsidR="005763F9" w:rsidRPr="0051541F" w:rsidRDefault="005763F9" w:rsidP="005763F9">
            <w:pPr>
              <w:rPr>
                <w:rFonts w:ascii="Arial" w:hAnsi="Arial" w:cs="Arial"/>
              </w:rPr>
            </w:pPr>
            <w:bookmarkStart w:id="4" w:name="_Toc58400328"/>
            <w:r w:rsidRPr="0051541F">
              <w:rPr>
                <w:rFonts w:ascii="Arial" w:hAnsi="Arial" w:cs="Arial"/>
              </w:rPr>
              <w:t>MedStar Health</w:t>
            </w:r>
            <w:bookmarkEnd w:id="4"/>
          </w:p>
        </w:tc>
        <w:tc>
          <w:tcPr>
            <w:tcW w:w="4050" w:type="dxa"/>
          </w:tcPr>
          <w:p w14:paraId="3840B39C" w14:textId="7678E8A7" w:rsidR="005763F9" w:rsidRPr="0051541F" w:rsidRDefault="00B36049" w:rsidP="00B36049">
            <w:pPr>
              <w:rPr>
                <w:rFonts w:ascii="Arial" w:hAnsi="Arial" w:cs="Arial"/>
              </w:rPr>
            </w:pPr>
            <w:r w:rsidRPr="0051541F">
              <w:rPr>
                <w:rFonts w:ascii="Arial" w:hAnsi="Arial" w:cs="Arial"/>
              </w:rPr>
              <w:t>MedStar Health is a</w:t>
            </w:r>
            <w:r w:rsidR="005763F9" w:rsidRPr="0051541F">
              <w:rPr>
                <w:rFonts w:ascii="Arial" w:hAnsi="Arial" w:cs="Arial"/>
              </w:rPr>
              <w:t xml:space="preserve"> healthcare leader in Maryland, Virginia, and </w:t>
            </w:r>
            <w:r w:rsidRPr="0051541F">
              <w:rPr>
                <w:rFonts w:ascii="Arial" w:hAnsi="Arial" w:cs="Arial"/>
              </w:rPr>
              <w:t xml:space="preserve">the </w:t>
            </w:r>
            <w:r w:rsidR="005763F9" w:rsidRPr="0051541F">
              <w:rPr>
                <w:rFonts w:ascii="Arial" w:hAnsi="Arial" w:cs="Arial"/>
              </w:rPr>
              <w:t xml:space="preserve">Washington, D.C. area with a partnership with George Washington University. MedStar is comprised of 30,000 associates and 5,400 affiliated physicians across 10 hospitals, numerous ambulatory care practices, and urgent care facilities.  It is the largest provider of healthcare services in the region. </w:t>
            </w:r>
          </w:p>
        </w:tc>
        <w:tc>
          <w:tcPr>
            <w:tcW w:w="4050" w:type="dxa"/>
          </w:tcPr>
          <w:p w14:paraId="7A7A256B" w14:textId="3DE2CA7A" w:rsidR="005763F9" w:rsidRPr="0051541F" w:rsidRDefault="00B36049" w:rsidP="00B36049">
            <w:pPr>
              <w:rPr>
                <w:rFonts w:ascii="Arial" w:hAnsi="Arial" w:cs="Arial"/>
              </w:rPr>
            </w:pPr>
            <w:r w:rsidRPr="0051541F">
              <w:rPr>
                <w:rFonts w:ascii="Arial" w:hAnsi="Arial" w:cs="Arial"/>
              </w:rPr>
              <w:t>E</w:t>
            </w:r>
            <w:r w:rsidR="005763F9" w:rsidRPr="0051541F">
              <w:rPr>
                <w:rFonts w:ascii="Arial" w:hAnsi="Arial" w:cs="Arial"/>
              </w:rPr>
              <w:t xml:space="preserve">ligible </w:t>
            </w:r>
            <w:r w:rsidRPr="0051541F">
              <w:rPr>
                <w:rFonts w:ascii="Arial" w:hAnsi="Arial" w:cs="Arial"/>
              </w:rPr>
              <w:t xml:space="preserve">participants </w:t>
            </w:r>
            <w:r w:rsidR="005763F9" w:rsidRPr="0051541F">
              <w:rPr>
                <w:rFonts w:ascii="Arial" w:hAnsi="Arial" w:cs="Arial"/>
              </w:rPr>
              <w:t>must meet all the following criteria:</w:t>
            </w:r>
            <w:r w:rsidRPr="0051541F">
              <w:rPr>
                <w:rFonts w:ascii="Arial" w:hAnsi="Arial" w:cs="Arial"/>
              </w:rPr>
              <w:t xml:space="preserve"> a</w:t>
            </w:r>
            <w:r w:rsidR="005763F9" w:rsidRPr="0051541F">
              <w:rPr>
                <w:rFonts w:ascii="Arial" w:hAnsi="Arial" w:cs="Arial"/>
              </w:rPr>
              <w:t>bility to provide informed consent</w:t>
            </w:r>
            <w:r w:rsidRPr="0051541F">
              <w:rPr>
                <w:rFonts w:ascii="Arial" w:hAnsi="Arial" w:cs="Arial"/>
              </w:rPr>
              <w:t>, a</w:t>
            </w:r>
            <w:r w:rsidR="005763F9" w:rsidRPr="0051541F">
              <w:rPr>
                <w:rFonts w:ascii="Arial" w:hAnsi="Arial" w:cs="Arial"/>
              </w:rPr>
              <w:t>ge 18</w:t>
            </w:r>
            <w:r w:rsidRPr="0051541F">
              <w:rPr>
                <w:rFonts w:ascii="Arial" w:hAnsi="Arial" w:cs="Arial"/>
              </w:rPr>
              <w:t xml:space="preserve"> or older, h</w:t>
            </w:r>
            <w:r w:rsidR="005763F9" w:rsidRPr="0051541F">
              <w:rPr>
                <w:rFonts w:ascii="Arial" w:hAnsi="Arial" w:cs="Arial"/>
              </w:rPr>
              <w:t>ave a valid email address</w:t>
            </w:r>
            <w:r w:rsidRPr="0051541F">
              <w:rPr>
                <w:rFonts w:ascii="Arial" w:hAnsi="Arial" w:cs="Arial"/>
              </w:rPr>
              <w:t>, and a</w:t>
            </w:r>
            <w:r w:rsidR="005763F9" w:rsidRPr="0051541F">
              <w:rPr>
                <w:rFonts w:ascii="Arial" w:hAnsi="Arial" w:cs="Arial"/>
              </w:rPr>
              <w:t xml:space="preserve">ble to communicate </w:t>
            </w:r>
            <w:r w:rsidRPr="0051541F">
              <w:rPr>
                <w:rFonts w:ascii="Arial" w:hAnsi="Arial" w:cs="Arial"/>
              </w:rPr>
              <w:t xml:space="preserve">in </w:t>
            </w:r>
            <w:r w:rsidR="005763F9" w:rsidRPr="0051541F">
              <w:rPr>
                <w:rFonts w:ascii="Arial" w:hAnsi="Arial" w:cs="Arial"/>
              </w:rPr>
              <w:t>English or Spanish</w:t>
            </w:r>
            <w:r w:rsidRPr="0051541F">
              <w:rPr>
                <w:rFonts w:ascii="Arial" w:hAnsi="Arial" w:cs="Arial"/>
              </w:rPr>
              <w:t>.</w:t>
            </w:r>
          </w:p>
        </w:tc>
        <w:tc>
          <w:tcPr>
            <w:tcW w:w="4680" w:type="dxa"/>
          </w:tcPr>
          <w:p w14:paraId="3AFA671E" w14:textId="6F49BD6F" w:rsidR="005763F9" w:rsidRPr="0051541F" w:rsidRDefault="005763F9" w:rsidP="009114CB">
            <w:pPr>
              <w:rPr>
                <w:rFonts w:ascii="Arial" w:hAnsi="Arial" w:cs="Arial"/>
              </w:rPr>
            </w:pPr>
            <w:r w:rsidRPr="0051541F">
              <w:rPr>
                <w:rFonts w:ascii="Arial" w:hAnsi="Arial" w:cs="Arial"/>
              </w:rPr>
              <w:t xml:space="preserve">MedStar transmitted 3 million </w:t>
            </w:r>
            <w:proofErr w:type="gramStart"/>
            <w:r w:rsidRPr="0051541F">
              <w:rPr>
                <w:rFonts w:ascii="Arial" w:hAnsi="Arial" w:cs="Arial"/>
              </w:rPr>
              <w:t>study marketing</w:t>
            </w:r>
            <w:proofErr w:type="gramEnd"/>
            <w:r w:rsidRPr="0051541F">
              <w:rPr>
                <w:rFonts w:ascii="Arial" w:hAnsi="Arial" w:cs="Arial"/>
              </w:rPr>
              <w:t xml:space="preserve"> correspondences. The primary method was MedStar Health’s Corporate email pool of unique individuals who at some point received health care and/or provided their personal email for communications with the system.  The overall strategy included community press</w:t>
            </w:r>
            <w:r w:rsidR="006D2DD5" w:rsidRPr="0051541F">
              <w:rPr>
                <w:rFonts w:ascii="Arial" w:hAnsi="Arial" w:cs="Arial"/>
              </w:rPr>
              <w:t xml:space="preserve"> releases</w:t>
            </w:r>
            <w:r w:rsidRPr="0051541F">
              <w:rPr>
                <w:rFonts w:ascii="Arial" w:hAnsi="Arial" w:cs="Arial"/>
              </w:rPr>
              <w:t>, social media campaigns, interviews, town halls, round table</w:t>
            </w:r>
            <w:r w:rsidR="006D2DD5" w:rsidRPr="0051541F">
              <w:rPr>
                <w:rFonts w:ascii="Arial" w:hAnsi="Arial" w:cs="Arial"/>
              </w:rPr>
              <w:t xml:space="preserve"> discussions</w:t>
            </w:r>
            <w:r w:rsidRPr="0051541F">
              <w:rPr>
                <w:rFonts w:ascii="Arial" w:hAnsi="Arial" w:cs="Arial"/>
              </w:rPr>
              <w:t xml:space="preserve"> with associates, grand rounds with providers, system</w:t>
            </w:r>
            <w:r w:rsidR="006D2DD5" w:rsidRPr="0051541F">
              <w:rPr>
                <w:rFonts w:ascii="Arial" w:hAnsi="Arial" w:cs="Arial"/>
              </w:rPr>
              <w:t>-</w:t>
            </w:r>
            <w:r w:rsidRPr="0051541F">
              <w:rPr>
                <w:rFonts w:ascii="Arial" w:hAnsi="Arial" w:cs="Arial"/>
              </w:rPr>
              <w:t>wide internal banners, messaging, flyers, bulletins, reminders,</w:t>
            </w:r>
            <w:r w:rsidR="006D2DD5" w:rsidRPr="0051541F">
              <w:rPr>
                <w:rFonts w:ascii="Arial" w:hAnsi="Arial" w:cs="Arial"/>
              </w:rPr>
              <w:t xml:space="preserve"> </w:t>
            </w:r>
            <w:r w:rsidRPr="0051541F">
              <w:rPr>
                <w:rFonts w:ascii="Arial" w:hAnsi="Arial" w:cs="Arial"/>
              </w:rPr>
              <w:t xml:space="preserve"> patient advisory boards and community groups. </w:t>
            </w:r>
          </w:p>
        </w:tc>
      </w:tr>
      <w:tr w:rsidR="005763F9" w14:paraId="730D161D" w14:textId="77777777" w:rsidTr="008B5D7C">
        <w:tc>
          <w:tcPr>
            <w:tcW w:w="715" w:type="dxa"/>
          </w:tcPr>
          <w:p w14:paraId="083A8633" w14:textId="77777777" w:rsidR="005763F9" w:rsidRPr="0051541F" w:rsidRDefault="005763F9" w:rsidP="005763F9">
            <w:pPr>
              <w:rPr>
                <w:rFonts w:ascii="Arial" w:hAnsi="Arial" w:cs="Arial"/>
              </w:rPr>
            </w:pPr>
            <w:r w:rsidRPr="0051541F">
              <w:rPr>
                <w:rFonts w:ascii="Arial" w:hAnsi="Arial" w:cs="Arial"/>
              </w:rPr>
              <w:t xml:space="preserve">6. </w:t>
            </w:r>
          </w:p>
        </w:tc>
        <w:tc>
          <w:tcPr>
            <w:tcW w:w="1350" w:type="dxa"/>
          </w:tcPr>
          <w:p w14:paraId="483B0674" w14:textId="77777777" w:rsidR="005763F9" w:rsidRPr="0051541F" w:rsidRDefault="005763F9" w:rsidP="005763F9">
            <w:pPr>
              <w:rPr>
                <w:rFonts w:ascii="Arial" w:hAnsi="Arial" w:cs="Arial"/>
              </w:rPr>
            </w:pPr>
            <w:bookmarkStart w:id="5" w:name="_Toc58400329"/>
            <w:r w:rsidRPr="0051541F">
              <w:rPr>
                <w:rFonts w:ascii="Arial" w:hAnsi="Arial" w:cs="Arial"/>
              </w:rPr>
              <w:t>University of Maryland</w:t>
            </w:r>
            <w:bookmarkEnd w:id="5"/>
            <w:r w:rsidRPr="0051541F">
              <w:rPr>
                <w:rFonts w:ascii="Arial" w:hAnsi="Arial" w:cs="Arial"/>
              </w:rPr>
              <w:t xml:space="preserve"> </w:t>
            </w:r>
          </w:p>
        </w:tc>
        <w:tc>
          <w:tcPr>
            <w:tcW w:w="4050" w:type="dxa"/>
          </w:tcPr>
          <w:p w14:paraId="1B736543" w14:textId="2E42B885" w:rsidR="005763F9" w:rsidRPr="0051541F" w:rsidRDefault="005763F9" w:rsidP="005763F9">
            <w:pPr>
              <w:rPr>
                <w:rFonts w:ascii="Arial" w:hAnsi="Arial" w:cs="Arial"/>
              </w:rPr>
            </w:pPr>
            <w:r w:rsidRPr="0051541F">
              <w:rPr>
                <w:rFonts w:ascii="Arial" w:hAnsi="Arial" w:cs="Arial"/>
              </w:rPr>
              <w:t>The University of Maryland Medical Center (UMMC) is the flagship academic medical center at the heart of U</w:t>
            </w:r>
            <w:r w:rsidR="00A05712" w:rsidRPr="0051541F">
              <w:rPr>
                <w:rFonts w:ascii="Arial" w:hAnsi="Arial" w:cs="Arial"/>
              </w:rPr>
              <w:t>niversity of Maryland Medical System</w:t>
            </w:r>
            <w:r w:rsidRPr="0051541F">
              <w:rPr>
                <w:rFonts w:ascii="Arial" w:hAnsi="Arial" w:cs="Arial"/>
              </w:rPr>
              <w:t xml:space="preserve"> </w:t>
            </w:r>
            <w:r w:rsidR="00A05712" w:rsidRPr="0051541F">
              <w:rPr>
                <w:rFonts w:ascii="Arial" w:hAnsi="Arial" w:cs="Arial"/>
              </w:rPr>
              <w:t xml:space="preserve">(UMMS) </w:t>
            </w:r>
            <w:r w:rsidRPr="0051541F">
              <w:rPr>
                <w:rFonts w:ascii="Arial" w:hAnsi="Arial" w:cs="Arial"/>
              </w:rPr>
              <w:t xml:space="preserve">and includes the 789-bed downtown Baltimore campus and the 177-bed midtown campus one mile north. The medical staff comprises nearly 1,200 attending physicians who are faculty members at the University </w:t>
            </w:r>
            <w:r w:rsidRPr="0051541F">
              <w:rPr>
                <w:rFonts w:ascii="Arial" w:hAnsi="Arial" w:cs="Arial"/>
              </w:rPr>
              <w:lastRenderedPageBreak/>
              <w:t>of Maryland School of Medicine, as well as 900 residents and fellows in all medical specialties.</w:t>
            </w:r>
          </w:p>
        </w:tc>
        <w:tc>
          <w:tcPr>
            <w:tcW w:w="4050" w:type="dxa"/>
          </w:tcPr>
          <w:p w14:paraId="35007C01" w14:textId="7051944B" w:rsidR="005763F9" w:rsidRPr="0051541F" w:rsidRDefault="005763F9" w:rsidP="00B4143E">
            <w:pPr>
              <w:spacing w:before="100" w:beforeAutospacing="1" w:after="100" w:afterAutospacing="1"/>
              <w:rPr>
                <w:rFonts w:ascii="Arial" w:eastAsia="Arial Unicode MS" w:hAnsi="Arial" w:cs="Arial"/>
              </w:rPr>
            </w:pPr>
            <w:r w:rsidRPr="0051541F">
              <w:rPr>
                <w:rFonts w:ascii="Arial" w:eastAsia="Arial Unicode MS" w:hAnsi="Arial" w:cs="Arial"/>
              </w:rPr>
              <w:lastRenderedPageBreak/>
              <w:t xml:space="preserve">Primary eligibility included all UMMS patients aged 18 or older at the time of enrollment. Secondary study populations included community individuals who were not current patients of UMMS. Participants were also eligible to enroll without invitation through </w:t>
            </w:r>
            <w:r w:rsidR="00B4143E" w:rsidRPr="0051541F">
              <w:rPr>
                <w:rFonts w:ascii="Arial" w:eastAsia="Arial Unicode MS" w:hAnsi="Arial" w:cs="Arial"/>
              </w:rPr>
              <w:t>the</w:t>
            </w:r>
            <w:r w:rsidRPr="0051541F">
              <w:rPr>
                <w:rFonts w:ascii="Arial" w:eastAsia="Arial Unicode MS" w:hAnsi="Arial" w:cs="Arial"/>
              </w:rPr>
              <w:t xml:space="preserve"> study website.</w:t>
            </w:r>
          </w:p>
        </w:tc>
        <w:tc>
          <w:tcPr>
            <w:tcW w:w="4680" w:type="dxa"/>
          </w:tcPr>
          <w:p w14:paraId="5853A8BA" w14:textId="23929DB9" w:rsidR="005763F9" w:rsidRPr="0051541F" w:rsidRDefault="005763F9" w:rsidP="00144F56">
            <w:pPr>
              <w:pStyle w:val="BodyText"/>
              <w:ind w:right="131" w:firstLine="1"/>
              <w:rPr>
                <w:rFonts w:ascii="Arial" w:hAnsi="Arial" w:cs="Arial"/>
              </w:rPr>
            </w:pPr>
            <w:r w:rsidRPr="0051541F">
              <w:rPr>
                <w:rStyle w:val="normaltextrun"/>
                <w:rFonts w:ascii="Arial" w:hAnsi="Arial" w:cs="Arial"/>
              </w:rPr>
              <w:t>Recruitment was initiated via emails to</w:t>
            </w:r>
            <w:r w:rsidR="005E1841" w:rsidRPr="0051541F">
              <w:rPr>
                <w:rStyle w:val="normaltextrun"/>
                <w:rFonts w:ascii="Arial" w:hAnsi="Arial" w:cs="Arial"/>
              </w:rPr>
              <w:t xml:space="preserve"> UMMS</w:t>
            </w:r>
            <w:r w:rsidRPr="0051541F">
              <w:rPr>
                <w:rStyle w:val="normaltextrun"/>
                <w:rFonts w:ascii="Arial" w:hAnsi="Arial" w:cs="Arial"/>
              </w:rPr>
              <w:t xml:space="preserve"> patients </w:t>
            </w:r>
            <w:r w:rsidR="005E1841" w:rsidRPr="0051541F">
              <w:rPr>
                <w:rStyle w:val="normaltextrun"/>
                <w:rFonts w:ascii="Arial" w:hAnsi="Arial" w:cs="Arial"/>
              </w:rPr>
              <w:t xml:space="preserve">with an </w:t>
            </w:r>
            <w:r w:rsidRPr="0051541F">
              <w:rPr>
                <w:rStyle w:val="normaltextrun"/>
                <w:rFonts w:ascii="Arial" w:hAnsi="Arial" w:cs="Arial"/>
              </w:rPr>
              <w:t xml:space="preserve">electronic health </w:t>
            </w:r>
            <w:proofErr w:type="gramStart"/>
            <w:r w:rsidRPr="0051541F">
              <w:rPr>
                <w:rStyle w:val="normaltextrun"/>
                <w:rFonts w:ascii="Arial" w:hAnsi="Arial" w:cs="Arial"/>
              </w:rPr>
              <w:t xml:space="preserve">record  </w:t>
            </w:r>
            <w:r w:rsidR="005E1841" w:rsidRPr="0051541F">
              <w:rPr>
                <w:rStyle w:val="normaltextrun"/>
                <w:rFonts w:ascii="Arial" w:hAnsi="Arial" w:cs="Arial"/>
              </w:rPr>
              <w:t>(</w:t>
            </w:r>
            <w:proofErr w:type="spellStart"/>
            <w:proofErr w:type="gramEnd"/>
            <w:r w:rsidRPr="0051541F">
              <w:rPr>
                <w:rStyle w:val="normaltextrun"/>
                <w:rFonts w:ascii="Arial" w:hAnsi="Arial" w:cs="Arial"/>
              </w:rPr>
              <w:t>MyPortfolio</w:t>
            </w:r>
            <w:proofErr w:type="spellEnd"/>
            <w:r w:rsidR="005E1841" w:rsidRPr="0051541F">
              <w:rPr>
                <w:rStyle w:val="normaltextrun"/>
                <w:rFonts w:ascii="Arial" w:hAnsi="Arial" w:cs="Arial"/>
              </w:rPr>
              <w:t>)</w:t>
            </w:r>
            <w:r w:rsidRPr="0051541F">
              <w:rPr>
                <w:rStyle w:val="normaltextrun"/>
                <w:rFonts w:ascii="Arial" w:hAnsi="Arial" w:cs="Arial"/>
              </w:rPr>
              <w:t xml:space="preserve">. </w:t>
            </w:r>
            <w:r w:rsidRPr="0051541F">
              <w:rPr>
                <w:rFonts w:ascii="Arial" w:hAnsi="Arial" w:cs="Arial"/>
              </w:rPr>
              <w:t>The message included a link to our study site, which contain</w:t>
            </w:r>
            <w:r w:rsidR="005E1841" w:rsidRPr="0051541F">
              <w:rPr>
                <w:rFonts w:ascii="Arial" w:hAnsi="Arial" w:cs="Arial"/>
              </w:rPr>
              <w:t>ed</w:t>
            </w:r>
            <w:r w:rsidRPr="0051541F">
              <w:rPr>
                <w:rFonts w:ascii="Arial" w:hAnsi="Arial" w:cs="Arial"/>
              </w:rPr>
              <w:t xml:space="preserve"> a link to our REDCap consent and enrollment forms. </w:t>
            </w:r>
            <w:r w:rsidRPr="0051541F">
              <w:rPr>
                <w:rStyle w:val="normaltextrun"/>
                <w:rFonts w:ascii="Arial" w:hAnsi="Arial" w:cs="Arial"/>
              </w:rPr>
              <w:t xml:space="preserve">Emails </w:t>
            </w:r>
            <w:proofErr w:type="gramStart"/>
            <w:r w:rsidRPr="0051541F">
              <w:rPr>
                <w:rStyle w:val="normaltextrun"/>
                <w:rFonts w:ascii="Arial" w:hAnsi="Arial" w:cs="Arial"/>
              </w:rPr>
              <w:t>were sent</w:t>
            </w:r>
            <w:proofErr w:type="gramEnd"/>
            <w:r w:rsidRPr="0051541F">
              <w:rPr>
                <w:rStyle w:val="normaltextrun"/>
                <w:rFonts w:ascii="Arial" w:hAnsi="Arial" w:cs="Arial"/>
              </w:rPr>
              <w:t xml:space="preserve"> in batches of approximately 9,000 to 21,000 to groups of patients at various age groups (oldest to youngest). Recruitment also included the use of </w:t>
            </w:r>
            <w:r w:rsidRPr="0051541F">
              <w:rPr>
                <w:rFonts w:ascii="Arial" w:hAnsi="Arial" w:cs="Arial"/>
              </w:rPr>
              <w:t xml:space="preserve">emails, flyers, </w:t>
            </w:r>
            <w:r w:rsidR="004F0CC0" w:rsidRPr="0051541F">
              <w:rPr>
                <w:rFonts w:ascii="Arial" w:hAnsi="Arial" w:cs="Arial"/>
              </w:rPr>
              <w:t xml:space="preserve">and </w:t>
            </w:r>
            <w:r w:rsidRPr="0051541F">
              <w:rPr>
                <w:rFonts w:ascii="Arial" w:hAnsi="Arial" w:cs="Arial"/>
              </w:rPr>
              <w:t xml:space="preserve">social </w:t>
            </w:r>
            <w:r w:rsidRPr="0051541F">
              <w:rPr>
                <w:rFonts w:ascii="Arial" w:hAnsi="Arial" w:cs="Arial"/>
              </w:rPr>
              <w:lastRenderedPageBreak/>
              <w:t xml:space="preserve">media campaigns. We used targeted marketing, interaction with community leaders, and interviews/webinars to reach special populations. We shared study information with the MD Department of </w:t>
            </w:r>
            <w:proofErr w:type="gramStart"/>
            <w:r w:rsidRPr="0051541F">
              <w:rPr>
                <w:rFonts w:ascii="Arial" w:hAnsi="Arial" w:cs="Arial"/>
              </w:rPr>
              <w:t>Health which</w:t>
            </w:r>
            <w:proofErr w:type="gramEnd"/>
            <w:r w:rsidRPr="0051541F">
              <w:rPr>
                <w:rFonts w:ascii="Arial" w:hAnsi="Arial" w:cs="Arial"/>
              </w:rPr>
              <w:t xml:space="preserve"> distributed in</w:t>
            </w:r>
            <w:r w:rsidR="004F0CC0" w:rsidRPr="0051541F">
              <w:rPr>
                <w:rFonts w:ascii="Arial" w:hAnsi="Arial" w:cs="Arial"/>
              </w:rPr>
              <w:t>formation in</w:t>
            </w:r>
            <w:r w:rsidRPr="0051541F">
              <w:rPr>
                <w:rFonts w:ascii="Arial" w:hAnsi="Arial" w:cs="Arial"/>
              </w:rPr>
              <w:t xml:space="preserve"> some of their health clinics. We participated in a radio show with the University of Maryland College Park Center for Health Equity of College Park in an effort to have a wide reach in the African American community in the Washington D.C. Metropolitan area</w:t>
            </w:r>
            <w:r w:rsidR="005E1841" w:rsidRPr="0051541F">
              <w:rPr>
                <w:rFonts w:ascii="Arial" w:hAnsi="Arial" w:cs="Arial"/>
              </w:rPr>
              <w:t xml:space="preserve">. </w:t>
            </w:r>
            <w:r w:rsidRPr="0051541F">
              <w:rPr>
                <w:rFonts w:ascii="Arial" w:hAnsi="Arial" w:cs="Arial"/>
              </w:rPr>
              <w:t xml:space="preserve">We </w:t>
            </w:r>
            <w:proofErr w:type="gramStart"/>
            <w:r w:rsidRPr="0051541F">
              <w:rPr>
                <w:rFonts w:ascii="Arial" w:hAnsi="Arial" w:cs="Arial"/>
              </w:rPr>
              <w:t>partnered</w:t>
            </w:r>
            <w:proofErr w:type="gramEnd"/>
            <w:r w:rsidRPr="0051541F">
              <w:rPr>
                <w:rFonts w:ascii="Arial" w:hAnsi="Arial" w:cs="Arial"/>
              </w:rPr>
              <w:t xml:space="preserve"> with a local community </w:t>
            </w:r>
            <w:r w:rsidR="005E1841" w:rsidRPr="0051541F">
              <w:rPr>
                <w:rFonts w:ascii="Arial" w:hAnsi="Arial" w:cs="Arial"/>
              </w:rPr>
              <w:t>and</w:t>
            </w:r>
            <w:r w:rsidRPr="0051541F">
              <w:rPr>
                <w:rFonts w:ascii="Arial" w:hAnsi="Arial" w:cs="Arial"/>
              </w:rPr>
              <w:t xml:space="preserve"> faith-based organization, Sisters Together and Reaching, to share information about </w:t>
            </w:r>
            <w:r w:rsidR="005E1841" w:rsidRPr="0051541F">
              <w:rPr>
                <w:rFonts w:ascii="Arial" w:hAnsi="Arial" w:cs="Arial"/>
              </w:rPr>
              <w:t xml:space="preserve">the </w:t>
            </w:r>
            <w:r w:rsidRPr="0051541F">
              <w:rPr>
                <w:rFonts w:ascii="Arial" w:hAnsi="Arial" w:cs="Arial"/>
              </w:rPr>
              <w:t>COVID-19 CRP via their social media platforms and throughout their networks. We also connected with a community-based organization that works with homeless youth. Our strategies with specific tactics to target young African Americans included outreach to local Historically Black Colleges and Universities as well as outreach to Black churches in the Baltimore area. To round out our efforts to recruit participants from the local community who were not affiliated with UMMS</w:t>
            </w:r>
            <w:r w:rsidR="004F0CC0" w:rsidRPr="0051541F">
              <w:rPr>
                <w:rFonts w:ascii="Arial" w:hAnsi="Arial" w:cs="Arial"/>
              </w:rPr>
              <w:t>,</w:t>
            </w:r>
            <w:r w:rsidRPr="0051541F">
              <w:rPr>
                <w:rFonts w:ascii="Arial" w:hAnsi="Arial" w:cs="Arial"/>
              </w:rPr>
              <w:t xml:space="preserve"> we sent over 5000 recruitment emails to individuals who have expressed interested in research studies at the UMB Center for Vaccine Development.</w:t>
            </w:r>
          </w:p>
          <w:p w14:paraId="57C671EB" w14:textId="42EA35EC" w:rsidR="005763F9" w:rsidRPr="0051541F" w:rsidRDefault="005763F9" w:rsidP="00144F56">
            <w:pPr>
              <w:pStyle w:val="InstructionList"/>
              <w:numPr>
                <w:ilvl w:val="0"/>
                <w:numId w:val="0"/>
              </w:numPr>
              <w:rPr>
                <w:rFonts w:ascii="Arial" w:hAnsi="Arial" w:cs="Arial"/>
                <w:sz w:val="22"/>
                <w:szCs w:val="22"/>
              </w:rPr>
            </w:pPr>
            <w:r w:rsidRPr="0051541F">
              <w:rPr>
                <w:rFonts w:ascii="Arial" w:hAnsi="Arial" w:cs="Arial"/>
                <w:sz w:val="22"/>
                <w:szCs w:val="22"/>
              </w:rPr>
              <w:t xml:space="preserve">We </w:t>
            </w:r>
            <w:r w:rsidR="004F0CC0" w:rsidRPr="0051541F">
              <w:rPr>
                <w:rFonts w:ascii="Arial" w:hAnsi="Arial" w:cs="Arial"/>
                <w:sz w:val="22"/>
                <w:szCs w:val="22"/>
              </w:rPr>
              <w:t>collaborated</w:t>
            </w:r>
            <w:r w:rsidRPr="0051541F">
              <w:rPr>
                <w:rFonts w:ascii="Arial" w:hAnsi="Arial" w:cs="Arial"/>
                <w:sz w:val="22"/>
                <w:szCs w:val="22"/>
              </w:rPr>
              <w:t xml:space="preserve"> with MedStar to </w:t>
            </w:r>
            <w:r w:rsidR="004F0CC0" w:rsidRPr="0051541F">
              <w:rPr>
                <w:rFonts w:ascii="Arial" w:hAnsi="Arial" w:cs="Arial"/>
                <w:sz w:val="22"/>
                <w:szCs w:val="22"/>
              </w:rPr>
              <w:t>conduct</w:t>
            </w:r>
            <w:r w:rsidRPr="0051541F">
              <w:rPr>
                <w:rFonts w:ascii="Arial" w:hAnsi="Arial" w:cs="Arial"/>
                <w:sz w:val="22"/>
                <w:szCs w:val="22"/>
              </w:rPr>
              <w:t xml:space="preserve"> </w:t>
            </w:r>
            <w:r w:rsidRPr="0051541F">
              <w:rPr>
                <w:rFonts w:ascii="Arial" w:eastAsia="Calibri" w:hAnsi="Arial" w:cs="Arial"/>
                <w:sz w:val="22"/>
                <w:szCs w:val="22"/>
              </w:rPr>
              <w:t xml:space="preserve">a joint Town Hall for participants to provide study updates, general information about COVID-19 and information about COVID-19 vaccines in which over 400 participants joined. </w:t>
            </w:r>
          </w:p>
        </w:tc>
      </w:tr>
      <w:tr w:rsidR="005763F9" w14:paraId="47C24D5B" w14:textId="77777777" w:rsidTr="008B5D7C">
        <w:tc>
          <w:tcPr>
            <w:tcW w:w="715" w:type="dxa"/>
          </w:tcPr>
          <w:p w14:paraId="58165D41" w14:textId="77777777" w:rsidR="005763F9" w:rsidRPr="0051541F" w:rsidRDefault="005763F9" w:rsidP="005763F9">
            <w:pPr>
              <w:rPr>
                <w:rFonts w:ascii="Arial" w:hAnsi="Arial" w:cs="Arial"/>
              </w:rPr>
            </w:pPr>
            <w:r w:rsidRPr="0051541F">
              <w:rPr>
                <w:rFonts w:ascii="Arial" w:hAnsi="Arial" w:cs="Arial"/>
              </w:rPr>
              <w:lastRenderedPageBreak/>
              <w:t xml:space="preserve">7. </w:t>
            </w:r>
          </w:p>
        </w:tc>
        <w:tc>
          <w:tcPr>
            <w:tcW w:w="1350" w:type="dxa"/>
          </w:tcPr>
          <w:p w14:paraId="6D04773A" w14:textId="77777777" w:rsidR="005763F9" w:rsidRPr="0051541F" w:rsidRDefault="005763F9" w:rsidP="005763F9">
            <w:pPr>
              <w:rPr>
                <w:rFonts w:ascii="Arial" w:hAnsi="Arial" w:cs="Arial"/>
              </w:rPr>
            </w:pPr>
            <w:bookmarkStart w:id="6" w:name="_Toc58400330"/>
            <w:r w:rsidRPr="0051541F">
              <w:rPr>
                <w:rFonts w:ascii="Arial" w:hAnsi="Arial" w:cs="Arial"/>
              </w:rPr>
              <w:t>New Hanover Regional Medical Center</w:t>
            </w:r>
            <w:bookmarkEnd w:id="6"/>
          </w:p>
        </w:tc>
        <w:tc>
          <w:tcPr>
            <w:tcW w:w="4050" w:type="dxa"/>
          </w:tcPr>
          <w:p w14:paraId="578C4618" w14:textId="2F0D00F2" w:rsidR="00B2473A" w:rsidRPr="0051541F" w:rsidRDefault="00B2473A" w:rsidP="00B2473A">
            <w:pPr>
              <w:rPr>
                <w:rFonts w:ascii="Arial" w:hAnsi="Arial" w:cs="Arial"/>
              </w:rPr>
            </w:pPr>
            <w:r w:rsidRPr="0051541F">
              <w:rPr>
                <w:rFonts w:ascii="Arial" w:hAnsi="Arial" w:cs="Arial"/>
              </w:rPr>
              <w:t xml:space="preserve">New Hanover Regional Medical Center </w:t>
            </w:r>
            <w:r w:rsidR="00A55788" w:rsidRPr="0051541F">
              <w:rPr>
                <w:rFonts w:ascii="Arial" w:hAnsi="Arial" w:cs="Arial"/>
              </w:rPr>
              <w:t xml:space="preserve">(NHRMC) </w:t>
            </w:r>
            <w:r w:rsidRPr="0051541F">
              <w:rPr>
                <w:rFonts w:ascii="Arial" w:hAnsi="Arial" w:cs="Arial"/>
              </w:rPr>
              <w:t xml:space="preserve">is a not-for-profit 800-bed teaching hospital, regional referral center, and UNC School of Medicine branch campus. NHRMC serves 7 counties in Southeastern North </w:t>
            </w:r>
            <w:r w:rsidRPr="0051541F">
              <w:rPr>
                <w:rFonts w:ascii="Arial" w:hAnsi="Arial" w:cs="Arial"/>
              </w:rPr>
              <w:lastRenderedPageBreak/>
              <w:t xml:space="preserve">Carolina and </w:t>
            </w:r>
            <w:proofErr w:type="gramStart"/>
            <w:r w:rsidRPr="0051541F">
              <w:rPr>
                <w:rFonts w:ascii="Arial" w:hAnsi="Arial" w:cs="Arial"/>
              </w:rPr>
              <w:t>is nationally accredited</w:t>
            </w:r>
            <w:proofErr w:type="gramEnd"/>
            <w:r w:rsidRPr="0051541F">
              <w:rPr>
                <w:rFonts w:ascii="Arial" w:hAnsi="Arial" w:cs="Arial"/>
              </w:rPr>
              <w:t xml:space="preserve"> by DNV GL – Healthcare. </w:t>
            </w:r>
          </w:p>
          <w:p w14:paraId="5F5EEC7F" w14:textId="21EFADA0" w:rsidR="005763F9" w:rsidRPr="0051541F" w:rsidRDefault="005763F9" w:rsidP="005763F9">
            <w:pPr>
              <w:rPr>
                <w:rFonts w:ascii="Arial" w:hAnsi="Arial" w:cs="Arial"/>
              </w:rPr>
            </w:pPr>
          </w:p>
        </w:tc>
        <w:tc>
          <w:tcPr>
            <w:tcW w:w="4050" w:type="dxa"/>
          </w:tcPr>
          <w:p w14:paraId="57A3AADD" w14:textId="0F0A85EF" w:rsidR="005763F9" w:rsidRPr="0051541F" w:rsidRDefault="00A55788" w:rsidP="00144F56">
            <w:pPr>
              <w:spacing w:line="256" w:lineRule="auto"/>
              <w:rPr>
                <w:rFonts w:ascii="Arial" w:hAnsi="Arial" w:cs="Arial"/>
              </w:rPr>
            </w:pPr>
            <w:proofErr w:type="gramStart"/>
            <w:r w:rsidRPr="0051541F">
              <w:rPr>
                <w:rFonts w:ascii="Arial" w:hAnsi="Arial" w:cs="Arial"/>
              </w:rPr>
              <w:lastRenderedPageBreak/>
              <w:t>Adults</w:t>
            </w:r>
            <w:proofErr w:type="gramEnd"/>
            <w:r w:rsidRPr="0051541F">
              <w:rPr>
                <w:rFonts w:ascii="Arial" w:hAnsi="Arial" w:cs="Arial"/>
              </w:rPr>
              <w:t xml:space="preserve"> ≥ 18 years of age who receive</w:t>
            </w:r>
            <w:r w:rsidR="00B2473A" w:rsidRPr="0051541F">
              <w:rPr>
                <w:rFonts w:ascii="Arial" w:hAnsi="Arial" w:cs="Arial"/>
              </w:rPr>
              <w:t xml:space="preserve"> health care at </w:t>
            </w:r>
            <w:r w:rsidRPr="0051541F">
              <w:rPr>
                <w:rFonts w:ascii="Arial" w:hAnsi="Arial" w:cs="Arial"/>
              </w:rPr>
              <w:t>NHRMC were included</w:t>
            </w:r>
            <w:r w:rsidR="00B2473A" w:rsidRPr="0051541F">
              <w:rPr>
                <w:rFonts w:ascii="Arial" w:hAnsi="Arial" w:cs="Arial"/>
              </w:rPr>
              <w:t>.</w:t>
            </w:r>
            <w:r w:rsidRPr="0051541F">
              <w:rPr>
                <w:rFonts w:ascii="Arial" w:hAnsi="Arial" w:cs="Arial"/>
              </w:rPr>
              <w:t xml:space="preserve"> </w:t>
            </w:r>
            <w:r w:rsidR="00B2473A" w:rsidRPr="0051541F">
              <w:rPr>
                <w:rFonts w:ascii="Arial" w:hAnsi="Arial" w:cs="Arial"/>
              </w:rPr>
              <w:t>Focus groups include</w:t>
            </w:r>
            <w:r w:rsidRPr="0051541F">
              <w:rPr>
                <w:rFonts w:ascii="Arial" w:hAnsi="Arial" w:cs="Arial"/>
              </w:rPr>
              <w:t>d</w:t>
            </w:r>
            <w:r w:rsidR="00B2473A" w:rsidRPr="0051541F">
              <w:rPr>
                <w:rFonts w:ascii="Arial" w:hAnsi="Arial" w:cs="Arial"/>
              </w:rPr>
              <w:t xml:space="preserve"> healthcare workers and patients diagnosed with cancer who received immune </w:t>
            </w:r>
            <w:r w:rsidR="00B2473A" w:rsidRPr="0051541F">
              <w:rPr>
                <w:rFonts w:ascii="Arial" w:hAnsi="Arial" w:cs="Arial"/>
              </w:rPr>
              <w:lastRenderedPageBreak/>
              <w:t>compromising cancer therapy during the pandemic.</w:t>
            </w:r>
          </w:p>
        </w:tc>
        <w:tc>
          <w:tcPr>
            <w:tcW w:w="4680" w:type="dxa"/>
          </w:tcPr>
          <w:p w14:paraId="0581FE18" w14:textId="081B93BA" w:rsidR="00B2473A" w:rsidRPr="0051541F" w:rsidRDefault="00A62E45" w:rsidP="00144F56">
            <w:pPr>
              <w:rPr>
                <w:rFonts w:ascii="Arial" w:hAnsi="Arial" w:cs="Arial"/>
              </w:rPr>
            </w:pPr>
            <w:r w:rsidRPr="0051541F">
              <w:rPr>
                <w:rFonts w:ascii="Arial" w:hAnsi="Arial" w:cs="Arial"/>
              </w:rPr>
              <w:lastRenderedPageBreak/>
              <w:t>A</w:t>
            </w:r>
            <w:r w:rsidR="00B2473A" w:rsidRPr="0051541F">
              <w:rPr>
                <w:rFonts w:ascii="Arial" w:hAnsi="Arial" w:cs="Arial"/>
              </w:rPr>
              <w:t xml:space="preserve"> </w:t>
            </w:r>
            <w:r w:rsidRPr="0051541F">
              <w:rPr>
                <w:rFonts w:ascii="Arial" w:hAnsi="Arial" w:cs="Arial"/>
              </w:rPr>
              <w:t xml:space="preserve">study </w:t>
            </w:r>
            <w:r w:rsidR="00B2473A" w:rsidRPr="0051541F">
              <w:rPr>
                <w:rFonts w:ascii="Arial" w:hAnsi="Arial" w:cs="Arial"/>
              </w:rPr>
              <w:t xml:space="preserve">webpage </w:t>
            </w:r>
            <w:r w:rsidRPr="0051541F">
              <w:rPr>
                <w:rFonts w:ascii="Arial" w:hAnsi="Arial" w:cs="Arial"/>
              </w:rPr>
              <w:t xml:space="preserve">was developed and made </w:t>
            </w:r>
            <w:r w:rsidR="00B2473A" w:rsidRPr="0051541F">
              <w:rPr>
                <w:rFonts w:ascii="Arial" w:hAnsi="Arial" w:cs="Arial"/>
              </w:rPr>
              <w:t xml:space="preserve">accessible to </w:t>
            </w:r>
            <w:r w:rsidRPr="0051541F">
              <w:rPr>
                <w:rFonts w:ascii="Arial" w:hAnsi="Arial" w:cs="Arial"/>
              </w:rPr>
              <w:t xml:space="preserve">members of </w:t>
            </w:r>
            <w:r w:rsidR="00B2473A" w:rsidRPr="0051541F">
              <w:rPr>
                <w:rFonts w:ascii="Arial" w:hAnsi="Arial" w:cs="Arial"/>
              </w:rPr>
              <w:t>the community.</w:t>
            </w:r>
            <w:r w:rsidR="009527B3" w:rsidRPr="0051541F">
              <w:rPr>
                <w:rFonts w:ascii="Arial" w:hAnsi="Arial" w:cs="Arial"/>
              </w:rPr>
              <w:t xml:space="preserve"> Information about the study </w:t>
            </w:r>
            <w:proofErr w:type="gramStart"/>
            <w:r w:rsidR="009527B3" w:rsidRPr="0051541F">
              <w:rPr>
                <w:rFonts w:ascii="Arial" w:hAnsi="Arial" w:cs="Arial"/>
              </w:rPr>
              <w:t>was p</w:t>
            </w:r>
            <w:r w:rsidR="00B2473A" w:rsidRPr="0051541F">
              <w:rPr>
                <w:rFonts w:ascii="Arial" w:hAnsi="Arial" w:cs="Arial"/>
              </w:rPr>
              <w:t>resented</w:t>
            </w:r>
            <w:proofErr w:type="gramEnd"/>
            <w:r w:rsidR="00B2473A" w:rsidRPr="0051541F">
              <w:rPr>
                <w:rFonts w:ascii="Arial" w:hAnsi="Arial" w:cs="Arial"/>
              </w:rPr>
              <w:t xml:space="preserve"> to organizational leaders during our monthly leadership meeting. </w:t>
            </w:r>
            <w:r w:rsidR="00631E8D" w:rsidRPr="0051541F">
              <w:rPr>
                <w:rFonts w:ascii="Arial" w:hAnsi="Arial" w:cs="Arial"/>
              </w:rPr>
              <w:t xml:space="preserve">Announcements were provided in multiple streams of </w:t>
            </w:r>
            <w:r w:rsidR="00631E8D" w:rsidRPr="0051541F">
              <w:rPr>
                <w:rFonts w:ascii="Arial" w:hAnsi="Arial" w:cs="Arial"/>
              </w:rPr>
              <w:lastRenderedPageBreak/>
              <w:t>communication: the internal employee communication website</w:t>
            </w:r>
            <w:r w:rsidR="00D0778D" w:rsidRPr="0051541F">
              <w:rPr>
                <w:rFonts w:ascii="Arial" w:hAnsi="Arial" w:cs="Arial"/>
              </w:rPr>
              <w:t xml:space="preserve">, </w:t>
            </w:r>
            <w:r w:rsidR="00631E8D" w:rsidRPr="0051541F">
              <w:rPr>
                <w:rFonts w:ascii="Arial" w:hAnsi="Arial" w:cs="Arial"/>
              </w:rPr>
              <w:t>the daily email to internal employees</w:t>
            </w:r>
            <w:r w:rsidR="00D0778D" w:rsidRPr="0051541F">
              <w:rPr>
                <w:rFonts w:ascii="Arial" w:hAnsi="Arial" w:cs="Arial"/>
              </w:rPr>
              <w:t>, and the ‘News &amp; Notes’ email to internal medical staff, A p</w:t>
            </w:r>
            <w:r w:rsidR="00B2473A" w:rsidRPr="0051541F">
              <w:rPr>
                <w:rFonts w:ascii="Arial" w:hAnsi="Arial" w:cs="Arial"/>
              </w:rPr>
              <w:t xml:space="preserve">ress release </w:t>
            </w:r>
            <w:r w:rsidR="00D0778D" w:rsidRPr="0051541F">
              <w:rPr>
                <w:rFonts w:ascii="Arial" w:hAnsi="Arial" w:cs="Arial"/>
              </w:rPr>
              <w:t xml:space="preserve">was delivered </w:t>
            </w:r>
            <w:r w:rsidR="00B2473A" w:rsidRPr="0051541F">
              <w:rPr>
                <w:rFonts w:ascii="Arial" w:hAnsi="Arial" w:cs="Arial"/>
              </w:rPr>
              <w:t xml:space="preserve">and interviews </w:t>
            </w:r>
            <w:r w:rsidR="00F72F0B" w:rsidRPr="0051541F">
              <w:rPr>
                <w:rFonts w:ascii="Arial" w:hAnsi="Arial" w:cs="Arial"/>
              </w:rPr>
              <w:t>given with local news reporters.</w:t>
            </w:r>
          </w:p>
          <w:p w14:paraId="3CDEBB40" w14:textId="77777777" w:rsidR="005763F9" w:rsidRPr="0051541F" w:rsidRDefault="005763F9" w:rsidP="005763F9">
            <w:pPr>
              <w:rPr>
                <w:rFonts w:ascii="Arial" w:hAnsi="Arial" w:cs="Arial"/>
              </w:rPr>
            </w:pPr>
          </w:p>
        </w:tc>
      </w:tr>
      <w:tr w:rsidR="005763F9" w14:paraId="299073E1" w14:textId="77777777" w:rsidTr="008B5D7C">
        <w:tc>
          <w:tcPr>
            <w:tcW w:w="715" w:type="dxa"/>
          </w:tcPr>
          <w:p w14:paraId="041E845D" w14:textId="77777777" w:rsidR="005763F9" w:rsidRPr="0051541F" w:rsidRDefault="005763F9" w:rsidP="005763F9">
            <w:pPr>
              <w:rPr>
                <w:rFonts w:ascii="Arial" w:hAnsi="Arial" w:cs="Arial"/>
              </w:rPr>
            </w:pPr>
            <w:r w:rsidRPr="0051541F">
              <w:rPr>
                <w:rFonts w:ascii="Arial" w:hAnsi="Arial" w:cs="Arial"/>
              </w:rPr>
              <w:lastRenderedPageBreak/>
              <w:t xml:space="preserve">8. </w:t>
            </w:r>
          </w:p>
        </w:tc>
        <w:tc>
          <w:tcPr>
            <w:tcW w:w="1350" w:type="dxa"/>
          </w:tcPr>
          <w:p w14:paraId="21C89145" w14:textId="77777777" w:rsidR="005763F9" w:rsidRPr="0051541F" w:rsidRDefault="005763F9" w:rsidP="005763F9">
            <w:pPr>
              <w:rPr>
                <w:rFonts w:ascii="Arial" w:hAnsi="Arial" w:cs="Arial"/>
              </w:rPr>
            </w:pPr>
            <w:bookmarkStart w:id="7" w:name="_Toc58400331"/>
            <w:r w:rsidRPr="0051541F">
              <w:rPr>
                <w:rFonts w:ascii="Arial" w:hAnsi="Arial" w:cs="Arial"/>
              </w:rPr>
              <w:t>Vidant Health</w:t>
            </w:r>
            <w:bookmarkEnd w:id="7"/>
          </w:p>
        </w:tc>
        <w:tc>
          <w:tcPr>
            <w:tcW w:w="4050" w:type="dxa"/>
          </w:tcPr>
          <w:p w14:paraId="2679C15C" w14:textId="02E499F0" w:rsidR="005763F9" w:rsidRPr="0051541F" w:rsidRDefault="004B4DEF" w:rsidP="004B4DEF">
            <w:pPr>
              <w:jc w:val="both"/>
              <w:rPr>
                <w:rFonts w:ascii="Arial" w:hAnsi="Arial" w:cs="Arial"/>
              </w:rPr>
            </w:pPr>
            <w:r w:rsidRPr="0051541F">
              <w:rPr>
                <w:rFonts w:ascii="Arial" w:hAnsi="Arial" w:cs="Arial"/>
                <w:shd w:val="clear" w:color="auto" w:fill="FFFFFF"/>
              </w:rPr>
              <w:t>Vidant Health is a</w:t>
            </w:r>
            <w:r w:rsidR="005763F9" w:rsidRPr="0051541F">
              <w:rPr>
                <w:rFonts w:ascii="Arial" w:hAnsi="Arial" w:cs="Arial"/>
                <w:shd w:val="clear" w:color="auto" w:fill="FFFFFF"/>
              </w:rPr>
              <w:t xml:space="preserve"> mission-driven, 1,447-bed </w:t>
            </w:r>
            <w:r w:rsidR="005763F9" w:rsidRPr="0051541F">
              <w:rPr>
                <w:rStyle w:val="Strong"/>
                <w:rFonts w:ascii="Arial" w:hAnsi="Arial" w:cs="Arial"/>
                <w:b w:val="0"/>
              </w:rPr>
              <w:t>health</w:t>
            </w:r>
            <w:r w:rsidR="005763F9" w:rsidRPr="0051541F">
              <w:rPr>
                <w:rFonts w:ascii="Arial" w:hAnsi="Arial" w:cs="Arial"/>
                <w:shd w:val="clear" w:color="auto" w:fill="FFFFFF"/>
              </w:rPr>
              <w:t xml:space="preserve"> system serving more than 1.4 million people in 29 eastern North Carolina counties. The not-for-profit system </w:t>
            </w:r>
            <w:proofErr w:type="gramStart"/>
            <w:r w:rsidR="005763F9" w:rsidRPr="0051541F">
              <w:rPr>
                <w:rFonts w:ascii="Arial" w:hAnsi="Arial" w:cs="Arial"/>
                <w:shd w:val="clear" w:color="auto" w:fill="FFFFFF"/>
              </w:rPr>
              <w:t>is made up</w:t>
            </w:r>
            <w:proofErr w:type="gramEnd"/>
            <w:r w:rsidR="005763F9" w:rsidRPr="0051541F">
              <w:rPr>
                <w:rFonts w:ascii="Arial" w:hAnsi="Arial" w:cs="Arial"/>
                <w:shd w:val="clear" w:color="auto" w:fill="FFFFFF"/>
              </w:rPr>
              <w:t xml:space="preserve"> of 12,000 employees, eight hospitals, home </w:t>
            </w:r>
            <w:r w:rsidR="005763F9" w:rsidRPr="0051541F">
              <w:rPr>
                <w:rStyle w:val="Strong"/>
                <w:rFonts w:ascii="Arial" w:hAnsi="Arial" w:cs="Arial"/>
                <w:b w:val="0"/>
              </w:rPr>
              <w:t>health, hospital, wellness centers and Vidant Medical Group.</w:t>
            </w:r>
          </w:p>
        </w:tc>
        <w:tc>
          <w:tcPr>
            <w:tcW w:w="4050" w:type="dxa"/>
          </w:tcPr>
          <w:p w14:paraId="27FBB03A" w14:textId="16F23241" w:rsidR="005763F9" w:rsidRPr="0051541F" w:rsidRDefault="004B4DEF" w:rsidP="004B4DEF">
            <w:pPr>
              <w:rPr>
                <w:rFonts w:ascii="Arial" w:hAnsi="Arial" w:cs="Arial"/>
              </w:rPr>
            </w:pPr>
            <w:r w:rsidRPr="0051541F">
              <w:rPr>
                <w:rFonts w:ascii="Arial" w:hAnsi="Arial" w:cs="Arial"/>
              </w:rPr>
              <w:t xml:space="preserve">Adult patients </w:t>
            </w:r>
            <w:r w:rsidR="005763F9" w:rsidRPr="0051541F">
              <w:rPr>
                <w:rFonts w:ascii="Arial" w:hAnsi="Arial" w:cs="Arial"/>
              </w:rPr>
              <w:t>18 years and older</w:t>
            </w:r>
            <w:r w:rsidRPr="0051541F">
              <w:rPr>
                <w:rFonts w:ascii="Arial" w:hAnsi="Arial" w:cs="Arial"/>
              </w:rPr>
              <w:t xml:space="preserve"> were included</w:t>
            </w:r>
            <w:r w:rsidR="005763F9" w:rsidRPr="0051541F">
              <w:rPr>
                <w:rFonts w:ascii="Arial" w:hAnsi="Arial" w:cs="Arial"/>
              </w:rPr>
              <w:t xml:space="preserve">. </w:t>
            </w:r>
            <w:r w:rsidRPr="0051541F">
              <w:rPr>
                <w:rFonts w:ascii="Arial" w:hAnsi="Arial" w:cs="Arial"/>
              </w:rPr>
              <w:t xml:space="preserve">We </w:t>
            </w:r>
            <w:r w:rsidR="005763F9" w:rsidRPr="0051541F">
              <w:rPr>
                <w:rFonts w:ascii="Arial" w:hAnsi="Arial" w:cs="Arial"/>
              </w:rPr>
              <w:t>focus</w:t>
            </w:r>
            <w:r w:rsidRPr="0051541F">
              <w:rPr>
                <w:rFonts w:ascii="Arial" w:hAnsi="Arial" w:cs="Arial"/>
              </w:rPr>
              <w:t>ed primarily</w:t>
            </w:r>
            <w:r w:rsidR="005763F9" w:rsidRPr="0051541F">
              <w:rPr>
                <w:rFonts w:ascii="Arial" w:hAnsi="Arial" w:cs="Arial"/>
              </w:rPr>
              <w:t xml:space="preserve"> on those who had been patients of the </w:t>
            </w:r>
            <w:r w:rsidRPr="0051541F">
              <w:rPr>
                <w:rFonts w:ascii="Arial" w:hAnsi="Arial" w:cs="Arial"/>
              </w:rPr>
              <w:t xml:space="preserve">Vidant Health </w:t>
            </w:r>
            <w:r w:rsidR="005763F9" w:rsidRPr="0051541F">
              <w:rPr>
                <w:rFonts w:ascii="Arial" w:hAnsi="Arial" w:cs="Arial"/>
              </w:rPr>
              <w:t xml:space="preserve">system, but </w:t>
            </w:r>
            <w:r w:rsidRPr="0051541F">
              <w:rPr>
                <w:rFonts w:ascii="Arial" w:hAnsi="Arial" w:cs="Arial"/>
              </w:rPr>
              <w:t xml:space="preserve">were </w:t>
            </w:r>
            <w:r w:rsidR="005763F9" w:rsidRPr="0051541F">
              <w:rPr>
                <w:rFonts w:ascii="Arial" w:hAnsi="Arial" w:cs="Arial"/>
              </w:rPr>
              <w:t>willing to sign up anyone who wanted to participate.</w:t>
            </w:r>
          </w:p>
        </w:tc>
        <w:tc>
          <w:tcPr>
            <w:tcW w:w="4680" w:type="dxa"/>
          </w:tcPr>
          <w:p w14:paraId="7DA477AF" w14:textId="46F12362" w:rsidR="005763F9" w:rsidRPr="0051541F" w:rsidRDefault="004B4DEF" w:rsidP="004B4DEF">
            <w:pPr>
              <w:rPr>
                <w:rFonts w:ascii="Arial" w:hAnsi="Arial" w:cs="Arial"/>
              </w:rPr>
            </w:pPr>
            <w:r w:rsidRPr="0051541F">
              <w:rPr>
                <w:rFonts w:ascii="Arial" w:hAnsi="Arial" w:cs="Arial"/>
              </w:rPr>
              <w:t xml:space="preserve">Multiple methods of communication </w:t>
            </w:r>
            <w:proofErr w:type="gramStart"/>
            <w:r w:rsidRPr="0051541F">
              <w:rPr>
                <w:rFonts w:ascii="Arial" w:hAnsi="Arial" w:cs="Arial"/>
              </w:rPr>
              <w:t>were employed</w:t>
            </w:r>
            <w:proofErr w:type="gramEnd"/>
            <w:r w:rsidRPr="0051541F">
              <w:rPr>
                <w:rFonts w:ascii="Arial" w:hAnsi="Arial" w:cs="Arial"/>
              </w:rPr>
              <w:t xml:space="preserve">, including </w:t>
            </w:r>
            <w:r w:rsidR="005763F9" w:rsidRPr="0051541F">
              <w:rPr>
                <w:rFonts w:ascii="Arial" w:hAnsi="Arial" w:cs="Arial"/>
              </w:rPr>
              <w:t>email</w:t>
            </w:r>
            <w:r w:rsidRPr="0051541F">
              <w:rPr>
                <w:rFonts w:ascii="Arial" w:hAnsi="Arial" w:cs="Arial"/>
              </w:rPr>
              <w:t xml:space="preserve">, </w:t>
            </w:r>
            <w:r w:rsidR="005763F9" w:rsidRPr="0051541F">
              <w:rPr>
                <w:rFonts w:ascii="Arial" w:hAnsi="Arial" w:cs="Arial"/>
              </w:rPr>
              <w:t xml:space="preserve">EHR messaging, digital ads on </w:t>
            </w:r>
            <w:r w:rsidRPr="0051541F">
              <w:rPr>
                <w:rFonts w:ascii="Arial" w:hAnsi="Arial" w:cs="Arial"/>
              </w:rPr>
              <w:t xml:space="preserve">the Vidant Health </w:t>
            </w:r>
            <w:r w:rsidR="005763F9" w:rsidRPr="0051541F">
              <w:rPr>
                <w:rFonts w:ascii="Arial" w:hAnsi="Arial" w:cs="Arial"/>
              </w:rPr>
              <w:t>webpage, and community events (including local churches). We also hired 20 community health advocates to contact locations (stores, voting stations, hospital lobby) and set up booths to attract new participants.</w:t>
            </w:r>
          </w:p>
        </w:tc>
      </w:tr>
      <w:tr w:rsidR="005763F9" w14:paraId="2757C30A" w14:textId="77777777" w:rsidTr="008B5D7C">
        <w:tc>
          <w:tcPr>
            <w:tcW w:w="715" w:type="dxa"/>
          </w:tcPr>
          <w:p w14:paraId="25BA4998" w14:textId="77777777" w:rsidR="005763F9" w:rsidRPr="0051541F" w:rsidRDefault="005763F9" w:rsidP="005763F9">
            <w:pPr>
              <w:rPr>
                <w:rFonts w:ascii="Arial" w:hAnsi="Arial" w:cs="Arial"/>
              </w:rPr>
            </w:pPr>
            <w:r w:rsidRPr="0051541F">
              <w:rPr>
                <w:rFonts w:ascii="Arial" w:hAnsi="Arial" w:cs="Arial"/>
              </w:rPr>
              <w:t>9.</w:t>
            </w:r>
          </w:p>
        </w:tc>
        <w:tc>
          <w:tcPr>
            <w:tcW w:w="1350" w:type="dxa"/>
          </w:tcPr>
          <w:p w14:paraId="76A6114D" w14:textId="77777777" w:rsidR="005763F9" w:rsidRPr="0051541F" w:rsidRDefault="005763F9" w:rsidP="005763F9">
            <w:pPr>
              <w:rPr>
                <w:rFonts w:ascii="Arial" w:hAnsi="Arial" w:cs="Arial"/>
              </w:rPr>
            </w:pPr>
            <w:bookmarkStart w:id="8" w:name="_Toc58400332"/>
            <w:r w:rsidRPr="0051541F">
              <w:rPr>
                <w:rFonts w:ascii="Arial" w:hAnsi="Arial" w:cs="Arial"/>
                <w:bCs/>
                <w:shd w:val="clear" w:color="auto" w:fill="FFFFFF"/>
              </w:rPr>
              <w:t>WakeMed Health &amp; Hospitals</w:t>
            </w:r>
            <w:bookmarkEnd w:id="8"/>
          </w:p>
        </w:tc>
        <w:tc>
          <w:tcPr>
            <w:tcW w:w="4050" w:type="dxa"/>
          </w:tcPr>
          <w:p w14:paraId="5BF2A2F1" w14:textId="0B23FFF3" w:rsidR="005763F9" w:rsidRPr="0051541F" w:rsidRDefault="008E02E1" w:rsidP="008E02E1">
            <w:pPr>
              <w:rPr>
                <w:rFonts w:ascii="Arial" w:hAnsi="Arial" w:cs="Arial"/>
              </w:rPr>
            </w:pPr>
            <w:r w:rsidRPr="0051541F">
              <w:rPr>
                <w:rFonts w:ascii="Arial" w:hAnsi="Arial" w:cs="Arial"/>
                <w:shd w:val="clear" w:color="auto" w:fill="FFFFFF"/>
              </w:rPr>
              <w:t>WakeMed is a</w:t>
            </w:r>
            <w:r w:rsidR="005763F9" w:rsidRPr="0051541F">
              <w:rPr>
                <w:rFonts w:ascii="Arial" w:hAnsi="Arial" w:cs="Arial"/>
                <w:shd w:val="clear" w:color="auto" w:fill="FFFFFF"/>
              </w:rPr>
              <w:t xml:space="preserve"> 941-bed private, not-for-profit health care system based in Raleigh, North Carolina. </w:t>
            </w:r>
          </w:p>
        </w:tc>
        <w:tc>
          <w:tcPr>
            <w:tcW w:w="4050" w:type="dxa"/>
          </w:tcPr>
          <w:p w14:paraId="0504FDFF" w14:textId="60D767F3" w:rsidR="005763F9" w:rsidRPr="0051541F" w:rsidRDefault="008E02E1" w:rsidP="00144F56">
            <w:pPr>
              <w:rPr>
                <w:rFonts w:ascii="Arial" w:hAnsi="Arial" w:cs="Arial"/>
              </w:rPr>
            </w:pPr>
            <w:r w:rsidRPr="0051541F">
              <w:rPr>
                <w:rFonts w:ascii="Arial" w:hAnsi="Arial" w:cs="Arial"/>
              </w:rPr>
              <w:t>English-speaking a</w:t>
            </w:r>
            <w:r w:rsidR="005763F9" w:rsidRPr="0051541F">
              <w:rPr>
                <w:rFonts w:ascii="Arial" w:hAnsi="Arial" w:cs="Arial"/>
              </w:rPr>
              <w:t>dults</w:t>
            </w:r>
            <w:r w:rsidRPr="0051541F">
              <w:rPr>
                <w:rFonts w:ascii="Arial" w:hAnsi="Arial" w:cs="Arial"/>
              </w:rPr>
              <w:t xml:space="preserve"> age </w:t>
            </w:r>
            <w:r w:rsidR="005763F9" w:rsidRPr="0051541F">
              <w:rPr>
                <w:rFonts w:ascii="Arial" w:hAnsi="Arial" w:cs="Arial"/>
              </w:rPr>
              <w:t>18 years and older</w:t>
            </w:r>
            <w:r w:rsidRPr="0051541F">
              <w:rPr>
                <w:rFonts w:ascii="Arial" w:hAnsi="Arial" w:cs="Arial"/>
              </w:rPr>
              <w:t xml:space="preserve"> were included. </w:t>
            </w:r>
            <w:r w:rsidR="005763F9" w:rsidRPr="0051541F">
              <w:rPr>
                <w:rFonts w:ascii="Arial" w:hAnsi="Arial" w:cs="Arial"/>
              </w:rPr>
              <w:t>English-speaking</w:t>
            </w:r>
            <w:r w:rsidRPr="0051541F">
              <w:rPr>
                <w:rFonts w:ascii="Arial" w:hAnsi="Arial" w:cs="Arial"/>
              </w:rPr>
              <w:t xml:space="preserve"> children age </w:t>
            </w:r>
            <w:r w:rsidR="005763F9" w:rsidRPr="0051541F">
              <w:rPr>
                <w:rFonts w:ascii="Arial" w:hAnsi="Arial" w:cs="Arial"/>
              </w:rPr>
              <w:t>2-17</w:t>
            </w:r>
            <w:r w:rsidRPr="0051541F">
              <w:rPr>
                <w:rFonts w:ascii="Arial" w:hAnsi="Arial" w:cs="Arial"/>
              </w:rPr>
              <w:t xml:space="preserve"> were also included. Participants were not required to be a patient of WakeMed.</w:t>
            </w:r>
          </w:p>
          <w:p w14:paraId="2B90D044" w14:textId="77777777" w:rsidR="005763F9" w:rsidRPr="0051541F" w:rsidRDefault="005763F9" w:rsidP="005763F9">
            <w:pPr>
              <w:rPr>
                <w:rFonts w:ascii="Arial" w:hAnsi="Arial" w:cs="Arial"/>
              </w:rPr>
            </w:pPr>
          </w:p>
          <w:p w14:paraId="6D92961E" w14:textId="77777777" w:rsidR="005763F9" w:rsidRPr="0051541F" w:rsidRDefault="005763F9" w:rsidP="005763F9">
            <w:pPr>
              <w:rPr>
                <w:rFonts w:ascii="Arial" w:hAnsi="Arial" w:cs="Arial"/>
              </w:rPr>
            </w:pPr>
          </w:p>
        </w:tc>
        <w:tc>
          <w:tcPr>
            <w:tcW w:w="4680" w:type="dxa"/>
          </w:tcPr>
          <w:p w14:paraId="18F12841" w14:textId="23913210" w:rsidR="005763F9" w:rsidRPr="0051541F" w:rsidRDefault="005763F9" w:rsidP="00144F56">
            <w:pPr>
              <w:rPr>
                <w:rFonts w:ascii="Arial" w:hAnsi="Arial" w:cs="Arial"/>
              </w:rPr>
            </w:pPr>
            <w:r w:rsidRPr="0051541F">
              <w:rPr>
                <w:rFonts w:ascii="Arial" w:hAnsi="Arial" w:cs="Arial"/>
              </w:rPr>
              <w:t>Adults:</w:t>
            </w:r>
            <w:r w:rsidR="00784D25" w:rsidRPr="0051541F">
              <w:rPr>
                <w:rFonts w:ascii="Arial" w:hAnsi="Arial" w:cs="Arial"/>
              </w:rPr>
              <w:t xml:space="preserve">  </w:t>
            </w:r>
            <w:r w:rsidR="00132F83" w:rsidRPr="0051541F">
              <w:rPr>
                <w:rFonts w:ascii="Arial" w:hAnsi="Arial" w:cs="Arial"/>
              </w:rPr>
              <w:t>A r</w:t>
            </w:r>
            <w:r w:rsidRPr="0051541F">
              <w:rPr>
                <w:rFonts w:ascii="Arial" w:hAnsi="Arial" w:cs="Arial"/>
              </w:rPr>
              <w:t xml:space="preserve">ecruitment message from </w:t>
            </w:r>
            <w:r w:rsidR="00132F83" w:rsidRPr="0051541F">
              <w:rPr>
                <w:rFonts w:ascii="Arial" w:hAnsi="Arial" w:cs="Arial"/>
              </w:rPr>
              <w:t xml:space="preserve">the chief medical officer (CMO) </w:t>
            </w:r>
            <w:proofErr w:type="gramStart"/>
            <w:r w:rsidR="00132F83" w:rsidRPr="0051541F">
              <w:rPr>
                <w:rFonts w:ascii="Arial" w:hAnsi="Arial" w:cs="Arial"/>
              </w:rPr>
              <w:t>was sent</w:t>
            </w:r>
            <w:proofErr w:type="gramEnd"/>
            <w:r w:rsidRPr="0051541F">
              <w:rPr>
                <w:rFonts w:ascii="Arial" w:hAnsi="Arial" w:cs="Arial"/>
              </w:rPr>
              <w:t xml:space="preserve"> to all English-speaking WakeMed patients with an active </w:t>
            </w:r>
            <w:proofErr w:type="spellStart"/>
            <w:r w:rsidRPr="0051541F">
              <w:rPr>
                <w:rFonts w:ascii="Arial" w:hAnsi="Arial" w:cs="Arial"/>
              </w:rPr>
              <w:t>MyChart</w:t>
            </w:r>
            <w:proofErr w:type="spellEnd"/>
            <w:r w:rsidRPr="0051541F">
              <w:rPr>
                <w:rFonts w:ascii="Arial" w:hAnsi="Arial" w:cs="Arial"/>
              </w:rPr>
              <w:t xml:space="preserve"> account</w:t>
            </w:r>
            <w:r w:rsidR="00132F83" w:rsidRPr="0051541F">
              <w:rPr>
                <w:rFonts w:ascii="Arial" w:hAnsi="Arial" w:cs="Arial"/>
              </w:rPr>
              <w:t>. Similarly, a r</w:t>
            </w:r>
            <w:r w:rsidRPr="0051541F">
              <w:rPr>
                <w:rFonts w:ascii="Arial" w:hAnsi="Arial" w:cs="Arial"/>
              </w:rPr>
              <w:t xml:space="preserve">ecruitment email from </w:t>
            </w:r>
            <w:r w:rsidR="00132F83" w:rsidRPr="0051541F">
              <w:rPr>
                <w:rFonts w:ascii="Arial" w:hAnsi="Arial" w:cs="Arial"/>
              </w:rPr>
              <w:t xml:space="preserve">the </w:t>
            </w:r>
            <w:r w:rsidRPr="0051541F">
              <w:rPr>
                <w:rFonts w:ascii="Arial" w:hAnsi="Arial" w:cs="Arial"/>
              </w:rPr>
              <w:t xml:space="preserve">CMO </w:t>
            </w:r>
            <w:proofErr w:type="gramStart"/>
            <w:r w:rsidR="00132F83" w:rsidRPr="0051541F">
              <w:rPr>
                <w:rFonts w:ascii="Arial" w:hAnsi="Arial" w:cs="Arial"/>
              </w:rPr>
              <w:t>was sent</w:t>
            </w:r>
            <w:proofErr w:type="gramEnd"/>
            <w:r w:rsidR="00132F83" w:rsidRPr="0051541F">
              <w:rPr>
                <w:rFonts w:ascii="Arial" w:hAnsi="Arial" w:cs="Arial"/>
              </w:rPr>
              <w:t xml:space="preserve"> </w:t>
            </w:r>
            <w:r w:rsidRPr="0051541F">
              <w:rPr>
                <w:rFonts w:ascii="Arial" w:hAnsi="Arial" w:cs="Arial"/>
              </w:rPr>
              <w:t>to all WakeMed staff and providers</w:t>
            </w:r>
            <w:r w:rsidR="00132F83" w:rsidRPr="0051541F">
              <w:rPr>
                <w:rFonts w:ascii="Arial" w:hAnsi="Arial" w:cs="Arial"/>
              </w:rPr>
              <w:t>. A s</w:t>
            </w:r>
            <w:r w:rsidRPr="0051541F">
              <w:rPr>
                <w:rFonts w:ascii="Arial" w:hAnsi="Arial" w:cs="Arial"/>
              </w:rPr>
              <w:t xml:space="preserve">eries of advertisements </w:t>
            </w:r>
            <w:r w:rsidR="00132F83" w:rsidRPr="0051541F">
              <w:rPr>
                <w:rFonts w:ascii="Arial" w:hAnsi="Arial" w:cs="Arial"/>
              </w:rPr>
              <w:t xml:space="preserve">appeared </w:t>
            </w:r>
            <w:r w:rsidRPr="0051541F">
              <w:rPr>
                <w:rFonts w:ascii="Arial" w:hAnsi="Arial" w:cs="Arial"/>
              </w:rPr>
              <w:t>in WakeMed Weekly</w:t>
            </w:r>
            <w:r w:rsidR="00132F83" w:rsidRPr="0051541F">
              <w:rPr>
                <w:rFonts w:ascii="Arial" w:hAnsi="Arial" w:cs="Arial"/>
              </w:rPr>
              <w:t xml:space="preserve">, a </w:t>
            </w:r>
            <w:r w:rsidRPr="0051541F">
              <w:rPr>
                <w:rFonts w:ascii="Arial" w:hAnsi="Arial" w:cs="Arial"/>
              </w:rPr>
              <w:t>weekly email newsletter to all staff and providers</w:t>
            </w:r>
            <w:r w:rsidR="00132F83" w:rsidRPr="0051541F">
              <w:rPr>
                <w:rFonts w:ascii="Arial" w:hAnsi="Arial" w:cs="Arial"/>
              </w:rPr>
              <w:t xml:space="preserve">. The study </w:t>
            </w:r>
            <w:proofErr w:type="gramStart"/>
            <w:r w:rsidR="00132F83" w:rsidRPr="0051541F">
              <w:rPr>
                <w:rFonts w:ascii="Arial" w:hAnsi="Arial" w:cs="Arial"/>
              </w:rPr>
              <w:t>was a</w:t>
            </w:r>
            <w:r w:rsidRPr="0051541F">
              <w:rPr>
                <w:rFonts w:ascii="Arial" w:hAnsi="Arial" w:cs="Arial"/>
              </w:rPr>
              <w:t>dvertise</w:t>
            </w:r>
            <w:r w:rsidR="00132F83" w:rsidRPr="0051541F">
              <w:rPr>
                <w:rFonts w:ascii="Arial" w:hAnsi="Arial" w:cs="Arial"/>
              </w:rPr>
              <w:t>d</w:t>
            </w:r>
            <w:proofErr w:type="gramEnd"/>
            <w:r w:rsidRPr="0051541F">
              <w:rPr>
                <w:rFonts w:ascii="Arial" w:hAnsi="Arial" w:cs="Arial"/>
              </w:rPr>
              <w:t xml:space="preserve"> in Microscope</w:t>
            </w:r>
            <w:r w:rsidR="00132F83" w:rsidRPr="0051541F">
              <w:rPr>
                <w:rFonts w:ascii="Arial" w:hAnsi="Arial" w:cs="Arial"/>
              </w:rPr>
              <w:t xml:space="preserve">, a </w:t>
            </w:r>
            <w:r w:rsidRPr="0051541F">
              <w:rPr>
                <w:rFonts w:ascii="Arial" w:hAnsi="Arial" w:cs="Arial"/>
              </w:rPr>
              <w:t>monthly printed employee newsletter</w:t>
            </w:r>
            <w:r w:rsidR="00132F83" w:rsidRPr="0051541F">
              <w:rPr>
                <w:rFonts w:ascii="Arial" w:hAnsi="Arial" w:cs="Arial"/>
              </w:rPr>
              <w:t>. S</w:t>
            </w:r>
            <w:r w:rsidRPr="0051541F">
              <w:rPr>
                <w:rFonts w:ascii="Arial" w:hAnsi="Arial" w:cs="Arial"/>
              </w:rPr>
              <w:t xml:space="preserve">ocial media </w:t>
            </w:r>
            <w:r w:rsidR="00132F83" w:rsidRPr="0051541F">
              <w:rPr>
                <w:rFonts w:ascii="Arial" w:hAnsi="Arial" w:cs="Arial"/>
              </w:rPr>
              <w:t xml:space="preserve">platforms (Instagram, Facebook) </w:t>
            </w:r>
            <w:proofErr w:type="gramStart"/>
            <w:r w:rsidR="00132F83" w:rsidRPr="0051541F">
              <w:rPr>
                <w:rFonts w:ascii="Arial" w:hAnsi="Arial" w:cs="Arial"/>
              </w:rPr>
              <w:t>were used</w:t>
            </w:r>
            <w:proofErr w:type="gramEnd"/>
            <w:r w:rsidR="00132F83" w:rsidRPr="0051541F">
              <w:rPr>
                <w:rFonts w:ascii="Arial" w:hAnsi="Arial" w:cs="Arial"/>
              </w:rPr>
              <w:t xml:space="preserve"> to post information about the study. </w:t>
            </w:r>
            <w:r w:rsidR="00753EA9" w:rsidRPr="0051541F">
              <w:rPr>
                <w:rFonts w:ascii="Arial" w:hAnsi="Arial" w:cs="Arial"/>
              </w:rPr>
              <w:t>A f</w:t>
            </w:r>
            <w:r w:rsidRPr="0051541F">
              <w:rPr>
                <w:rFonts w:ascii="Arial" w:hAnsi="Arial" w:cs="Arial"/>
              </w:rPr>
              <w:t xml:space="preserve">ixed advertisement </w:t>
            </w:r>
            <w:r w:rsidR="00753EA9" w:rsidRPr="0051541F">
              <w:rPr>
                <w:rFonts w:ascii="Arial" w:hAnsi="Arial" w:cs="Arial"/>
              </w:rPr>
              <w:t xml:space="preserve">appeared </w:t>
            </w:r>
            <w:r w:rsidRPr="0051541F">
              <w:rPr>
                <w:rFonts w:ascii="Arial" w:hAnsi="Arial" w:cs="Arial"/>
              </w:rPr>
              <w:t xml:space="preserve">on </w:t>
            </w:r>
            <w:r w:rsidR="00753EA9" w:rsidRPr="0051541F">
              <w:rPr>
                <w:rFonts w:ascii="Arial" w:hAnsi="Arial" w:cs="Arial"/>
              </w:rPr>
              <w:t xml:space="preserve">the </w:t>
            </w:r>
            <w:r w:rsidRPr="0051541F">
              <w:rPr>
                <w:rFonts w:ascii="Arial" w:hAnsi="Arial" w:cs="Arial"/>
              </w:rPr>
              <w:t>WakeMed intranet homepage</w:t>
            </w:r>
            <w:r w:rsidR="00753EA9" w:rsidRPr="0051541F">
              <w:rPr>
                <w:rFonts w:ascii="Arial" w:hAnsi="Arial" w:cs="Arial"/>
              </w:rPr>
              <w:t>.</w:t>
            </w:r>
          </w:p>
          <w:p w14:paraId="76A207EC" w14:textId="77777777" w:rsidR="005763F9" w:rsidRPr="0051541F" w:rsidRDefault="005763F9" w:rsidP="005763F9">
            <w:pPr>
              <w:rPr>
                <w:rFonts w:ascii="Arial" w:hAnsi="Arial" w:cs="Arial"/>
              </w:rPr>
            </w:pPr>
          </w:p>
          <w:p w14:paraId="4B06AA13" w14:textId="4FE26991" w:rsidR="005763F9" w:rsidRPr="0051541F" w:rsidRDefault="005763F9" w:rsidP="00144F56">
            <w:pPr>
              <w:rPr>
                <w:rFonts w:ascii="Arial" w:hAnsi="Arial" w:cs="Arial"/>
              </w:rPr>
            </w:pPr>
            <w:r w:rsidRPr="0051541F">
              <w:rPr>
                <w:rFonts w:ascii="Arial" w:hAnsi="Arial" w:cs="Arial"/>
              </w:rPr>
              <w:t>Children:</w:t>
            </w:r>
            <w:r w:rsidR="00784D25" w:rsidRPr="0051541F">
              <w:rPr>
                <w:rFonts w:ascii="Arial" w:hAnsi="Arial" w:cs="Arial"/>
              </w:rPr>
              <w:t xml:space="preserve">  </w:t>
            </w:r>
            <w:r w:rsidR="000D0B87" w:rsidRPr="0051541F">
              <w:rPr>
                <w:rFonts w:ascii="Arial" w:hAnsi="Arial" w:cs="Arial"/>
              </w:rPr>
              <w:t xml:space="preserve">An </w:t>
            </w:r>
            <w:r w:rsidRPr="0051541F">
              <w:rPr>
                <w:rFonts w:ascii="Arial" w:hAnsi="Arial" w:cs="Arial"/>
              </w:rPr>
              <w:t xml:space="preserve">email </w:t>
            </w:r>
            <w:proofErr w:type="gramStart"/>
            <w:r w:rsidR="000D0B87" w:rsidRPr="0051541F">
              <w:rPr>
                <w:rFonts w:ascii="Arial" w:hAnsi="Arial" w:cs="Arial"/>
              </w:rPr>
              <w:t>was sent</w:t>
            </w:r>
            <w:proofErr w:type="gramEnd"/>
            <w:r w:rsidR="000D0B87" w:rsidRPr="0051541F">
              <w:rPr>
                <w:rFonts w:ascii="Arial" w:hAnsi="Arial" w:cs="Arial"/>
              </w:rPr>
              <w:t xml:space="preserve"> </w:t>
            </w:r>
            <w:r w:rsidRPr="0051541F">
              <w:rPr>
                <w:rFonts w:ascii="Arial" w:hAnsi="Arial" w:cs="Arial"/>
              </w:rPr>
              <w:t>to all enrolled adults</w:t>
            </w:r>
            <w:r w:rsidR="000D0B87" w:rsidRPr="0051541F">
              <w:rPr>
                <w:rFonts w:ascii="Arial" w:hAnsi="Arial" w:cs="Arial"/>
              </w:rPr>
              <w:t xml:space="preserve"> to recruit children in their households. A s</w:t>
            </w:r>
            <w:r w:rsidRPr="0051541F">
              <w:rPr>
                <w:rFonts w:ascii="Arial" w:hAnsi="Arial" w:cs="Arial"/>
              </w:rPr>
              <w:t xml:space="preserve">eries of social media </w:t>
            </w:r>
            <w:r w:rsidR="000D0B87" w:rsidRPr="0051541F">
              <w:rPr>
                <w:rFonts w:ascii="Arial" w:hAnsi="Arial" w:cs="Arial"/>
              </w:rPr>
              <w:t xml:space="preserve">(Instagram, Facebook) </w:t>
            </w:r>
            <w:r w:rsidRPr="0051541F">
              <w:rPr>
                <w:rFonts w:ascii="Arial" w:hAnsi="Arial" w:cs="Arial"/>
              </w:rPr>
              <w:t xml:space="preserve">advertisements </w:t>
            </w:r>
            <w:proofErr w:type="gramStart"/>
            <w:r w:rsidR="000D0B87" w:rsidRPr="0051541F">
              <w:rPr>
                <w:rFonts w:ascii="Arial" w:hAnsi="Arial" w:cs="Arial"/>
              </w:rPr>
              <w:t>were posted</w:t>
            </w:r>
            <w:proofErr w:type="gramEnd"/>
            <w:r w:rsidR="000D0B87" w:rsidRPr="0051541F">
              <w:rPr>
                <w:rFonts w:ascii="Arial" w:hAnsi="Arial" w:cs="Arial"/>
              </w:rPr>
              <w:t xml:space="preserve">. </w:t>
            </w:r>
            <w:r w:rsidRPr="0051541F">
              <w:rPr>
                <w:rFonts w:ascii="Arial" w:hAnsi="Arial" w:cs="Arial"/>
              </w:rPr>
              <w:t xml:space="preserve">Flyers </w:t>
            </w:r>
            <w:r w:rsidR="000D0B87" w:rsidRPr="0051541F">
              <w:rPr>
                <w:rFonts w:ascii="Arial" w:hAnsi="Arial" w:cs="Arial"/>
              </w:rPr>
              <w:t xml:space="preserve">were </w:t>
            </w:r>
            <w:r w:rsidRPr="0051541F">
              <w:rPr>
                <w:rFonts w:ascii="Arial" w:hAnsi="Arial" w:cs="Arial"/>
              </w:rPr>
              <w:t>available in WakeMed Pediatric Primary Care and pediatric sub-specialties clinic</w:t>
            </w:r>
            <w:r w:rsidR="004C3BE2" w:rsidRPr="0051541F">
              <w:rPr>
                <w:rFonts w:ascii="Arial" w:hAnsi="Arial" w:cs="Arial"/>
              </w:rPr>
              <w:t>s. A</w:t>
            </w:r>
            <w:r w:rsidR="000D0B87" w:rsidRPr="0051541F">
              <w:rPr>
                <w:rFonts w:ascii="Arial" w:hAnsi="Arial" w:cs="Arial"/>
              </w:rPr>
              <w:t>n e</w:t>
            </w:r>
            <w:r w:rsidRPr="0051541F">
              <w:rPr>
                <w:rFonts w:ascii="Arial" w:hAnsi="Arial" w:cs="Arial"/>
              </w:rPr>
              <w:t xml:space="preserve">mail </w:t>
            </w:r>
            <w:r w:rsidR="000D0B87" w:rsidRPr="0051541F">
              <w:rPr>
                <w:rFonts w:ascii="Arial" w:hAnsi="Arial" w:cs="Arial"/>
              </w:rPr>
              <w:t xml:space="preserve">with study information </w:t>
            </w:r>
            <w:proofErr w:type="gramStart"/>
            <w:r w:rsidR="000D0B87" w:rsidRPr="0051541F">
              <w:rPr>
                <w:rFonts w:ascii="Arial" w:hAnsi="Arial" w:cs="Arial"/>
              </w:rPr>
              <w:t>was sent</w:t>
            </w:r>
            <w:proofErr w:type="gramEnd"/>
            <w:r w:rsidR="000D0B87" w:rsidRPr="0051541F">
              <w:rPr>
                <w:rFonts w:ascii="Arial" w:hAnsi="Arial" w:cs="Arial"/>
              </w:rPr>
              <w:t xml:space="preserve"> </w:t>
            </w:r>
            <w:r w:rsidRPr="0051541F">
              <w:rPr>
                <w:rFonts w:ascii="Arial" w:hAnsi="Arial" w:cs="Arial"/>
              </w:rPr>
              <w:t>to all WakeMed pediatric community partners</w:t>
            </w:r>
            <w:r w:rsidR="000D0B87" w:rsidRPr="0051541F">
              <w:rPr>
                <w:rFonts w:ascii="Arial" w:hAnsi="Arial" w:cs="Arial"/>
              </w:rPr>
              <w:t xml:space="preserve"> and </w:t>
            </w:r>
            <w:r w:rsidRPr="0051541F">
              <w:rPr>
                <w:rFonts w:ascii="Arial" w:hAnsi="Arial" w:cs="Arial"/>
              </w:rPr>
              <w:t>providers</w:t>
            </w:r>
            <w:r w:rsidR="000D0B87" w:rsidRPr="0051541F">
              <w:rPr>
                <w:rFonts w:ascii="Arial" w:hAnsi="Arial" w:cs="Arial"/>
              </w:rPr>
              <w:t>.</w:t>
            </w:r>
          </w:p>
          <w:p w14:paraId="6DEC8FDB" w14:textId="149DE838" w:rsidR="005763F9" w:rsidRPr="0051541F" w:rsidRDefault="004C3BE2" w:rsidP="00144F56">
            <w:pPr>
              <w:rPr>
                <w:rFonts w:ascii="Arial" w:hAnsi="Arial" w:cs="Arial"/>
              </w:rPr>
            </w:pPr>
            <w:r w:rsidRPr="0051541F">
              <w:rPr>
                <w:rFonts w:ascii="Arial" w:hAnsi="Arial" w:cs="Arial"/>
              </w:rPr>
              <w:t xml:space="preserve">Advertisements appeared in WakeMed Weekly and </w:t>
            </w:r>
            <w:r w:rsidR="005763F9" w:rsidRPr="0051541F">
              <w:rPr>
                <w:rFonts w:ascii="Arial" w:hAnsi="Arial" w:cs="Arial"/>
              </w:rPr>
              <w:t xml:space="preserve">‘A Word from WakeMed </w:t>
            </w:r>
            <w:proofErr w:type="spellStart"/>
            <w:r w:rsidR="005763F9" w:rsidRPr="0051541F">
              <w:rPr>
                <w:rFonts w:ascii="Arial" w:hAnsi="Arial" w:cs="Arial"/>
              </w:rPr>
              <w:lastRenderedPageBreak/>
              <w:t>Childrens</w:t>
            </w:r>
            <w:proofErr w:type="spellEnd"/>
            <w:r w:rsidR="005763F9" w:rsidRPr="0051541F">
              <w:rPr>
                <w:rFonts w:ascii="Arial" w:hAnsi="Arial" w:cs="Arial"/>
              </w:rPr>
              <w:t>’</w:t>
            </w:r>
            <w:r w:rsidRPr="0051541F">
              <w:rPr>
                <w:rFonts w:ascii="Arial" w:hAnsi="Arial" w:cs="Arial"/>
              </w:rPr>
              <w:t xml:space="preserve">, a </w:t>
            </w:r>
            <w:r w:rsidR="005763F9" w:rsidRPr="0051541F">
              <w:rPr>
                <w:rFonts w:ascii="Arial" w:hAnsi="Arial" w:cs="Arial"/>
              </w:rPr>
              <w:t xml:space="preserve">newsletter from WakeMed </w:t>
            </w:r>
            <w:proofErr w:type="spellStart"/>
            <w:r w:rsidR="005763F9" w:rsidRPr="0051541F">
              <w:rPr>
                <w:rFonts w:ascii="Arial" w:hAnsi="Arial" w:cs="Arial"/>
              </w:rPr>
              <w:t>Childrens</w:t>
            </w:r>
            <w:proofErr w:type="spellEnd"/>
            <w:r w:rsidR="005763F9" w:rsidRPr="0051541F">
              <w:rPr>
                <w:rFonts w:ascii="Arial" w:hAnsi="Arial" w:cs="Arial"/>
              </w:rPr>
              <w:t>’ to community pediatric providers</w:t>
            </w:r>
            <w:r w:rsidRPr="0051541F">
              <w:rPr>
                <w:rFonts w:ascii="Arial" w:hAnsi="Arial" w:cs="Arial"/>
              </w:rPr>
              <w:t xml:space="preserve">. Lastly, an informational slide was included in a </w:t>
            </w:r>
            <w:r w:rsidR="005763F9" w:rsidRPr="0051541F">
              <w:rPr>
                <w:rFonts w:ascii="Arial" w:hAnsi="Arial" w:cs="Arial"/>
              </w:rPr>
              <w:t xml:space="preserve">rolling PowerPoint presentation at </w:t>
            </w:r>
            <w:r w:rsidRPr="0051541F">
              <w:rPr>
                <w:rFonts w:ascii="Arial" w:hAnsi="Arial" w:cs="Arial"/>
              </w:rPr>
              <w:t xml:space="preserve">a local </w:t>
            </w:r>
            <w:r w:rsidR="005763F9" w:rsidRPr="0051541F">
              <w:rPr>
                <w:rFonts w:ascii="Arial" w:hAnsi="Arial" w:cs="Arial"/>
              </w:rPr>
              <w:t xml:space="preserve">COVID-19 </w:t>
            </w:r>
            <w:proofErr w:type="gramStart"/>
            <w:r w:rsidR="005763F9" w:rsidRPr="0051541F">
              <w:rPr>
                <w:rFonts w:ascii="Arial" w:hAnsi="Arial" w:cs="Arial"/>
              </w:rPr>
              <w:t>vaccine clinic observation room</w:t>
            </w:r>
            <w:proofErr w:type="gramEnd"/>
            <w:r w:rsidRPr="0051541F">
              <w:rPr>
                <w:rFonts w:ascii="Arial" w:hAnsi="Arial" w:cs="Arial"/>
              </w:rPr>
              <w:t>.</w:t>
            </w:r>
          </w:p>
        </w:tc>
      </w:tr>
      <w:tr w:rsidR="005763F9" w14:paraId="6DA10274" w14:textId="77777777" w:rsidTr="008B5D7C">
        <w:tc>
          <w:tcPr>
            <w:tcW w:w="715" w:type="dxa"/>
          </w:tcPr>
          <w:p w14:paraId="6CE2217C" w14:textId="77777777" w:rsidR="005763F9" w:rsidRPr="0051541F" w:rsidRDefault="005763F9" w:rsidP="005763F9">
            <w:pPr>
              <w:rPr>
                <w:rFonts w:ascii="Arial" w:hAnsi="Arial" w:cs="Arial"/>
              </w:rPr>
            </w:pPr>
            <w:r w:rsidRPr="0051541F">
              <w:rPr>
                <w:rFonts w:ascii="Arial" w:hAnsi="Arial" w:cs="Arial"/>
              </w:rPr>
              <w:lastRenderedPageBreak/>
              <w:t>10.</w:t>
            </w:r>
          </w:p>
        </w:tc>
        <w:tc>
          <w:tcPr>
            <w:tcW w:w="1350" w:type="dxa"/>
          </w:tcPr>
          <w:p w14:paraId="3A2B7D7F" w14:textId="77777777" w:rsidR="005763F9" w:rsidRPr="0051541F" w:rsidRDefault="005763F9" w:rsidP="005763F9">
            <w:pPr>
              <w:rPr>
                <w:rFonts w:ascii="Arial" w:hAnsi="Arial" w:cs="Arial"/>
              </w:rPr>
            </w:pPr>
            <w:bookmarkStart w:id="9" w:name="_Toc58400333"/>
            <w:r w:rsidRPr="0051541F">
              <w:rPr>
                <w:rFonts w:ascii="Arial" w:hAnsi="Arial" w:cs="Arial"/>
                <w:shd w:val="clear" w:color="auto" w:fill="FFFFFF"/>
              </w:rPr>
              <w:t>Campbell University School of Osteopathic Medicine</w:t>
            </w:r>
            <w:bookmarkEnd w:id="9"/>
          </w:p>
        </w:tc>
        <w:tc>
          <w:tcPr>
            <w:tcW w:w="4050" w:type="dxa"/>
          </w:tcPr>
          <w:p w14:paraId="317A36E5" w14:textId="77777777" w:rsidR="005763F9" w:rsidRPr="0051541F" w:rsidRDefault="005763F9" w:rsidP="005763F9">
            <w:pPr>
              <w:rPr>
                <w:rFonts w:ascii="Arial" w:hAnsi="Arial" w:cs="Arial"/>
              </w:rPr>
            </w:pPr>
            <w:r w:rsidRPr="0051541F">
              <w:rPr>
                <w:rFonts w:ascii="Arial" w:hAnsi="Arial" w:cs="Arial"/>
              </w:rPr>
              <w:t>The School is located in rural North Carolina and works with additional sites including but not limited to Harnett Health, Cape Fear Valley Medical Center, Southeastern Regional Medical Center, and Sampson Regional Medical Center to enroll underserved and underrepresented populations.</w:t>
            </w:r>
          </w:p>
        </w:tc>
        <w:tc>
          <w:tcPr>
            <w:tcW w:w="4050" w:type="dxa"/>
          </w:tcPr>
          <w:p w14:paraId="3898CD27" w14:textId="42B4D403" w:rsidR="005763F9" w:rsidRPr="0051541F" w:rsidRDefault="00963078" w:rsidP="005763F9">
            <w:pPr>
              <w:rPr>
                <w:rFonts w:ascii="Arial" w:hAnsi="Arial" w:cs="Arial"/>
              </w:rPr>
            </w:pPr>
            <w:r w:rsidRPr="0051541F">
              <w:rPr>
                <w:rFonts w:ascii="Arial" w:hAnsi="Arial" w:cs="Arial"/>
              </w:rPr>
              <w:t>The study was o</w:t>
            </w:r>
            <w:r w:rsidR="005763F9" w:rsidRPr="0051541F">
              <w:rPr>
                <w:rFonts w:ascii="Arial" w:hAnsi="Arial" w:cs="Arial"/>
              </w:rPr>
              <w:t xml:space="preserve">pen to </w:t>
            </w:r>
            <w:r w:rsidRPr="0051541F">
              <w:rPr>
                <w:rFonts w:ascii="Arial" w:hAnsi="Arial" w:cs="Arial"/>
              </w:rPr>
              <w:t xml:space="preserve">the </w:t>
            </w:r>
            <w:r w:rsidR="005763F9" w:rsidRPr="0051541F">
              <w:rPr>
                <w:rFonts w:ascii="Arial" w:hAnsi="Arial" w:cs="Arial"/>
              </w:rPr>
              <w:t>entire population</w:t>
            </w:r>
            <w:r w:rsidRPr="0051541F">
              <w:rPr>
                <w:rFonts w:ascii="Arial" w:hAnsi="Arial" w:cs="Arial"/>
              </w:rPr>
              <w:t>. N</w:t>
            </w:r>
            <w:r w:rsidR="005763F9" w:rsidRPr="0051541F">
              <w:rPr>
                <w:rFonts w:ascii="Arial" w:hAnsi="Arial" w:cs="Arial"/>
              </w:rPr>
              <w:t>o restrictions were in place for participati</w:t>
            </w:r>
            <w:r w:rsidRPr="0051541F">
              <w:rPr>
                <w:rFonts w:ascii="Arial" w:hAnsi="Arial" w:cs="Arial"/>
              </w:rPr>
              <w:t>on.</w:t>
            </w:r>
          </w:p>
          <w:p w14:paraId="6DA62BBA" w14:textId="77777777" w:rsidR="005763F9" w:rsidRPr="0051541F" w:rsidRDefault="005763F9" w:rsidP="00963078">
            <w:pPr>
              <w:rPr>
                <w:rFonts w:ascii="Arial" w:hAnsi="Arial" w:cs="Arial"/>
              </w:rPr>
            </w:pPr>
          </w:p>
        </w:tc>
        <w:tc>
          <w:tcPr>
            <w:tcW w:w="4680" w:type="dxa"/>
          </w:tcPr>
          <w:p w14:paraId="1AE87675" w14:textId="28081BDD" w:rsidR="005763F9" w:rsidRPr="0051541F" w:rsidRDefault="007664BF" w:rsidP="005763F9">
            <w:pPr>
              <w:rPr>
                <w:rFonts w:ascii="Arial" w:hAnsi="Arial" w:cs="Arial"/>
              </w:rPr>
            </w:pPr>
            <w:r w:rsidRPr="0051541F">
              <w:rPr>
                <w:rFonts w:ascii="Arial" w:hAnsi="Arial" w:cs="Arial"/>
              </w:rPr>
              <w:t>Sites working with Campbell University</w:t>
            </w:r>
            <w:r w:rsidRPr="0051541F">
              <w:rPr>
                <w:rFonts w:ascii="Arial" w:hAnsi="Arial" w:cs="Arial"/>
                <w:i/>
              </w:rPr>
              <w:t xml:space="preserve"> </w:t>
            </w:r>
            <w:r w:rsidR="005763F9" w:rsidRPr="0051541F">
              <w:rPr>
                <w:rFonts w:ascii="Arial" w:hAnsi="Arial" w:cs="Arial"/>
              </w:rPr>
              <w:t>utilized the health system</w:t>
            </w:r>
            <w:r w:rsidRPr="0051541F">
              <w:rPr>
                <w:rFonts w:ascii="Arial" w:hAnsi="Arial" w:cs="Arial"/>
              </w:rPr>
              <w:t>’</w:t>
            </w:r>
            <w:r w:rsidR="005763F9" w:rsidRPr="0051541F">
              <w:rPr>
                <w:rFonts w:ascii="Arial" w:hAnsi="Arial" w:cs="Arial"/>
              </w:rPr>
              <w:t xml:space="preserve">s </w:t>
            </w:r>
            <w:r w:rsidRPr="0051541F">
              <w:rPr>
                <w:rFonts w:ascii="Arial" w:hAnsi="Arial" w:cs="Arial"/>
              </w:rPr>
              <w:t xml:space="preserve">electronic </w:t>
            </w:r>
            <w:r w:rsidR="005763F9" w:rsidRPr="0051541F">
              <w:rPr>
                <w:rFonts w:ascii="Arial" w:hAnsi="Arial" w:cs="Arial"/>
              </w:rPr>
              <w:t xml:space="preserve">messaging </w:t>
            </w:r>
            <w:r w:rsidRPr="0051541F">
              <w:rPr>
                <w:rFonts w:ascii="Arial" w:hAnsi="Arial" w:cs="Arial"/>
              </w:rPr>
              <w:t xml:space="preserve">portal </w:t>
            </w:r>
            <w:r w:rsidR="005763F9" w:rsidRPr="0051541F">
              <w:rPr>
                <w:rFonts w:ascii="Arial" w:hAnsi="Arial" w:cs="Arial"/>
              </w:rPr>
              <w:t>“</w:t>
            </w:r>
            <w:proofErr w:type="spellStart"/>
            <w:r w:rsidR="005763F9" w:rsidRPr="0051541F">
              <w:rPr>
                <w:rFonts w:ascii="Arial" w:hAnsi="Arial" w:cs="Arial"/>
              </w:rPr>
              <w:t>Mychart</w:t>
            </w:r>
            <w:proofErr w:type="spellEnd"/>
            <w:r w:rsidR="005763F9" w:rsidRPr="0051541F">
              <w:rPr>
                <w:rFonts w:ascii="Arial" w:hAnsi="Arial" w:cs="Arial"/>
              </w:rPr>
              <w:t xml:space="preserve"> Messaging”. </w:t>
            </w:r>
            <w:r w:rsidRPr="0051541F">
              <w:rPr>
                <w:rFonts w:ascii="Arial" w:hAnsi="Arial" w:cs="Arial"/>
              </w:rPr>
              <w:t>Many sites also distributed p</w:t>
            </w:r>
            <w:r w:rsidR="005763F9" w:rsidRPr="0051541F">
              <w:rPr>
                <w:rFonts w:ascii="Arial" w:hAnsi="Arial" w:cs="Arial"/>
              </w:rPr>
              <w:t>aper flyers</w:t>
            </w:r>
            <w:r w:rsidRPr="0051541F">
              <w:rPr>
                <w:rFonts w:ascii="Arial" w:hAnsi="Arial" w:cs="Arial"/>
              </w:rPr>
              <w:t xml:space="preserve">, published study information in a local health newsletter, and </w:t>
            </w:r>
            <w:r w:rsidR="002C1998" w:rsidRPr="0051541F">
              <w:rPr>
                <w:rFonts w:ascii="Arial" w:hAnsi="Arial" w:cs="Arial"/>
              </w:rPr>
              <w:t>conducted</w:t>
            </w:r>
            <w:r w:rsidRPr="0051541F">
              <w:rPr>
                <w:rFonts w:ascii="Arial" w:hAnsi="Arial" w:cs="Arial"/>
              </w:rPr>
              <w:t xml:space="preserve"> in-person recruiting</w:t>
            </w:r>
            <w:r w:rsidR="002C1998" w:rsidRPr="0051541F">
              <w:rPr>
                <w:rFonts w:ascii="Arial" w:hAnsi="Arial" w:cs="Arial"/>
              </w:rPr>
              <w:t xml:space="preserve"> activities</w:t>
            </w:r>
            <w:r w:rsidR="005763F9" w:rsidRPr="0051541F">
              <w:rPr>
                <w:rFonts w:ascii="Arial" w:hAnsi="Arial" w:cs="Arial"/>
              </w:rPr>
              <w:t xml:space="preserve">. </w:t>
            </w:r>
          </w:p>
          <w:p w14:paraId="01C7EB78" w14:textId="77777777" w:rsidR="005763F9" w:rsidRPr="0051541F" w:rsidRDefault="005763F9" w:rsidP="007664BF">
            <w:pPr>
              <w:rPr>
                <w:rFonts w:ascii="Arial" w:hAnsi="Arial" w:cs="Arial"/>
              </w:rPr>
            </w:pPr>
          </w:p>
        </w:tc>
      </w:tr>
    </w:tbl>
    <w:p w14:paraId="54E80E42" w14:textId="77777777" w:rsidR="00620449" w:rsidRDefault="00620449"/>
    <w:sectPr w:rsidR="00620449" w:rsidSect="008B5D7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21A"/>
    <w:multiLevelType w:val="hybridMultilevel"/>
    <w:tmpl w:val="5DDE7890"/>
    <w:lvl w:ilvl="0" w:tplc="EF10C8E6">
      <w:start w:val="1"/>
      <w:numFmt w:val="bullet"/>
      <w:pStyle w:val="Instruction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C1654"/>
    <w:multiLevelType w:val="hybridMultilevel"/>
    <w:tmpl w:val="89CCB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B51522"/>
    <w:multiLevelType w:val="hybridMultilevel"/>
    <w:tmpl w:val="FAC03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A74BBB"/>
    <w:multiLevelType w:val="hybridMultilevel"/>
    <w:tmpl w:val="32346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0C627E"/>
    <w:multiLevelType w:val="hybridMultilevel"/>
    <w:tmpl w:val="80B65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E5A97"/>
    <w:multiLevelType w:val="hybridMultilevel"/>
    <w:tmpl w:val="E4A07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02B00D7"/>
    <w:multiLevelType w:val="hybridMultilevel"/>
    <w:tmpl w:val="BD52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A2"/>
    <w:rsid w:val="00027887"/>
    <w:rsid w:val="000D0B87"/>
    <w:rsid w:val="000D7445"/>
    <w:rsid w:val="00132F83"/>
    <w:rsid w:val="001377FF"/>
    <w:rsid w:val="00144F56"/>
    <w:rsid w:val="00166C63"/>
    <w:rsid w:val="001B656E"/>
    <w:rsid w:val="001F3C26"/>
    <w:rsid w:val="00277A67"/>
    <w:rsid w:val="002C1998"/>
    <w:rsid w:val="002D79AD"/>
    <w:rsid w:val="00423BBE"/>
    <w:rsid w:val="0048539F"/>
    <w:rsid w:val="004B4DEF"/>
    <w:rsid w:val="004C3BE2"/>
    <w:rsid w:val="004C4267"/>
    <w:rsid w:val="004F0CC0"/>
    <w:rsid w:val="0051541F"/>
    <w:rsid w:val="00550C48"/>
    <w:rsid w:val="005763F9"/>
    <w:rsid w:val="005B1E1A"/>
    <w:rsid w:val="005E1841"/>
    <w:rsid w:val="006101C6"/>
    <w:rsid w:val="00620449"/>
    <w:rsid w:val="00631E8D"/>
    <w:rsid w:val="00641B18"/>
    <w:rsid w:val="006623A9"/>
    <w:rsid w:val="006D2719"/>
    <w:rsid w:val="006D2DD5"/>
    <w:rsid w:val="00700974"/>
    <w:rsid w:val="007028E2"/>
    <w:rsid w:val="00753EA9"/>
    <w:rsid w:val="007664BF"/>
    <w:rsid w:val="00784D25"/>
    <w:rsid w:val="007D465D"/>
    <w:rsid w:val="007D49B1"/>
    <w:rsid w:val="00811A08"/>
    <w:rsid w:val="00884AC2"/>
    <w:rsid w:val="008B14DE"/>
    <w:rsid w:val="008B5D7C"/>
    <w:rsid w:val="008C7EAA"/>
    <w:rsid w:val="008E02E1"/>
    <w:rsid w:val="009114CB"/>
    <w:rsid w:val="009527B3"/>
    <w:rsid w:val="00963078"/>
    <w:rsid w:val="00967A0E"/>
    <w:rsid w:val="00A05712"/>
    <w:rsid w:val="00A40127"/>
    <w:rsid w:val="00A55788"/>
    <w:rsid w:val="00A56F65"/>
    <w:rsid w:val="00A62E45"/>
    <w:rsid w:val="00A82C72"/>
    <w:rsid w:val="00AE359B"/>
    <w:rsid w:val="00AE5046"/>
    <w:rsid w:val="00B2473A"/>
    <w:rsid w:val="00B36049"/>
    <w:rsid w:val="00B4143E"/>
    <w:rsid w:val="00B63CB6"/>
    <w:rsid w:val="00B710F9"/>
    <w:rsid w:val="00B80AA4"/>
    <w:rsid w:val="00C02F6B"/>
    <w:rsid w:val="00C5118B"/>
    <w:rsid w:val="00CB7CF9"/>
    <w:rsid w:val="00CC2A42"/>
    <w:rsid w:val="00CE6ACA"/>
    <w:rsid w:val="00CE7F1D"/>
    <w:rsid w:val="00D0778D"/>
    <w:rsid w:val="00D27618"/>
    <w:rsid w:val="00D541A0"/>
    <w:rsid w:val="00DE551C"/>
    <w:rsid w:val="00E60E66"/>
    <w:rsid w:val="00E678FA"/>
    <w:rsid w:val="00ED29BD"/>
    <w:rsid w:val="00F02AAA"/>
    <w:rsid w:val="00F46CA2"/>
    <w:rsid w:val="00F63F35"/>
    <w:rsid w:val="00F7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08F6"/>
  <w15:chartTrackingRefBased/>
  <w15:docId w15:val="{20388C3B-6291-47C2-9A6F-A76874BA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46CA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6CA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27618"/>
    <w:rPr>
      <w:b/>
      <w:bCs/>
    </w:rPr>
  </w:style>
  <w:style w:type="paragraph" w:styleId="ListParagraph">
    <w:name w:val="List Paragraph"/>
    <w:basedOn w:val="Normal"/>
    <w:uiPriority w:val="34"/>
    <w:qFormat/>
    <w:rsid w:val="00E678FA"/>
    <w:pPr>
      <w:ind w:left="720"/>
      <w:contextualSpacing/>
    </w:pPr>
  </w:style>
  <w:style w:type="character" w:customStyle="1" w:styleId="normaltextrun">
    <w:name w:val="normaltextrun"/>
    <w:basedOn w:val="DefaultParagraphFont"/>
    <w:rsid w:val="00641B18"/>
  </w:style>
  <w:style w:type="paragraph" w:styleId="BodyText">
    <w:name w:val="Body Text"/>
    <w:basedOn w:val="Normal"/>
    <w:link w:val="BodyTextChar"/>
    <w:uiPriority w:val="1"/>
    <w:qFormat/>
    <w:rsid w:val="00641B1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41B18"/>
    <w:rPr>
      <w:rFonts w:ascii="Calibri" w:eastAsia="Calibri" w:hAnsi="Calibri" w:cs="Calibri"/>
    </w:rPr>
  </w:style>
  <w:style w:type="paragraph" w:customStyle="1" w:styleId="InstructionList">
    <w:name w:val="Instruction List"/>
    <w:basedOn w:val="ListParagraph"/>
    <w:link w:val="InstructionListChar"/>
    <w:qFormat/>
    <w:rsid w:val="00641B18"/>
    <w:pPr>
      <w:numPr>
        <w:numId w:val="6"/>
      </w:numPr>
      <w:spacing w:after="0" w:line="240" w:lineRule="auto"/>
    </w:pPr>
    <w:rPr>
      <w:rFonts w:ascii="Times New Roman" w:eastAsia="Times New Roman" w:hAnsi="Times New Roman" w:cs="Times New Roman"/>
      <w:sz w:val="20"/>
      <w:szCs w:val="20"/>
    </w:rPr>
  </w:style>
  <w:style w:type="character" w:customStyle="1" w:styleId="InstructionListChar">
    <w:name w:val="Instruction List Char"/>
    <w:basedOn w:val="DefaultParagraphFont"/>
    <w:link w:val="InstructionList"/>
    <w:rsid w:val="00641B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7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CF9"/>
    <w:rPr>
      <w:rFonts w:ascii="Segoe UI" w:hAnsi="Segoe UI" w:cs="Segoe UI"/>
      <w:sz w:val="18"/>
      <w:szCs w:val="18"/>
    </w:rPr>
  </w:style>
  <w:style w:type="character" w:styleId="CommentReference">
    <w:name w:val="annotation reference"/>
    <w:basedOn w:val="DefaultParagraphFont"/>
    <w:uiPriority w:val="99"/>
    <w:semiHidden/>
    <w:unhideWhenUsed/>
    <w:rsid w:val="00B710F9"/>
    <w:rPr>
      <w:sz w:val="16"/>
      <w:szCs w:val="16"/>
    </w:rPr>
  </w:style>
  <w:style w:type="paragraph" w:styleId="CommentText">
    <w:name w:val="annotation text"/>
    <w:basedOn w:val="Normal"/>
    <w:link w:val="CommentTextChar"/>
    <w:uiPriority w:val="99"/>
    <w:semiHidden/>
    <w:unhideWhenUsed/>
    <w:rsid w:val="00B710F9"/>
    <w:pPr>
      <w:spacing w:line="240" w:lineRule="auto"/>
    </w:pPr>
    <w:rPr>
      <w:sz w:val="20"/>
      <w:szCs w:val="20"/>
    </w:rPr>
  </w:style>
  <w:style w:type="character" w:customStyle="1" w:styleId="CommentTextChar">
    <w:name w:val="Comment Text Char"/>
    <w:basedOn w:val="DefaultParagraphFont"/>
    <w:link w:val="CommentText"/>
    <w:uiPriority w:val="99"/>
    <w:semiHidden/>
    <w:rsid w:val="00B710F9"/>
    <w:rPr>
      <w:sz w:val="20"/>
      <w:szCs w:val="20"/>
    </w:rPr>
  </w:style>
  <w:style w:type="paragraph" w:styleId="CommentSubject">
    <w:name w:val="annotation subject"/>
    <w:basedOn w:val="CommentText"/>
    <w:next w:val="CommentText"/>
    <w:link w:val="CommentSubjectChar"/>
    <w:uiPriority w:val="99"/>
    <w:semiHidden/>
    <w:unhideWhenUsed/>
    <w:rsid w:val="00B710F9"/>
    <w:rPr>
      <w:b/>
      <w:bCs/>
    </w:rPr>
  </w:style>
  <w:style w:type="character" w:customStyle="1" w:styleId="CommentSubjectChar">
    <w:name w:val="Comment Subject Char"/>
    <w:basedOn w:val="CommentTextChar"/>
    <w:link w:val="CommentSubject"/>
    <w:uiPriority w:val="99"/>
    <w:semiHidden/>
    <w:rsid w:val="00B710F9"/>
    <w:rPr>
      <w:b/>
      <w:bCs/>
      <w:sz w:val="20"/>
      <w:szCs w:val="20"/>
    </w:rPr>
  </w:style>
  <w:style w:type="paragraph" w:styleId="Revision">
    <w:name w:val="Revision"/>
    <w:hidden/>
    <w:uiPriority w:val="99"/>
    <w:semiHidden/>
    <w:rsid w:val="00911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8862">
      <w:bodyDiv w:val="1"/>
      <w:marLeft w:val="0"/>
      <w:marRight w:val="0"/>
      <w:marTop w:val="0"/>
      <w:marBottom w:val="0"/>
      <w:divBdr>
        <w:top w:val="none" w:sz="0" w:space="0" w:color="auto"/>
        <w:left w:val="none" w:sz="0" w:space="0" w:color="auto"/>
        <w:bottom w:val="none" w:sz="0" w:space="0" w:color="auto"/>
        <w:right w:val="none" w:sz="0" w:space="0" w:color="auto"/>
      </w:divBdr>
    </w:div>
    <w:div w:id="465396642">
      <w:bodyDiv w:val="1"/>
      <w:marLeft w:val="0"/>
      <w:marRight w:val="0"/>
      <w:marTop w:val="0"/>
      <w:marBottom w:val="0"/>
      <w:divBdr>
        <w:top w:val="none" w:sz="0" w:space="0" w:color="auto"/>
        <w:left w:val="none" w:sz="0" w:space="0" w:color="auto"/>
        <w:bottom w:val="none" w:sz="0" w:space="0" w:color="auto"/>
        <w:right w:val="none" w:sz="0" w:space="0" w:color="auto"/>
      </w:divBdr>
    </w:div>
    <w:div w:id="19990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 Wierzba</dc:creator>
  <cp:keywords/>
  <dc:description/>
  <cp:lastModifiedBy>Thomas F Wierzba</cp:lastModifiedBy>
  <cp:revision>3</cp:revision>
  <dcterms:created xsi:type="dcterms:W3CDTF">2021-11-18T19:13:00Z</dcterms:created>
  <dcterms:modified xsi:type="dcterms:W3CDTF">2022-02-09T16:01:00Z</dcterms:modified>
</cp:coreProperties>
</file>