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ACA1A" w14:textId="60DB15B8" w:rsidR="00892B08" w:rsidRPr="005F2BCD" w:rsidRDefault="00892B08" w:rsidP="00892B08">
      <w:pPr>
        <w:rPr>
          <w:rFonts w:ascii="Arial" w:hAnsi="Arial" w:cs="Arial"/>
          <w:b/>
          <w:bCs/>
          <w:sz w:val="40"/>
          <w:szCs w:val="40"/>
        </w:rPr>
      </w:pPr>
      <w:bookmarkStart w:id="0" w:name="_GoBack"/>
      <w:bookmarkStart w:id="1" w:name="OLE_LINK19"/>
      <w:bookmarkStart w:id="2" w:name="OLE_LINK20"/>
      <w:bookmarkStart w:id="3" w:name="OLE_LINK11"/>
      <w:bookmarkStart w:id="4" w:name="OLE_LINK12"/>
      <w:bookmarkStart w:id="5" w:name="OLE_LINK71"/>
      <w:bookmarkStart w:id="6" w:name="OLE_LINK72"/>
      <w:bookmarkStart w:id="7" w:name="OLE_LINK9"/>
      <w:bookmarkStart w:id="8" w:name="OLE_LINK10"/>
      <w:bookmarkEnd w:id="0"/>
      <w:r>
        <w:rPr>
          <w:rFonts w:ascii="Arial" w:hAnsi="Arial" w:cs="Arial"/>
          <w:b/>
          <w:bCs/>
          <w:sz w:val="40"/>
          <w:szCs w:val="40"/>
        </w:rPr>
        <w:t xml:space="preserve">Supplementary Information: </w:t>
      </w:r>
      <w:r w:rsidRPr="005F2BCD">
        <w:rPr>
          <w:rFonts w:ascii="Arial" w:hAnsi="Arial" w:cs="Arial"/>
          <w:b/>
          <w:bCs/>
          <w:sz w:val="40"/>
          <w:szCs w:val="40"/>
        </w:rPr>
        <w:t xml:space="preserve">Network Assisted Analysis of </w:t>
      </w:r>
      <w:r w:rsidRPr="005F2BCD">
        <w:rPr>
          <w:rFonts w:ascii="Arial" w:hAnsi="Arial" w:cs="Arial"/>
          <w:b/>
          <w:bCs/>
          <w:i/>
          <w:iCs/>
          <w:sz w:val="40"/>
          <w:szCs w:val="40"/>
        </w:rPr>
        <w:t>De Novo</w:t>
      </w:r>
      <w:r w:rsidRPr="005F2BCD">
        <w:rPr>
          <w:rFonts w:ascii="Arial" w:hAnsi="Arial" w:cs="Arial"/>
          <w:b/>
          <w:bCs/>
          <w:sz w:val="40"/>
          <w:szCs w:val="40"/>
        </w:rPr>
        <w:t xml:space="preserve"> Mutations Using Protein-Protein Interaction </w:t>
      </w:r>
      <w:bookmarkEnd w:id="1"/>
      <w:bookmarkEnd w:id="2"/>
      <w:r w:rsidRPr="005F2BCD">
        <w:rPr>
          <w:rFonts w:ascii="Arial" w:hAnsi="Arial" w:cs="Arial"/>
          <w:b/>
          <w:bCs/>
          <w:sz w:val="40"/>
          <w:szCs w:val="40"/>
        </w:rPr>
        <w:t>Information</w:t>
      </w:r>
      <w:r>
        <w:rPr>
          <w:rFonts w:ascii="Arial" w:hAnsi="Arial" w:cs="Arial"/>
          <w:b/>
          <w:bCs/>
          <w:sz w:val="40"/>
          <w:szCs w:val="40"/>
        </w:rPr>
        <w:t xml:space="preserve"> </w:t>
      </w:r>
      <w:bookmarkEnd w:id="3"/>
      <w:bookmarkEnd w:id="4"/>
      <w:r>
        <w:rPr>
          <w:rFonts w:ascii="Arial" w:hAnsi="Arial" w:cs="Arial"/>
          <w:b/>
          <w:bCs/>
          <w:sz w:val="40"/>
          <w:szCs w:val="40"/>
        </w:rPr>
        <w:t>Identified 37 Candidate Genes for Congenital Heart Disease</w:t>
      </w:r>
    </w:p>
    <w:bookmarkEnd w:id="5"/>
    <w:bookmarkEnd w:id="6"/>
    <w:bookmarkEnd w:id="7"/>
    <w:bookmarkEnd w:id="8"/>
    <w:p w14:paraId="0674D3D8" w14:textId="4FDD2E5A" w:rsidR="00B11D39" w:rsidRDefault="00B11D39"/>
    <w:p w14:paraId="6510AA3E" w14:textId="7ED828D8" w:rsidR="00892B08" w:rsidRDefault="00892B08"/>
    <w:p w14:paraId="45A3D7FC" w14:textId="77777777" w:rsidR="00DE33D9" w:rsidRDefault="00DE33D9"/>
    <w:p w14:paraId="2CFFED02" w14:textId="70283ED9" w:rsidR="00892B08" w:rsidRDefault="00892B08">
      <w:r>
        <w:rPr>
          <w:noProof/>
        </w:rPr>
        <w:drawing>
          <wp:inline distT="0" distB="0" distL="0" distR="0" wp14:anchorId="6347683D" wp14:editId="7D8D4682">
            <wp:extent cx="5080000" cy="166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a:extLst>
                        <a:ext uri="{28A0092B-C50C-407E-A947-70E740481C1C}">
                          <a14:useLocalDpi xmlns:a14="http://schemas.microsoft.com/office/drawing/2010/main" val="0"/>
                        </a:ext>
                      </a:extLst>
                    </a:blip>
                    <a:stretch>
                      <a:fillRect/>
                    </a:stretch>
                  </pic:blipFill>
                  <pic:spPr>
                    <a:xfrm>
                      <a:off x="0" y="0"/>
                      <a:ext cx="5080000" cy="1663700"/>
                    </a:xfrm>
                    <a:prstGeom prst="rect">
                      <a:avLst/>
                    </a:prstGeom>
                  </pic:spPr>
                </pic:pic>
              </a:graphicData>
            </a:graphic>
          </wp:inline>
        </w:drawing>
      </w:r>
    </w:p>
    <w:p w14:paraId="7D2107B7" w14:textId="1DE14C4C" w:rsidR="00892B08" w:rsidRDefault="00892B08" w:rsidP="00892B08">
      <w:pPr>
        <w:spacing w:line="480" w:lineRule="auto"/>
        <w:rPr>
          <w:rFonts w:ascii="Arial" w:hAnsi="Arial" w:cs="Arial"/>
          <w:sz w:val="18"/>
          <w:szCs w:val="18"/>
        </w:rPr>
      </w:pPr>
      <w:bookmarkStart w:id="9" w:name="OLE_LINK98"/>
      <w:bookmarkStart w:id="10" w:name="OLE_LINK99"/>
      <w:bookmarkStart w:id="11" w:name="OLE_LINK129"/>
      <w:bookmarkStart w:id="12" w:name="OLE_LINK130"/>
      <w:r w:rsidRPr="00C41E56">
        <w:rPr>
          <w:rFonts w:ascii="Arial" w:hAnsi="Arial" w:cs="Arial"/>
          <w:b/>
          <w:bCs/>
          <w:sz w:val="18"/>
          <w:szCs w:val="18"/>
        </w:rPr>
        <w:t xml:space="preserve">Fig </w:t>
      </w:r>
      <w:r>
        <w:rPr>
          <w:rFonts w:ascii="Arial" w:hAnsi="Arial" w:cs="Arial"/>
          <w:b/>
          <w:bCs/>
          <w:sz w:val="18"/>
          <w:szCs w:val="18"/>
        </w:rPr>
        <w:t>S1</w:t>
      </w:r>
      <w:r>
        <w:rPr>
          <w:rFonts w:ascii="Arial" w:hAnsi="Arial" w:cs="Arial"/>
          <w:sz w:val="18"/>
          <w:szCs w:val="18"/>
        </w:rPr>
        <w:t xml:space="preserve">. </w:t>
      </w:r>
      <w:r w:rsidRPr="00135EE2">
        <w:rPr>
          <w:rFonts w:ascii="Arial" w:hAnsi="Arial" w:cs="Arial"/>
          <w:b/>
          <w:bCs/>
          <w:sz w:val="18"/>
          <w:szCs w:val="18"/>
        </w:rPr>
        <w:t>Comparison of N-DATA w/o and w/ PPI network models</w:t>
      </w:r>
      <w:r>
        <w:rPr>
          <w:rFonts w:ascii="Arial" w:hAnsi="Arial" w:cs="Arial"/>
          <w:sz w:val="18"/>
          <w:szCs w:val="18"/>
        </w:rPr>
        <w:t xml:space="preserve">. </w:t>
      </w:r>
      <w:bookmarkEnd w:id="9"/>
      <w:bookmarkEnd w:id="10"/>
      <w:r>
        <w:rPr>
          <w:rFonts w:ascii="Arial" w:hAnsi="Arial" w:cs="Arial"/>
          <w:sz w:val="18"/>
          <w:szCs w:val="18"/>
        </w:rPr>
        <w:t>(A) Power comparison of the two models. Three panels from left to right represent cohorts with small, medium, and large sample sizes, respectively. (B) FDR control for the two models. Red dash line represents the preset FDR threshold 0</w:t>
      </w:r>
      <w:r>
        <w:rPr>
          <w:rFonts w:ascii="Arial" w:hAnsi="Arial" w:cs="Arial"/>
          <w:sz w:val="18"/>
          <w:szCs w:val="18"/>
        </w:rPr>
        <w:t>.01</w:t>
      </w:r>
      <w:r>
        <w:rPr>
          <w:rFonts w:ascii="Arial" w:hAnsi="Arial" w:cs="Arial"/>
          <w:sz w:val="18"/>
          <w:szCs w:val="18"/>
        </w:rPr>
        <w:t>. Three panels from left to right represent cohorts with small, medium, and large sample sizes, respectively.</w:t>
      </w:r>
      <w:bookmarkEnd w:id="11"/>
      <w:bookmarkEnd w:id="12"/>
    </w:p>
    <w:p w14:paraId="6738C7D7" w14:textId="77777777" w:rsidR="00892B08" w:rsidRPr="00892B08" w:rsidRDefault="00892B08" w:rsidP="00892B08">
      <w:pPr>
        <w:spacing w:line="480" w:lineRule="auto"/>
        <w:rPr>
          <w:rFonts w:ascii="Arial" w:hAnsi="Arial" w:cs="Arial"/>
          <w:sz w:val="18"/>
          <w:szCs w:val="18"/>
        </w:rPr>
      </w:pPr>
    </w:p>
    <w:p w14:paraId="5FF1934C" w14:textId="2A61587E" w:rsidR="00892B08" w:rsidRDefault="00892B08">
      <w:r>
        <w:rPr>
          <w:noProof/>
        </w:rPr>
        <w:drawing>
          <wp:inline distT="0" distB="0" distL="0" distR="0" wp14:anchorId="1D3DCB8B" wp14:editId="7A8587D9">
            <wp:extent cx="50800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28A0092B-C50C-407E-A947-70E740481C1C}">
                          <a14:useLocalDpi xmlns:a14="http://schemas.microsoft.com/office/drawing/2010/main" val="0"/>
                        </a:ext>
                      </a:extLst>
                    </a:blip>
                    <a:stretch>
                      <a:fillRect/>
                    </a:stretch>
                  </pic:blipFill>
                  <pic:spPr>
                    <a:xfrm>
                      <a:off x="0" y="0"/>
                      <a:ext cx="5080000" cy="1663700"/>
                    </a:xfrm>
                    <a:prstGeom prst="rect">
                      <a:avLst/>
                    </a:prstGeom>
                  </pic:spPr>
                </pic:pic>
              </a:graphicData>
            </a:graphic>
          </wp:inline>
        </w:drawing>
      </w:r>
    </w:p>
    <w:p w14:paraId="7129FF73" w14:textId="51258CFA" w:rsidR="00892B08" w:rsidRPr="00CB7A3E" w:rsidRDefault="00892B08" w:rsidP="00892B08">
      <w:pPr>
        <w:spacing w:line="480" w:lineRule="auto"/>
        <w:rPr>
          <w:rFonts w:ascii="Arial" w:hAnsi="Arial" w:cs="Arial"/>
          <w:sz w:val="18"/>
          <w:szCs w:val="18"/>
        </w:rPr>
      </w:pPr>
      <w:r w:rsidRPr="00C41E56">
        <w:rPr>
          <w:rFonts w:ascii="Arial" w:hAnsi="Arial" w:cs="Arial"/>
          <w:b/>
          <w:bCs/>
          <w:sz w:val="18"/>
          <w:szCs w:val="18"/>
        </w:rPr>
        <w:t xml:space="preserve">Fig </w:t>
      </w:r>
      <w:r>
        <w:rPr>
          <w:rFonts w:ascii="Arial" w:hAnsi="Arial" w:cs="Arial"/>
          <w:b/>
          <w:bCs/>
          <w:sz w:val="18"/>
          <w:szCs w:val="18"/>
        </w:rPr>
        <w:t>S</w:t>
      </w:r>
      <w:r>
        <w:rPr>
          <w:rFonts w:ascii="Arial" w:hAnsi="Arial" w:cs="Arial"/>
          <w:b/>
          <w:bCs/>
          <w:sz w:val="18"/>
          <w:szCs w:val="18"/>
        </w:rPr>
        <w:t>2</w:t>
      </w:r>
      <w:r>
        <w:rPr>
          <w:rFonts w:ascii="Arial" w:hAnsi="Arial" w:cs="Arial"/>
          <w:sz w:val="18"/>
          <w:szCs w:val="18"/>
        </w:rPr>
        <w:t xml:space="preserve">. </w:t>
      </w:r>
      <w:r w:rsidRPr="00135EE2">
        <w:rPr>
          <w:rFonts w:ascii="Arial" w:hAnsi="Arial" w:cs="Arial"/>
          <w:b/>
          <w:bCs/>
          <w:sz w:val="18"/>
          <w:szCs w:val="18"/>
        </w:rPr>
        <w:t>Comparison of N-DATA w/o and w/ PPI network models</w:t>
      </w:r>
      <w:r>
        <w:rPr>
          <w:rFonts w:ascii="Arial" w:hAnsi="Arial" w:cs="Arial"/>
          <w:sz w:val="18"/>
          <w:szCs w:val="18"/>
        </w:rPr>
        <w:t>. (A) Power comparison of the two models. Three panels from left to right represent cohorts with small, medium, and large sample sizes, respectively. (B) FDR control for the two models. Red dash line represents the preset FDR threshold 0.</w:t>
      </w:r>
      <w:r>
        <w:rPr>
          <w:rFonts w:ascii="Arial" w:hAnsi="Arial" w:cs="Arial"/>
          <w:sz w:val="18"/>
          <w:szCs w:val="18"/>
        </w:rPr>
        <w:t>1</w:t>
      </w:r>
      <w:r>
        <w:rPr>
          <w:rFonts w:ascii="Arial" w:hAnsi="Arial" w:cs="Arial"/>
          <w:sz w:val="18"/>
          <w:szCs w:val="18"/>
        </w:rPr>
        <w:t>. Three panels from left to right represent cohorts with small, medium, and large sample sizes, respectively.</w:t>
      </w:r>
    </w:p>
    <w:p w14:paraId="738C951D" w14:textId="77777777" w:rsidR="00892B08" w:rsidRDefault="00892B08"/>
    <w:p w14:paraId="3D7E3384" w14:textId="3223397C" w:rsidR="00892B08" w:rsidRDefault="00892B08"/>
    <w:p w14:paraId="0C610C5D" w14:textId="19D0C3EA" w:rsidR="00892B08" w:rsidRDefault="00892B08"/>
    <w:p w14:paraId="38976F70" w14:textId="501EBBCD" w:rsidR="00892B08" w:rsidRDefault="00892B08">
      <w:r>
        <w:rPr>
          <w:noProof/>
        </w:rPr>
        <w:lastRenderedPageBreak/>
        <w:drawing>
          <wp:inline distT="0" distB="0" distL="0" distR="0" wp14:anchorId="66F349D4" wp14:editId="354547F3">
            <wp:extent cx="5943600" cy="1783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p>
    <w:p w14:paraId="78096302" w14:textId="68E022F3" w:rsidR="00892B08" w:rsidRPr="00CB7A3E" w:rsidRDefault="00892B08" w:rsidP="00892B08">
      <w:pPr>
        <w:spacing w:line="480" w:lineRule="auto"/>
        <w:rPr>
          <w:rFonts w:ascii="Arial" w:hAnsi="Arial" w:cs="Arial"/>
          <w:sz w:val="18"/>
          <w:szCs w:val="18"/>
        </w:rPr>
      </w:pPr>
      <w:bookmarkStart w:id="13" w:name="OLE_LINK125"/>
      <w:bookmarkStart w:id="14" w:name="OLE_LINK126"/>
      <w:bookmarkStart w:id="15" w:name="OLE_LINK132"/>
      <w:r w:rsidRPr="00C41E56">
        <w:rPr>
          <w:rFonts w:ascii="Arial" w:hAnsi="Arial" w:cs="Arial"/>
          <w:b/>
          <w:bCs/>
          <w:sz w:val="18"/>
          <w:szCs w:val="18"/>
        </w:rPr>
        <w:t xml:space="preserve">Fig </w:t>
      </w:r>
      <w:r>
        <w:rPr>
          <w:rFonts w:ascii="Arial" w:hAnsi="Arial" w:cs="Arial"/>
          <w:b/>
          <w:bCs/>
          <w:sz w:val="18"/>
          <w:szCs w:val="18"/>
        </w:rPr>
        <w:t>S3</w:t>
      </w:r>
      <w:r>
        <w:rPr>
          <w:rFonts w:ascii="Arial" w:hAnsi="Arial" w:cs="Arial"/>
          <w:sz w:val="18"/>
          <w:szCs w:val="18"/>
        </w:rPr>
        <w:t xml:space="preserve">. </w:t>
      </w:r>
      <w:r w:rsidRPr="00135EE2">
        <w:rPr>
          <w:rFonts w:ascii="Arial" w:hAnsi="Arial" w:cs="Arial"/>
          <w:b/>
          <w:bCs/>
          <w:sz w:val="18"/>
          <w:szCs w:val="18"/>
        </w:rPr>
        <w:t>Comparison of TADA-</w:t>
      </w:r>
      <w:r w:rsidRPr="00135EE2">
        <w:rPr>
          <w:rFonts w:ascii="Arial" w:hAnsi="Arial" w:cs="Arial"/>
          <w:b/>
          <w:bCs/>
          <w:i/>
          <w:iCs/>
          <w:sz w:val="18"/>
          <w:szCs w:val="18"/>
        </w:rPr>
        <w:t>De novo</w:t>
      </w:r>
      <w:r w:rsidRPr="00135EE2">
        <w:rPr>
          <w:rFonts w:ascii="Arial" w:hAnsi="Arial" w:cs="Arial"/>
          <w:b/>
          <w:bCs/>
          <w:sz w:val="18"/>
          <w:szCs w:val="18"/>
        </w:rPr>
        <w:t>, TADA-</w:t>
      </w:r>
      <w:r w:rsidRPr="00135EE2">
        <w:rPr>
          <w:rFonts w:ascii="Arial" w:hAnsi="Arial" w:cs="Arial"/>
          <w:b/>
          <w:bCs/>
          <w:i/>
          <w:iCs/>
          <w:sz w:val="18"/>
          <w:szCs w:val="18"/>
        </w:rPr>
        <w:t>De novo</w:t>
      </w:r>
      <w:r w:rsidRPr="00135EE2">
        <w:rPr>
          <w:rFonts w:ascii="Arial" w:hAnsi="Arial" w:cs="Arial"/>
          <w:b/>
          <w:bCs/>
          <w:sz w:val="18"/>
          <w:szCs w:val="18"/>
        </w:rPr>
        <w:t xml:space="preserve"> p-values + DAWN and N-DATA</w:t>
      </w:r>
      <w:r>
        <w:rPr>
          <w:rFonts w:ascii="Arial" w:hAnsi="Arial" w:cs="Arial"/>
          <w:sz w:val="18"/>
          <w:szCs w:val="18"/>
        </w:rPr>
        <w:t>. Error bars represent standard errors estimated from 100 replications of simulation. (A) Power comparison of the three methods. Three panels from left to right represent cohorts with small, medium, and large sample sizes, respectively. (B) FDR control for the three methods. Red dash line represents the preset FDR threshold 0.</w:t>
      </w:r>
      <w:r>
        <w:rPr>
          <w:rFonts w:ascii="Arial" w:hAnsi="Arial" w:cs="Arial"/>
          <w:sz w:val="18"/>
          <w:szCs w:val="18"/>
        </w:rPr>
        <w:t>01</w:t>
      </w:r>
      <w:r>
        <w:rPr>
          <w:rFonts w:ascii="Arial" w:hAnsi="Arial" w:cs="Arial"/>
          <w:sz w:val="18"/>
          <w:szCs w:val="18"/>
        </w:rPr>
        <w:t>. Three panels from left to right represent cohorts with small, medium, and large sample sizes, respectively.</w:t>
      </w:r>
    </w:p>
    <w:bookmarkEnd w:id="13"/>
    <w:bookmarkEnd w:id="14"/>
    <w:bookmarkEnd w:id="15"/>
    <w:p w14:paraId="46178F53" w14:textId="77777777" w:rsidR="00892B08" w:rsidRDefault="00892B08"/>
    <w:p w14:paraId="11C0E6AA" w14:textId="18D0485B" w:rsidR="00892B08" w:rsidRDefault="00892B08"/>
    <w:p w14:paraId="68220372" w14:textId="078146AA" w:rsidR="00892B08" w:rsidRDefault="00892B08">
      <w:r>
        <w:rPr>
          <w:noProof/>
        </w:rPr>
        <w:drawing>
          <wp:inline distT="0" distB="0" distL="0" distR="0" wp14:anchorId="13808A35" wp14:editId="060702F0">
            <wp:extent cx="5943600" cy="1783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p>
    <w:p w14:paraId="50A3D9ED" w14:textId="5164B906" w:rsidR="00892B08" w:rsidRPr="00CB7A3E" w:rsidRDefault="00892B08" w:rsidP="00892B08">
      <w:pPr>
        <w:spacing w:line="480" w:lineRule="auto"/>
        <w:rPr>
          <w:rFonts w:ascii="Arial" w:hAnsi="Arial" w:cs="Arial"/>
          <w:sz w:val="18"/>
          <w:szCs w:val="18"/>
        </w:rPr>
      </w:pPr>
      <w:r w:rsidRPr="00C41E56">
        <w:rPr>
          <w:rFonts w:ascii="Arial" w:hAnsi="Arial" w:cs="Arial"/>
          <w:b/>
          <w:bCs/>
          <w:sz w:val="18"/>
          <w:szCs w:val="18"/>
        </w:rPr>
        <w:t xml:space="preserve">Fig </w:t>
      </w:r>
      <w:r>
        <w:rPr>
          <w:rFonts w:ascii="Arial" w:hAnsi="Arial" w:cs="Arial"/>
          <w:b/>
          <w:bCs/>
          <w:sz w:val="18"/>
          <w:szCs w:val="18"/>
        </w:rPr>
        <w:t>S</w:t>
      </w:r>
      <w:r>
        <w:rPr>
          <w:rFonts w:ascii="Arial" w:hAnsi="Arial" w:cs="Arial"/>
          <w:b/>
          <w:bCs/>
          <w:sz w:val="18"/>
          <w:szCs w:val="18"/>
        </w:rPr>
        <w:t>4</w:t>
      </w:r>
      <w:r>
        <w:rPr>
          <w:rFonts w:ascii="Arial" w:hAnsi="Arial" w:cs="Arial"/>
          <w:sz w:val="18"/>
          <w:szCs w:val="18"/>
        </w:rPr>
        <w:t xml:space="preserve">. </w:t>
      </w:r>
      <w:r w:rsidRPr="00135EE2">
        <w:rPr>
          <w:rFonts w:ascii="Arial" w:hAnsi="Arial" w:cs="Arial"/>
          <w:b/>
          <w:bCs/>
          <w:sz w:val="18"/>
          <w:szCs w:val="18"/>
        </w:rPr>
        <w:t>Comparison of TADA-</w:t>
      </w:r>
      <w:r w:rsidRPr="00135EE2">
        <w:rPr>
          <w:rFonts w:ascii="Arial" w:hAnsi="Arial" w:cs="Arial"/>
          <w:b/>
          <w:bCs/>
          <w:i/>
          <w:iCs/>
          <w:sz w:val="18"/>
          <w:szCs w:val="18"/>
        </w:rPr>
        <w:t>De novo</w:t>
      </w:r>
      <w:r w:rsidRPr="00135EE2">
        <w:rPr>
          <w:rFonts w:ascii="Arial" w:hAnsi="Arial" w:cs="Arial"/>
          <w:b/>
          <w:bCs/>
          <w:sz w:val="18"/>
          <w:szCs w:val="18"/>
        </w:rPr>
        <w:t>, TADA-</w:t>
      </w:r>
      <w:r w:rsidRPr="00135EE2">
        <w:rPr>
          <w:rFonts w:ascii="Arial" w:hAnsi="Arial" w:cs="Arial"/>
          <w:b/>
          <w:bCs/>
          <w:i/>
          <w:iCs/>
          <w:sz w:val="18"/>
          <w:szCs w:val="18"/>
        </w:rPr>
        <w:t>De novo</w:t>
      </w:r>
      <w:r w:rsidRPr="00135EE2">
        <w:rPr>
          <w:rFonts w:ascii="Arial" w:hAnsi="Arial" w:cs="Arial"/>
          <w:b/>
          <w:bCs/>
          <w:sz w:val="18"/>
          <w:szCs w:val="18"/>
        </w:rPr>
        <w:t xml:space="preserve"> p-values + DAWN and N-DATA</w:t>
      </w:r>
      <w:r>
        <w:rPr>
          <w:rFonts w:ascii="Arial" w:hAnsi="Arial" w:cs="Arial"/>
          <w:sz w:val="18"/>
          <w:szCs w:val="18"/>
        </w:rPr>
        <w:t>. Error bars represent standard errors estimated from 100 replications of simulation. (A) Power comparison of the three methods. Three panels from left to right represent cohorts with small, medium, and large sample sizes, respectively. (B) FDR control for the three methods. Red dash line represents the preset FDR threshold 0.1. Three panels from left to right represent cohorts with small, medium, and large sample sizes, respectively.</w:t>
      </w:r>
    </w:p>
    <w:p w14:paraId="0580A640" w14:textId="77777777" w:rsidR="00892B08" w:rsidRDefault="00892B08"/>
    <w:sectPr w:rsidR="00892B08" w:rsidSect="00575C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B08"/>
    <w:rsid w:val="00053CF0"/>
    <w:rsid w:val="000806A4"/>
    <w:rsid w:val="00107CA9"/>
    <w:rsid w:val="00146EF4"/>
    <w:rsid w:val="0015100D"/>
    <w:rsid w:val="00163AE7"/>
    <w:rsid w:val="001B1583"/>
    <w:rsid w:val="00221BB2"/>
    <w:rsid w:val="00225D5A"/>
    <w:rsid w:val="002436ED"/>
    <w:rsid w:val="00251AE6"/>
    <w:rsid w:val="002979AF"/>
    <w:rsid w:val="002C7C2D"/>
    <w:rsid w:val="002D3B00"/>
    <w:rsid w:val="002F03E0"/>
    <w:rsid w:val="002F3F2E"/>
    <w:rsid w:val="0032146F"/>
    <w:rsid w:val="00374A2A"/>
    <w:rsid w:val="003C33D6"/>
    <w:rsid w:val="003D2C2B"/>
    <w:rsid w:val="00433EA2"/>
    <w:rsid w:val="004C3FBE"/>
    <w:rsid w:val="004C722B"/>
    <w:rsid w:val="00510A77"/>
    <w:rsid w:val="005706DC"/>
    <w:rsid w:val="00575CBF"/>
    <w:rsid w:val="005B2B68"/>
    <w:rsid w:val="005B5A86"/>
    <w:rsid w:val="006421E0"/>
    <w:rsid w:val="00655050"/>
    <w:rsid w:val="00655CE8"/>
    <w:rsid w:val="006833FE"/>
    <w:rsid w:val="006A1A50"/>
    <w:rsid w:val="006B2534"/>
    <w:rsid w:val="006B6E15"/>
    <w:rsid w:val="006C543C"/>
    <w:rsid w:val="006F5C5D"/>
    <w:rsid w:val="00721D2F"/>
    <w:rsid w:val="00732B0B"/>
    <w:rsid w:val="00734DCC"/>
    <w:rsid w:val="00736909"/>
    <w:rsid w:val="00747DBC"/>
    <w:rsid w:val="0075306E"/>
    <w:rsid w:val="00782510"/>
    <w:rsid w:val="0080776D"/>
    <w:rsid w:val="00892B08"/>
    <w:rsid w:val="008956E1"/>
    <w:rsid w:val="008A052C"/>
    <w:rsid w:val="008C1995"/>
    <w:rsid w:val="008C5EC6"/>
    <w:rsid w:val="008D1680"/>
    <w:rsid w:val="008E3189"/>
    <w:rsid w:val="00930B7D"/>
    <w:rsid w:val="00933353"/>
    <w:rsid w:val="00936165"/>
    <w:rsid w:val="0094081E"/>
    <w:rsid w:val="00945FDE"/>
    <w:rsid w:val="00966405"/>
    <w:rsid w:val="00977A7E"/>
    <w:rsid w:val="00993C92"/>
    <w:rsid w:val="009C6E1B"/>
    <w:rsid w:val="00A03AAB"/>
    <w:rsid w:val="00A27214"/>
    <w:rsid w:val="00A576AE"/>
    <w:rsid w:val="00A627F4"/>
    <w:rsid w:val="00A7660B"/>
    <w:rsid w:val="00A865DC"/>
    <w:rsid w:val="00A90176"/>
    <w:rsid w:val="00B11D39"/>
    <w:rsid w:val="00B74133"/>
    <w:rsid w:val="00B74D28"/>
    <w:rsid w:val="00B826A6"/>
    <w:rsid w:val="00BD60D6"/>
    <w:rsid w:val="00C16E48"/>
    <w:rsid w:val="00C47009"/>
    <w:rsid w:val="00C7572F"/>
    <w:rsid w:val="00C768D0"/>
    <w:rsid w:val="00CC5A17"/>
    <w:rsid w:val="00D33FE7"/>
    <w:rsid w:val="00D42A8F"/>
    <w:rsid w:val="00D877D4"/>
    <w:rsid w:val="00DA4DAC"/>
    <w:rsid w:val="00DD02A1"/>
    <w:rsid w:val="00DE0673"/>
    <w:rsid w:val="00DE33D9"/>
    <w:rsid w:val="00E2054A"/>
    <w:rsid w:val="00E4550C"/>
    <w:rsid w:val="00E63D6A"/>
    <w:rsid w:val="00EC2D62"/>
    <w:rsid w:val="00EC4637"/>
    <w:rsid w:val="00EC733F"/>
    <w:rsid w:val="00ED0A51"/>
    <w:rsid w:val="00EF57FD"/>
    <w:rsid w:val="00F4167C"/>
    <w:rsid w:val="00F41E8F"/>
    <w:rsid w:val="00F57048"/>
    <w:rsid w:val="00F87CDD"/>
    <w:rsid w:val="00FC50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A32269A"/>
  <w15:chartTrackingRefBased/>
  <w15:docId w15:val="{AC5CF7E7-6B7D-3444-84A0-18A36FD34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B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287</Words>
  <Characters>1754</Characters>
  <Application>Microsoft Office Word</Application>
  <DocSecurity>0</DocSecurity>
  <Lines>36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 Justina</dc:creator>
  <cp:keywords/>
  <dc:description/>
  <cp:lastModifiedBy>Tse Justina</cp:lastModifiedBy>
  <cp:revision>2</cp:revision>
  <dcterms:created xsi:type="dcterms:W3CDTF">2021-11-07T20:15:00Z</dcterms:created>
  <dcterms:modified xsi:type="dcterms:W3CDTF">2021-11-07T20:49:00Z</dcterms:modified>
</cp:coreProperties>
</file>