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4CD6" w14:textId="77777777" w:rsidR="008A4B57" w:rsidRPr="000A2E06" w:rsidRDefault="008A4B57" w:rsidP="008A4B57">
      <w:pPr>
        <w:suppressLineNumbers/>
        <w:spacing w:after="0" w:line="480" w:lineRule="auto"/>
        <w:ind w:right="-24"/>
        <w:jc w:val="both"/>
        <w:rPr>
          <w:b/>
          <w:iCs/>
          <w:sz w:val="28"/>
          <w:szCs w:val="28"/>
          <w:lang w:val="en-US"/>
        </w:rPr>
      </w:pPr>
      <w:r>
        <w:rPr>
          <w:b/>
          <w:iCs/>
          <w:sz w:val="28"/>
          <w:szCs w:val="28"/>
          <w:lang w:val="en-US"/>
        </w:rPr>
        <w:t xml:space="preserve">S1 text file. Detailed </w:t>
      </w:r>
      <w:r w:rsidRPr="000A2E06">
        <w:rPr>
          <w:b/>
          <w:iCs/>
          <w:sz w:val="28"/>
          <w:szCs w:val="28"/>
          <w:lang w:val="en-US"/>
        </w:rPr>
        <w:t>Methods</w:t>
      </w:r>
    </w:p>
    <w:p w14:paraId="4FD6AE3E" w14:textId="77777777" w:rsidR="008A4B57" w:rsidRPr="000D763C" w:rsidRDefault="008A4B57" w:rsidP="008A4B57">
      <w:pPr>
        <w:spacing w:after="0" w:line="480" w:lineRule="auto"/>
        <w:jc w:val="both"/>
        <w:rPr>
          <w:b/>
          <w:bCs/>
          <w:i/>
          <w:iCs/>
          <w:sz w:val="24"/>
          <w:szCs w:val="24"/>
          <w:lang w:val="en-US"/>
        </w:rPr>
      </w:pPr>
      <w:r w:rsidRPr="000D763C">
        <w:rPr>
          <w:b/>
          <w:bCs/>
          <w:i/>
          <w:iCs/>
          <w:sz w:val="24"/>
          <w:szCs w:val="24"/>
          <w:lang w:val="en-US"/>
        </w:rPr>
        <w:t>Study design, setting and population</w:t>
      </w:r>
    </w:p>
    <w:p w14:paraId="79E76E24" w14:textId="77777777" w:rsidR="008A4B57" w:rsidRDefault="008A4B57" w:rsidP="008A4B57">
      <w:pPr>
        <w:spacing w:after="0" w:line="480" w:lineRule="auto"/>
        <w:jc w:val="both"/>
        <w:rPr>
          <w:sz w:val="24"/>
          <w:szCs w:val="24"/>
          <w:lang w:val="en-US"/>
        </w:rPr>
      </w:pPr>
      <w:r>
        <w:rPr>
          <w:sz w:val="24"/>
          <w:szCs w:val="24"/>
          <w:lang w:val="en-US"/>
        </w:rPr>
        <w:t>A</w:t>
      </w:r>
      <w:r w:rsidRPr="000A2E06">
        <w:rPr>
          <w:sz w:val="24"/>
          <w:szCs w:val="24"/>
          <w:lang w:val="en-US"/>
        </w:rPr>
        <w:t xml:space="preserve"> retrospective cohort </w:t>
      </w:r>
      <w:r w:rsidRPr="000A2E06">
        <w:rPr>
          <w:color w:val="000000" w:themeColor="text1"/>
          <w:sz w:val="24"/>
          <w:szCs w:val="24"/>
          <w:lang w:val="en-US"/>
        </w:rPr>
        <w:t xml:space="preserve">study </w:t>
      </w:r>
      <w:r>
        <w:rPr>
          <w:color w:val="000000" w:themeColor="text1"/>
          <w:sz w:val="24"/>
          <w:szCs w:val="24"/>
          <w:lang w:val="en-US"/>
        </w:rPr>
        <w:t xml:space="preserve">was conducted </w:t>
      </w:r>
      <w:r w:rsidRPr="000A2E06">
        <w:rPr>
          <w:color w:val="000000" w:themeColor="text1"/>
          <w:sz w:val="24"/>
          <w:szCs w:val="24"/>
          <w:lang w:val="en-US"/>
        </w:rPr>
        <w:t xml:space="preserve">using data collected prospectively </w:t>
      </w:r>
      <w:r w:rsidRPr="000A2E06">
        <w:rPr>
          <w:sz w:val="24"/>
          <w:szCs w:val="24"/>
          <w:lang w:val="en-US"/>
        </w:rPr>
        <w:t xml:space="preserve">between </w:t>
      </w:r>
      <w:r>
        <w:rPr>
          <w:sz w:val="24"/>
          <w:szCs w:val="24"/>
          <w:lang w:val="en-US"/>
        </w:rPr>
        <w:t xml:space="preserve">23 </w:t>
      </w:r>
      <w:r w:rsidRPr="000A2E06">
        <w:rPr>
          <w:sz w:val="24"/>
          <w:szCs w:val="24"/>
          <w:lang w:val="en-US"/>
        </w:rPr>
        <w:t xml:space="preserve">March and </w:t>
      </w:r>
      <w:r>
        <w:rPr>
          <w:sz w:val="24"/>
          <w:szCs w:val="24"/>
          <w:lang w:val="en-US"/>
        </w:rPr>
        <w:t xml:space="preserve">10 </w:t>
      </w:r>
      <w:r w:rsidRPr="000A2E06">
        <w:rPr>
          <w:sz w:val="24"/>
          <w:szCs w:val="24"/>
          <w:lang w:val="en-US"/>
        </w:rPr>
        <w:t>May 2020</w:t>
      </w:r>
      <w:r>
        <w:rPr>
          <w:sz w:val="24"/>
          <w:szCs w:val="24"/>
          <w:lang w:val="en-US"/>
        </w:rPr>
        <w:t>.  All</w:t>
      </w:r>
      <w:r w:rsidRPr="000A2E06">
        <w:rPr>
          <w:sz w:val="24"/>
          <w:szCs w:val="24"/>
          <w:lang w:val="en-US"/>
        </w:rPr>
        <w:t xml:space="preserve"> subjects </w:t>
      </w:r>
      <w:r>
        <w:rPr>
          <w:sz w:val="24"/>
          <w:szCs w:val="24"/>
          <w:lang w:val="en-US"/>
        </w:rPr>
        <w:t xml:space="preserve">were </w:t>
      </w:r>
      <w:r w:rsidRPr="000A2E06">
        <w:rPr>
          <w:sz w:val="24"/>
          <w:szCs w:val="24"/>
          <w:lang w:val="en-US"/>
        </w:rPr>
        <w:t>screened for COVID-19 within the UDACS of Saint-Pierre (</w:t>
      </w:r>
      <w:proofErr w:type="spellStart"/>
      <w:r w:rsidRPr="000A2E06">
        <w:rPr>
          <w:i/>
          <w:sz w:val="24"/>
          <w:szCs w:val="24"/>
          <w:lang w:val="en-US"/>
        </w:rPr>
        <w:t>Unité</w:t>
      </w:r>
      <w:proofErr w:type="spellEnd"/>
      <w:r w:rsidRPr="000A2E06">
        <w:rPr>
          <w:i/>
          <w:sz w:val="24"/>
          <w:szCs w:val="24"/>
          <w:lang w:val="en-US"/>
        </w:rPr>
        <w:t xml:space="preserve"> de </w:t>
      </w:r>
      <w:proofErr w:type="spellStart"/>
      <w:r w:rsidRPr="000A2E06">
        <w:rPr>
          <w:i/>
          <w:sz w:val="24"/>
          <w:szCs w:val="24"/>
          <w:lang w:val="en-US"/>
        </w:rPr>
        <w:t>Dépistage</w:t>
      </w:r>
      <w:proofErr w:type="spellEnd"/>
      <w:r w:rsidRPr="000A2E06">
        <w:rPr>
          <w:i/>
          <w:sz w:val="24"/>
          <w:szCs w:val="24"/>
          <w:lang w:val="en-US"/>
        </w:rPr>
        <w:t xml:space="preserve"> </w:t>
      </w:r>
      <w:proofErr w:type="spellStart"/>
      <w:r w:rsidRPr="000A2E06">
        <w:rPr>
          <w:i/>
          <w:sz w:val="24"/>
          <w:szCs w:val="24"/>
          <w:lang w:val="en-US"/>
        </w:rPr>
        <w:t>Ambulatoire</w:t>
      </w:r>
      <w:proofErr w:type="spellEnd"/>
      <w:r w:rsidRPr="000A2E06">
        <w:rPr>
          <w:i/>
          <w:sz w:val="24"/>
          <w:szCs w:val="24"/>
          <w:lang w:val="en-US"/>
        </w:rPr>
        <w:t xml:space="preserve"> du COVID-19 Sud</w:t>
      </w:r>
      <w:r w:rsidRPr="000A2E06">
        <w:rPr>
          <w:sz w:val="24"/>
          <w:szCs w:val="24"/>
          <w:lang w:val="en-US"/>
        </w:rPr>
        <w:t>)</w:t>
      </w:r>
      <w:r>
        <w:rPr>
          <w:sz w:val="24"/>
          <w:szCs w:val="24"/>
          <w:lang w:val="en-US"/>
        </w:rPr>
        <w:t xml:space="preserve"> which is</w:t>
      </w:r>
      <w:r w:rsidRPr="000A2E06">
        <w:rPr>
          <w:sz w:val="24"/>
          <w:szCs w:val="24"/>
          <w:lang w:val="en-US"/>
        </w:rPr>
        <w:t xml:space="preserve"> one of the two SARS-CoV-2 testing centers of the </w:t>
      </w:r>
      <w:r w:rsidRPr="000A2E06">
        <w:rPr>
          <w:i/>
          <w:sz w:val="24"/>
          <w:szCs w:val="24"/>
          <w:lang w:val="en-US"/>
        </w:rPr>
        <w:t xml:space="preserve">Centre </w:t>
      </w:r>
      <w:proofErr w:type="spellStart"/>
      <w:r w:rsidRPr="000A2E06">
        <w:rPr>
          <w:i/>
          <w:sz w:val="24"/>
          <w:szCs w:val="24"/>
          <w:lang w:val="en-US"/>
        </w:rPr>
        <w:t>Hospitalier</w:t>
      </w:r>
      <w:proofErr w:type="spellEnd"/>
      <w:r w:rsidRPr="000A2E06">
        <w:rPr>
          <w:i/>
          <w:sz w:val="24"/>
          <w:szCs w:val="24"/>
          <w:lang w:val="en-US"/>
        </w:rPr>
        <w:t xml:space="preserve"> </w:t>
      </w:r>
      <w:proofErr w:type="spellStart"/>
      <w:r w:rsidRPr="000A2E06">
        <w:rPr>
          <w:i/>
          <w:sz w:val="24"/>
          <w:szCs w:val="24"/>
          <w:lang w:val="en-US"/>
        </w:rPr>
        <w:t>Universitaire</w:t>
      </w:r>
      <w:proofErr w:type="spellEnd"/>
      <w:r w:rsidRPr="000A2E06">
        <w:rPr>
          <w:i/>
          <w:sz w:val="24"/>
          <w:szCs w:val="24"/>
          <w:lang w:val="en-US"/>
        </w:rPr>
        <w:t xml:space="preserve"> </w:t>
      </w:r>
      <w:r w:rsidRPr="000A2E06">
        <w:rPr>
          <w:sz w:val="24"/>
          <w:szCs w:val="24"/>
          <w:lang w:val="en-US"/>
        </w:rPr>
        <w:t xml:space="preserve">(CHU) </w:t>
      </w:r>
      <w:r>
        <w:rPr>
          <w:sz w:val="24"/>
          <w:szCs w:val="24"/>
          <w:lang w:val="en-US"/>
        </w:rPr>
        <w:t xml:space="preserve">in </w:t>
      </w:r>
      <w:r w:rsidRPr="00BB152B">
        <w:rPr>
          <w:sz w:val="24"/>
          <w:szCs w:val="24"/>
          <w:lang w:val="en-US"/>
        </w:rPr>
        <w:t>Reunion</w:t>
      </w:r>
      <w:r>
        <w:rPr>
          <w:sz w:val="24"/>
          <w:szCs w:val="24"/>
          <w:lang w:val="en-US"/>
        </w:rPr>
        <w:t xml:space="preserve"> Island</w:t>
      </w:r>
      <w:r>
        <w:rPr>
          <w:i/>
          <w:sz w:val="24"/>
          <w:szCs w:val="24"/>
          <w:lang w:val="en-US"/>
        </w:rPr>
        <w:t xml:space="preserve"> </w:t>
      </w:r>
      <w:r w:rsidRPr="006E40DF">
        <w:rPr>
          <w:sz w:val="24"/>
          <w:szCs w:val="24"/>
          <w:lang w:val="en-US"/>
        </w:rPr>
        <w:t>serving</w:t>
      </w:r>
      <w:r w:rsidRPr="00FB562E">
        <w:rPr>
          <w:iCs/>
          <w:sz w:val="24"/>
          <w:szCs w:val="24"/>
          <w:lang w:val="en-US"/>
        </w:rPr>
        <w:t xml:space="preserve"> the general population at that time </w:t>
      </w:r>
      <w:r w:rsidRPr="00FB562E">
        <w:rPr>
          <w:sz w:val="24"/>
          <w:szCs w:val="24"/>
          <w:lang w:val="en-US"/>
        </w:rPr>
        <w:t>[</w:t>
      </w:r>
      <w:r w:rsidRPr="00694143">
        <w:rPr>
          <w:color w:val="00B0F0"/>
          <w:sz w:val="24"/>
          <w:szCs w:val="24"/>
          <w:lang w:val="en-US"/>
        </w:rPr>
        <w:t>1</w:t>
      </w:r>
      <w:r w:rsidRPr="00FB562E">
        <w:rPr>
          <w:sz w:val="24"/>
          <w:szCs w:val="24"/>
          <w:lang w:val="en-US"/>
        </w:rPr>
        <w:t>]</w:t>
      </w:r>
      <w:r w:rsidRPr="00FB562E">
        <w:rPr>
          <w:iCs/>
          <w:sz w:val="24"/>
          <w:szCs w:val="24"/>
          <w:lang w:val="en-US"/>
        </w:rPr>
        <w:t>.</w:t>
      </w:r>
      <w:r w:rsidRPr="00FB562E">
        <w:rPr>
          <w:i/>
          <w:sz w:val="24"/>
          <w:szCs w:val="24"/>
          <w:lang w:val="en-US"/>
        </w:rPr>
        <w:t xml:space="preserve"> </w:t>
      </w:r>
      <w:r w:rsidRPr="00FB562E">
        <w:rPr>
          <w:sz w:val="24"/>
          <w:szCs w:val="24"/>
          <w:lang w:val="en-US"/>
        </w:rPr>
        <w:t>It is worth noting that when SARS-CoV-2 first emerged on the island in March 2020, a dengue epidemic was already expanding. The UDACS of Saint-Pierre was mobilized as a second line for the reception system for COVID-19 patients with the frontline being the emergency units and a dedicated hospital for COVID-19 patients (CHU</w:t>
      </w:r>
      <w:r w:rsidRPr="00FB562E">
        <w:rPr>
          <w:i/>
          <w:sz w:val="24"/>
          <w:szCs w:val="24"/>
          <w:lang w:val="en-US"/>
        </w:rPr>
        <w:t xml:space="preserve"> </w:t>
      </w:r>
      <w:r w:rsidRPr="00FB562E">
        <w:rPr>
          <w:sz w:val="24"/>
          <w:szCs w:val="24"/>
          <w:lang w:val="en-US"/>
        </w:rPr>
        <w:t xml:space="preserve">Félix Guyon in Saint-Denis) located near the prefecture and international airport.  </w:t>
      </w:r>
      <w:r w:rsidRPr="00BB152B">
        <w:rPr>
          <w:sz w:val="24"/>
          <w:szCs w:val="24"/>
          <w:lang w:val="en-US"/>
        </w:rPr>
        <w:t>People without symptoms or with co-infections were excluded from the study</w:t>
      </w:r>
      <w:r>
        <w:rPr>
          <w:sz w:val="24"/>
          <w:szCs w:val="24"/>
          <w:lang w:val="en-US"/>
        </w:rPr>
        <w:t>.</w:t>
      </w:r>
    </w:p>
    <w:p w14:paraId="3E795151" w14:textId="77777777" w:rsidR="008A4B57" w:rsidRPr="00BB152B" w:rsidRDefault="008A4B57" w:rsidP="008A4B57">
      <w:pPr>
        <w:spacing w:after="0" w:line="480" w:lineRule="auto"/>
        <w:jc w:val="both"/>
        <w:rPr>
          <w:bCs/>
          <w:i/>
          <w:iCs/>
          <w:sz w:val="24"/>
          <w:szCs w:val="24"/>
          <w:lang w:val="en-US"/>
        </w:rPr>
      </w:pPr>
    </w:p>
    <w:p w14:paraId="4F315C2D" w14:textId="77777777" w:rsidR="008A4B57" w:rsidRPr="000D763C" w:rsidRDefault="008A4B57" w:rsidP="008A4B57">
      <w:pPr>
        <w:spacing w:after="0" w:line="480" w:lineRule="auto"/>
        <w:jc w:val="both"/>
        <w:rPr>
          <w:b/>
          <w:bCs/>
          <w:i/>
          <w:iCs/>
          <w:sz w:val="24"/>
          <w:szCs w:val="24"/>
          <w:lang w:val="en-US"/>
        </w:rPr>
      </w:pPr>
      <w:r w:rsidRPr="000D763C">
        <w:rPr>
          <w:b/>
          <w:bCs/>
          <w:i/>
          <w:iCs/>
          <w:sz w:val="24"/>
          <w:szCs w:val="24"/>
          <w:lang w:val="en-US"/>
        </w:rPr>
        <w:t>Ethics statement</w:t>
      </w:r>
      <w:r w:rsidRPr="000D763C">
        <w:rPr>
          <w:b/>
          <w:bCs/>
          <w:i/>
          <w:iCs/>
          <w:sz w:val="24"/>
          <w:szCs w:val="24"/>
          <w:lang w:val="en-US"/>
        </w:rPr>
        <w:tab/>
      </w:r>
    </w:p>
    <w:p w14:paraId="33AA1CB0" w14:textId="77777777" w:rsidR="008A4B57" w:rsidRDefault="008A4B57" w:rsidP="008A4B57">
      <w:pPr>
        <w:spacing w:after="0" w:line="480" w:lineRule="auto"/>
        <w:jc w:val="both"/>
        <w:rPr>
          <w:sz w:val="24"/>
          <w:szCs w:val="24"/>
          <w:lang w:val="en-US"/>
        </w:rPr>
      </w:pPr>
      <w:r>
        <w:rPr>
          <w:sz w:val="24"/>
          <w:szCs w:val="24"/>
          <w:lang w:val="en-US"/>
        </w:rPr>
        <w:t>Co</w:t>
      </w:r>
      <w:r w:rsidRPr="000A2E06">
        <w:rPr>
          <w:sz w:val="24"/>
          <w:szCs w:val="24"/>
          <w:lang w:val="en-US"/>
        </w:rPr>
        <w:t xml:space="preserve">nsecutively </w:t>
      </w:r>
      <w:r>
        <w:rPr>
          <w:sz w:val="24"/>
          <w:szCs w:val="24"/>
          <w:lang w:val="en-US"/>
        </w:rPr>
        <w:t>arriving o</w:t>
      </w:r>
      <w:r w:rsidRPr="000A2E06">
        <w:rPr>
          <w:sz w:val="24"/>
          <w:szCs w:val="24"/>
          <w:lang w:val="en-US"/>
        </w:rPr>
        <w:t xml:space="preserve">utpatients </w:t>
      </w:r>
      <w:r>
        <w:rPr>
          <w:sz w:val="24"/>
          <w:szCs w:val="24"/>
          <w:lang w:val="en-US"/>
        </w:rPr>
        <w:t>to</w:t>
      </w:r>
      <w:r w:rsidRPr="000A2E06">
        <w:rPr>
          <w:sz w:val="24"/>
          <w:szCs w:val="24"/>
          <w:lang w:val="en-US"/>
        </w:rPr>
        <w:t xml:space="preserve"> the SARS-CoV-2 testing center were informed of the study </w:t>
      </w:r>
      <w:r>
        <w:rPr>
          <w:sz w:val="24"/>
          <w:szCs w:val="24"/>
          <w:lang w:val="en-US"/>
        </w:rPr>
        <w:t>both verbally</w:t>
      </w:r>
      <w:r w:rsidRPr="000A2E06">
        <w:rPr>
          <w:sz w:val="24"/>
          <w:szCs w:val="24"/>
          <w:lang w:val="en-US"/>
        </w:rPr>
        <w:t xml:space="preserve"> and by means of an information</w:t>
      </w:r>
      <w:r>
        <w:rPr>
          <w:sz w:val="24"/>
          <w:szCs w:val="24"/>
          <w:lang w:val="en-US"/>
        </w:rPr>
        <w:t>al</w:t>
      </w:r>
      <w:r w:rsidRPr="000A2E06">
        <w:rPr>
          <w:sz w:val="24"/>
          <w:szCs w:val="24"/>
          <w:lang w:val="en-US"/>
        </w:rPr>
        <w:t xml:space="preserve"> </w:t>
      </w:r>
      <w:r>
        <w:rPr>
          <w:sz w:val="24"/>
          <w:szCs w:val="24"/>
          <w:lang w:val="en-US"/>
        </w:rPr>
        <w:t>document</w:t>
      </w:r>
      <w:r w:rsidRPr="000A2E06">
        <w:rPr>
          <w:sz w:val="24"/>
          <w:szCs w:val="24"/>
          <w:lang w:val="en-US"/>
        </w:rPr>
        <w:t>. Adult</w:t>
      </w:r>
      <w:r>
        <w:rPr>
          <w:sz w:val="24"/>
          <w:szCs w:val="24"/>
          <w:lang w:val="en-US"/>
        </w:rPr>
        <w:t>s,</w:t>
      </w:r>
      <w:r w:rsidRPr="000A2E06">
        <w:rPr>
          <w:sz w:val="24"/>
          <w:szCs w:val="24"/>
          <w:lang w:val="en-US"/>
        </w:rPr>
        <w:t xml:space="preserve"> as </w:t>
      </w:r>
      <w:r>
        <w:rPr>
          <w:sz w:val="24"/>
          <w:szCs w:val="24"/>
          <w:lang w:val="en-US"/>
        </w:rPr>
        <w:t>well as</w:t>
      </w:r>
      <w:r w:rsidRPr="000A2E06">
        <w:rPr>
          <w:sz w:val="24"/>
          <w:szCs w:val="24"/>
          <w:lang w:val="en-US"/>
        </w:rPr>
        <w:t xml:space="preserve"> children under 18 years</w:t>
      </w:r>
      <w:r>
        <w:rPr>
          <w:sz w:val="24"/>
          <w:szCs w:val="24"/>
          <w:lang w:val="en-US"/>
        </w:rPr>
        <w:t xml:space="preserve"> old</w:t>
      </w:r>
      <w:r w:rsidRPr="000A2E06">
        <w:rPr>
          <w:sz w:val="24"/>
          <w:szCs w:val="24"/>
          <w:lang w:val="en-US"/>
        </w:rPr>
        <w:t xml:space="preserve"> </w:t>
      </w:r>
      <w:r>
        <w:rPr>
          <w:sz w:val="24"/>
          <w:szCs w:val="24"/>
          <w:lang w:val="en-US"/>
        </w:rPr>
        <w:t>having</w:t>
      </w:r>
      <w:r w:rsidRPr="000A2E06">
        <w:rPr>
          <w:sz w:val="24"/>
          <w:szCs w:val="24"/>
          <w:lang w:val="en-US"/>
        </w:rPr>
        <w:t xml:space="preserve"> additional verbal consent of their parent or legal guardian</w:t>
      </w:r>
      <w:r>
        <w:rPr>
          <w:sz w:val="24"/>
          <w:szCs w:val="24"/>
          <w:lang w:val="en-US"/>
        </w:rPr>
        <w:t>,</w:t>
      </w:r>
      <w:r w:rsidRPr="000A2E06">
        <w:rPr>
          <w:sz w:val="24"/>
          <w:szCs w:val="24"/>
          <w:lang w:val="en-US"/>
        </w:rPr>
        <w:t xml:space="preserve"> who expressed </w:t>
      </w:r>
      <w:r>
        <w:rPr>
          <w:sz w:val="24"/>
          <w:szCs w:val="24"/>
          <w:lang w:val="en-US"/>
        </w:rPr>
        <w:t>their consent</w:t>
      </w:r>
      <w:r w:rsidRPr="000A2E06">
        <w:rPr>
          <w:sz w:val="24"/>
          <w:szCs w:val="24"/>
          <w:lang w:val="en-US"/>
        </w:rPr>
        <w:t xml:space="preserve"> </w:t>
      </w:r>
      <w:r>
        <w:rPr>
          <w:sz w:val="24"/>
          <w:szCs w:val="24"/>
          <w:lang w:val="en-US"/>
        </w:rPr>
        <w:t xml:space="preserve">in participating in the study </w:t>
      </w:r>
      <w:r w:rsidRPr="000A2E06">
        <w:rPr>
          <w:sz w:val="24"/>
          <w:szCs w:val="24"/>
          <w:lang w:val="en-US"/>
        </w:rPr>
        <w:t xml:space="preserve">were asked to answer a questionnaire and </w:t>
      </w:r>
      <w:r>
        <w:rPr>
          <w:sz w:val="24"/>
          <w:szCs w:val="24"/>
          <w:lang w:val="en-US"/>
        </w:rPr>
        <w:t xml:space="preserve">participate in a face-to-face interview with </w:t>
      </w:r>
      <w:r w:rsidRPr="000A2E06">
        <w:rPr>
          <w:sz w:val="24"/>
          <w:szCs w:val="24"/>
          <w:lang w:val="en-US"/>
        </w:rPr>
        <w:t xml:space="preserve">a nurse in accordance with French legislation on bioethics for retrospective research. Patient medical records were retrospectively </w:t>
      </w:r>
      <w:proofErr w:type="gramStart"/>
      <w:r w:rsidRPr="000A2E06">
        <w:rPr>
          <w:sz w:val="24"/>
          <w:szCs w:val="24"/>
          <w:lang w:val="en-US"/>
        </w:rPr>
        <w:t>reviewed</w:t>
      </w:r>
      <w:proofErr w:type="gramEnd"/>
      <w:r w:rsidRPr="000A2E06">
        <w:rPr>
          <w:sz w:val="24"/>
          <w:szCs w:val="24"/>
          <w:lang w:val="en-US"/>
        </w:rPr>
        <w:t xml:space="preserve"> and </w:t>
      </w:r>
      <w:r>
        <w:rPr>
          <w:sz w:val="24"/>
          <w:szCs w:val="24"/>
          <w:lang w:val="en-US"/>
        </w:rPr>
        <w:t xml:space="preserve">anonymized </w:t>
      </w:r>
      <w:r w:rsidRPr="000A2E06">
        <w:rPr>
          <w:sz w:val="24"/>
          <w:szCs w:val="24"/>
          <w:lang w:val="en-US"/>
        </w:rPr>
        <w:t xml:space="preserve">data were collected </w:t>
      </w:r>
      <w:r>
        <w:rPr>
          <w:sz w:val="24"/>
          <w:szCs w:val="24"/>
          <w:lang w:val="en-US"/>
        </w:rPr>
        <w:t>using</w:t>
      </w:r>
      <w:r w:rsidRPr="000A2E06">
        <w:rPr>
          <w:sz w:val="24"/>
          <w:szCs w:val="24"/>
          <w:lang w:val="en-US"/>
        </w:rPr>
        <w:t xml:space="preserve"> standardized forms </w:t>
      </w:r>
      <w:r>
        <w:rPr>
          <w:sz w:val="24"/>
          <w:szCs w:val="24"/>
          <w:lang w:val="en-US"/>
        </w:rPr>
        <w:t>in accordance with</w:t>
      </w:r>
      <w:r w:rsidRPr="000A2E06">
        <w:rPr>
          <w:sz w:val="24"/>
          <w:szCs w:val="24"/>
          <w:lang w:val="en-US"/>
        </w:rPr>
        <w:t xml:space="preserve"> the MR-004 procedure of</w:t>
      </w:r>
      <w:r>
        <w:rPr>
          <w:sz w:val="24"/>
          <w:szCs w:val="24"/>
          <w:lang w:val="en-US"/>
        </w:rPr>
        <w:t xml:space="preserve"> </w:t>
      </w:r>
      <w:r w:rsidRPr="000A2E06">
        <w:rPr>
          <w:sz w:val="24"/>
          <w:szCs w:val="24"/>
          <w:lang w:val="en-US"/>
        </w:rPr>
        <w:t>the French information protection commission</w:t>
      </w:r>
      <w:r>
        <w:rPr>
          <w:i/>
          <w:sz w:val="24"/>
          <w:szCs w:val="24"/>
          <w:lang w:val="en-US"/>
        </w:rPr>
        <w:t xml:space="preserve">, </w:t>
      </w:r>
      <w:r w:rsidRPr="000A2E06">
        <w:rPr>
          <w:i/>
          <w:sz w:val="24"/>
          <w:szCs w:val="24"/>
          <w:lang w:val="en-US"/>
        </w:rPr>
        <w:t xml:space="preserve">Commission </w:t>
      </w:r>
      <w:proofErr w:type="spellStart"/>
      <w:r w:rsidRPr="000A2E06">
        <w:rPr>
          <w:i/>
          <w:sz w:val="24"/>
          <w:szCs w:val="24"/>
          <w:lang w:val="en-US"/>
        </w:rPr>
        <w:t>Nationale</w:t>
      </w:r>
      <w:proofErr w:type="spellEnd"/>
      <w:r w:rsidRPr="000A2E06">
        <w:rPr>
          <w:i/>
          <w:sz w:val="24"/>
          <w:szCs w:val="24"/>
          <w:lang w:val="en-US"/>
        </w:rPr>
        <w:t xml:space="preserve"> de </w:t>
      </w:r>
      <w:proofErr w:type="spellStart"/>
      <w:r w:rsidRPr="000A2E06">
        <w:rPr>
          <w:i/>
          <w:sz w:val="24"/>
          <w:szCs w:val="24"/>
          <w:lang w:val="en-US"/>
        </w:rPr>
        <w:t>l’Informatique</w:t>
      </w:r>
      <w:proofErr w:type="spellEnd"/>
      <w:r w:rsidRPr="000A2E06">
        <w:rPr>
          <w:i/>
          <w:sz w:val="24"/>
          <w:szCs w:val="24"/>
          <w:lang w:val="en-US"/>
        </w:rPr>
        <w:t xml:space="preserve"> et des </w:t>
      </w:r>
      <w:proofErr w:type="spellStart"/>
      <w:r w:rsidRPr="000A2E06">
        <w:rPr>
          <w:i/>
          <w:sz w:val="24"/>
          <w:szCs w:val="24"/>
          <w:lang w:val="en-US"/>
        </w:rPr>
        <w:t>Libertés</w:t>
      </w:r>
      <w:proofErr w:type="spellEnd"/>
      <w:r>
        <w:rPr>
          <w:i/>
          <w:sz w:val="24"/>
          <w:szCs w:val="24"/>
          <w:lang w:val="en-US"/>
        </w:rPr>
        <w:t xml:space="preserve"> </w:t>
      </w:r>
      <w:r>
        <w:rPr>
          <w:iCs/>
          <w:sz w:val="24"/>
          <w:szCs w:val="24"/>
          <w:lang w:val="en-US"/>
        </w:rPr>
        <w:t>(CNIL)</w:t>
      </w:r>
      <w:r>
        <w:rPr>
          <w:i/>
          <w:sz w:val="24"/>
          <w:szCs w:val="24"/>
          <w:lang w:val="en-US"/>
        </w:rPr>
        <w:t>.</w:t>
      </w:r>
      <w:r w:rsidRPr="000A2E06">
        <w:rPr>
          <w:sz w:val="24"/>
          <w:szCs w:val="24"/>
          <w:lang w:val="en-US"/>
        </w:rPr>
        <w:t xml:space="preserve">  The ethical character of this study</w:t>
      </w:r>
      <w:r>
        <w:rPr>
          <w:sz w:val="24"/>
          <w:szCs w:val="24"/>
          <w:lang w:val="en-US"/>
        </w:rPr>
        <w:t>,</w:t>
      </w:r>
      <w:r w:rsidRPr="000A2E06">
        <w:rPr>
          <w:sz w:val="24"/>
          <w:szCs w:val="24"/>
          <w:lang w:val="en-US"/>
        </w:rPr>
        <w:t xml:space="preserve"> </w:t>
      </w:r>
      <w:r>
        <w:rPr>
          <w:sz w:val="24"/>
          <w:szCs w:val="24"/>
          <w:lang w:val="en-US"/>
        </w:rPr>
        <w:t xml:space="preserve">which was based </w:t>
      </w:r>
      <w:r w:rsidRPr="000A2E06">
        <w:rPr>
          <w:sz w:val="24"/>
          <w:szCs w:val="24"/>
          <w:lang w:val="en-US"/>
        </w:rPr>
        <w:t>on previously collected data</w:t>
      </w:r>
      <w:r>
        <w:rPr>
          <w:sz w:val="24"/>
          <w:szCs w:val="24"/>
          <w:lang w:val="en-US"/>
        </w:rPr>
        <w:t>,</w:t>
      </w:r>
      <w:r w:rsidRPr="000A2E06">
        <w:rPr>
          <w:sz w:val="24"/>
          <w:szCs w:val="24"/>
          <w:lang w:val="en-US"/>
        </w:rPr>
        <w:t xml:space="preserve"> was approved by the Scientific Committee for COVID-</w:t>
      </w:r>
      <w:r w:rsidRPr="000A2E06">
        <w:rPr>
          <w:sz w:val="24"/>
          <w:szCs w:val="24"/>
          <w:lang w:val="en-US"/>
        </w:rPr>
        <w:lastRenderedPageBreak/>
        <w:t xml:space="preserve">19 research of the CHU Reunion and </w:t>
      </w:r>
      <w:r>
        <w:rPr>
          <w:sz w:val="24"/>
          <w:szCs w:val="24"/>
          <w:lang w:val="en-US"/>
        </w:rPr>
        <w:t xml:space="preserve">anonymized </w:t>
      </w:r>
      <w:r w:rsidRPr="000A2E06">
        <w:rPr>
          <w:sz w:val="24"/>
          <w:szCs w:val="24"/>
          <w:lang w:val="en-US"/>
        </w:rPr>
        <w:t xml:space="preserve">data were registered on </w:t>
      </w:r>
      <w:r>
        <w:rPr>
          <w:sz w:val="24"/>
          <w:szCs w:val="24"/>
          <w:lang w:val="en-US"/>
        </w:rPr>
        <w:t xml:space="preserve">the </w:t>
      </w:r>
      <w:r w:rsidRPr="000A2E06">
        <w:rPr>
          <w:sz w:val="24"/>
          <w:szCs w:val="24"/>
          <w:lang w:val="en-US"/>
        </w:rPr>
        <w:t>Health Data Hub</w:t>
      </w:r>
      <w:r>
        <w:rPr>
          <w:sz w:val="24"/>
          <w:szCs w:val="24"/>
          <w:lang w:val="en-US"/>
        </w:rPr>
        <w:t xml:space="preserve"> database </w:t>
      </w:r>
      <w:r w:rsidRPr="00EA7F72">
        <w:rPr>
          <w:sz w:val="24"/>
          <w:szCs w:val="24"/>
          <w:lang w:val="en-US"/>
        </w:rPr>
        <w:t>(</w:t>
      </w:r>
      <w:r w:rsidRPr="009D46E4">
        <w:rPr>
          <w:rFonts w:cstheme="minorHAnsi"/>
          <w:color w:val="06303A"/>
          <w:lang w:val="en-US"/>
        </w:rPr>
        <w:t>N° F20201021104344/</w:t>
      </w:r>
      <w:proofErr w:type="gramStart"/>
      <w:r w:rsidRPr="009D46E4">
        <w:rPr>
          <w:rFonts w:cstheme="minorHAnsi"/>
          <w:color w:val="06303A"/>
          <w:lang w:val="en-US"/>
        </w:rPr>
        <w:t>October,</w:t>
      </w:r>
      <w:proofErr w:type="gramEnd"/>
      <w:r w:rsidRPr="009D46E4">
        <w:rPr>
          <w:rFonts w:cstheme="minorHAnsi"/>
          <w:color w:val="06303A"/>
          <w:lang w:val="en-US"/>
        </w:rPr>
        <w:t xml:space="preserve"> 2020</w:t>
      </w:r>
      <w:r w:rsidRPr="00EA7F72">
        <w:rPr>
          <w:sz w:val="24"/>
          <w:szCs w:val="24"/>
          <w:lang w:val="en-US"/>
        </w:rPr>
        <w:t>)</w:t>
      </w:r>
      <w:r w:rsidRPr="000A2E06">
        <w:rPr>
          <w:sz w:val="24"/>
          <w:szCs w:val="24"/>
          <w:lang w:val="en-US"/>
        </w:rPr>
        <w:t>.</w:t>
      </w:r>
    </w:p>
    <w:p w14:paraId="201B6CD2" w14:textId="77777777" w:rsidR="008A4B57" w:rsidRPr="000A2E06" w:rsidRDefault="008A4B57" w:rsidP="008A4B57">
      <w:pPr>
        <w:spacing w:after="0" w:line="480" w:lineRule="auto"/>
        <w:jc w:val="both"/>
        <w:rPr>
          <w:sz w:val="24"/>
          <w:szCs w:val="24"/>
          <w:lang w:val="en-US"/>
        </w:rPr>
      </w:pPr>
    </w:p>
    <w:p w14:paraId="572A88CF" w14:textId="77777777" w:rsidR="008A4B57" w:rsidRPr="000D763C" w:rsidRDefault="008A4B57" w:rsidP="008A4B57">
      <w:pPr>
        <w:spacing w:after="0" w:line="480" w:lineRule="auto"/>
        <w:jc w:val="both"/>
        <w:rPr>
          <w:b/>
          <w:bCs/>
          <w:i/>
          <w:iCs/>
          <w:sz w:val="24"/>
          <w:szCs w:val="24"/>
          <w:lang w:val="en-US"/>
        </w:rPr>
      </w:pPr>
      <w:r w:rsidRPr="000D763C">
        <w:rPr>
          <w:b/>
          <w:bCs/>
          <w:i/>
          <w:iCs/>
          <w:sz w:val="24"/>
          <w:szCs w:val="24"/>
          <w:lang w:val="en-US"/>
        </w:rPr>
        <w:t>Data collection</w:t>
      </w:r>
    </w:p>
    <w:p w14:paraId="15CF42D8" w14:textId="77777777" w:rsidR="008A4B57" w:rsidRDefault="008A4B57" w:rsidP="008A4B57">
      <w:pPr>
        <w:spacing w:after="0" w:line="480" w:lineRule="auto"/>
        <w:jc w:val="both"/>
        <w:rPr>
          <w:sz w:val="24"/>
          <w:szCs w:val="24"/>
          <w:lang w:val="en-US"/>
        </w:rPr>
      </w:pPr>
      <w:r w:rsidRPr="000A2E06">
        <w:rPr>
          <w:sz w:val="24"/>
          <w:szCs w:val="24"/>
          <w:lang w:val="en-US"/>
        </w:rPr>
        <w:t xml:space="preserve">The items </w:t>
      </w:r>
      <w:r>
        <w:rPr>
          <w:sz w:val="24"/>
          <w:szCs w:val="24"/>
          <w:lang w:val="en-US"/>
        </w:rPr>
        <w:t>in</w:t>
      </w:r>
      <w:r w:rsidRPr="000A2E06">
        <w:rPr>
          <w:sz w:val="24"/>
          <w:szCs w:val="24"/>
          <w:lang w:val="en-US"/>
        </w:rPr>
        <w:t xml:space="preserve"> the questionnaire included</w:t>
      </w:r>
      <w:r>
        <w:rPr>
          <w:sz w:val="24"/>
          <w:szCs w:val="24"/>
          <w:lang w:val="en-US"/>
        </w:rPr>
        <w:t>:</w:t>
      </w:r>
      <w:r w:rsidRPr="000A2E06">
        <w:rPr>
          <w:sz w:val="24"/>
          <w:szCs w:val="24"/>
          <w:lang w:val="en-US"/>
        </w:rPr>
        <w:t xml:space="preserve"> </w:t>
      </w:r>
      <w:proofErr w:type="spellStart"/>
      <w:r>
        <w:rPr>
          <w:sz w:val="24"/>
          <w:szCs w:val="24"/>
          <w:lang w:val="en-US"/>
        </w:rPr>
        <w:t>i</w:t>
      </w:r>
      <w:proofErr w:type="spellEnd"/>
      <w:r>
        <w:rPr>
          <w:sz w:val="24"/>
          <w:szCs w:val="24"/>
          <w:lang w:val="en-US"/>
        </w:rPr>
        <w:t xml:space="preserve">) </w:t>
      </w:r>
      <w:r w:rsidRPr="000A2E06">
        <w:rPr>
          <w:sz w:val="24"/>
          <w:szCs w:val="24"/>
          <w:lang w:val="en-US"/>
        </w:rPr>
        <w:t>demographic information (gender</w:t>
      </w:r>
      <w:r>
        <w:rPr>
          <w:sz w:val="24"/>
          <w:szCs w:val="24"/>
          <w:lang w:val="en-US"/>
        </w:rPr>
        <w:t xml:space="preserve"> and</w:t>
      </w:r>
      <w:r w:rsidRPr="000A2E06">
        <w:rPr>
          <w:sz w:val="24"/>
          <w:szCs w:val="24"/>
          <w:lang w:val="en-US"/>
        </w:rPr>
        <w:t xml:space="preserve"> age), </w:t>
      </w:r>
      <w:r>
        <w:rPr>
          <w:sz w:val="24"/>
          <w:szCs w:val="24"/>
          <w:lang w:val="en-US"/>
        </w:rPr>
        <w:t xml:space="preserve">ii) </w:t>
      </w:r>
      <w:r w:rsidRPr="000A2E06">
        <w:rPr>
          <w:sz w:val="24"/>
          <w:szCs w:val="24"/>
          <w:lang w:val="en-US"/>
        </w:rPr>
        <w:t xml:space="preserve">occupation, </w:t>
      </w:r>
      <w:r>
        <w:rPr>
          <w:sz w:val="24"/>
          <w:szCs w:val="24"/>
          <w:lang w:val="en-US"/>
        </w:rPr>
        <w:t xml:space="preserve">iii) </w:t>
      </w:r>
      <w:r w:rsidRPr="000A2E06">
        <w:rPr>
          <w:sz w:val="24"/>
          <w:szCs w:val="24"/>
          <w:lang w:val="en-US"/>
        </w:rPr>
        <w:t>risk factors (smoking, obesity</w:t>
      </w:r>
      <w:r>
        <w:rPr>
          <w:sz w:val="24"/>
          <w:szCs w:val="24"/>
          <w:lang w:val="en-US"/>
        </w:rPr>
        <w:t xml:space="preserve"> and any</w:t>
      </w:r>
      <w:r w:rsidRPr="000A2E06">
        <w:rPr>
          <w:sz w:val="24"/>
          <w:szCs w:val="24"/>
          <w:lang w:val="en-US"/>
        </w:rPr>
        <w:t xml:space="preserve"> return from travel abroad </w:t>
      </w:r>
      <w:r>
        <w:rPr>
          <w:sz w:val="24"/>
          <w:szCs w:val="24"/>
          <w:lang w:val="en-US"/>
        </w:rPr>
        <w:t>during the</w:t>
      </w:r>
      <w:r w:rsidRPr="000A2E06">
        <w:rPr>
          <w:sz w:val="24"/>
          <w:szCs w:val="24"/>
          <w:lang w:val="en-US"/>
        </w:rPr>
        <w:t xml:space="preserve"> 15 </w:t>
      </w:r>
      <w:r>
        <w:rPr>
          <w:sz w:val="24"/>
          <w:szCs w:val="24"/>
          <w:lang w:val="en-US"/>
        </w:rPr>
        <w:t xml:space="preserve">previous </w:t>
      </w:r>
      <w:r w:rsidRPr="000A2E06">
        <w:rPr>
          <w:sz w:val="24"/>
          <w:szCs w:val="24"/>
          <w:lang w:val="en-US"/>
        </w:rPr>
        <w:t xml:space="preserve">days), </w:t>
      </w:r>
      <w:r>
        <w:rPr>
          <w:sz w:val="24"/>
          <w:szCs w:val="24"/>
          <w:lang w:val="en-US"/>
        </w:rPr>
        <w:t xml:space="preserve">iv) </w:t>
      </w:r>
      <w:r w:rsidRPr="000A2E06">
        <w:rPr>
          <w:sz w:val="24"/>
          <w:szCs w:val="24"/>
          <w:lang w:val="en-US"/>
        </w:rPr>
        <w:t>comorbidities (diabetes, hypertension, cardiovascular disease, chronic obstructive pulmonary disease, cancer, previous episode</w:t>
      </w:r>
      <w:r>
        <w:rPr>
          <w:sz w:val="24"/>
          <w:szCs w:val="24"/>
          <w:lang w:val="en-US"/>
        </w:rPr>
        <w:t>(s)</w:t>
      </w:r>
      <w:r w:rsidRPr="000A2E06">
        <w:rPr>
          <w:sz w:val="24"/>
          <w:szCs w:val="24"/>
          <w:lang w:val="en-US"/>
        </w:rPr>
        <w:t xml:space="preserve"> of dengue</w:t>
      </w:r>
      <w:r>
        <w:rPr>
          <w:sz w:val="24"/>
          <w:szCs w:val="24"/>
          <w:lang w:val="en-US"/>
        </w:rPr>
        <w:t xml:space="preserve"> and</w:t>
      </w:r>
      <w:r w:rsidRPr="000A2E06">
        <w:rPr>
          <w:sz w:val="24"/>
          <w:szCs w:val="24"/>
          <w:lang w:val="en-US"/>
        </w:rPr>
        <w:t xml:space="preserve"> </w:t>
      </w:r>
      <w:r>
        <w:rPr>
          <w:sz w:val="24"/>
          <w:szCs w:val="24"/>
          <w:lang w:val="en-US"/>
        </w:rPr>
        <w:t>“</w:t>
      </w:r>
      <w:r w:rsidRPr="000A2E06">
        <w:rPr>
          <w:sz w:val="24"/>
          <w:szCs w:val="24"/>
          <w:lang w:val="en-US"/>
        </w:rPr>
        <w:t>other</w:t>
      </w:r>
      <w:r>
        <w:rPr>
          <w:sz w:val="24"/>
          <w:szCs w:val="24"/>
          <w:lang w:val="en-US"/>
        </w:rPr>
        <w:t xml:space="preserve"> comorbidities”</w:t>
      </w:r>
      <w:r w:rsidRPr="000A2E06">
        <w:rPr>
          <w:sz w:val="24"/>
          <w:szCs w:val="24"/>
          <w:lang w:val="en-US"/>
        </w:rPr>
        <w:t xml:space="preserve">), </w:t>
      </w:r>
      <w:r>
        <w:rPr>
          <w:sz w:val="24"/>
          <w:szCs w:val="24"/>
          <w:lang w:val="en-US"/>
        </w:rPr>
        <w:t xml:space="preserve">v) </w:t>
      </w:r>
      <w:r w:rsidRPr="000A2E06">
        <w:rPr>
          <w:sz w:val="24"/>
          <w:szCs w:val="24"/>
          <w:lang w:val="en-US"/>
        </w:rPr>
        <w:t>intra-household and individual exposure to SARS-CoV-2</w:t>
      </w:r>
      <w:r>
        <w:rPr>
          <w:sz w:val="24"/>
          <w:szCs w:val="24"/>
          <w:lang w:val="en-US"/>
        </w:rPr>
        <w:t xml:space="preserve"> and</w:t>
      </w:r>
      <w:r w:rsidRPr="000A2E06">
        <w:rPr>
          <w:sz w:val="24"/>
          <w:szCs w:val="24"/>
          <w:lang w:val="en-US"/>
        </w:rPr>
        <w:t xml:space="preserve"> </w:t>
      </w:r>
      <w:r>
        <w:rPr>
          <w:sz w:val="24"/>
          <w:szCs w:val="24"/>
          <w:lang w:val="en-US"/>
        </w:rPr>
        <w:t xml:space="preserve">vi) </w:t>
      </w:r>
      <w:r w:rsidRPr="000A2E06">
        <w:rPr>
          <w:sz w:val="24"/>
          <w:szCs w:val="24"/>
          <w:lang w:val="en-US"/>
        </w:rPr>
        <w:t>individual symptoms (fever, cough, dyspnea/shortness of breath, body ache</w:t>
      </w:r>
      <w:r>
        <w:rPr>
          <w:sz w:val="24"/>
          <w:szCs w:val="24"/>
          <w:lang w:val="en-US"/>
        </w:rPr>
        <w:t>s</w:t>
      </w:r>
      <w:r w:rsidRPr="000A2E06">
        <w:rPr>
          <w:sz w:val="24"/>
          <w:szCs w:val="24"/>
          <w:lang w:val="en-US"/>
        </w:rPr>
        <w:t>, diarrhea, nausea, vomiting, abdominal pain, ageusia, dysgeusia/metallic taste, anosmia, fatigue, headache, retro-orbital pain</w:t>
      </w:r>
      <w:r>
        <w:rPr>
          <w:sz w:val="24"/>
          <w:szCs w:val="24"/>
          <w:lang w:val="en-US"/>
        </w:rPr>
        <w:t xml:space="preserve"> and</w:t>
      </w:r>
      <w:r w:rsidRPr="000A2E06">
        <w:rPr>
          <w:sz w:val="24"/>
          <w:szCs w:val="24"/>
          <w:lang w:val="en-US"/>
        </w:rPr>
        <w:t xml:space="preserve"> upper respiratory tract infection symptoms </w:t>
      </w:r>
      <w:r>
        <w:rPr>
          <w:sz w:val="24"/>
          <w:szCs w:val="24"/>
          <w:lang w:val="en-US"/>
        </w:rPr>
        <w:t>including</w:t>
      </w:r>
      <w:r w:rsidRPr="000A2E06">
        <w:rPr>
          <w:sz w:val="24"/>
          <w:szCs w:val="24"/>
          <w:lang w:val="en-US"/>
        </w:rPr>
        <w:t xml:space="preserve"> sore throat, runny nose, nasal congestion</w:t>
      </w:r>
      <w:r>
        <w:rPr>
          <w:sz w:val="24"/>
          <w:szCs w:val="24"/>
          <w:lang w:val="en-US"/>
        </w:rPr>
        <w:t xml:space="preserve"> and</w:t>
      </w:r>
      <w:r w:rsidRPr="000A2E06">
        <w:rPr>
          <w:sz w:val="24"/>
          <w:szCs w:val="24"/>
          <w:lang w:val="en-US"/>
        </w:rPr>
        <w:t xml:space="preserve"> sneezing</w:t>
      </w:r>
      <w:r>
        <w:rPr>
          <w:sz w:val="24"/>
          <w:szCs w:val="24"/>
          <w:lang w:val="en-US"/>
        </w:rPr>
        <w:t>,</w:t>
      </w:r>
      <w:r w:rsidRPr="000A2E06">
        <w:rPr>
          <w:sz w:val="24"/>
          <w:szCs w:val="24"/>
          <w:lang w:val="en-US"/>
        </w:rPr>
        <w:t xml:space="preserve"> </w:t>
      </w:r>
      <w:r>
        <w:rPr>
          <w:sz w:val="24"/>
          <w:szCs w:val="24"/>
          <w:lang w:val="en-US"/>
        </w:rPr>
        <w:t>and any</w:t>
      </w:r>
      <w:r w:rsidRPr="000A2E06">
        <w:rPr>
          <w:sz w:val="24"/>
          <w:szCs w:val="24"/>
          <w:lang w:val="en-US"/>
        </w:rPr>
        <w:t xml:space="preserve"> treatment</w:t>
      </w:r>
      <w:r>
        <w:rPr>
          <w:sz w:val="24"/>
          <w:szCs w:val="24"/>
          <w:lang w:val="en-US"/>
        </w:rPr>
        <w:t xml:space="preserve">s such as </w:t>
      </w:r>
      <w:r w:rsidRPr="000A2E06">
        <w:rPr>
          <w:sz w:val="24"/>
          <w:szCs w:val="24"/>
          <w:lang w:val="en-US"/>
        </w:rPr>
        <w:t>antihypertensive drugs</w:t>
      </w:r>
      <w:r>
        <w:rPr>
          <w:sz w:val="24"/>
          <w:szCs w:val="24"/>
          <w:lang w:val="en-US"/>
        </w:rPr>
        <w:t xml:space="preserve"> and/or</w:t>
      </w:r>
      <w:r w:rsidRPr="000A2E06">
        <w:rPr>
          <w:sz w:val="24"/>
          <w:szCs w:val="24"/>
          <w:lang w:val="en-US"/>
        </w:rPr>
        <w:t xml:space="preserve"> hydroxychloroquine</w:t>
      </w:r>
      <w:r>
        <w:rPr>
          <w:sz w:val="24"/>
          <w:szCs w:val="24"/>
          <w:lang w:val="en-US"/>
        </w:rPr>
        <w:t>)</w:t>
      </w:r>
      <w:r w:rsidRPr="000A2E06">
        <w:rPr>
          <w:sz w:val="24"/>
          <w:szCs w:val="24"/>
          <w:lang w:val="en-US"/>
        </w:rPr>
        <w:t xml:space="preserve">. </w:t>
      </w:r>
      <w:r>
        <w:rPr>
          <w:sz w:val="24"/>
          <w:szCs w:val="24"/>
          <w:lang w:val="en-US"/>
        </w:rPr>
        <w:t>Patients’ t</w:t>
      </w:r>
      <w:r w:rsidRPr="000A2E06">
        <w:rPr>
          <w:sz w:val="24"/>
          <w:szCs w:val="24"/>
          <w:lang w:val="en-US"/>
        </w:rPr>
        <w:t>emperature, pulse rate, respiratory rate</w:t>
      </w:r>
      <w:r>
        <w:rPr>
          <w:sz w:val="24"/>
          <w:szCs w:val="24"/>
          <w:lang w:val="en-US"/>
        </w:rPr>
        <w:t>,</w:t>
      </w:r>
      <w:r w:rsidRPr="000A2E06">
        <w:rPr>
          <w:sz w:val="24"/>
          <w:szCs w:val="24"/>
          <w:lang w:val="en-US"/>
        </w:rPr>
        <w:t xml:space="preserve"> and oxygen saturation (SpO</w:t>
      </w:r>
      <w:r w:rsidRPr="000A2E06">
        <w:rPr>
          <w:sz w:val="24"/>
          <w:szCs w:val="24"/>
          <w:vertAlign w:val="subscript"/>
          <w:lang w:val="en-US"/>
        </w:rPr>
        <w:t>2</w:t>
      </w:r>
      <w:r w:rsidRPr="000A2E06">
        <w:rPr>
          <w:sz w:val="24"/>
          <w:szCs w:val="24"/>
          <w:lang w:val="en-US"/>
        </w:rPr>
        <w:t xml:space="preserve">) were </w:t>
      </w:r>
      <w:r>
        <w:rPr>
          <w:sz w:val="24"/>
          <w:szCs w:val="24"/>
          <w:lang w:val="en-US"/>
        </w:rPr>
        <w:t xml:space="preserve">also </w:t>
      </w:r>
      <w:r w:rsidRPr="000A2E06">
        <w:rPr>
          <w:sz w:val="24"/>
          <w:szCs w:val="24"/>
          <w:lang w:val="en-US"/>
        </w:rPr>
        <w:t xml:space="preserve">measured </w:t>
      </w:r>
      <w:r>
        <w:rPr>
          <w:sz w:val="24"/>
          <w:szCs w:val="24"/>
          <w:lang w:val="en-US"/>
        </w:rPr>
        <w:t>during</w:t>
      </w:r>
      <w:r w:rsidRPr="000A2E06">
        <w:rPr>
          <w:sz w:val="24"/>
          <w:szCs w:val="24"/>
          <w:lang w:val="en-US"/>
        </w:rPr>
        <w:t xml:space="preserve"> the consultation</w:t>
      </w:r>
      <w:r>
        <w:rPr>
          <w:sz w:val="24"/>
          <w:szCs w:val="24"/>
          <w:lang w:val="en-US"/>
        </w:rPr>
        <w:t>.</w:t>
      </w:r>
      <w:r w:rsidRPr="000A2E06">
        <w:rPr>
          <w:sz w:val="24"/>
          <w:szCs w:val="24"/>
          <w:lang w:val="en-US"/>
        </w:rPr>
        <w:t xml:space="preserve"> </w:t>
      </w:r>
      <w:r>
        <w:rPr>
          <w:sz w:val="24"/>
          <w:szCs w:val="24"/>
          <w:lang w:val="en-US"/>
        </w:rPr>
        <w:t xml:space="preserve">The presence </w:t>
      </w:r>
      <w:r w:rsidRPr="000A2E06">
        <w:rPr>
          <w:sz w:val="24"/>
          <w:szCs w:val="24"/>
          <w:lang w:val="en-US"/>
        </w:rPr>
        <w:t xml:space="preserve">of </w:t>
      </w:r>
      <w:r>
        <w:rPr>
          <w:sz w:val="24"/>
          <w:szCs w:val="24"/>
          <w:lang w:val="en-US"/>
        </w:rPr>
        <w:t xml:space="preserve">a </w:t>
      </w:r>
      <w:r w:rsidRPr="000A2E06">
        <w:rPr>
          <w:sz w:val="24"/>
          <w:szCs w:val="24"/>
          <w:lang w:val="en-US"/>
        </w:rPr>
        <w:t>cough</w:t>
      </w:r>
      <w:r>
        <w:rPr>
          <w:sz w:val="24"/>
          <w:szCs w:val="24"/>
          <w:lang w:val="en-US"/>
        </w:rPr>
        <w:t xml:space="preserve"> </w:t>
      </w:r>
      <w:r w:rsidRPr="000A2E06">
        <w:rPr>
          <w:sz w:val="24"/>
          <w:szCs w:val="24"/>
          <w:lang w:val="en-US"/>
        </w:rPr>
        <w:t>and</w:t>
      </w:r>
      <w:r>
        <w:rPr>
          <w:sz w:val="24"/>
          <w:szCs w:val="24"/>
          <w:lang w:val="en-US"/>
        </w:rPr>
        <w:t xml:space="preserve">/or </w:t>
      </w:r>
      <w:r w:rsidRPr="000A2E06">
        <w:rPr>
          <w:sz w:val="24"/>
          <w:szCs w:val="24"/>
          <w:lang w:val="en-US"/>
        </w:rPr>
        <w:t>anxiety</w:t>
      </w:r>
      <w:r>
        <w:rPr>
          <w:sz w:val="24"/>
          <w:szCs w:val="24"/>
          <w:lang w:val="en-US"/>
        </w:rPr>
        <w:t xml:space="preserve"> were also noted</w:t>
      </w:r>
      <w:r w:rsidRPr="000A2E06">
        <w:rPr>
          <w:sz w:val="24"/>
          <w:szCs w:val="24"/>
          <w:lang w:val="en-US"/>
        </w:rPr>
        <w:t>. P</w:t>
      </w:r>
      <w:r>
        <w:rPr>
          <w:sz w:val="24"/>
          <w:szCs w:val="24"/>
          <w:lang w:val="en-US"/>
        </w:rPr>
        <w:t>articipants</w:t>
      </w:r>
      <w:r w:rsidRPr="000A2E06">
        <w:rPr>
          <w:sz w:val="24"/>
          <w:szCs w:val="24"/>
          <w:lang w:val="en-US"/>
        </w:rPr>
        <w:t xml:space="preserve"> reporting symptoms were examined by a </w:t>
      </w:r>
      <w:r>
        <w:rPr>
          <w:sz w:val="24"/>
          <w:szCs w:val="24"/>
          <w:lang w:val="en-US"/>
        </w:rPr>
        <w:t xml:space="preserve">medical </w:t>
      </w:r>
      <w:r w:rsidRPr="000A2E06">
        <w:rPr>
          <w:sz w:val="24"/>
          <w:szCs w:val="24"/>
          <w:lang w:val="en-US"/>
        </w:rPr>
        <w:t>resident or a senior infectious disease specialist according to routine care procedures.</w:t>
      </w:r>
    </w:p>
    <w:p w14:paraId="4B44238C" w14:textId="77777777" w:rsidR="008A4B57" w:rsidRPr="00BB152B" w:rsidRDefault="008A4B57" w:rsidP="008A4B57">
      <w:pPr>
        <w:spacing w:after="0" w:line="480" w:lineRule="auto"/>
        <w:jc w:val="both"/>
        <w:rPr>
          <w:bCs/>
          <w:i/>
          <w:iCs/>
          <w:sz w:val="24"/>
          <w:szCs w:val="24"/>
          <w:lang w:val="en-US"/>
        </w:rPr>
      </w:pPr>
    </w:p>
    <w:p w14:paraId="10148BDA" w14:textId="77777777" w:rsidR="008A4B57" w:rsidRPr="000D763C" w:rsidRDefault="008A4B57" w:rsidP="008A4B57">
      <w:pPr>
        <w:spacing w:after="0" w:line="480" w:lineRule="auto"/>
        <w:jc w:val="both"/>
        <w:rPr>
          <w:b/>
          <w:bCs/>
          <w:i/>
          <w:iCs/>
          <w:sz w:val="24"/>
          <w:szCs w:val="24"/>
          <w:lang w:val="en-US"/>
        </w:rPr>
      </w:pPr>
      <w:r w:rsidRPr="000D763C">
        <w:rPr>
          <w:b/>
          <w:bCs/>
          <w:i/>
          <w:iCs/>
          <w:sz w:val="24"/>
          <w:szCs w:val="24"/>
          <w:lang w:val="en-US"/>
        </w:rPr>
        <w:t>Gold standard procedures</w:t>
      </w:r>
    </w:p>
    <w:p w14:paraId="7F45E370" w14:textId="77777777" w:rsidR="008A4B57" w:rsidRDefault="008A4B57" w:rsidP="008A4B57">
      <w:pPr>
        <w:spacing w:after="0" w:line="480" w:lineRule="auto"/>
        <w:jc w:val="both"/>
        <w:rPr>
          <w:sz w:val="24"/>
          <w:szCs w:val="24"/>
          <w:lang w:val="en-US"/>
        </w:rPr>
      </w:pPr>
      <w:r w:rsidRPr="000A2E06">
        <w:rPr>
          <w:sz w:val="24"/>
          <w:szCs w:val="24"/>
          <w:lang w:val="en-US"/>
        </w:rPr>
        <w:t xml:space="preserve">All </w:t>
      </w:r>
      <w:r>
        <w:rPr>
          <w:sz w:val="24"/>
          <w:szCs w:val="24"/>
          <w:lang w:val="en-US"/>
        </w:rPr>
        <w:t xml:space="preserve">participants </w:t>
      </w:r>
      <w:r w:rsidRPr="000A2E06">
        <w:rPr>
          <w:sz w:val="24"/>
          <w:szCs w:val="24"/>
          <w:lang w:val="en-US"/>
        </w:rPr>
        <w:t xml:space="preserve">were screened for </w:t>
      </w:r>
      <w:r>
        <w:rPr>
          <w:sz w:val="24"/>
          <w:szCs w:val="24"/>
          <w:lang w:val="en-US"/>
        </w:rPr>
        <w:t>COVID-19</w:t>
      </w:r>
      <w:r w:rsidRPr="000A2E06">
        <w:rPr>
          <w:sz w:val="24"/>
          <w:szCs w:val="24"/>
          <w:lang w:val="en-US"/>
        </w:rPr>
        <w:t xml:space="preserve"> by a nurse using a nasopharyngeal swab for </w:t>
      </w:r>
      <w:r>
        <w:rPr>
          <w:sz w:val="24"/>
          <w:szCs w:val="24"/>
          <w:lang w:val="en-US"/>
        </w:rPr>
        <w:t>20</w:t>
      </w:r>
      <w:r w:rsidRPr="000A2E06">
        <w:rPr>
          <w:sz w:val="24"/>
          <w:szCs w:val="24"/>
          <w:lang w:val="en-US"/>
        </w:rPr>
        <w:t xml:space="preserve"> seconds in one nostril [</w:t>
      </w:r>
      <w:r w:rsidRPr="00694143">
        <w:rPr>
          <w:color w:val="00B0F0"/>
          <w:sz w:val="24"/>
          <w:szCs w:val="24"/>
          <w:lang w:val="en-US"/>
        </w:rPr>
        <w:t>2</w:t>
      </w:r>
      <w:r w:rsidRPr="000A2E06">
        <w:rPr>
          <w:sz w:val="24"/>
          <w:szCs w:val="24"/>
          <w:lang w:val="en-US"/>
        </w:rPr>
        <w:t xml:space="preserve">]. </w:t>
      </w:r>
      <w:r>
        <w:rPr>
          <w:sz w:val="24"/>
          <w:szCs w:val="24"/>
          <w:lang w:val="en-US"/>
        </w:rPr>
        <w:t>Each sample</w:t>
      </w:r>
      <w:r w:rsidRPr="000A2E06">
        <w:rPr>
          <w:sz w:val="24"/>
          <w:szCs w:val="24"/>
          <w:lang w:val="en-US"/>
        </w:rPr>
        <w:t xml:space="preserve"> </w:t>
      </w:r>
      <w:r>
        <w:rPr>
          <w:sz w:val="24"/>
          <w:szCs w:val="24"/>
          <w:lang w:val="en-US"/>
        </w:rPr>
        <w:t>was</w:t>
      </w:r>
      <w:r w:rsidRPr="000A2E06">
        <w:rPr>
          <w:sz w:val="24"/>
          <w:szCs w:val="24"/>
          <w:lang w:val="en-US"/>
        </w:rPr>
        <w:t xml:space="preserve"> processed for a SARS-CoV-2 reverse transcription-polymerase chain reaction (RT-PCR) using a </w:t>
      </w:r>
      <w:proofErr w:type="spellStart"/>
      <w:r w:rsidRPr="000A2E06">
        <w:rPr>
          <w:sz w:val="24"/>
          <w:szCs w:val="24"/>
          <w:lang w:val="en-US"/>
        </w:rPr>
        <w:t>Microlab</w:t>
      </w:r>
      <w:proofErr w:type="spellEnd"/>
      <w:r w:rsidRPr="000A2E06">
        <w:rPr>
          <w:sz w:val="24"/>
          <w:szCs w:val="24"/>
          <w:lang w:val="en-US"/>
        </w:rPr>
        <w:t xml:space="preserve"> NIMBUS/</w:t>
      </w:r>
      <w:proofErr w:type="spellStart"/>
      <w:r w:rsidRPr="000A2E06">
        <w:rPr>
          <w:sz w:val="24"/>
          <w:szCs w:val="24"/>
          <w:lang w:val="en-US"/>
        </w:rPr>
        <w:t>STARlet</w:t>
      </w:r>
      <w:proofErr w:type="spellEnd"/>
      <w:r w:rsidRPr="000A2E06">
        <w:rPr>
          <w:sz w:val="24"/>
          <w:szCs w:val="24"/>
          <w:lang w:val="en-US"/>
        </w:rPr>
        <w:t xml:space="preserve"> IVD (</w:t>
      </w:r>
      <w:proofErr w:type="spellStart"/>
      <w:r w:rsidRPr="000A2E06">
        <w:rPr>
          <w:sz w:val="24"/>
          <w:szCs w:val="24"/>
          <w:lang w:val="en-US"/>
        </w:rPr>
        <w:t>Seegene</w:t>
      </w:r>
      <w:proofErr w:type="spellEnd"/>
      <w:r w:rsidRPr="000A2E06">
        <w:rPr>
          <w:sz w:val="24"/>
          <w:szCs w:val="24"/>
          <w:lang w:val="en-US"/>
        </w:rPr>
        <w:t xml:space="preserve">, Seoul, Republic of Korea) or a </w:t>
      </w:r>
      <w:proofErr w:type="spellStart"/>
      <w:r w:rsidRPr="000A2E06">
        <w:rPr>
          <w:sz w:val="24"/>
          <w:szCs w:val="24"/>
          <w:lang w:val="en-US"/>
        </w:rPr>
        <w:t>MagNa</w:t>
      </w:r>
      <w:proofErr w:type="spellEnd"/>
      <w:r w:rsidRPr="000A2E06">
        <w:rPr>
          <w:sz w:val="24"/>
          <w:szCs w:val="24"/>
          <w:lang w:val="en-US"/>
        </w:rPr>
        <w:t xml:space="preserve"> Pure Compact (Roche Life Science, </w:t>
      </w:r>
      <w:proofErr w:type="spellStart"/>
      <w:r w:rsidRPr="000A2E06">
        <w:rPr>
          <w:sz w:val="24"/>
          <w:szCs w:val="24"/>
          <w:lang w:val="en-US"/>
        </w:rPr>
        <w:t>Penzberg</w:t>
      </w:r>
      <w:proofErr w:type="spellEnd"/>
      <w:r w:rsidRPr="000A2E06">
        <w:rPr>
          <w:sz w:val="24"/>
          <w:szCs w:val="24"/>
          <w:lang w:val="en-US"/>
        </w:rPr>
        <w:t xml:space="preserve">, Germany) automaton for nucleic acid extraction. </w:t>
      </w:r>
    </w:p>
    <w:p w14:paraId="37333733" w14:textId="77777777" w:rsidR="008A4B57" w:rsidRDefault="008A4B57" w:rsidP="008A4B57">
      <w:pPr>
        <w:spacing w:after="0" w:line="480" w:lineRule="auto"/>
        <w:ind w:firstLine="708"/>
        <w:jc w:val="both"/>
        <w:rPr>
          <w:sz w:val="24"/>
          <w:szCs w:val="24"/>
          <w:lang w:val="en-US"/>
        </w:rPr>
      </w:pPr>
      <w:r w:rsidRPr="000A2E06">
        <w:rPr>
          <w:sz w:val="24"/>
          <w:szCs w:val="24"/>
          <w:lang w:val="en-US"/>
        </w:rPr>
        <w:lastRenderedPageBreak/>
        <w:t xml:space="preserve">SARS-CoV-2 ribonucleic acid sequences were identified using the </w:t>
      </w:r>
      <w:proofErr w:type="spellStart"/>
      <w:r w:rsidRPr="000A2E06">
        <w:rPr>
          <w:sz w:val="24"/>
          <w:szCs w:val="24"/>
          <w:lang w:val="en-US"/>
        </w:rPr>
        <w:t>Allplex</w:t>
      </w:r>
      <w:proofErr w:type="spellEnd"/>
      <w:r w:rsidRPr="000A2E06">
        <w:rPr>
          <w:sz w:val="24"/>
          <w:szCs w:val="24"/>
          <w:lang w:val="en-US"/>
        </w:rPr>
        <w:t xml:space="preserve"> 2019-nCov assay (</w:t>
      </w:r>
      <w:proofErr w:type="spellStart"/>
      <w:r w:rsidRPr="000A2E06">
        <w:rPr>
          <w:sz w:val="24"/>
          <w:szCs w:val="24"/>
          <w:lang w:val="en-US"/>
        </w:rPr>
        <w:t>Seegene</w:t>
      </w:r>
      <w:proofErr w:type="spellEnd"/>
      <w:r w:rsidRPr="000A2E06">
        <w:rPr>
          <w:sz w:val="24"/>
          <w:szCs w:val="24"/>
          <w:lang w:val="en-US"/>
        </w:rPr>
        <w:t xml:space="preserve">, Seoul, Republic of Korea) or an in-house kit (CNR Pasteur) targeting N, </w:t>
      </w:r>
      <w:proofErr w:type="spellStart"/>
      <w:r w:rsidRPr="000A2E06">
        <w:rPr>
          <w:sz w:val="24"/>
          <w:szCs w:val="24"/>
          <w:lang w:val="en-US"/>
        </w:rPr>
        <w:t>RdRP</w:t>
      </w:r>
      <w:proofErr w:type="spellEnd"/>
      <w:r w:rsidRPr="000A2E06">
        <w:rPr>
          <w:sz w:val="24"/>
          <w:szCs w:val="24"/>
          <w:lang w:val="en-US"/>
        </w:rPr>
        <w:t xml:space="preserve"> and E genes, or N and IP2/IP4 targets of </w:t>
      </w:r>
      <w:proofErr w:type="spellStart"/>
      <w:r w:rsidRPr="000A2E06">
        <w:rPr>
          <w:sz w:val="24"/>
          <w:szCs w:val="24"/>
          <w:lang w:val="en-US"/>
        </w:rPr>
        <w:t>RdRP</w:t>
      </w:r>
      <w:proofErr w:type="spellEnd"/>
      <w:r w:rsidRPr="000A2E06">
        <w:rPr>
          <w:sz w:val="24"/>
          <w:szCs w:val="24"/>
          <w:lang w:val="en-US"/>
        </w:rPr>
        <w:t xml:space="preserve"> respectively. SARS-CoV-2 genome sequences were amplified using a Bio-Rad CFX96 (</w:t>
      </w:r>
      <w:proofErr w:type="spellStart"/>
      <w:r w:rsidRPr="000A2E06">
        <w:rPr>
          <w:sz w:val="24"/>
          <w:szCs w:val="24"/>
          <w:lang w:val="en-US"/>
        </w:rPr>
        <w:t>BioRad</w:t>
      </w:r>
      <w:proofErr w:type="spellEnd"/>
      <w:r w:rsidRPr="000A2E06">
        <w:rPr>
          <w:sz w:val="24"/>
          <w:szCs w:val="24"/>
          <w:lang w:val="en-US"/>
        </w:rPr>
        <w:t xml:space="preserve">, Hercules, CA, USA) or a </w:t>
      </w:r>
      <w:proofErr w:type="spellStart"/>
      <w:r w:rsidRPr="000A2E06">
        <w:rPr>
          <w:sz w:val="24"/>
          <w:szCs w:val="24"/>
          <w:lang w:val="en-US"/>
        </w:rPr>
        <w:t>LightCycler</w:t>
      </w:r>
      <w:proofErr w:type="spellEnd"/>
      <w:r w:rsidRPr="000A2E06">
        <w:rPr>
          <w:sz w:val="24"/>
          <w:szCs w:val="24"/>
          <w:lang w:val="en-US"/>
        </w:rPr>
        <w:t xml:space="preserve"> 480 (Roche Diagnostics, Basel, Switzerland) system.</w:t>
      </w:r>
    </w:p>
    <w:p w14:paraId="42D96E94" w14:textId="77777777" w:rsidR="008A4B57" w:rsidRPr="000A2E06" w:rsidRDefault="008A4B57" w:rsidP="008A4B57">
      <w:pPr>
        <w:spacing w:after="0" w:line="480" w:lineRule="auto"/>
        <w:ind w:firstLine="708"/>
        <w:jc w:val="both"/>
        <w:rPr>
          <w:sz w:val="24"/>
          <w:szCs w:val="24"/>
          <w:lang w:val="en-US"/>
        </w:rPr>
      </w:pPr>
      <w:r>
        <w:rPr>
          <w:sz w:val="24"/>
          <w:szCs w:val="24"/>
          <w:lang w:val="en-US"/>
        </w:rPr>
        <w:t xml:space="preserve">Patient testing negative for SARS-CoV-2 were re-tested for COVID-19 </w:t>
      </w:r>
      <w:r w:rsidRPr="00D42BEA">
        <w:rPr>
          <w:rFonts w:cstheme="minorHAnsi"/>
          <w:sz w:val="24"/>
          <w:szCs w:val="24"/>
          <w:lang w:val="en-US"/>
        </w:rPr>
        <w:t>in case of new symptom</w:t>
      </w:r>
      <w:r>
        <w:rPr>
          <w:rFonts w:cstheme="minorHAnsi"/>
          <w:sz w:val="24"/>
          <w:szCs w:val="24"/>
          <w:lang w:val="en-US"/>
        </w:rPr>
        <w:t>s in addition to a 21-pathogen fast-track battery for respiratory viruses</w:t>
      </w:r>
      <w:r>
        <w:rPr>
          <w:sz w:val="24"/>
          <w:szCs w:val="24"/>
          <w:lang w:val="en-US"/>
        </w:rPr>
        <w:t>. Furthermore</w:t>
      </w:r>
      <w:r w:rsidRPr="000A2E06">
        <w:rPr>
          <w:sz w:val="24"/>
          <w:szCs w:val="24"/>
          <w:lang w:val="en-US"/>
        </w:rPr>
        <w:t xml:space="preserve">, each patient suspected of dengue was tested for NS1 antigen using an </w:t>
      </w:r>
      <w:proofErr w:type="spellStart"/>
      <w:r w:rsidRPr="000A2E06">
        <w:rPr>
          <w:sz w:val="24"/>
          <w:szCs w:val="24"/>
          <w:lang w:val="en-US"/>
        </w:rPr>
        <w:t>OnSite</w:t>
      </w:r>
      <w:proofErr w:type="spellEnd"/>
      <w:r w:rsidRPr="000A2E06">
        <w:rPr>
          <w:sz w:val="24"/>
          <w:szCs w:val="24"/>
          <w:lang w:val="en-US"/>
        </w:rPr>
        <w:t xml:space="preserve"> Duo </w:t>
      </w:r>
      <w:r>
        <w:rPr>
          <w:sz w:val="24"/>
          <w:szCs w:val="24"/>
          <w:lang w:val="en-US"/>
        </w:rPr>
        <w:t>d</w:t>
      </w:r>
      <w:r w:rsidRPr="000A2E06">
        <w:rPr>
          <w:sz w:val="24"/>
          <w:szCs w:val="24"/>
          <w:lang w:val="en-US"/>
        </w:rPr>
        <w:t>engue Ag-IgG-IgM rapid diagnostic test (CTK Biotech, San Diego, CA, USA)</w:t>
      </w:r>
      <w:r>
        <w:rPr>
          <w:sz w:val="24"/>
          <w:szCs w:val="24"/>
          <w:lang w:val="en-US"/>
        </w:rPr>
        <w:t>,</w:t>
      </w:r>
      <w:r w:rsidRPr="000A2E06">
        <w:rPr>
          <w:sz w:val="24"/>
          <w:szCs w:val="24"/>
          <w:lang w:val="en-US"/>
        </w:rPr>
        <w:t xml:space="preserve"> and if negative</w:t>
      </w:r>
      <w:r>
        <w:rPr>
          <w:sz w:val="24"/>
          <w:szCs w:val="24"/>
          <w:lang w:val="en-US"/>
        </w:rPr>
        <w:t>,</w:t>
      </w:r>
      <w:r w:rsidRPr="000A2E06">
        <w:rPr>
          <w:sz w:val="24"/>
          <w:szCs w:val="24"/>
          <w:lang w:val="en-US"/>
        </w:rPr>
        <w:t xml:space="preserve"> </w:t>
      </w:r>
      <w:r>
        <w:rPr>
          <w:sz w:val="24"/>
          <w:szCs w:val="24"/>
          <w:lang w:val="en-US"/>
        </w:rPr>
        <w:t>tested</w:t>
      </w:r>
      <w:r w:rsidRPr="000A2E06">
        <w:rPr>
          <w:sz w:val="24"/>
          <w:szCs w:val="24"/>
          <w:lang w:val="en-US"/>
        </w:rPr>
        <w:t xml:space="preserve"> further with a DENV RT-PCR (</w:t>
      </w:r>
      <w:proofErr w:type="spellStart"/>
      <w:r w:rsidRPr="000A2E06">
        <w:rPr>
          <w:sz w:val="24"/>
          <w:szCs w:val="24"/>
          <w:lang w:val="en-US"/>
        </w:rPr>
        <w:t>NucliSens</w:t>
      </w:r>
      <w:proofErr w:type="spellEnd"/>
      <w:r w:rsidRPr="000A2E06">
        <w:rPr>
          <w:sz w:val="24"/>
          <w:szCs w:val="24"/>
          <w:lang w:val="en-US"/>
        </w:rPr>
        <w:t xml:space="preserve"> </w:t>
      </w:r>
      <w:proofErr w:type="spellStart"/>
      <w:r w:rsidRPr="000A2E06">
        <w:rPr>
          <w:sz w:val="24"/>
          <w:szCs w:val="24"/>
          <w:lang w:val="en-US"/>
        </w:rPr>
        <w:t>easyMAG</w:t>
      </w:r>
      <w:proofErr w:type="spellEnd"/>
      <w:r w:rsidRPr="000A2E06">
        <w:rPr>
          <w:sz w:val="24"/>
          <w:szCs w:val="24"/>
          <w:lang w:val="en-US"/>
        </w:rPr>
        <w:t xml:space="preserve">, </w:t>
      </w:r>
      <w:proofErr w:type="spellStart"/>
      <w:r w:rsidRPr="000A2E06">
        <w:rPr>
          <w:sz w:val="24"/>
          <w:szCs w:val="24"/>
          <w:lang w:val="en-US"/>
        </w:rPr>
        <w:t>Biomerieux</w:t>
      </w:r>
      <w:proofErr w:type="spellEnd"/>
      <w:r w:rsidRPr="000A2E06">
        <w:rPr>
          <w:sz w:val="24"/>
          <w:szCs w:val="24"/>
          <w:lang w:val="en-US"/>
        </w:rPr>
        <w:t xml:space="preserve">, France; </w:t>
      </w:r>
      <w:proofErr w:type="spellStart"/>
      <w:r w:rsidRPr="000A2E06">
        <w:rPr>
          <w:sz w:val="24"/>
          <w:szCs w:val="24"/>
          <w:lang w:val="en-US"/>
        </w:rPr>
        <w:t>LightCycler</w:t>
      </w:r>
      <w:proofErr w:type="spellEnd"/>
      <w:r w:rsidRPr="000A2E06">
        <w:rPr>
          <w:sz w:val="24"/>
          <w:szCs w:val="24"/>
          <w:lang w:val="en-US"/>
        </w:rPr>
        <w:t xml:space="preserve"> 480, Roche D</w:t>
      </w:r>
      <w:r>
        <w:rPr>
          <w:sz w:val="24"/>
          <w:szCs w:val="24"/>
          <w:lang w:val="en-US"/>
        </w:rPr>
        <w:t>i</w:t>
      </w:r>
      <w:r w:rsidRPr="000A2E06">
        <w:rPr>
          <w:sz w:val="24"/>
          <w:szCs w:val="24"/>
          <w:lang w:val="en-US"/>
        </w:rPr>
        <w:t xml:space="preserve">agnostics, Basel, Switzerland) or a </w:t>
      </w:r>
      <w:proofErr w:type="spellStart"/>
      <w:r w:rsidRPr="000A2E06">
        <w:rPr>
          <w:sz w:val="24"/>
          <w:szCs w:val="24"/>
          <w:lang w:val="en-US"/>
        </w:rPr>
        <w:t>Panbio</w:t>
      </w:r>
      <w:proofErr w:type="spellEnd"/>
      <w:r w:rsidRPr="000A2E06">
        <w:rPr>
          <w:sz w:val="24"/>
          <w:szCs w:val="24"/>
          <w:lang w:val="en-US"/>
        </w:rPr>
        <w:t xml:space="preserve"> </w:t>
      </w:r>
      <w:r>
        <w:rPr>
          <w:sz w:val="24"/>
          <w:szCs w:val="24"/>
          <w:lang w:val="en-US"/>
        </w:rPr>
        <w:t>d</w:t>
      </w:r>
      <w:r w:rsidRPr="000A2E06">
        <w:rPr>
          <w:sz w:val="24"/>
          <w:szCs w:val="24"/>
          <w:lang w:val="en-US"/>
        </w:rPr>
        <w:t>engue Duo (IgM/IgG) capture ELISA (Abbott, Chicago, IL, USA) depending on the date of symptom onset. Patients requiring hospitalization were promptly transferred from UDACS</w:t>
      </w:r>
      <w:r>
        <w:rPr>
          <w:sz w:val="24"/>
          <w:szCs w:val="24"/>
          <w:lang w:val="en-US"/>
        </w:rPr>
        <w:t xml:space="preserve"> Saint-Pierre</w:t>
      </w:r>
      <w:r w:rsidRPr="000A2E06">
        <w:rPr>
          <w:sz w:val="24"/>
          <w:szCs w:val="24"/>
          <w:lang w:val="en-US"/>
        </w:rPr>
        <w:t xml:space="preserve"> to the COVID-19 units. Patients not requiring hospitalization were discharged</w:t>
      </w:r>
      <w:r>
        <w:rPr>
          <w:sz w:val="24"/>
          <w:szCs w:val="24"/>
          <w:lang w:val="en-US"/>
        </w:rPr>
        <w:t xml:space="preserve"> to their place of residence</w:t>
      </w:r>
      <w:r w:rsidRPr="000A2E06">
        <w:rPr>
          <w:sz w:val="24"/>
          <w:szCs w:val="24"/>
          <w:lang w:val="en-US"/>
        </w:rPr>
        <w:t xml:space="preserve"> and benefited </w:t>
      </w:r>
      <w:r>
        <w:rPr>
          <w:sz w:val="24"/>
          <w:szCs w:val="24"/>
          <w:lang w:val="en-US"/>
        </w:rPr>
        <w:t xml:space="preserve">from </w:t>
      </w:r>
      <w:r w:rsidRPr="000A2E06">
        <w:rPr>
          <w:sz w:val="24"/>
          <w:szCs w:val="24"/>
          <w:lang w:val="en-US"/>
        </w:rPr>
        <w:t>an ambulatory follow-up ensured by general practitioners.</w:t>
      </w:r>
    </w:p>
    <w:p w14:paraId="2A73EF72" w14:textId="77777777" w:rsidR="008A4B57" w:rsidRDefault="008A4B57" w:rsidP="008A4B57">
      <w:pPr>
        <w:spacing w:after="0" w:line="480" w:lineRule="auto"/>
        <w:jc w:val="both"/>
        <w:rPr>
          <w:b/>
          <w:sz w:val="24"/>
          <w:szCs w:val="24"/>
          <w:lang w:val="en-US"/>
        </w:rPr>
      </w:pPr>
    </w:p>
    <w:p w14:paraId="3CB5AD6C" w14:textId="77777777" w:rsidR="008A4B57" w:rsidRPr="000D763C" w:rsidRDefault="008A4B57" w:rsidP="008A4B57">
      <w:pPr>
        <w:spacing w:after="0" w:line="480" w:lineRule="auto"/>
        <w:jc w:val="both"/>
        <w:rPr>
          <w:b/>
          <w:i/>
          <w:sz w:val="24"/>
          <w:szCs w:val="24"/>
          <w:lang w:val="en-US"/>
        </w:rPr>
      </w:pPr>
      <w:r w:rsidRPr="000D763C">
        <w:rPr>
          <w:b/>
          <w:i/>
          <w:sz w:val="24"/>
          <w:szCs w:val="24"/>
          <w:lang w:val="en-US"/>
        </w:rPr>
        <w:t>Statistical analysis</w:t>
      </w:r>
    </w:p>
    <w:p w14:paraId="20CAED3D" w14:textId="77777777" w:rsidR="008A4B57" w:rsidRDefault="008A4B57" w:rsidP="008A4B57">
      <w:pPr>
        <w:spacing w:after="0" w:line="480" w:lineRule="auto"/>
        <w:jc w:val="both"/>
        <w:rPr>
          <w:sz w:val="24"/>
          <w:szCs w:val="24"/>
          <w:lang w:val="en-US"/>
        </w:rPr>
      </w:pPr>
      <w:r w:rsidRPr="000A2E06">
        <w:rPr>
          <w:sz w:val="24"/>
          <w:szCs w:val="24"/>
          <w:lang w:val="en-US"/>
        </w:rPr>
        <w:t xml:space="preserve">Proportions between COVID-19, </w:t>
      </w:r>
      <w:proofErr w:type="gramStart"/>
      <w:r>
        <w:rPr>
          <w:sz w:val="24"/>
          <w:szCs w:val="24"/>
          <w:lang w:val="en-US"/>
        </w:rPr>
        <w:t>d</w:t>
      </w:r>
      <w:r w:rsidRPr="000A2E06">
        <w:rPr>
          <w:sz w:val="24"/>
          <w:szCs w:val="24"/>
          <w:lang w:val="en-US"/>
        </w:rPr>
        <w:t>engue</w:t>
      </w:r>
      <w:proofErr w:type="gramEnd"/>
      <w:r w:rsidRPr="000A2E06">
        <w:rPr>
          <w:sz w:val="24"/>
          <w:szCs w:val="24"/>
          <w:lang w:val="en-US"/>
        </w:rPr>
        <w:t xml:space="preserve"> and non-COVID-19 non-</w:t>
      </w:r>
      <w:r>
        <w:rPr>
          <w:sz w:val="24"/>
          <w:szCs w:val="24"/>
          <w:lang w:val="en-US"/>
        </w:rPr>
        <w:t>d</w:t>
      </w:r>
      <w:r w:rsidRPr="000A2E06">
        <w:rPr>
          <w:sz w:val="24"/>
          <w:szCs w:val="24"/>
          <w:lang w:val="en-US"/>
        </w:rPr>
        <w:t xml:space="preserve">engue </w:t>
      </w:r>
      <w:r w:rsidRPr="00F466CC">
        <w:rPr>
          <w:sz w:val="24"/>
          <w:szCs w:val="24"/>
          <w:lang w:val="en-US"/>
        </w:rPr>
        <w:t>OFI</w:t>
      </w:r>
      <w:r w:rsidRPr="000A2E06">
        <w:rPr>
          <w:sz w:val="24"/>
          <w:szCs w:val="24"/>
          <w:lang w:val="en-US"/>
        </w:rPr>
        <w:t xml:space="preserve"> subjects were compared using Chi square or Fisher exact tests </w:t>
      </w:r>
      <w:r>
        <w:rPr>
          <w:sz w:val="24"/>
          <w:szCs w:val="24"/>
          <w:lang w:val="en-US"/>
        </w:rPr>
        <w:t>when deemed</w:t>
      </w:r>
      <w:r w:rsidRPr="000A2E06">
        <w:rPr>
          <w:sz w:val="24"/>
          <w:szCs w:val="24"/>
          <w:lang w:val="en-US"/>
        </w:rPr>
        <w:t xml:space="preserve"> appropriate. Bivariable and multivariable multinomial logistic regression models were fitted within Stata14® (Statacorp, College Station, Texas, USA) to identify independent predictors of COVID-19 and </w:t>
      </w:r>
      <w:r>
        <w:rPr>
          <w:sz w:val="24"/>
          <w:szCs w:val="24"/>
          <w:lang w:val="en-US"/>
        </w:rPr>
        <w:t>d</w:t>
      </w:r>
      <w:r w:rsidRPr="000A2E06">
        <w:rPr>
          <w:sz w:val="24"/>
          <w:szCs w:val="24"/>
          <w:lang w:val="en-US"/>
        </w:rPr>
        <w:t xml:space="preserve">engue </w:t>
      </w:r>
      <w:r>
        <w:rPr>
          <w:sz w:val="24"/>
          <w:szCs w:val="24"/>
          <w:lang w:val="en-US"/>
        </w:rPr>
        <w:t>using</w:t>
      </w:r>
      <w:r w:rsidRPr="000A2E06">
        <w:rPr>
          <w:sz w:val="24"/>
          <w:szCs w:val="24"/>
          <w:lang w:val="en-US"/>
        </w:rPr>
        <w:t xml:space="preserve"> </w:t>
      </w:r>
      <w:r w:rsidRPr="00F466CC">
        <w:rPr>
          <w:sz w:val="24"/>
          <w:szCs w:val="24"/>
          <w:lang w:val="en-US"/>
        </w:rPr>
        <w:t>OFIs</w:t>
      </w:r>
      <w:r w:rsidRPr="000A2E06">
        <w:rPr>
          <w:sz w:val="24"/>
          <w:szCs w:val="24"/>
          <w:lang w:val="en-US"/>
        </w:rPr>
        <w:t xml:space="preserve"> as controls. </w:t>
      </w:r>
    </w:p>
    <w:p w14:paraId="23FC114F" w14:textId="77777777" w:rsidR="008A4B57" w:rsidRPr="000A2E06" w:rsidRDefault="008A4B57" w:rsidP="008A4B57">
      <w:pPr>
        <w:spacing w:after="0" w:line="480" w:lineRule="auto"/>
        <w:ind w:firstLine="567"/>
        <w:jc w:val="both"/>
        <w:rPr>
          <w:sz w:val="24"/>
          <w:szCs w:val="24"/>
          <w:lang w:val="en-US"/>
        </w:rPr>
      </w:pPr>
      <w:r>
        <w:rPr>
          <w:sz w:val="24"/>
          <w:szCs w:val="24"/>
          <w:lang w:val="en-US"/>
        </w:rPr>
        <w:t>A</w:t>
      </w:r>
      <w:r w:rsidRPr="000A2E06">
        <w:rPr>
          <w:sz w:val="24"/>
          <w:szCs w:val="24"/>
          <w:lang w:val="en-US"/>
        </w:rPr>
        <w:t xml:space="preserve"> full </w:t>
      </w:r>
      <w:r>
        <w:rPr>
          <w:sz w:val="24"/>
          <w:szCs w:val="24"/>
          <w:lang w:val="en-US"/>
        </w:rPr>
        <w:t>Multivariable Regression Model (MLR)</w:t>
      </w:r>
      <w:r w:rsidRPr="000A2E06">
        <w:rPr>
          <w:sz w:val="24"/>
          <w:szCs w:val="24"/>
          <w:lang w:val="en-US"/>
        </w:rPr>
        <w:t xml:space="preserve"> </w:t>
      </w:r>
      <w:r>
        <w:rPr>
          <w:sz w:val="24"/>
          <w:szCs w:val="24"/>
          <w:lang w:val="en-US"/>
        </w:rPr>
        <w:t xml:space="preserve">was first fitted </w:t>
      </w:r>
      <w:r w:rsidRPr="000A2E06">
        <w:rPr>
          <w:sz w:val="24"/>
          <w:szCs w:val="24"/>
          <w:lang w:val="en-US"/>
        </w:rPr>
        <w:t>with all significant covariates identified by bivariable analysis [</w:t>
      </w:r>
      <w:r w:rsidRPr="00694143">
        <w:rPr>
          <w:color w:val="00B0F0"/>
          <w:sz w:val="24"/>
          <w:szCs w:val="24"/>
          <w:lang w:val="en-US"/>
        </w:rPr>
        <w:t>1</w:t>
      </w:r>
      <w:r w:rsidRPr="000A2E06">
        <w:rPr>
          <w:sz w:val="24"/>
          <w:szCs w:val="24"/>
          <w:lang w:val="en-US"/>
        </w:rPr>
        <w:t>].</w:t>
      </w:r>
      <w:r>
        <w:rPr>
          <w:sz w:val="24"/>
          <w:szCs w:val="24"/>
          <w:lang w:val="en-US"/>
        </w:rPr>
        <w:t xml:space="preserve"> </w:t>
      </w:r>
      <w:r w:rsidRPr="000A2E06">
        <w:rPr>
          <w:sz w:val="24"/>
          <w:szCs w:val="24"/>
          <w:lang w:val="en-US"/>
        </w:rPr>
        <w:t xml:space="preserve">From the candidate predictors, we used a backward </w:t>
      </w:r>
      <w:r w:rsidRPr="000A2E06">
        <w:rPr>
          <w:sz w:val="24"/>
          <w:szCs w:val="24"/>
          <w:lang w:val="en-US"/>
        </w:rPr>
        <w:lastRenderedPageBreak/>
        <w:t xml:space="preserve">stepwise selection procedure to drop out non-significant variables (output if </w:t>
      </w:r>
      <w:r w:rsidRPr="000A2E06">
        <w:rPr>
          <w:i/>
          <w:iCs/>
          <w:sz w:val="24"/>
          <w:szCs w:val="24"/>
          <w:lang w:val="en-US"/>
        </w:rPr>
        <w:t>P</w:t>
      </w:r>
      <w:r w:rsidRPr="000A2E06">
        <w:rPr>
          <w:sz w:val="24"/>
          <w:szCs w:val="24"/>
          <w:lang w:val="en-US"/>
        </w:rPr>
        <w:t xml:space="preserve">&gt;0.05). </w:t>
      </w:r>
      <w:r>
        <w:rPr>
          <w:sz w:val="24"/>
          <w:szCs w:val="24"/>
          <w:lang w:val="en-US"/>
        </w:rPr>
        <w:t>For this</w:t>
      </w:r>
      <w:r w:rsidRPr="000A2E06">
        <w:rPr>
          <w:sz w:val="24"/>
          <w:szCs w:val="24"/>
          <w:lang w:val="en-US"/>
        </w:rPr>
        <w:t xml:space="preserve"> second step, a parsimonious multinomial logistic regression model </w:t>
      </w:r>
      <w:r>
        <w:rPr>
          <w:sz w:val="24"/>
          <w:szCs w:val="24"/>
          <w:lang w:val="en-US"/>
        </w:rPr>
        <w:t xml:space="preserve">was built </w:t>
      </w:r>
      <w:r w:rsidRPr="000A2E06">
        <w:rPr>
          <w:sz w:val="24"/>
          <w:szCs w:val="24"/>
          <w:lang w:val="en-US"/>
        </w:rPr>
        <w:t>with all significant predictors. In this model, we</w:t>
      </w:r>
      <w:r>
        <w:rPr>
          <w:sz w:val="24"/>
          <w:szCs w:val="24"/>
          <w:lang w:val="en-US"/>
        </w:rPr>
        <w:t xml:space="preserve"> </w:t>
      </w:r>
      <w:r w:rsidRPr="000A2E06">
        <w:rPr>
          <w:sz w:val="24"/>
          <w:szCs w:val="24"/>
          <w:lang w:val="en-US"/>
        </w:rPr>
        <w:t xml:space="preserve">used </w:t>
      </w:r>
      <w:proofErr w:type="spellStart"/>
      <w:r w:rsidRPr="000A2E06">
        <w:rPr>
          <w:i/>
          <w:iCs/>
          <w:sz w:val="24"/>
          <w:szCs w:val="24"/>
          <w:lang w:val="en-US"/>
        </w:rPr>
        <w:t>mlogitgof</w:t>
      </w:r>
      <w:proofErr w:type="spellEnd"/>
      <w:r w:rsidRPr="000A2E06">
        <w:rPr>
          <w:sz w:val="24"/>
          <w:szCs w:val="24"/>
          <w:lang w:val="en-US"/>
        </w:rPr>
        <w:t xml:space="preserve"> </w:t>
      </w:r>
      <w:r>
        <w:rPr>
          <w:sz w:val="24"/>
          <w:szCs w:val="24"/>
          <w:lang w:val="en-US"/>
        </w:rPr>
        <w:t>(</w:t>
      </w:r>
      <w:r w:rsidRPr="000A2E06">
        <w:rPr>
          <w:sz w:val="24"/>
          <w:szCs w:val="24"/>
          <w:lang w:val="en-US"/>
        </w:rPr>
        <w:t>an adaption of the Hosmer-</w:t>
      </w:r>
      <w:proofErr w:type="spellStart"/>
      <w:r w:rsidRPr="000A2E06">
        <w:rPr>
          <w:sz w:val="24"/>
          <w:szCs w:val="24"/>
          <w:lang w:val="en-US"/>
        </w:rPr>
        <w:t>Lemeshow</w:t>
      </w:r>
      <w:proofErr w:type="spellEnd"/>
      <w:r w:rsidRPr="000A2E06">
        <w:rPr>
          <w:sz w:val="24"/>
          <w:szCs w:val="24"/>
          <w:lang w:val="en-US"/>
        </w:rPr>
        <w:t xml:space="preserve"> </w:t>
      </w:r>
      <w:r>
        <w:rPr>
          <w:sz w:val="24"/>
          <w:szCs w:val="24"/>
          <w:lang w:val="en-US"/>
        </w:rPr>
        <w:t>g</w:t>
      </w:r>
      <w:r w:rsidRPr="000A2E06">
        <w:rPr>
          <w:sz w:val="24"/>
          <w:szCs w:val="24"/>
          <w:lang w:val="en-US"/>
        </w:rPr>
        <w:t>oodness-of-</w:t>
      </w:r>
      <w:r>
        <w:rPr>
          <w:sz w:val="24"/>
          <w:szCs w:val="24"/>
          <w:lang w:val="en-US"/>
        </w:rPr>
        <w:t>f</w:t>
      </w:r>
      <w:r w:rsidRPr="000A2E06">
        <w:rPr>
          <w:sz w:val="24"/>
          <w:szCs w:val="24"/>
          <w:lang w:val="en-US"/>
        </w:rPr>
        <w:t>it</w:t>
      </w:r>
      <w:r>
        <w:rPr>
          <w:sz w:val="24"/>
          <w:szCs w:val="24"/>
          <w:lang w:val="en-US"/>
        </w:rPr>
        <w:t xml:space="preserve"> Chi2</w:t>
      </w:r>
      <w:r w:rsidRPr="000A2E06">
        <w:rPr>
          <w:sz w:val="24"/>
          <w:szCs w:val="24"/>
          <w:lang w:val="en-US"/>
        </w:rPr>
        <w:t xml:space="preserve"> test </w:t>
      </w:r>
      <w:r>
        <w:rPr>
          <w:sz w:val="24"/>
          <w:szCs w:val="24"/>
          <w:lang w:val="en-US"/>
        </w:rPr>
        <w:t xml:space="preserve">(hereafter named MHL test) </w:t>
      </w:r>
      <w:r w:rsidRPr="000A2E06">
        <w:rPr>
          <w:sz w:val="24"/>
          <w:szCs w:val="24"/>
          <w:lang w:val="en-US"/>
        </w:rPr>
        <w:t xml:space="preserve">for </w:t>
      </w:r>
      <w:r>
        <w:rPr>
          <w:sz w:val="24"/>
          <w:szCs w:val="24"/>
          <w:lang w:val="en-US"/>
        </w:rPr>
        <w:t xml:space="preserve">MLR with </w:t>
      </w:r>
      <w:r w:rsidRPr="000A2E06">
        <w:rPr>
          <w:sz w:val="24"/>
          <w:szCs w:val="24"/>
          <w:lang w:val="en-US"/>
        </w:rPr>
        <w:t xml:space="preserve">polytomous </w:t>
      </w:r>
      <w:r>
        <w:rPr>
          <w:sz w:val="24"/>
          <w:szCs w:val="24"/>
          <w:lang w:val="en-US"/>
        </w:rPr>
        <w:t>categorical outcomes</w:t>
      </w:r>
      <w:r w:rsidRPr="000A2E06">
        <w:rPr>
          <w:sz w:val="24"/>
          <w:szCs w:val="24"/>
          <w:lang w:val="en-US"/>
        </w:rPr>
        <w:t xml:space="preserve"> [</w:t>
      </w:r>
      <w:r>
        <w:rPr>
          <w:color w:val="00B0F0"/>
          <w:sz w:val="24"/>
          <w:szCs w:val="24"/>
          <w:lang w:val="en-US"/>
        </w:rPr>
        <w:t>3</w:t>
      </w:r>
      <w:r w:rsidRPr="000A2E06">
        <w:rPr>
          <w:sz w:val="24"/>
          <w:szCs w:val="24"/>
          <w:lang w:val="en-US"/>
        </w:rPr>
        <w:t xml:space="preserve">] to minimize the discrepancy between predicted and observed </w:t>
      </w:r>
      <w:r>
        <w:rPr>
          <w:sz w:val="24"/>
          <w:szCs w:val="24"/>
          <w:lang w:val="en-US"/>
        </w:rPr>
        <w:t>events</w:t>
      </w:r>
      <w:r w:rsidRPr="000A2E06">
        <w:rPr>
          <w:sz w:val="24"/>
          <w:szCs w:val="24"/>
          <w:lang w:val="en-US"/>
        </w:rPr>
        <w:t xml:space="preserve">. In these analyses, </w:t>
      </w:r>
      <w:r>
        <w:rPr>
          <w:sz w:val="24"/>
          <w:szCs w:val="24"/>
          <w:lang w:val="en-US"/>
        </w:rPr>
        <w:t xml:space="preserve">both </w:t>
      </w:r>
      <w:r w:rsidRPr="000A2E06">
        <w:rPr>
          <w:sz w:val="24"/>
          <w:szCs w:val="24"/>
          <w:lang w:val="en-US"/>
        </w:rPr>
        <w:t>crude and adjusted odds ratios (OR) and 95% confidence intervals (95%</w:t>
      </w:r>
      <w:r>
        <w:rPr>
          <w:sz w:val="24"/>
          <w:szCs w:val="24"/>
          <w:lang w:val="en-US"/>
        </w:rPr>
        <w:t xml:space="preserve"> </w:t>
      </w:r>
      <w:r w:rsidRPr="000A2E06">
        <w:rPr>
          <w:sz w:val="24"/>
          <w:szCs w:val="24"/>
          <w:lang w:val="en-US"/>
        </w:rPr>
        <w:t xml:space="preserve">CI) were assessed using </w:t>
      </w:r>
      <w:r>
        <w:rPr>
          <w:sz w:val="24"/>
          <w:szCs w:val="24"/>
          <w:lang w:val="en-US"/>
        </w:rPr>
        <w:t xml:space="preserve">the </w:t>
      </w:r>
      <w:r w:rsidRPr="000A2E06">
        <w:rPr>
          <w:sz w:val="24"/>
          <w:szCs w:val="24"/>
          <w:lang w:val="en-US"/>
        </w:rPr>
        <w:t>binomial and Cornfield methods respectively</w:t>
      </w:r>
      <w:r>
        <w:rPr>
          <w:sz w:val="24"/>
          <w:szCs w:val="24"/>
          <w:lang w:val="en-US"/>
        </w:rPr>
        <w:t xml:space="preserve"> </w:t>
      </w:r>
      <w:r w:rsidRPr="000A2E06">
        <w:rPr>
          <w:sz w:val="24"/>
          <w:szCs w:val="24"/>
          <w:lang w:val="en-US"/>
        </w:rPr>
        <w:t>[</w:t>
      </w:r>
      <w:r w:rsidRPr="005B5975">
        <w:rPr>
          <w:color w:val="0000FF"/>
          <w:sz w:val="24"/>
          <w:szCs w:val="24"/>
          <w:lang w:val="en-US"/>
        </w:rPr>
        <w:t>1</w:t>
      </w:r>
      <w:r w:rsidRPr="000A2E06">
        <w:rPr>
          <w:sz w:val="24"/>
          <w:szCs w:val="24"/>
          <w:lang w:val="en-US"/>
        </w:rPr>
        <w:t xml:space="preserve">]. </w:t>
      </w:r>
    </w:p>
    <w:p w14:paraId="1830B681" w14:textId="77777777" w:rsidR="008A4B57" w:rsidRDefault="008A4B57" w:rsidP="008A4B57">
      <w:pPr>
        <w:spacing w:after="0" w:line="480" w:lineRule="auto"/>
        <w:ind w:firstLine="567"/>
        <w:jc w:val="both"/>
        <w:rPr>
          <w:sz w:val="24"/>
          <w:szCs w:val="24"/>
          <w:lang w:val="en-US"/>
        </w:rPr>
      </w:pPr>
      <w:bookmarkStart w:id="0" w:name="_Hlk84573616"/>
      <w:r>
        <w:rPr>
          <w:sz w:val="24"/>
          <w:szCs w:val="24"/>
          <w:lang w:val="en-US"/>
        </w:rPr>
        <w:t>B</w:t>
      </w:r>
      <w:r w:rsidRPr="0026337A">
        <w:rPr>
          <w:sz w:val="24"/>
          <w:szCs w:val="24"/>
          <w:lang w:val="en-US"/>
        </w:rPr>
        <w:t xml:space="preserve">ased on the </w:t>
      </w:r>
      <w:r>
        <w:rPr>
          <w:sz w:val="24"/>
          <w:szCs w:val="24"/>
          <w:lang w:val="en-US"/>
        </w:rPr>
        <w:t xml:space="preserve">assumption </w:t>
      </w:r>
      <w:r w:rsidRPr="0026337A">
        <w:rPr>
          <w:sz w:val="24"/>
          <w:szCs w:val="24"/>
          <w:lang w:val="en-US"/>
        </w:rPr>
        <w:t>that</w:t>
      </w:r>
      <w:r>
        <w:rPr>
          <w:sz w:val="24"/>
          <w:szCs w:val="24"/>
          <w:lang w:val="en-US"/>
        </w:rPr>
        <w:t xml:space="preserve"> if</w:t>
      </w:r>
      <w:r w:rsidRPr="0026337A">
        <w:rPr>
          <w:sz w:val="24"/>
          <w:szCs w:val="24"/>
          <w:lang w:val="en-US"/>
        </w:rPr>
        <w:t xml:space="preserve"> the</w:t>
      </w:r>
      <w:r>
        <w:rPr>
          <w:sz w:val="24"/>
          <w:szCs w:val="24"/>
          <w:lang w:val="en-US"/>
        </w:rPr>
        <w:t>re</w:t>
      </w:r>
      <w:r w:rsidRPr="0026337A">
        <w:rPr>
          <w:sz w:val="24"/>
          <w:szCs w:val="24"/>
          <w:lang w:val="en-US"/>
        </w:rPr>
        <w:t xml:space="preserve"> </w:t>
      </w:r>
      <w:r>
        <w:rPr>
          <w:sz w:val="24"/>
          <w:szCs w:val="24"/>
          <w:lang w:val="en-US"/>
        </w:rPr>
        <w:t xml:space="preserve">are </w:t>
      </w:r>
      <w:r w:rsidRPr="0026337A">
        <w:rPr>
          <w:sz w:val="24"/>
          <w:szCs w:val="24"/>
          <w:lang w:val="en-US"/>
        </w:rPr>
        <w:t>more variables</w:t>
      </w:r>
      <w:r>
        <w:rPr>
          <w:sz w:val="24"/>
          <w:szCs w:val="24"/>
          <w:lang w:val="en-US"/>
        </w:rPr>
        <w:t>, there will be</w:t>
      </w:r>
      <w:r w:rsidRPr="0026337A">
        <w:rPr>
          <w:sz w:val="24"/>
          <w:szCs w:val="24"/>
          <w:lang w:val="en-US"/>
        </w:rPr>
        <w:t xml:space="preserve"> better discrimination [</w:t>
      </w:r>
      <w:r w:rsidRPr="00DA2EE6">
        <w:rPr>
          <w:color w:val="00B0F0"/>
          <w:sz w:val="24"/>
          <w:szCs w:val="24"/>
          <w:lang w:val="en-US"/>
        </w:rPr>
        <w:t>4</w:t>
      </w:r>
      <w:r w:rsidRPr="0026337A">
        <w:rPr>
          <w:sz w:val="24"/>
          <w:szCs w:val="24"/>
          <w:lang w:val="en-US"/>
        </w:rPr>
        <w:t xml:space="preserve">], we added variables that were ruled out at the borderline of significance during the backward stepwise elimination process to our previous 9-covariate parsimonious model </w:t>
      </w:r>
      <w:bookmarkEnd w:id="0"/>
      <w:r w:rsidRPr="0026337A">
        <w:rPr>
          <w:sz w:val="24"/>
          <w:szCs w:val="24"/>
          <w:lang w:val="en-US"/>
        </w:rPr>
        <w:t>[</w:t>
      </w:r>
      <w:r w:rsidRPr="0026337A">
        <w:rPr>
          <w:color w:val="0000FF"/>
          <w:sz w:val="24"/>
          <w:szCs w:val="24"/>
          <w:lang w:val="en-US"/>
        </w:rPr>
        <w:t>1</w:t>
      </w:r>
      <w:r w:rsidRPr="0026337A">
        <w:rPr>
          <w:sz w:val="24"/>
          <w:szCs w:val="24"/>
          <w:lang w:val="en-US"/>
        </w:rPr>
        <w:t>]</w:t>
      </w:r>
      <w:r>
        <w:rPr>
          <w:sz w:val="24"/>
          <w:szCs w:val="24"/>
          <w:lang w:val="en-US"/>
        </w:rPr>
        <w:t>.</w:t>
      </w:r>
      <w:r w:rsidRPr="0026337A">
        <w:rPr>
          <w:sz w:val="24"/>
          <w:szCs w:val="24"/>
          <w:lang w:val="en-US"/>
        </w:rPr>
        <w:t xml:space="preserve"> This step was guided by the optimization of both</w:t>
      </w:r>
      <w:r>
        <w:rPr>
          <w:sz w:val="24"/>
          <w:szCs w:val="24"/>
          <w:lang w:val="en-US"/>
        </w:rPr>
        <w:t xml:space="preserve"> the</w:t>
      </w:r>
      <w:r w:rsidRPr="0026337A">
        <w:rPr>
          <w:i/>
          <w:iCs/>
          <w:sz w:val="24"/>
          <w:szCs w:val="24"/>
          <w:lang w:val="en-US"/>
        </w:rPr>
        <w:t xml:space="preserve"> </w:t>
      </w:r>
      <w:r w:rsidRPr="0026337A">
        <w:rPr>
          <w:sz w:val="24"/>
          <w:szCs w:val="24"/>
          <w:lang w:val="en-US"/>
        </w:rPr>
        <w:t xml:space="preserve">MHL test </w:t>
      </w:r>
      <w:r w:rsidRPr="0026337A">
        <w:rPr>
          <w:i/>
          <w:iCs/>
          <w:sz w:val="24"/>
          <w:szCs w:val="24"/>
          <w:lang w:val="en-US"/>
        </w:rPr>
        <w:t>P</w:t>
      </w:r>
      <w:r>
        <w:rPr>
          <w:sz w:val="24"/>
          <w:szCs w:val="24"/>
          <w:lang w:val="en-US"/>
        </w:rPr>
        <w:t>-</w:t>
      </w:r>
      <w:r w:rsidRPr="0026337A">
        <w:rPr>
          <w:sz w:val="24"/>
          <w:szCs w:val="24"/>
          <w:lang w:val="en-US"/>
        </w:rPr>
        <w:t xml:space="preserve">values and </w:t>
      </w:r>
      <w:r>
        <w:rPr>
          <w:sz w:val="24"/>
          <w:szCs w:val="24"/>
          <w:lang w:val="en-US"/>
        </w:rPr>
        <w:t>the Area Under Receiver Operating Characteristic curve (</w:t>
      </w:r>
      <w:r w:rsidRPr="00FA01C6">
        <w:rPr>
          <w:sz w:val="24"/>
          <w:szCs w:val="24"/>
          <w:lang w:val="en-US"/>
        </w:rPr>
        <w:t>AUC</w:t>
      </w:r>
      <w:r>
        <w:rPr>
          <w:sz w:val="24"/>
          <w:szCs w:val="24"/>
          <w:lang w:val="en-US"/>
        </w:rPr>
        <w:t>)</w:t>
      </w:r>
      <w:r w:rsidRPr="0026337A">
        <w:rPr>
          <w:sz w:val="24"/>
          <w:szCs w:val="24"/>
          <w:lang w:val="en-US"/>
        </w:rPr>
        <w:t xml:space="preserve">, as well as the need for reproducibility between the different epidemiological contexts. </w:t>
      </w:r>
      <w:r>
        <w:rPr>
          <w:sz w:val="24"/>
          <w:szCs w:val="24"/>
          <w:lang w:val="en-US"/>
        </w:rPr>
        <w:t>A</w:t>
      </w:r>
      <w:r w:rsidRPr="0026337A">
        <w:rPr>
          <w:sz w:val="24"/>
          <w:szCs w:val="24"/>
          <w:lang w:val="en-US"/>
        </w:rPr>
        <w:t>ge and gender</w:t>
      </w:r>
      <w:r>
        <w:rPr>
          <w:sz w:val="24"/>
          <w:szCs w:val="24"/>
          <w:lang w:val="en-US"/>
        </w:rPr>
        <w:t>,</w:t>
      </w:r>
      <w:r w:rsidRPr="0026337A">
        <w:rPr>
          <w:sz w:val="24"/>
          <w:szCs w:val="24"/>
          <w:lang w:val="en-US"/>
        </w:rPr>
        <w:t xml:space="preserve"> whose effect directions could change conditional to the context</w:t>
      </w:r>
      <w:r>
        <w:rPr>
          <w:sz w:val="24"/>
          <w:szCs w:val="24"/>
          <w:lang w:val="en-US"/>
        </w:rPr>
        <w:t>,</w:t>
      </w:r>
      <w:r w:rsidRPr="0026337A">
        <w:rPr>
          <w:sz w:val="24"/>
          <w:szCs w:val="24"/>
          <w:lang w:val="en-US"/>
        </w:rPr>
        <w:t xml:space="preserve"> were </w:t>
      </w:r>
      <w:r>
        <w:rPr>
          <w:sz w:val="24"/>
          <w:szCs w:val="24"/>
          <w:lang w:val="en-US"/>
        </w:rPr>
        <w:t xml:space="preserve">therefore </w:t>
      </w:r>
      <w:r w:rsidRPr="0026337A">
        <w:rPr>
          <w:sz w:val="24"/>
          <w:szCs w:val="24"/>
          <w:lang w:val="en-US"/>
        </w:rPr>
        <w:t>discarded</w:t>
      </w:r>
      <w:r>
        <w:rPr>
          <w:sz w:val="24"/>
          <w:szCs w:val="24"/>
          <w:lang w:val="en-US"/>
        </w:rPr>
        <w:t xml:space="preserve">. Moreover, based on </w:t>
      </w:r>
      <w:proofErr w:type="gramStart"/>
      <w:r>
        <w:rPr>
          <w:sz w:val="24"/>
          <w:szCs w:val="24"/>
          <w:lang w:val="en-US"/>
        </w:rPr>
        <w:t>past experience</w:t>
      </w:r>
      <w:proofErr w:type="gramEnd"/>
      <w:r>
        <w:rPr>
          <w:sz w:val="24"/>
          <w:szCs w:val="24"/>
          <w:lang w:val="en-US"/>
        </w:rPr>
        <w:t xml:space="preserve"> with the Chikungunya virus epidemic, we</w:t>
      </w:r>
      <w:r w:rsidRPr="0026337A">
        <w:rPr>
          <w:sz w:val="24"/>
          <w:szCs w:val="24"/>
          <w:lang w:val="en-US"/>
        </w:rPr>
        <w:t xml:space="preserve"> consider</w:t>
      </w:r>
      <w:r>
        <w:rPr>
          <w:sz w:val="24"/>
          <w:szCs w:val="24"/>
          <w:lang w:val="en-US"/>
        </w:rPr>
        <w:t>ed that</w:t>
      </w:r>
      <w:r w:rsidRPr="0026337A">
        <w:rPr>
          <w:sz w:val="24"/>
          <w:szCs w:val="24"/>
          <w:lang w:val="en-US"/>
        </w:rPr>
        <w:t xml:space="preserve"> the signification of these two variables m</w:t>
      </w:r>
      <w:r>
        <w:rPr>
          <w:sz w:val="24"/>
          <w:szCs w:val="24"/>
          <w:lang w:val="en-US"/>
        </w:rPr>
        <w:t xml:space="preserve">ay </w:t>
      </w:r>
      <w:r w:rsidRPr="0026337A">
        <w:rPr>
          <w:sz w:val="24"/>
          <w:szCs w:val="24"/>
          <w:lang w:val="en-US"/>
        </w:rPr>
        <w:t>change across epidemiological settings according to occupational exposure or immune background</w:t>
      </w:r>
      <w:r>
        <w:rPr>
          <w:sz w:val="24"/>
          <w:szCs w:val="24"/>
          <w:lang w:val="en-US"/>
        </w:rPr>
        <w:t xml:space="preserve"> and thus</w:t>
      </w:r>
      <w:r w:rsidRPr="0026337A">
        <w:rPr>
          <w:sz w:val="24"/>
          <w:szCs w:val="24"/>
          <w:lang w:val="en-US"/>
        </w:rPr>
        <w:t xml:space="preserve"> </w:t>
      </w:r>
      <w:r>
        <w:rPr>
          <w:sz w:val="24"/>
          <w:szCs w:val="24"/>
          <w:lang w:val="en-US"/>
        </w:rPr>
        <w:t>w</w:t>
      </w:r>
      <w:r w:rsidRPr="0026337A">
        <w:rPr>
          <w:sz w:val="24"/>
          <w:szCs w:val="24"/>
          <w:lang w:val="en-US"/>
        </w:rPr>
        <w:t>ould have been inconsistent to force these in</w:t>
      </w:r>
      <w:r>
        <w:rPr>
          <w:sz w:val="24"/>
          <w:szCs w:val="24"/>
          <w:lang w:val="en-US"/>
        </w:rPr>
        <w:t>to</w:t>
      </w:r>
      <w:r w:rsidRPr="0026337A">
        <w:rPr>
          <w:sz w:val="24"/>
          <w:szCs w:val="24"/>
          <w:lang w:val="en-US"/>
        </w:rPr>
        <w:t xml:space="preserve"> the model</w:t>
      </w:r>
      <w:r>
        <w:rPr>
          <w:sz w:val="24"/>
          <w:szCs w:val="24"/>
          <w:lang w:val="en-US"/>
        </w:rPr>
        <w:t>, which limited their interest for external validation</w:t>
      </w:r>
      <w:r w:rsidRPr="0026337A">
        <w:rPr>
          <w:sz w:val="24"/>
          <w:szCs w:val="24"/>
          <w:lang w:val="en-US"/>
        </w:rPr>
        <w:t xml:space="preserve">. </w:t>
      </w:r>
    </w:p>
    <w:p w14:paraId="1FD62C30" w14:textId="77777777" w:rsidR="008A4B57" w:rsidRPr="004C29AA" w:rsidRDefault="008A4B57" w:rsidP="008A4B57">
      <w:pPr>
        <w:spacing w:after="0" w:line="480" w:lineRule="auto"/>
        <w:ind w:firstLine="567"/>
        <w:jc w:val="both"/>
        <w:rPr>
          <w:sz w:val="24"/>
          <w:szCs w:val="24"/>
          <w:lang w:val="en-US"/>
        </w:rPr>
      </w:pPr>
      <w:r>
        <w:rPr>
          <w:sz w:val="24"/>
          <w:szCs w:val="24"/>
          <w:lang w:val="en-US"/>
        </w:rPr>
        <w:t>For the enrichment phase of our modeling strategy, w</w:t>
      </w:r>
      <w:r w:rsidRPr="006A390D">
        <w:rPr>
          <w:sz w:val="24"/>
          <w:szCs w:val="24"/>
          <w:lang w:val="en-US"/>
        </w:rPr>
        <w:t>e switched to a com</w:t>
      </w:r>
      <w:r>
        <w:rPr>
          <w:sz w:val="24"/>
          <w:szCs w:val="24"/>
          <w:lang w:val="en-US"/>
        </w:rPr>
        <w:t>bined approach that balanced prediction and explained using a set of ten</w:t>
      </w:r>
      <w:r w:rsidRPr="006A390D">
        <w:rPr>
          <w:sz w:val="24"/>
          <w:szCs w:val="24"/>
          <w:lang w:val="en-US"/>
        </w:rPr>
        <w:t xml:space="preserve"> information-based and parsimony-based metrics</w:t>
      </w:r>
      <w:r>
        <w:rPr>
          <w:sz w:val="24"/>
          <w:szCs w:val="24"/>
          <w:lang w:val="en-US"/>
        </w:rPr>
        <w:t xml:space="preserve"> to identify the best fit MLR model while accounting for overfitting, underfitting, model selection uncertainty and the principle of parsimony. Under this average-ranking approach, we preselected five candidate models and rated the goodness of fit performance of each model using a 5-point scale (best fit: 1, worst: 5). The best fit MLR model </w:t>
      </w:r>
      <w:r>
        <w:rPr>
          <w:sz w:val="24"/>
          <w:szCs w:val="24"/>
          <w:lang w:val="en-US"/>
        </w:rPr>
        <w:lastRenderedPageBreak/>
        <w:t>for inference being the one with the lowest estimated score</w:t>
      </w:r>
      <w:r w:rsidRPr="0026337A">
        <w:rPr>
          <w:sz w:val="24"/>
          <w:szCs w:val="24"/>
          <w:lang w:val="en-US"/>
        </w:rPr>
        <w:t xml:space="preserve"> [</w:t>
      </w:r>
      <w:r>
        <w:rPr>
          <w:color w:val="0000FF"/>
          <w:sz w:val="24"/>
          <w:szCs w:val="24"/>
          <w:lang w:val="en-US"/>
        </w:rPr>
        <w:t>5</w:t>
      </w:r>
      <w:r w:rsidRPr="004512B4">
        <w:rPr>
          <w:sz w:val="24"/>
          <w:szCs w:val="24"/>
          <w:lang w:val="en-US"/>
        </w:rPr>
        <w:t>]</w:t>
      </w:r>
      <w:r>
        <w:rPr>
          <w:sz w:val="24"/>
          <w:szCs w:val="24"/>
          <w:lang w:val="en-US"/>
        </w:rPr>
        <w:t>. This rating scale included the</w:t>
      </w:r>
      <w:r w:rsidRPr="004512B4">
        <w:rPr>
          <w:sz w:val="24"/>
          <w:szCs w:val="24"/>
          <w:lang w:val="en-US"/>
        </w:rPr>
        <w:t xml:space="preserve"> abovementioned </w:t>
      </w:r>
      <w:r>
        <w:rPr>
          <w:sz w:val="24"/>
          <w:szCs w:val="24"/>
          <w:lang w:val="en-US"/>
        </w:rPr>
        <w:t>MHL</w:t>
      </w:r>
      <w:r w:rsidRPr="004512B4">
        <w:rPr>
          <w:sz w:val="24"/>
          <w:szCs w:val="24"/>
          <w:lang w:val="en-US"/>
        </w:rPr>
        <w:t xml:space="preserve"> test</w:t>
      </w:r>
      <w:r>
        <w:rPr>
          <w:sz w:val="24"/>
          <w:szCs w:val="24"/>
          <w:lang w:val="en-US"/>
        </w:rPr>
        <w:t xml:space="preserve"> along</w:t>
      </w:r>
      <w:r w:rsidRPr="004512B4">
        <w:rPr>
          <w:sz w:val="24"/>
          <w:szCs w:val="24"/>
          <w:lang w:val="en-US"/>
        </w:rPr>
        <w:t xml:space="preserve"> </w:t>
      </w:r>
      <w:r>
        <w:rPr>
          <w:sz w:val="24"/>
          <w:szCs w:val="24"/>
          <w:lang w:val="en-US"/>
        </w:rPr>
        <w:t xml:space="preserve">with four </w:t>
      </w:r>
      <w:r w:rsidRPr="004512B4">
        <w:rPr>
          <w:sz w:val="24"/>
          <w:szCs w:val="24"/>
          <w:lang w:val="en-US"/>
        </w:rPr>
        <w:t>metrics</w:t>
      </w:r>
      <w:r>
        <w:rPr>
          <w:sz w:val="24"/>
          <w:szCs w:val="24"/>
          <w:lang w:val="en-US"/>
        </w:rPr>
        <w:t xml:space="preserve"> that are displayed in</w:t>
      </w:r>
      <w:r w:rsidRPr="004512B4">
        <w:rPr>
          <w:sz w:val="24"/>
          <w:szCs w:val="24"/>
          <w:lang w:val="en-US"/>
        </w:rPr>
        <w:t xml:space="preserve"> the</w:t>
      </w:r>
      <w:r w:rsidRPr="004512B4">
        <w:rPr>
          <w:i/>
          <w:iCs/>
          <w:sz w:val="24"/>
          <w:szCs w:val="24"/>
          <w:lang w:val="en-US"/>
        </w:rPr>
        <w:t xml:space="preserve"> </w:t>
      </w:r>
      <w:proofErr w:type="spellStart"/>
      <w:r w:rsidRPr="004512B4">
        <w:rPr>
          <w:i/>
          <w:iCs/>
          <w:sz w:val="24"/>
          <w:szCs w:val="24"/>
          <w:lang w:val="en-US"/>
        </w:rPr>
        <w:t>fitstat</w:t>
      </w:r>
      <w:proofErr w:type="spellEnd"/>
      <w:r w:rsidRPr="004512B4">
        <w:rPr>
          <w:sz w:val="24"/>
          <w:szCs w:val="24"/>
          <w:lang w:val="en-US"/>
        </w:rPr>
        <w:t xml:space="preserve"> </w:t>
      </w:r>
      <w:r>
        <w:rPr>
          <w:sz w:val="24"/>
          <w:szCs w:val="24"/>
          <w:lang w:val="en-US"/>
        </w:rPr>
        <w:t>package</w:t>
      </w:r>
      <w:r w:rsidRPr="004512B4">
        <w:rPr>
          <w:sz w:val="24"/>
          <w:szCs w:val="24"/>
          <w:lang w:val="en-US"/>
        </w:rPr>
        <w:t xml:space="preserve"> [</w:t>
      </w:r>
      <w:r w:rsidRPr="00DA2EE6">
        <w:rPr>
          <w:color w:val="00B0F0"/>
          <w:sz w:val="24"/>
          <w:szCs w:val="24"/>
          <w:lang w:val="en-US"/>
        </w:rPr>
        <w:t>6</w:t>
      </w:r>
      <w:r w:rsidRPr="004512B4">
        <w:rPr>
          <w:sz w:val="24"/>
          <w:szCs w:val="24"/>
          <w:lang w:val="en-US"/>
        </w:rPr>
        <w:t>]</w:t>
      </w:r>
      <w:r>
        <w:rPr>
          <w:sz w:val="24"/>
          <w:szCs w:val="24"/>
          <w:lang w:val="en-US"/>
        </w:rPr>
        <w:t>, namely the M</w:t>
      </w:r>
      <w:r w:rsidRPr="004512B4">
        <w:rPr>
          <w:sz w:val="24"/>
          <w:szCs w:val="24"/>
          <w:lang w:val="en-US"/>
        </w:rPr>
        <w:t xml:space="preserve">ac Fadden’s R2, </w:t>
      </w:r>
      <w:r>
        <w:rPr>
          <w:sz w:val="24"/>
          <w:szCs w:val="24"/>
          <w:lang w:val="en-US"/>
        </w:rPr>
        <w:t xml:space="preserve">the </w:t>
      </w:r>
      <w:r w:rsidRPr="004512B4">
        <w:rPr>
          <w:sz w:val="24"/>
          <w:szCs w:val="24"/>
          <w:lang w:val="en-US"/>
        </w:rPr>
        <w:t>devianc</w:t>
      </w:r>
      <w:r>
        <w:rPr>
          <w:sz w:val="24"/>
          <w:szCs w:val="24"/>
          <w:lang w:val="en-US"/>
        </w:rPr>
        <w:t>e</w:t>
      </w:r>
      <w:r w:rsidRPr="004512B4">
        <w:rPr>
          <w:sz w:val="24"/>
          <w:szCs w:val="24"/>
          <w:lang w:val="en-US"/>
        </w:rPr>
        <w:t>, the Akaike (AIC) and the Bayesian (BIC) information criteria.</w:t>
      </w:r>
      <w:r>
        <w:rPr>
          <w:sz w:val="24"/>
          <w:szCs w:val="24"/>
          <w:lang w:val="en-US"/>
        </w:rPr>
        <w:t xml:space="preserve"> </w:t>
      </w:r>
      <w:r w:rsidRPr="004512B4">
        <w:rPr>
          <w:sz w:val="24"/>
          <w:szCs w:val="24"/>
          <w:lang w:val="en-US"/>
        </w:rPr>
        <w:t xml:space="preserve">Among </w:t>
      </w:r>
      <w:r>
        <w:rPr>
          <w:sz w:val="24"/>
          <w:szCs w:val="24"/>
          <w:lang w:val="en-US"/>
        </w:rPr>
        <w:t xml:space="preserve">these standard </w:t>
      </w:r>
      <w:r w:rsidRPr="004512B4">
        <w:rPr>
          <w:sz w:val="24"/>
          <w:szCs w:val="24"/>
          <w:lang w:val="en-US"/>
        </w:rPr>
        <w:t xml:space="preserve">error and prediction-based </w:t>
      </w:r>
      <w:r>
        <w:rPr>
          <w:sz w:val="24"/>
          <w:szCs w:val="24"/>
          <w:lang w:val="en-US"/>
        </w:rPr>
        <w:t>criteria</w:t>
      </w:r>
      <w:r w:rsidRPr="004512B4">
        <w:rPr>
          <w:sz w:val="24"/>
          <w:szCs w:val="24"/>
          <w:lang w:val="en-US"/>
        </w:rPr>
        <w:t xml:space="preserve">, we privileged the </w:t>
      </w:r>
      <w:r>
        <w:rPr>
          <w:sz w:val="24"/>
          <w:szCs w:val="24"/>
          <w:lang w:val="en-US"/>
        </w:rPr>
        <w:t>latter two</w:t>
      </w:r>
      <w:r w:rsidRPr="004512B4">
        <w:rPr>
          <w:sz w:val="24"/>
          <w:szCs w:val="24"/>
          <w:lang w:val="en-US"/>
        </w:rPr>
        <w:t xml:space="preserve"> to</w:t>
      </w:r>
      <w:r>
        <w:rPr>
          <w:sz w:val="24"/>
          <w:szCs w:val="24"/>
          <w:lang w:val="en-US"/>
        </w:rPr>
        <w:t xml:space="preserve"> select</w:t>
      </w:r>
      <w:r w:rsidRPr="004512B4">
        <w:rPr>
          <w:sz w:val="24"/>
          <w:szCs w:val="24"/>
          <w:lang w:val="en-US"/>
        </w:rPr>
        <w:t xml:space="preserve"> the best</w:t>
      </w:r>
      <w:r>
        <w:rPr>
          <w:sz w:val="24"/>
          <w:szCs w:val="24"/>
          <w:lang w:val="en-US"/>
        </w:rPr>
        <w:t xml:space="preserve"> fit MLR </w:t>
      </w:r>
      <w:r w:rsidRPr="004512B4">
        <w:rPr>
          <w:sz w:val="24"/>
          <w:szCs w:val="24"/>
          <w:lang w:val="en-US"/>
        </w:rPr>
        <w:t>model.</w:t>
      </w:r>
      <w:r>
        <w:rPr>
          <w:sz w:val="24"/>
          <w:szCs w:val="24"/>
          <w:lang w:val="en-US"/>
        </w:rPr>
        <w:t xml:space="preserve">   T</w:t>
      </w:r>
      <w:r w:rsidRPr="000A2E06">
        <w:rPr>
          <w:sz w:val="24"/>
          <w:szCs w:val="24"/>
          <w:lang w:val="en-US"/>
        </w:rPr>
        <w:t>he</w:t>
      </w:r>
      <w:r>
        <w:rPr>
          <w:sz w:val="24"/>
          <w:szCs w:val="24"/>
          <w:lang w:val="en-US"/>
        </w:rPr>
        <w:t xml:space="preserve"> AIC and the BIC</w:t>
      </w:r>
      <w:r w:rsidRPr="000A2E06">
        <w:rPr>
          <w:sz w:val="24"/>
          <w:szCs w:val="24"/>
          <w:lang w:val="en-US"/>
        </w:rPr>
        <w:t xml:space="preserve"> were deemed superior to the others</w:t>
      </w:r>
      <w:r>
        <w:rPr>
          <w:sz w:val="24"/>
          <w:szCs w:val="24"/>
          <w:lang w:val="en-US"/>
        </w:rPr>
        <w:t xml:space="preserve"> since</w:t>
      </w:r>
      <w:r w:rsidRPr="000A2E06">
        <w:rPr>
          <w:sz w:val="24"/>
          <w:szCs w:val="24"/>
          <w:lang w:val="en-US"/>
        </w:rPr>
        <w:t xml:space="preserve"> they maximize the calibration of the model while preventing overfitting</w:t>
      </w:r>
      <w:r>
        <w:rPr>
          <w:sz w:val="24"/>
          <w:szCs w:val="24"/>
          <w:lang w:val="en-US"/>
        </w:rPr>
        <w:t xml:space="preserve"> therefore</w:t>
      </w:r>
      <w:r w:rsidRPr="000A2E06">
        <w:rPr>
          <w:sz w:val="24"/>
          <w:szCs w:val="24"/>
          <w:lang w:val="en-US"/>
        </w:rPr>
        <w:t xml:space="preserve"> minimiz</w:t>
      </w:r>
      <w:r>
        <w:rPr>
          <w:sz w:val="24"/>
          <w:szCs w:val="24"/>
          <w:lang w:val="en-US"/>
        </w:rPr>
        <w:t>ing</w:t>
      </w:r>
      <w:r w:rsidRPr="000A2E06">
        <w:rPr>
          <w:sz w:val="24"/>
          <w:szCs w:val="24"/>
          <w:lang w:val="en-US"/>
        </w:rPr>
        <w:t xml:space="preserve"> the loss of information and support</w:t>
      </w:r>
      <w:r>
        <w:rPr>
          <w:sz w:val="24"/>
          <w:szCs w:val="24"/>
          <w:lang w:val="en-US"/>
        </w:rPr>
        <w:t>ing</w:t>
      </w:r>
      <w:r w:rsidRPr="000A2E06">
        <w:rPr>
          <w:sz w:val="24"/>
          <w:szCs w:val="24"/>
          <w:lang w:val="en-US"/>
        </w:rPr>
        <w:t xml:space="preserve"> the principle of parsimony [</w:t>
      </w:r>
      <w:r w:rsidRPr="00DA2EE6">
        <w:rPr>
          <w:color w:val="00B0F0"/>
          <w:sz w:val="24"/>
          <w:szCs w:val="24"/>
          <w:lang w:val="en-US"/>
        </w:rPr>
        <w:t>7</w:t>
      </w:r>
      <w:r w:rsidRPr="00DA2EE6">
        <w:rPr>
          <w:sz w:val="24"/>
          <w:szCs w:val="24"/>
          <w:lang w:val="en-US"/>
        </w:rPr>
        <w:t>,</w:t>
      </w:r>
      <w:r w:rsidRPr="00DA2EE6">
        <w:rPr>
          <w:color w:val="00B0F0"/>
          <w:sz w:val="24"/>
          <w:szCs w:val="24"/>
          <w:lang w:val="en-US"/>
        </w:rPr>
        <w:t>8</w:t>
      </w:r>
      <w:r w:rsidRPr="000A2E06">
        <w:rPr>
          <w:sz w:val="24"/>
          <w:szCs w:val="24"/>
          <w:lang w:val="en-US"/>
        </w:rPr>
        <w:t xml:space="preserve">]. </w:t>
      </w:r>
    </w:p>
    <w:p w14:paraId="7669DF30" w14:textId="77777777" w:rsidR="008A4B57" w:rsidRPr="002F65C2" w:rsidRDefault="008A4B57" w:rsidP="008A4B57">
      <w:pPr>
        <w:spacing w:after="0" w:line="480" w:lineRule="auto"/>
        <w:ind w:firstLine="567"/>
        <w:jc w:val="both"/>
        <w:rPr>
          <w:sz w:val="24"/>
          <w:szCs w:val="24"/>
          <w:lang w:val="en-US"/>
        </w:rPr>
      </w:pPr>
      <w:r>
        <w:rPr>
          <w:sz w:val="24"/>
          <w:szCs w:val="24"/>
          <w:lang w:val="en-US"/>
        </w:rPr>
        <w:t>W</w:t>
      </w:r>
      <w:r w:rsidRPr="00E51101">
        <w:rPr>
          <w:sz w:val="24"/>
          <w:szCs w:val="24"/>
          <w:lang w:val="en-US"/>
        </w:rPr>
        <w:t xml:space="preserve">eighted </w:t>
      </w:r>
      <w:r w:rsidRPr="00B42C0F">
        <w:rPr>
          <w:sz w:val="24"/>
          <w:szCs w:val="24"/>
          <w:lang w:val="en-US"/>
        </w:rPr>
        <w:t>analyses on the overall inverse probability of hospitalization to assess the potential for selection bias</w:t>
      </w:r>
      <w:r>
        <w:rPr>
          <w:sz w:val="24"/>
          <w:szCs w:val="24"/>
          <w:lang w:val="en-US"/>
        </w:rPr>
        <w:t xml:space="preserve"> and to test the robustness of the identified predictors were performed next </w:t>
      </w:r>
      <w:r w:rsidRPr="004512B4">
        <w:rPr>
          <w:sz w:val="24"/>
          <w:szCs w:val="24"/>
          <w:lang w:val="en-US"/>
        </w:rPr>
        <w:t>[</w:t>
      </w:r>
      <w:r w:rsidRPr="00DA2EE6">
        <w:rPr>
          <w:color w:val="00B0F0"/>
          <w:sz w:val="24"/>
          <w:szCs w:val="24"/>
          <w:lang w:val="en-US"/>
        </w:rPr>
        <w:t>1</w:t>
      </w:r>
      <w:r w:rsidRPr="004512B4">
        <w:rPr>
          <w:sz w:val="24"/>
          <w:szCs w:val="24"/>
          <w:lang w:val="en-US"/>
        </w:rPr>
        <w:t>]</w:t>
      </w:r>
      <w:r w:rsidRPr="00B42C0F">
        <w:rPr>
          <w:sz w:val="24"/>
          <w:szCs w:val="24"/>
          <w:lang w:val="en-US"/>
        </w:rPr>
        <w:t xml:space="preserve">. </w:t>
      </w:r>
      <w:r w:rsidRPr="00C0678B">
        <w:rPr>
          <w:sz w:val="24"/>
          <w:szCs w:val="24"/>
          <w:lang w:val="en-US"/>
        </w:rPr>
        <w:t xml:space="preserve">Briefly, we applied the hospitalization rates observed for confirmed COVID-19 and dengue cases in logistic regression models over the study period with the actual rate (1.5%) for OFIs using the </w:t>
      </w:r>
      <w:proofErr w:type="spellStart"/>
      <w:r w:rsidRPr="00C0678B">
        <w:rPr>
          <w:i/>
          <w:sz w:val="24"/>
          <w:szCs w:val="24"/>
          <w:lang w:val="en-US"/>
        </w:rPr>
        <w:t>svy</w:t>
      </w:r>
      <w:proofErr w:type="spellEnd"/>
      <w:r w:rsidRPr="00C0678B">
        <w:rPr>
          <w:i/>
          <w:sz w:val="24"/>
          <w:szCs w:val="24"/>
          <w:lang w:val="en-US"/>
        </w:rPr>
        <w:t xml:space="preserve"> </w:t>
      </w:r>
      <w:r w:rsidRPr="00C0678B">
        <w:rPr>
          <w:sz w:val="24"/>
          <w:szCs w:val="24"/>
          <w:lang w:val="en-US"/>
        </w:rPr>
        <w:t>function in Stata.</w:t>
      </w:r>
      <w:r w:rsidRPr="002F65C2">
        <w:rPr>
          <w:sz w:val="24"/>
          <w:szCs w:val="24"/>
          <w:lang w:val="en-US"/>
        </w:rPr>
        <w:t xml:space="preserve"> </w:t>
      </w:r>
    </w:p>
    <w:p w14:paraId="56A425A7" w14:textId="77777777" w:rsidR="008A4B57" w:rsidRDefault="008A4B57" w:rsidP="008A4B57">
      <w:pPr>
        <w:spacing w:after="0" w:line="480" w:lineRule="auto"/>
        <w:ind w:firstLine="567"/>
        <w:jc w:val="both"/>
        <w:rPr>
          <w:sz w:val="24"/>
          <w:szCs w:val="24"/>
          <w:lang w:val="en-US"/>
        </w:rPr>
      </w:pPr>
      <w:r>
        <w:rPr>
          <w:sz w:val="24"/>
          <w:szCs w:val="24"/>
          <w:lang w:val="en-US"/>
        </w:rPr>
        <w:t>Lastly, from</w:t>
      </w:r>
      <w:r w:rsidRPr="000A2E06">
        <w:rPr>
          <w:sz w:val="24"/>
          <w:szCs w:val="24"/>
          <w:lang w:val="en-US"/>
        </w:rPr>
        <w:t xml:space="preserve"> the best fit compromise model, two simple scores</w:t>
      </w:r>
      <w:r>
        <w:rPr>
          <w:sz w:val="24"/>
          <w:szCs w:val="24"/>
          <w:lang w:val="en-US"/>
        </w:rPr>
        <w:t xml:space="preserve"> were derived</w:t>
      </w:r>
      <w:r w:rsidRPr="000A2E06">
        <w:rPr>
          <w:sz w:val="24"/>
          <w:szCs w:val="24"/>
          <w:lang w:val="en-US"/>
        </w:rPr>
        <w:t xml:space="preserve"> </w:t>
      </w:r>
      <w:r>
        <w:rPr>
          <w:sz w:val="24"/>
          <w:szCs w:val="24"/>
          <w:lang w:val="en-US"/>
        </w:rPr>
        <w:t xml:space="preserve">for </w:t>
      </w:r>
      <w:r w:rsidRPr="000A2E06">
        <w:rPr>
          <w:sz w:val="24"/>
          <w:szCs w:val="24"/>
          <w:lang w:val="en-US"/>
        </w:rPr>
        <w:t>the COVIDENGUE scores</w:t>
      </w:r>
      <w:r>
        <w:rPr>
          <w:sz w:val="24"/>
          <w:szCs w:val="24"/>
          <w:lang w:val="en-US"/>
        </w:rPr>
        <w:t xml:space="preserve">; </w:t>
      </w:r>
      <w:r w:rsidRPr="000A2E06">
        <w:rPr>
          <w:sz w:val="24"/>
          <w:szCs w:val="24"/>
          <w:lang w:val="en-US"/>
        </w:rPr>
        <w:t xml:space="preserve">one </w:t>
      </w:r>
      <w:r>
        <w:rPr>
          <w:sz w:val="24"/>
          <w:szCs w:val="24"/>
          <w:lang w:val="en-US"/>
        </w:rPr>
        <w:t xml:space="preserve">was </w:t>
      </w:r>
      <w:r w:rsidRPr="000A2E06">
        <w:rPr>
          <w:sz w:val="24"/>
          <w:szCs w:val="24"/>
          <w:lang w:val="en-US"/>
        </w:rPr>
        <w:t xml:space="preserve">for COVID-19, </w:t>
      </w:r>
      <w:r>
        <w:rPr>
          <w:sz w:val="24"/>
          <w:szCs w:val="24"/>
          <w:lang w:val="en-US"/>
        </w:rPr>
        <w:t>and the other</w:t>
      </w:r>
      <w:r w:rsidRPr="000A2E06">
        <w:rPr>
          <w:sz w:val="24"/>
          <w:szCs w:val="24"/>
          <w:lang w:val="en-US"/>
        </w:rPr>
        <w:t xml:space="preserve"> for dengue</w:t>
      </w:r>
      <w:r>
        <w:rPr>
          <w:sz w:val="24"/>
          <w:szCs w:val="24"/>
          <w:lang w:val="en-US"/>
        </w:rPr>
        <w:t>,</w:t>
      </w:r>
      <w:r w:rsidRPr="000A2E06">
        <w:rPr>
          <w:sz w:val="24"/>
          <w:szCs w:val="24"/>
          <w:lang w:val="en-US"/>
        </w:rPr>
        <w:t xml:space="preserve"> after weighting the OR according to a predefined rule. This rule gave weight to all the model covariates (</w:t>
      </w:r>
      <w:r>
        <w:rPr>
          <w:sz w:val="24"/>
          <w:szCs w:val="24"/>
          <w:lang w:val="en-US"/>
        </w:rPr>
        <w:t>no matter their significance</w:t>
      </w:r>
      <w:r w:rsidRPr="000A2E06">
        <w:rPr>
          <w:sz w:val="24"/>
          <w:szCs w:val="24"/>
          <w:lang w:val="en-US"/>
        </w:rPr>
        <w:t>) to maximize the possible combinations and provide the largest range of values which theoretically enable</w:t>
      </w:r>
      <w:r>
        <w:rPr>
          <w:sz w:val="24"/>
          <w:szCs w:val="24"/>
          <w:lang w:val="en-US"/>
        </w:rPr>
        <w:t>d</w:t>
      </w:r>
      <w:r w:rsidRPr="000A2E06">
        <w:rPr>
          <w:sz w:val="24"/>
          <w:szCs w:val="24"/>
          <w:lang w:val="en-US"/>
        </w:rPr>
        <w:t xml:space="preserve"> the best discrimination.</w:t>
      </w:r>
    </w:p>
    <w:p w14:paraId="72456330" w14:textId="77777777" w:rsidR="008A4B57" w:rsidRPr="000A2E06" w:rsidRDefault="008A4B57" w:rsidP="008A4B57">
      <w:pPr>
        <w:spacing w:after="0" w:line="480" w:lineRule="auto"/>
        <w:ind w:firstLine="567"/>
        <w:jc w:val="both"/>
        <w:rPr>
          <w:sz w:val="24"/>
          <w:szCs w:val="24"/>
          <w:lang w:val="en-US"/>
        </w:rPr>
      </w:pPr>
      <w:r w:rsidRPr="000A2E06">
        <w:rPr>
          <w:sz w:val="24"/>
          <w:szCs w:val="24"/>
          <w:lang w:val="en-US"/>
        </w:rPr>
        <w:t xml:space="preserve">The </w:t>
      </w:r>
      <w:r>
        <w:rPr>
          <w:sz w:val="24"/>
          <w:szCs w:val="24"/>
          <w:lang w:val="en-US"/>
        </w:rPr>
        <w:t>discriminative ability</w:t>
      </w:r>
      <w:r w:rsidRPr="000A2E06">
        <w:rPr>
          <w:sz w:val="24"/>
          <w:szCs w:val="24"/>
          <w:lang w:val="en-US"/>
        </w:rPr>
        <w:t xml:space="preserve"> of the models and of the COVIDENGUE scores </w:t>
      </w:r>
      <w:r w:rsidRPr="006D2324">
        <w:rPr>
          <w:sz w:val="24"/>
          <w:szCs w:val="24"/>
          <w:lang w:val="en-US"/>
        </w:rPr>
        <w:t>(</w:t>
      </w:r>
      <w:r>
        <w:rPr>
          <w:sz w:val="24"/>
          <w:szCs w:val="24"/>
          <w:lang w:val="en-US"/>
        </w:rPr>
        <w:t>in other words,</w:t>
      </w:r>
      <w:r w:rsidRPr="000A2E06">
        <w:rPr>
          <w:i/>
          <w:iCs/>
          <w:sz w:val="24"/>
          <w:szCs w:val="24"/>
          <w:lang w:val="en-US"/>
        </w:rPr>
        <w:t xml:space="preserve"> </w:t>
      </w:r>
      <w:r w:rsidRPr="000A2E06">
        <w:rPr>
          <w:sz w:val="24"/>
          <w:szCs w:val="24"/>
          <w:lang w:val="en-US"/>
        </w:rPr>
        <w:t xml:space="preserve">the model and score </w:t>
      </w:r>
      <w:r>
        <w:rPr>
          <w:sz w:val="24"/>
          <w:szCs w:val="24"/>
          <w:lang w:val="en-US"/>
        </w:rPr>
        <w:t xml:space="preserve">predictive </w:t>
      </w:r>
      <w:r w:rsidRPr="000A2E06">
        <w:rPr>
          <w:sz w:val="24"/>
          <w:szCs w:val="24"/>
          <w:lang w:val="en-US"/>
        </w:rPr>
        <w:t xml:space="preserve">performances) for the diagnosis of COVID-19 and </w:t>
      </w:r>
      <w:r>
        <w:rPr>
          <w:sz w:val="24"/>
          <w:szCs w:val="24"/>
          <w:lang w:val="en-US"/>
        </w:rPr>
        <w:t>d</w:t>
      </w:r>
      <w:r w:rsidRPr="000A2E06">
        <w:rPr>
          <w:sz w:val="24"/>
          <w:szCs w:val="24"/>
          <w:lang w:val="en-US"/>
        </w:rPr>
        <w:t xml:space="preserve">engue </w:t>
      </w:r>
      <w:r>
        <w:rPr>
          <w:sz w:val="24"/>
          <w:szCs w:val="24"/>
          <w:lang w:val="en-US"/>
        </w:rPr>
        <w:t>were</w:t>
      </w:r>
      <w:r w:rsidRPr="000A2E06">
        <w:rPr>
          <w:sz w:val="24"/>
          <w:szCs w:val="24"/>
          <w:lang w:val="en-US"/>
        </w:rPr>
        <w:t xml:space="preserve"> tested using receiver operating characteristic (ROC) </w:t>
      </w:r>
      <w:r>
        <w:rPr>
          <w:sz w:val="24"/>
          <w:szCs w:val="24"/>
          <w:lang w:val="en-US"/>
        </w:rPr>
        <w:t>plot</w:t>
      </w:r>
      <w:r w:rsidRPr="000A2E06">
        <w:rPr>
          <w:sz w:val="24"/>
          <w:szCs w:val="24"/>
          <w:lang w:val="en-US"/>
        </w:rPr>
        <w:t xml:space="preserve"> analyses</w:t>
      </w:r>
      <w:r>
        <w:rPr>
          <w:sz w:val="24"/>
          <w:szCs w:val="24"/>
          <w:lang w:val="en-US"/>
        </w:rPr>
        <w:t xml:space="preserve"> [</w:t>
      </w:r>
      <w:r w:rsidRPr="00DA2EE6">
        <w:rPr>
          <w:color w:val="00B0F0"/>
          <w:sz w:val="24"/>
          <w:szCs w:val="24"/>
          <w:lang w:val="en-US"/>
        </w:rPr>
        <w:t>9</w:t>
      </w:r>
      <w:r>
        <w:rPr>
          <w:sz w:val="24"/>
          <w:szCs w:val="24"/>
          <w:lang w:val="en-US"/>
        </w:rPr>
        <w:t>]</w:t>
      </w:r>
      <w:r w:rsidRPr="000A2E06">
        <w:rPr>
          <w:sz w:val="24"/>
          <w:szCs w:val="24"/>
          <w:lang w:val="en-US"/>
        </w:rPr>
        <w:t xml:space="preserve"> </w:t>
      </w:r>
      <w:r>
        <w:rPr>
          <w:sz w:val="24"/>
          <w:szCs w:val="24"/>
          <w:lang w:val="en-US"/>
        </w:rPr>
        <w:t xml:space="preserve">that consider ROC plots and areas under ROC curves (AUC) with their 95%CI </w:t>
      </w:r>
      <w:r w:rsidRPr="000A2E06">
        <w:rPr>
          <w:sz w:val="24"/>
          <w:szCs w:val="24"/>
          <w:lang w:val="en-US"/>
        </w:rPr>
        <w:t>(</w:t>
      </w:r>
      <w:r>
        <w:rPr>
          <w:sz w:val="24"/>
          <w:szCs w:val="24"/>
          <w:lang w:val="en-US"/>
        </w:rPr>
        <w:t>for example: the</w:t>
      </w:r>
      <w:r w:rsidRPr="000A2E06">
        <w:rPr>
          <w:sz w:val="24"/>
          <w:szCs w:val="24"/>
          <w:lang w:val="en-US"/>
        </w:rPr>
        <w:t xml:space="preserve"> </w:t>
      </w:r>
      <w:proofErr w:type="spellStart"/>
      <w:r w:rsidRPr="000A2E06">
        <w:rPr>
          <w:i/>
          <w:iCs/>
          <w:sz w:val="24"/>
          <w:szCs w:val="24"/>
          <w:lang w:val="en-US"/>
        </w:rPr>
        <w:t>mlogitroc</w:t>
      </w:r>
      <w:proofErr w:type="spellEnd"/>
      <w:r w:rsidRPr="000A2E06">
        <w:rPr>
          <w:sz w:val="24"/>
          <w:szCs w:val="24"/>
          <w:lang w:val="en-US"/>
        </w:rPr>
        <w:t xml:space="preserve"> module for estimating multiclass ROC curves and AUC from multinomial logistic regression</w:t>
      </w:r>
      <w:r>
        <w:rPr>
          <w:sz w:val="24"/>
          <w:szCs w:val="24"/>
          <w:lang w:val="en-US"/>
        </w:rPr>
        <w:t>)</w:t>
      </w:r>
      <w:r w:rsidRPr="000A2E06">
        <w:rPr>
          <w:sz w:val="24"/>
          <w:szCs w:val="24"/>
          <w:lang w:val="en-US"/>
        </w:rPr>
        <w:t xml:space="preserve"> [</w:t>
      </w:r>
      <w:r w:rsidRPr="00DA2EE6">
        <w:rPr>
          <w:color w:val="00B0F0"/>
          <w:sz w:val="24"/>
          <w:szCs w:val="24"/>
          <w:lang w:val="en-US"/>
        </w:rPr>
        <w:t>10</w:t>
      </w:r>
      <w:r w:rsidRPr="000A2E06">
        <w:rPr>
          <w:sz w:val="24"/>
          <w:szCs w:val="24"/>
          <w:lang w:val="en-US"/>
        </w:rPr>
        <w:t>]. Discrimination i</w:t>
      </w:r>
      <w:r>
        <w:rPr>
          <w:sz w:val="24"/>
          <w:szCs w:val="24"/>
          <w:lang w:val="en-US"/>
        </w:rPr>
        <w:t>s typically</w:t>
      </w:r>
      <w:r w:rsidRPr="000A2E06">
        <w:rPr>
          <w:sz w:val="24"/>
          <w:szCs w:val="24"/>
          <w:lang w:val="en-US"/>
        </w:rPr>
        <w:t xml:space="preserve"> considered as null when AUC is 0.5, poor when between 0.5 and 0.7, satisfactory between 0.7 and 0.8, good between 0.8 and 0.9, excellent between 0.9 and 1, and </w:t>
      </w:r>
      <w:r w:rsidRPr="000A2E06">
        <w:rPr>
          <w:sz w:val="24"/>
          <w:szCs w:val="24"/>
          <w:lang w:val="en-US"/>
        </w:rPr>
        <w:lastRenderedPageBreak/>
        <w:t xml:space="preserve">perfect when </w:t>
      </w:r>
      <w:r>
        <w:rPr>
          <w:sz w:val="24"/>
          <w:szCs w:val="24"/>
          <w:lang w:val="en-US"/>
        </w:rPr>
        <w:t xml:space="preserve">the AUC </w:t>
      </w:r>
      <w:r w:rsidRPr="000A2E06">
        <w:rPr>
          <w:sz w:val="24"/>
          <w:szCs w:val="24"/>
          <w:lang w:val="en-US"/>
        </w:rPr>
        <w:t xml:space="preserve">equals 1. </w:t>
      </w:r>
      <w:r>
        <w:rPr>
          <w:sz w:val="24"/>
          <w:szCs w:val="24"/>
          <w:lang w:val="en-US"/>
        </w:rPr>
        <w:t>AUCs were compared both graphically and by using the nonparametric DeLong method (</w:t>
      </w:r>
      <w:proofErr w:type="spellStart"/>
      <w:r w:rsidRPr="005564E7">
        <w:rPr>
          <w:i/>
          <w:iCs/>
          <w:sz w:val="24"/>
          <w:szCs w:val="24"/>
          <w:lang w:val="en-US"/>
        </w:rPr>
        <w:t>roc</w:t>
      </w:r>
      <w:r>
        <w:rPr>
          <w:i/>
          <w:iCs/>
          <w:sz w:val="24"/>
          <w:szCs w:val="24"/>
          <w:lang w:val="en-US"/>
        </w:rPr>
        <w:t>comp</w:t>
      </w:r>
      <w:proofErr w:type="spellEnd"/>
      <w:r>
        <w:rPr>
          <w:i/>
          <w:iCs/>
          <w:sz w:val="24"/>
          <w:szCs w:val="24"/>
          <w:lang w:val="en-US"/>
        </w:rPr>
        <w:t xml:space="preserve"> and </w:t>
      </w:r>
      <w:proofErr w:type="spellStart"/>
      <w:r>
        <w:rPr>
          <w:i/>
          <w:iCs/>
          <w:sz w:val="24"/>
          <w:szCs w:val="24"/>
          <w:lang w:val="en-US"/>
        </w:rPr>
        <w:t>roc</w:t>
      </w:r>
      <w:r w:rsidRPr="005564E7">
        <w:rPr>
          <w:i/>
          <w:iCs/>
          <w:sz w:val="24"/>
          <w:szCs w:val="24"/>
          <w:lang w:val="en-US"/>
        </w:rPr>
        <w:t>gold</w:t>
      </w:r>
      <w:proofErr w:type="spellEnd"/>
      <w:r w:rsidRPr="005564E7">
        <w:rPr>
          <w:i/>
          <w:iCs/>
          <w:sz w:val="24"/>
          <w:szCs w:val="24"/>
          <w:lang w:val="en-US"/>
        </w:rPr>
        <w:t xml:space="preserve"> </w:t>
      </w:r>
      <w:r>
        <w:rPr>
          <w:sz w:val="24"/>
          <w:szCs w:val="24"/>
          <w:lang w:val="en-US"/>
        </w:rPr>
        <w:t xml:space="preserve">Stata commands) </w:t>
      </w:r>
      <w:r w:rsidRPr="000A2E06">
        <w:rPr>
          <w:sz w:val="24"/>
          <w:szCs w:val="24"/>
          <w:lang w:val="en-US"/>
        </w:rPr>
        <w:t>[</w:t>
      </w:r>
      <w:r w:rsidRPr="00DA2EE6">
        <w:rPr>
          <w:color w:val="00B0F0"/>
          <w:sz w:val="24"/>
          <w:szCs w:val="24"/>
          <w:lang w:val="en-US"/>
        </w:rPr>
        <w:t>11</w:t>
      </w:r>
      <w:r w:rsidRPr="000A2E06">
        <w:rPr>
          <w:sz w:val="24"/>
          <w:szCs w:val="24"/>
          <w:lang w:val="en-US"/>
        </w:rPr>
        <w:t>]</w:t>
      </w:r>
      <w:r>
        <w:rPr>
          <w:sz w:val="24"/>
          <w:szCs w:val="24"/>
          <w:lang w:val="en-US"/>
        </w:rPr>
        <w:t xml:space="preserve"> taking either the full or ‘saturated’ main-effect model or the best fit compromise model as referent models to identify which model could both approximate the discriminatory power of the full model and be significantly more discriminant than the minimal-effect (</w:t>
      </w:r>
      <w:r>
        <w:rPr>
          <w:i/>
          <w:iCs/>
          <w:sz w:val="24"/>
          <w:szCs w:val="24"/>
          <w:lang w:val="en-US"/>
        </w:rPr>
        <w:t>‘</w:t>
      </w:r>
      <w:r>
        <w:rPr>
          <w:sz w:val="24"/>
          <w:szCs w:val="24"/>
          <w:lang w:val="en-US"/>
        </w:rPr>
        <w:t xml:space="preserve">parsimonious’) model. In addition, classification plots were provided to assess the discriminative ability of the COVIDENGUE scores conditional to absolute risk thresholds </w:t>
      </w:r>
      <w:r w:rsidRPr="004512B4">
        <w:rPr>
          <w:sz w:val="24"/>
          <w:szCs w:val="24"/>
          <w:lang w:val="en-US"/>
        </w:rPr>
        <w:t>[</w:t>
      </w:r>
      <w:r w:rsidRPr="00DA2EE6">
        <w:rPr>
          <w:color w:val="00B0F0"/>
          <w:sz w:val="24"/>
          <w:szCs w:val="24"/>
          <w:lang w:val="en-US"/>
        </w:rPr>
        <w:t>12</w:t>
      </w:r>
      <w:r w:rsidRPr="004512B4">
        <w:rPr>
          <w:sz w:val="24"/>
          <w:szCs w:val="24"/>
          <w:lang w:val="en-US"/>
        </w:rPr>
        <w:t>]</w:t>
      </w:r>
      <w:r>
        <w:rPr>
          <w:sz w:val="24"/>
          <w:szCs w:val="24"/>
          <w:lang w:val="en-US"/>
        </w:rPr>
        <w:t>. S</w:t>
      </w:r>
      <w:r w:rsidRPr="000A2E06">
        <w:rPr>
          <w:sz w:val="24"/>
          <w:szCs w:val="24"/>
          <w:lang w:val="en-US"/>
        </w:rPr>
        <w:t>core performances were internally validated using bootstrapping (2000 replicates).</w:t>
      </w:r>
    </w:p>
    <w:p w14:paraId="6AFB1B60" w14:textId="77777777" w:rsidR="008A4B57" w:rsidRPr="000A2E06" w:rsidRDefault="008A4B57" w:rsidP="008A4B57">
      <w:pPr>
        <w:spacing w:after="0" w:line="480" w:lineRule="auto"/>
        <w:ind w:firstLine="567"/>
        <w:jc w:val="both"/>
        <w:rPr>
          <w:sz w:val="24"/>
          <w:szCs w:val="24"/>
          <w:lang w:val="en-US"/>
        </w:rPr>
      </w:pPr>
      <w:r w:rsidRPr="000A2E06">
        <w:rPr>
          <w:sz w:val="24"/>
          <w:szCs w:val="24"/>
          <w:lang w:val="en-US"/>
        </w:rPr>
        <w:t xml:space="preserve">The calibration of the COVIDENGUE scores (the adequacy between predicted and observed </w:t>
      </w:r>
      <w:r>
        <w:rPr>
          <w:sz w:val="24"/>
          <w:szCs w:val="24"/>
          <w:lang w:val="en-US"/>
        </w:rPr>
        <w:t>events) was evaluated using multiple criteria as recommended [</w:t>
      </w:r>
      <w:r w:rsidRPr="00DA2EE6">
        <w:rPr>
          <w:color w:val="00B0F0"/>
          <w:sz w:val="24"/>
          <w:szCs w:val="24"/>
          <w:lang w:val="en-US"/>
        </w:rPr>
        <w:t>13</w:t>
      </w:r>
      <w:r>
        <w:rPr>
          <w:color w:val="0000FF"/>
          <w:sz w:val="24"/>
          <w:szCs w:val="24"/>
          <w:lang w:val="en-US"/>
        </w:rPr>
        <w:t>]</w:t>
      </w:r>
      <w:r>
        <w:rPr>
          <w:sz w:val="24"/>
          <w:szCs w:val="24"/>
          <w:lang w:val="en-US"/>
        </w:rPr>
        <w:t>. We used both state-of-art calibration plots [</w:t>
      </w:r>
      <w:r w:rsidRPr="00DA2EE6">
        <w:rPr>
          <w:color w:val="00B0F0"/>
          <w:sz w:val="24"/>
          <w:szCs w:val="24"/>
          <w:lang w:val="en-US"/>
        </w:rPr>
        <w:t>9</w:t>
      </w:r>
      <w:r w:rsidRPr="00DA2EE6">
        <w:rPr>
          <w:sz w:val="24"/>
          <w:szCs w:val="24"/>
          <w:lang w:val="en-US"/>
        </w:rPr>
        <w:t>,</w:t>
      </w:r>
      <w:r w:rsidRPr="00DA2EE6">
        <w:rPr>
          <w:color w:val="00B0F0"/>
          <w:sz w:val="24"/>
          <w:szCs w:val="24"/>
          <w:lang w:val="en-US"/>
        </w:rPr>
        <w:t>12</w:t>
      </w:r>
      <w:r w:rsidRPr="00DA2EE6">
        <w:rPr>
          <w:sz w:val="24"/>
          <w:szCs w:val="24"/>
          <w:lang w:val="en-US"/>
        </w:rPr>
        <w:t>-</w:t>
      </w:r>
      <w:r w:rsidRPr="00DA2EE6">
        <w:rPr>
          <w:color w:val="00B0F0"/>
          <w:sz w:val="24"/>
          <w:szCs w:val="24"/>
          <w:lang w:val="en-US"/>
        </w:rPr>
        <w:t>15</w:t>
      </w:r>
      <w:r>
        <w:rPr>
          <w:sz w:val="24"/>
          <w:szCs w:val="24"/>
          <w:lang w:val="en-US"/>
        </w:rPr>
        <w:t>], the Hosmer-</w:t>
      </w:r>
      <w:proofErr w:type="spellStart"/>
      <w:r>
        <w:rPr>
          <w:sz w:val="24"/>
          <w:szCs w:val="24"/>
          <w:lang w:val="en-US"/>
        </w:rPr>
        <w:t>Lemeshow</w:t>
      </w:r>
      <w:proofErr w:type="spellEnd"/>
      <w:r>
        <w:rPr>
          <w:sz w:val="24"/>
          <w:szCs w:val="24"/>
          <w:lang w:val="en-US"/>
        </w:rPr>
        <w:t xml:space="preserve"> </w:t>
      </w:r>
      <w:r w:rsidRPr="000A2E06">
        <w:rPr>
          <w:sz w:val="24"/>
          <w:szCs w:val="24"/>
          <w:lang w:val="en-US"/>
        </w:rPr>
        <w:t xml:space="preserve">tests for multinomial and binomial logistic regression models, with </w:t>
      </w:r>
      <w:proofErr w:type="spellStart"/>
      <w:r w:rsidRPr="000A2E06">
        <w:rPr>
          <w:i/>
          <w:iCs/>
          <w:sz w:val="24"/>
          <w:szCs w:val="24"/>
          <w:lang w:val="en-US"/>
        </w:rPr>
        <w:t>mlogitgof</w:t>
      </w:r>
      <w:proofErr w:type="spellEnd"/>
      <w:r w:rsidRPr="000A2E06">
        <w:rPr>
          <w:i/>
          <w:iCs/>
          <w:sz w:val="24"/>
          <w:szCs w:val="24"/>
          <w:lang w:val="en-US"/>
        </w:rPr>
        <w:t xml:space="preserve"> and </w:t>
      </w:r>
      <w:proofErr w:type="spellStart"/>
      <w:r w:rsidRPr="000A2E06">
        <w:rPr>
          <w:i/>
          <w:iCs/>
          <w:sz w:val="24"/>
          <w:szCs w:val="24"/>
          <w:lang w:val="en-US"/>
        </w:rPr>
        <w:t>estat</w:t>
      </w:r>
      <w:proofErr w:type="spellEnd"/>
      <w:r w:rsidRPr="000A2E06">
        <w:rPr>
          <w:i/>
          <w:iCs/>
          <w:sz w:val="24"/>
          <w:szCs w:val="24"/>
          <w:lang w:val="en-US"/>
        </w:rPr>
        <w:t xml:space="preserve"> </w:t>
      </w:r>
      <w:proofErr w:type="spellStart"/>
      <w:r w:rsidRPr="000A2E06">
        <w:rPr>
          <w:i/>
          <w:iCs/>
          <w:sz w:val="24"/>
          <w:szCs w:val="24"/>
          <w:lang w:val="en-US"/>
        </w:rPr>
        <w:t>gof</w:t>
      </w:r>
      <w:proofErr w:type="spellEnd"/>
      <w:r w:rsidRPr="000A2E06">
        <w:rPr>
          <w:i/>
          <w:iCs/>
          <w:sz w:val="24"/>
          <w:szCs w:val="24"/>
          <w:lang w:val="en-US"/>
        </w:rPr>
        <w:t xml:space="preserve"> (</w:t>
      </w:r>
      <w:r w:rsidRPr="000A2E06">
        <w:rPr>
          <w:sz w:val="24"/>
          <w:szCs w:val="24"/>
          <w:lang w:val="en-US"/>
        </w:rPr>
        <w:t>formerly</w:t>
      </w:r>
      <w:r w:rsidRPr="000A2E06">
        <w:rPr>
          <w:i/>
          <w:iCs/>
          <w:sz w:val="24"/>
          <w:szCs w:val="24"/>
          <w:lang w:val="en-US"/>
        </w:rPr>
        <w:t xml:space="preserve"> </w:t>
      </w:r>
      <w:proofErr w:type="spellStart"/>
      <w:r w:rsidRPr="000A2E06">
        <w:rPr>
          <w:i/>
          <w:iCs/>
          <w:sz w:val="24"/>
          <w:szCs w:val="24"/>
          <w:lang w:val="en-US"/>
        </w:rPr>
        <w:t>lfit</w:t>
      </w:r>
      <w:proofErr w:type="spellEnd"/>
      <w:r w:rsidRPr="000A2E06">
        <w:rPr>
          <w:i/>
          <w:iCs/>
          <w:sz w:val="24"/>
          <w:szCs w:val="24"/>
          <w:lang w:val="en-US"/>
        </w:rPr>
        <w:t>)</w:t>
      </w:r>
      <w:r w:rsidRPr="000A2E06">
        <w:rPr>
          <w:sz w:val="24"/>
          <w:szCs w:val="24"/>
          <w:lang w:val="en-US"/>
        </w:rPr>
        <w:t xml:space="preserve"> commands respectively [</w:t>
      </w:r>
      <w:r w:rsidRPr="00DA2EE6">
        <w:rPr>
          <w:color w:val="00B0F0"/>
          <w:sz w:val="24"/>
          <w:szCs w:val="24"/>
          <w:lang w:val="en-US"/>
        </w:rPr>
        <w:t>3</w:t>
      </w:r>
      <w:r w:rsidRPr="00DA2EE6">
        <w:rPr>
          <w:sz w:val="24"/>
          <w:szCs w:val="24"/>
          <w:lang w:val="en-US"/>
        </w:rPr>
        <w:t>,</w:t>
      </w:r>
      <w:r w:rsidRPr="00DA2EE6">
        <w:rPr>
          <w:color w:val="00B0F0"/>
          <w:sz w:val="24"/>
          <w:szCs w:val="24"/>
          <w:lang w:val="en-US"/>
        </w:rPr>
        <w:t>16</w:t>
      </w:r>
      <w:r w:rsidRPr="000A2E06">
        <w:rPr>
          <w:sz w:val="24"/>
          <w:szCs w:val="24"/>
          <w:lang w:val="en-US"/>
        </w:rPr>
        <w:t>]</w:t>
      </w:r>
      <w:r>
        <w:rPr>
          <w:sz w:val="24"/>
          <w:szCs w:val="24"/>
          <w:lang w:val="en-US"/>
        </w:rPr>
        <w:t xml:space="preserve">, as well as original event-based or risk-based MHL calibration </w:t>
      </w:r>
      <w:r w:rsidRPr="00A83AD2">
        <w:rPr>
          <w:sz w:val="24"/>
          <w:szCs w:val="24"/>
          <w:lang w:val="en-US"/>
        </w:rPr>
        <w:t>plots</w:t>
      </w:r>
      <w:r>
        <w:rPr>
          <w:sz w:val="24"/>
          <w:szCs w:val="24"/>
          <w:lang w:val="en-US"/>
        </w:rPr>
        <w:t xml:space="preserve"> which were displayed over the range of MHL deciles of predicted risks</w:t>
      </w:r>
      <w:r w:rsidRPr="00A83AD2">
        <w:rPr>
          <w:sz w:val="24"/>
          <w:szCs w:val="24"/>
          <w:lang w:val="en-US"/>
        </w:rPr>
        <w:t>.</w:t>
      </w:r>
      <w:r>
        <w:rPr>
          <w:sz w:val="24"/>
          <w:szCs w:val="24"/>
          <w:lang w:val="en-US"/>
        </w:rPr>
        <w:t xml:space="preserve"> </w:t>
      </w:r>
      <w:r w:rsidRPr="006D2324">
        <w:rPr>
          <w:sz w:val="24"/>
          <w:szCs w:val="24"/>
          <w:lang w:val="en-US"/>
        </w:rPr>
        <w:t xml:space="preserve">Overall, we considered that </w:t>
      </w:r>
      <w:r>
        <w:rPr>
          <w:rFonts w:cstheme="minorHAnsi"/>
          <w:sz w:val="24"/>
          <w:szCs w:val="24"/>
          <w:lang w:val="en-US"/>
        </w:rPr>
        <w:t>≤</w:t>
      </w:r>
      <w:r w:rsidRPr="006D2324">
        <w:rPr>
          <w:sz w:val="24"/>
          <w:szCs w:val="24"/>
          <w:lang w:val="en-US"/>
        </w:rPr>
        <w:t>20% difference to th</w:t>
      </w:r>
      <w:r>
        <w:rPr>
          <w:sz w:val="24"/>
          <w:szCs w:val="24"/>
          <w:lang w:val="en-US"/>
        </w:rPr>
        <w:t>e</w:t>
      </w:r>
      <w:r w:rsidRPr="006D2324">
        <w:rPr>
          <w:sz w:val="24"/>
          <w:szCs w:val="24"/>
          <w:lang w:val="en-US"/>
        </w:rPr>
        <w:t xml:space="preserve"> best theoretical slope and intercept values (</w:t>
      </w:r>
      <w:r>
        <w:rPr>
          <w:sz w:val="24"/>
          <w:szCs w:val="24"/>
          <w:lang w:val="en-US"/>
        </w:rPr>
        <w:t>B</w:t>
      </w:r>
      <w:r w:rsidRPr="006D2324">
        <w:rPr>
          <w:sz w:val="24"/>
          <w:szCs w:val="24"/>
          <w:lang w:val="en-US"/>
        </w:rPr>
        <w:t xml:space="preserve">est slope value= 1, exponential </w:t>
      </w:r>
      <w:r>
        <w:rPr>
          <w:sz w:val="24"/>
          <w:szCs w:val="24"/>
          <w:lang w:val="en-US"/>
        </w:rPr>
        <w:t>to</w:t>
      </w:r>
      <w:r w:rsidRPr="006D2324">
        <w:rPr>
          <w:sz w:val="24"/>
          <w:szCs w:val="24"/>
          <w:lang w:val="en-US"/>
        </w:rPr>
        <w:t xml:space="preserve"> the best intercept value [0]= 1), or a stringent MHL test </w:t>
      </w:r>
      <w:r w:rsidRPr="006D2324">
        <w:rPr>
          <w:i/>
          <w:sz w:val="24"/>
          <w:szCs w:val="24"/>
          <w:lang w:val="en-US"/>
        </w:rPr>
        <w:t>P</w:t>
      </w:r>
      <w:r>
        <w:rPr>
          <w:iCs/>
          <w:sz w:val="24"/>
          <w:szCs w:val="24"/>
          <w:lang w:val="en-US"/>
        </w:rPr>
        <w:t>-value</w:t>
      </w:r>
      <w:r w:rsidRPr="006D2324">
        <w:rPr>
          <w:sz w:val="24"/>
          <w:szCs w:val="24"/>
          <w:lang w:val="en-US"/>
        </w:rPr>
        <w:t xml:space="preserve">&lt;0.5 (which means miscalibration is defined for values &lt;0.8 or &gt;1.20, or a highly conservative </w:t>
      </w:r>
      <w:r w:rsidRPr="006D2324">
        <w:rPr>
          <w:i/>
          <w:sz w:val="24"/>
          <w:szCs w:val="24"/>
          <w:lang w:val="en-US"/>
        </w:rPr>
        <w:t>P</w:t>
      </w:r>
      <w:r>
        <w:rPr>
          <w:sz w:val="24"/>
          <w:szCs w:val="24"/>
          <w:lang w:val="en-US"/>
        </w:rPr>
        <w:t>-</w:t>
      </w:r>
      <w:r w:rsidRPr="006D2324">
        <w:rPr>
          <w:sz w:val="24"/>
          <w:szCs w:val="24"/>
          <w:lang w:val="en-US"/>
        </w:rPr>
        <w:t xml:space="preserve">value rejecting the alternative hypothesis; </w:t>
      </w:r>
      <w:r>
        <w:rPr>
          <w:sz w:val="24"/>
          <w:szCs w:val="24"/>
          <w:lang w:val="en-US"/>
        </w:rPr>
        <w:t xml:space="preserve">since </w:t>
      </w:r>
      <w:r w:rsidRPr="006D2324">
        <w:rPr>
          <w:sz w:val="24"/>
          <w:szCs w:val="24"/>
          <w:lang w:val="en-US"/>
        </w:rPr>
        <w:t xml:space="preserve">a 20% discrepancy cut-off </w:t>
      </w:r>
      <w:r>
        <w:rPr>
          <w:sz w:val="24"/>
          <w:szCs w:val="24"/>
          <w:lang w:val="en-US"/>
        </w:rPr>
        <w:t xml:space="preserve">is </w:t>
      </w:r>
      <w:r w:rsidRPr="006D2324">
        <w:rPr>
          <w:sz w:val="24"/>
          <w:szCs w:val="24"/>
          <w:lang w:val="en-US"/>
        </w:rPr>
        <w:t>often chosen in epidemiology to indicate significant changes in parameter measures) m</w:t>
      </w:r>
      <w:r>
        <w:rPr>
          <w:sz w:val="24"/>
          <w:szCs w:val="24"/>
          <w:lang w:val="en-US"/>
        </w:rPr>
        <w:t>ay</w:t>
      </w:r>
      <w:r w:rsidRPr="008B3634">
        <w:rPr>
          <w:sz w:val="24"/>
          <w:szCs w:val="24"/>
          <w:lang w:val="en-US"/>
        </w:rPr>
        <w:t xml:space="preserve"> cause potential harm to the calibration of the model and would prevent its use for individual risk prediction across the range of predicted risks</w:t>
      </w:r>
      <w:r>
        <w:rPr>
          <w:sz w:val="24"/>
          <w:szCs w:val="24"/>
          <w:lang w:val="en-US"/>
        </w:rPr>
        <w:t xml:space="preserve">. </w:t>
      </w:r>
    </w:p>
    <w:p w14:paraId="3E56244A" w14:textId="3CE8E5E3" w:rsidR="008A4B57" w:rsidRDefault="00936D6E" w:rsidP="00936D6E">
      <w:pPr>
        <w:spacing w:after="0" w:line="480" w:lineRule="auto"/>
        <w:ind w:firstLine="567"/>
        <w:jc w:val="both"/>
        <w:rPr>
          <w:sz w:val="24"/>
          <w:szCs w:val="24"/>
          <w:lang w:val="en-US"/>
        </w:rPr>
      </w:pPr>
      <w:r w:rsidRPr="00DD117F">
        <w:rPr>
          <w:sz w:val="24"/>
          <w:szCs w:val="24"/>
          <w:lang w:val="en-US"/>
        </w:rPr>
        <w:t>The diagnostic performance of each COVIDENGUE score cut-off was displayed in terms of sensitivity</w:t>
      </w:r>
      <w:r w:rsidR="000630B3" w:rsidRPr="00DD117F">
        <w:rPr>
          <w:sz w:val="24"/>
          <w:szCs w:val="24"/>
          <w:lang w:val="en-US"/>
        </w:rPr>
        <w:t xml:space="preserve"> (Sen)</w:t>
      </w:r>
      <w:r w:rsidRPr="00DD117F">
        <w:rPr>
          <w:sz w:val="24"/>
          <w:szCs w:val="24"/>
          <w:lang w:val="en-US"/>
        </w:rPr>
        <w:t>, specificity</w:t>
      </w:r>
      <w:r w:rsidR="000630B3" w:rsidRPr="00DD117F">
        <w:rPr>
          <w:sz w:val="24"/>
          <w:szCs w:val="24"/>
          <w:lang w:val="en-US"/>
        </w:rPr>
        <w:t xml:space="preserve"> (Spe)</w:t>
      </w:r>
      <w:r w:rsidRPr="00DD117F">
        <w:rPr>
          <w:sz w:val="24"/>
          <w:szCs w:val="24"/>
          <w:lang w:val="en-US"/>
        </w:rPr>
        <w:t>, positive likelihood ratio (LR+), negative likelihood ratio (LR-), positive predictive value (PPV), negative predictive value (NPV) and diagnostic accuracy.</w:t>
      </w:r>
      <w:r w:rsidR="008A4B57" w:rsidRPr="00DD117F">
        <w:rPr>
          <w:sz w:val="24"/>
          <w:szCs w:val="24"/>
          <w:lang w:val="en-US"/>
        </w:rPr>
        <w:t xml:space="preserve"> </w:t>
      </w:r>
      <w:r w:rsidR="000630B3" w:rsidRPr="00DD117F">
        <w:rPr>
          <w:sz w:val="24"/>
          <w:szCs w:val="24"/>
          <w:lang w:val="en-US"/>
        </w:rPr>
        <w:lastRenderedPageBreak/>
        <w:t>Ninety-five percent c</w:t>
      </w:r>
      <w:r w:rsidRPr="00DD117F">
        <w:rPr>
          <w:sz w:val="24"/>
          <w:szCs w:val="24"/>
          <w:lang w:val="en-US"/>
        </w:rPr>
        <w:t>onfidence intervals of Sen</w:t>
      </w:r>
      <w:r w:rsidR="00EB0E47" w:rsidRPr="00DD117F">
        <w:rPr>
          <w:sz w:val="24"/>
          <w:szCs w:val="24"/>
          <w:lang w:val="en-US"/>
        </w:rPr>
        <w:t xml:space="preserve"> and</w:t>
      </w:r>
      <w:r w:rsidRPr="00DD117F">
        <w:rPr>
          <w:sz w:val="24"/>
          <w:szCs w:val="24"/>
          <w:lang w:val="en-US"/>
        </w:rPr>
        <w:t xml:space="preserve"> Spe</w:t>
      </w:r>
      <w:r w:rsidR="00EB0E47" w:rsidRPr="00DD117F">
        <w:rPr>
          <w:sz w:val="24"/>
          <w:szCs w:val="24"/>
          <w:lang w:val="en-US"/>
        </w:rPr>
        <w:t xml:space="preserve"> </w:t>
      </w:r>
      <w:r w:rsidRPr="00DD117F">
        <w:rPr>
          <w:sz w:val="24"/>
          <w:szCs w:val="24"/>
          <w:lang w:val="en-US"/>
        </w:rPr>
        <w:t xml:space="preserve">were estimated using the exact binomial method. </w:t>
      </w:r>
      <w:r w:rsidR="000630B3" w:rsidRPr="00DD117F">
        <w:rPr>
          <w:sz w:val="24"/>
          <w:szCs w:val="24"/>
          <w:lang w:val="en-US"/>
        </w:rPr>
        <w:t xml:space="preserve">For </w:t>
      </w:r>
      <w:r w:rsidR="00EB0E47" w:rsidRPr="00DD117F">
        <w:rPr>
          <w:sz w:val="24"/>
          <w:szCs w:val="24"/>
          <w:lang w:val="en-US"/>
        </w:rPr>
        <w:t xml:space="preserve">LR+, LR-, </w:t>
      </w:r>
      <w:r w:rsidR="000630B3" w:rsidRPr="00DD117F">
        <w:rPr>
          <w:sz w:val="24"/>
          <w:szCs w:val="24"/>
          <w:lang w:val="en-US"/>
        </w:rPr>
        <w:t>PPV</w:t>
      </w:r>
      <w:r w:rsidR="00EB0E47" w:rsidRPr="00DD117F">
        <w:rPr>
          <w:sz w:val="24"/>
          <w:szCs w:val="24"/>
          <w:lang w:val="en-US"/>
        </w:rPr>
        <w:t xml:space="preserve"> and </w:t>
      </w:r>
      <w:r w:rsidR="000630B3" w:rsidRPr="00DD117F">
        <w:rPr>
          <w:sz w:val="24"/>
          <w:szCs w:val="24"/>
          <w:lang w:val="en-US"/>
        </w:rPr>
        <w:t>NPV,</w:t>
      </w:r>
      <w:r w:rsidR="00EB0E47" w:rsidRPr="00DD117F">
        <w:rPr>
          <w:sz w:val="24"/>
          <w:szCs w:val="24"/>
          <w:lang w:val="en-US"/>
        </w:rPr>
        <w:t xml:space="preserve"> </w:t>
      </w:r>
      <w:r w:rsidR="000630B3" w:rsidRPr="00DD117F">
        <w:rPr>
          <w:sz w:val="24"/>
          <w:szCs w:val="24"/>
          <w:lang w:val="en-US"/>
        </w:rPr>
        <w:t>95%CIs were calculated using</w:t>
      </w:r>
      <w:r w:rsidRPr="00DD117F">
        <w:rPr>
          <w:sz w:val="24"/>
          <w:szCs w:val="24"/>
          <w:lang w:val="en-US"/>
        </w:rPr>
        <w:t xml:space="preserve"> </w:t>
      </w:r>
      <w:r w:rsidR="000630B3" w:rsidRPr="00DD117F">
        <w:rPr>
          <w:sz w:val="24"/>
          <w:szCs w:val="24"/>
          <w:lang w:val="en-US"/>
        </w:rPr>
        <w:t xml:space="preserve">the </w:t>
      </w:r>
      <w:r w:rsidRPr="00DD117F">
        <w:rPr>
          <w:sz w:val="24"/>
          <w:szCs w:val="24"/>
          <w:lang w:val="en-US"/>
        </w:rPr>
        <w:t>maximum likelihood method</w:t>
      </w:r>
      <w:r w:rsidR="000630B3" w:rsidRPr="00DD117F">
        <w:rPr>
          <w:sz w:val="24"/>
          <w:szCs w:val="24"/>
          <w:lang w:val="en-US"/>
        </w:rPr>
        <w:t xml:space="preserve"> assuming the prevalence was known exactly (</w:t>
      </w:r>
      <w:r w:rsidR="00EB0E47" w:rsidRPr="00DD117F">
        <w:rPr>
          <w:i/>
          <w:iCs/>
          <w:sz w:val="24"/>
          <w:szCs w:val="24"/>
          <w:lang w:val="en-US"/>
        </w:rPr>
        <w:t>i.e.</w:t>
      </w:r>
      <w:r w:rsidR="00EB0E47" w:rsidRPr="00DD117F">
        <w:rPr>
          <w:sz w:val="24"/>
          <w:szCs w:val="24"/>
          <w:lang w:val="en-US"/>
        </w:rPr>
        <w:t xml:space="preserve">, we used </w:t>
      </w:r>
      <w:r w:rsidR="000630B3" w:rsidRPr="00DD117F">
        <w:rPr>
          <w:sz w:val="24"/>
          <w:szCs w:val="24"/>
          <w:lang w:val="en-US"/>
        </w:rPr>
        <w:t>sample observed prevalence</w:t>
      </w:r>
      <w:r w:rsidR="00EB0E47" w:rsidRPr="00DD117F">
        <w:rPr>
          <w:sz w:val="24"/>
          <w:szCs w:val="24"/>
          <w:lang w:val="en-US"/>
        </w:rPr>
        <w:t xml:space="preserve"> for PPV and NPV estimations and the substitution formula adding 0.5 to all cell frequencies when needed</w:t>
      </w:r>
      <w:r w:rsidR="00E92095" w:rsidRPr="00DD117F">
        <w:rPr>
          <w:sz w:val="24"/>
          <w:szCs w:val="24"/>
          <w:lang w:val="en-US"/>
        </w:rPr>
        <w:t xml:space="preserve"> for LR+ and LR- calculations</w:t>
      </w:r>
      <w:r w:rsidR="000630B3" w:rsidRPr="00DD117F">
        <w:rPr>
          <w:sz w:val="24"/>
          <w:szCs w:val="24"/>
          <w:lang w:val="en-US"/>
        </w:rPr>
        <w:t>)</w:t>
      </w:r>
      <w:r w:rsidRPr="00DD117F">
        <w:rPr>
          <w:sz w:val="24"/>
          <w:szCs w:val="24"/>
          <w:lang w:val="en-US"/>
        </w:rPr>
        <w:t>.</w:t>
      </w:r>
      <w:r w:rsidRPr="000630B3">
        <w:rPr>
          <w:color w:val="FF0000"/>
          <w:sz w:val="24"/>
          <w:szCs w:val="24"/>
          <w:lang w:val="en-US"/>
        </w:rPr>
        <w:t xml:space="preserve"> </w:t>
      </w:r>
      <w:r w:rsidR="008A4B57">
        <w:rPr>
          <w:sz w:val="24"/>
          <w:szCs w:val="24"/>
          <w:lang w:val="en-US"/>
        </w:rPr>
        <w:t>The optimal cut-point was sought using Liu’s method after (2000 replicate) bootstrapping (</w:t>
      </w:r>
      <w:proofErr w:type="spellStart"/>
      <w:r w:rsidR="008A4B57" w:rsidRPr="00713445">
        <w:rPr>
          <w:i/>
          <w:iCs/>
          <w:sz w:val="24"/>
          <w:szCs w:val="24"/>
          <w:lang w:val="en-US"/>
        </w:rPr>
        <w:t>cutpt</w:t>
      </w:r>
      <w:proofErr w:type="spellEnd"/>
      <w:r w:rsidR="008A4B57">
        <w:rPr>
          <w:sz w:val="24"/>
          <w:szCs w:val="24"/>
          <w:lang w:val="en-US"/>
        </w:rPr>
        <w:t xml:space="preserve"> module in Stata) [</w:t>
      </w:r>
      <w:r w:rsidR="008A4B57" w:rsidRPr="00DA2EE6">
        <w:rPr>
          <w:color w:val="00B0F0"/>
          <w:sz w:val="24"/>
          <w:szCs w:val="24"/>
          <w:lang w:val="en-US"/>
        </w:rPr>
        <w:t>17</w:t>
      </w:r>
      <w:r w:rsidR="008A4B57">
        <w:rPr>
          <w:sz w:val="24"/>
          <w:szCs w:val="24"/>
          <w:lang w:val="en-US"/>
        </w:rPr>
        <w:t xml:space="preserve">]. </w:t>
      </w:r>
      <w:r w:rsidR="008A4B57" w:rsidRPr="000A2E06">
        <w:rPr>
          <w:sz w:val="24"/>
          <w:szCs w:val="24"/>
          <w:lang w:val="en-US"/>
        </w:rPr>
        <w:t>For all these analyses, observations with missing data were ruled out</w:t>
      </w:r>
      <w:r w:rsidR="008A4B57">
        <w:rPr>
          <w:sz w:val="24"/>
          <w:szCs w:val="24"/>
          <w:lang w:val="en-US"/>
        </w:rPr>
        <w:t>, tests were two-tailed,</w:t>
      </w:r>
      <w:r w:rsidR="008A4B57" w:rsidRPr="000A2E06">
        <w:rPr>
          <w:sz w:val="24"/>
          <w:szCs w:val="24"/>
          <w:lang w:val="en-US"/>
        </w:rPr>
        <w:t xml:space="preserve"> and a </w:t>
      </w:r>
      <w:r w:rsidR="008A4B57" w:rsidRPr="000A2E06">
        <w:rPr>
          <w:i/>
          <w:sz w:val="24"/>
          <w:szCs w:val="24"/>
          <w:lang w:val="en-US"/>
        </w:rPr>
        <w:t>P</w:t>
      </w:r>
      <w:r w:rsidR="008A4B57" w:rsidRPr="000A2E06">
        <w:rPr>
          <w:sz w:val="24"/>
          <w:szCs w:val="24"/>
          <w:lang w:val="en-US"/>
        </w:rPr>
        <w:t>-value</w:t>
      </w:r>
      <w:r w:rsidR="008A4B57">
        <w:rPr>
          <w:sz w:val="24"/>
          <w:szCs w:val="24"/>
          <w:lang w:val="en-US"/>
        </w:rPr>
        <w:t>&lt;</w:t>
      </w:r>
      <w:r w:rsidR="008A4B57" w:rsidRPr="000A2E06">
        <w:rPr>
          <w:sz w:val="24"/>
          <w:szCs w:val="24"/>
          <w:lang w:val="en-US"/>
        </w:rPr>
        <w:t>0.05 was considered as statistically significant.</w:t>
      </w:r>
      <w:r w:rsidR="008A4B57">
        <w:rPr>
          <w:sz w:val="24"/>
          <w:szCs w:val="24"/>
          <w:lang w:val="en-US"/>
        </w:rPr>
        <w:t xml:space="preserve"> </w:t>
      </w:r>
      <w:r w:rsidR="008A4B57" w:rsidRPr="000A2E06">
        <w:rPr>
          <w:sz w:val="24"/>
          <w:szCs w:val="24"/>
          <w:lang w:val="en-US"/>
        </w:rPr>
        <w:t>This article followed both the STROBE and TRIPOD reporting guidelines for</w:t>
      </w:r>
      <w:r w:rsidR="008A4B57">
        <w:rPr>
          <w:sz w:val="24"/>
          <w:szCs w:val="24"/>
          <w:lang w:val="en-US"/>
        </w:rPr>
        <w:t xml:space="preserve"> o</w:t>
      </w:r>
      <w:r w:rsidR="008A4B57" w:rsidRPr="000A2E06">
        <w:rPr>
          <w:sz w:val="24"/>
          <w:szCs w:val="24"/>
          <w:lang w:val="en-US"/>
        </w:rPr>
        <w:t>bservational studies</w:t>
      </w:r>
      <w:r w:rsidR="008A4B57">
        <w:rPr>
          <w:sz w:val="24"/>
          <w:szCs w:val="24"/>
          <w:lang w:val="en-US"/>
        </w:rPr>
        <w:t xml:space="preserve"> and prediction models</w:t>
      </w:r>
      <w:r w:rsidR="008A4B57" w:rsidRPr="000A2E06">
        <w:rPr>
          <w:sz w:val="24"/>
          <w:szCs w:val="24"/>
          <w:lang w:val="en-US"/>
        </w:rPr>
        <w:t>, respectively [</w:t>
      </w:r>
      <w:r w:rsidR="008A4B57" w:rsidRPr="00DA2EE6">
        <w:rPr>
          <w:color w:val="00B0F0"/>
          <w:sz w:val="24"/>
          <w:szCs w:val="24"/>
          <w:lang w:val="en-US"/>
        </w:rPr>
        <w:t>18</w:t>
      </w:r>
      <w:r w:rsidR="008A4B57" w:rsidRPr="00DA2EE6">
        <w:rPr>
          <w:sz w:val="24"/>
          <w:szCs w:val="24"/>
          <w:lang w:val="en-US"/>
        </w:rPr>
        <w:t>,</w:t>
      </w:r>
      <w:r w:rsidR="008A4B57" w:rsidRPr="00DA2EE6">
        <w:rPr>
          <w:color w:val="00B0F0"/>
          <w:sz w:val="24"/>
          <w:szCs w:val="24"/>
          <w:lang w:val="en-US"/>
        </w:rPr>
        <w:t>19</w:t>
      </w:r>
      <w:r w:rsidR="008A4B57" w:rsidRPr="000A2E06">
        <w:rPr>
          <w:sz w:val="24"/>
          <w:szCs w:val="24"/>
          <w:lang w:val="en-US"/>
        </w:rPr>
        <w:t>].</w:t>
      </w:r>
    </w:p>
    <w:p w14:paraId="68CD6690" w14:textId="77777777" w:rsidR="008A4B57" w:rsidRPr="00F92890" w:rsidRDefault="008A4B57" w:rsidP="008A4B57">
      <w:pPr>
        <w:spacing w:after="200" w:line="276" w:lineRule="auto"/>
        <w:rPr>
          <w:rFonts w:cstheme="minorHAnsi"/>
          <w:b/>
          <w:sz w:val="24"/>
          <w:szCs w:val="24"/>
          <w:lang w:val="en-US"/>
        </w:rPr>
      </w:pPr>
      <w:r w:rsidRPr="00F92890">
        <w:rPr>
          <w:rFonts w:cstheme="minorHAnsi"/>
          <w:b/>
          <w:sz w:val="24"/>
          <w:szCs w:val="24"/>
          <w:lang w:val="en-US"/>
        </w:rPr>
        <w:t>References</w:t>
      </w:r>
    </w:p>
    <w:p w14:paraId="2AE49A93" w14:textId="77777777" w:rsidR="008A4B57" w:rsidRPr="00F92890" w:rsidRDefault="008A4B57" w:rsidP="008A4B57">
      <w:pPr>
        <w:pStyle w:val="Textedebulles"/>
        <w:spacing w:line="360" w:lineRule="auto"/>
        <w:ind w:left="567" w:hanging="567"/>
        <w:jc w:val="both"/>
        <w:rPr>
          <w:rFonts w:asciiTheme="minorHAnsi" w:hAnsiTheme="minorHAnsi" w:cstheme="minorHAnsi"/>
          <w:sz w:val="20"/>
          <w:szCs w:val="20"/>
          <w:lang w:val="fr-RE"/>
        </w:rPr>
      </w:pPr>
      <w:r w:rsidRPr="00F92890">
        <w:rPr>
          <w:rFonts w:asciiTheme="minorHAnsi" w:hAnsiTheme="minorHAnsi" w:cstheme="minorHAnsi"/>
          <w:sz w:val="20"/>
          <w:szCs w:val="20"/>
          <w:lang w:val="en-US"/>
        </w:rPr>
        <w:t>[1]</w:t>
      </w:r>
      <w:r w:rsidRPr="00F92890">
        <w:rPr>
          <w:rFonts w:asciiTheme="minorHAnsi" w:hAnsiTheme="minorHAnsi" w:cstheme="minorHAnsi"/>
          <w:sz w:val="20"/>
          <w:szCs w:val="20"/>
          <w:lang w:val="en-US"/>
        </w:rPr>
        <w:tab/>
      </w:r>
      <w:r w:rsidRPr="00F92890">
        <w:rPr>
          <w:rFonts w:asciiTheme="minorHAnsi" w:hAnsiTheme="minorHAnsi" w:cstheme="minorHAnsi"/>
          <w:color w:val="00B0F0"/>
          <w:sz w:val="20"/>
          <w:szCs w:val="20"/>
          <w:lang w:val="en-US"/>
        </w:rPr>
        <w:t xml:space="preserve">Joubert A, Andry F, </w:t>
      </w:r>
      <w:proofErr w:type="spellStart"/>
      <w:r w:rsidRPr="00F92890">
        <w:rPr>
          <w:rFonts w:asciiTheme="minorHAnsi" w:hAnsiTheme="minorHAnsi" w:cstheme="minorHAnsi"/>
          <w:color w:val="00B0F0"/>
          <w:sz w:val="20"/>
          <w:szCs w:val="20"/>
          <w:lang w:val="en-US"/>
        </w:rPr>
        <w:t>Bertolotti</w:t>
      </w:r>
      <w:proofErr w:type="spellEnd"/>
      <w:r w:rsidRPr="00F92890">
        <w:rPr>
          <w:rFonts w:asciiTheme="minorHAnsi" w:hAnsiTheme="minorHAnsi" w:cstheme="minorHAnsi"/>
          <w:color w:val="00B0F0"/>
          <w:sz w:val="20"/>
          <w:szCs w:val="20"/>
          <w:lang w:val="en-US"/>
        </w:rPr>
        <w:t xml:space="preserve"> A, </w:t>
      </w:r>
      <w:proofErr w:type="spellStart"/>
      <w:r w:rsidRPr="00F92890">
        <w:rPr>
          <w:rFonts w:asciiTheme="minorHAnsi" w:hAnsiTheme="minorHAnsi" w:cstheme="minorHAnsi"/>
          <w:color w:val="00B0F0"/>
          <w:sz w:val="20"/>
          <w:szCs w:val="20"/>
          <w:lang w:val="en-US"/>
        </w:rPr>
        <w:t>Accot</w:t>
      </w:r>
      <w:proofErr w:type="spellEnd"/>
      <w:r w:rsidRPr="00F92890">
        <w:rPr>
          <w:rFonts w:asciiTheme="minorHAnsi" w:hAnsiTheme="minorHAnsi" w:cstheme="minorHAnsi"/>
          <w:color w:val="00B0F0"/>
          <w:sz w:val="20"/>
          <w:szCs w:val="20"/>
          <w:lang w:val="en-US"/>
        </w:rPr>
        <w:t xml:space="preserve"> F, </w:t>
      </w:r>
      <w:proofErr w:type="spellStart"/>
      <w:r w:rsidRPr="00F92890">
        <w:rPr>
          <w:rFonts w:asciiTheme="minorHAnsi" w:hAnsiTheme="minorHAnsi" w:cstheme="minorHAnsi"/>
          <w:color w:val="00B0F0"/>
          <w:sz w:val="20"/>
          <w:szCs w:val="20"/>
          <w:lang w:val="en-US"/>
        </w:rPr>
        <w:t>Koumar</w:t>
      </w:r>
      <w:proofErr w:type="spellEnd"/>
      <w:r w:rsidRPr="00F92890">
        <w:rPr>
          <w:rFonts w:asciiTheme="minorHAnsi" w:hAnsiTheme="minorHAnsi" w:cstheme="minorHAnsi"/>
          <w:color w:val="00B0F0"/>
          <w:sz w:val="20"/>
          <w:szCs w:val="20"/>
          <w:lang w:val="en-US"/>
        </w:rPr>
        <w:t xml:space="preserve"> Y, Legrand F, et al. Distinguishing non severe cases of dengue from COVID-19 in the context of co-epidemics: a cohort study in a SARS-CoV-2 testing center on </w:t>
      </w:r>
      <w:proofErr w:type="gramStart"/>
      <w:r w:rsidRPr="00F92890">
        <w:rPr>
          <w:rFonts w:asciiTheme="minorHAnsi" w:hAnsiTheme="minorHAnsi" w:cstheme="minorHAnsi"/>
          <w:color w:val="00B0F0"/>
          <w:sz w:val="20"/>
          <w:szCs w:val="20"/>
          <w:lang w:val="en-US"/>
        </w:rPr>
        <w:t>Reunion island</w:t>
      </w:r>
      <w:proofErr w:type="gramEnd"/>
      <w:r w:rsidRPr="00F92890">
        <w:rPr>
          <w:rFonts w:asciiTheme="minorHAnsi" w:hAnsiTheme="minorHAnsi" w:cstheme="minorHAnsi"/>
          <w:color w:val="00B0F0"/>
          <w:sz w:val="20"/>
          <w:szCs w:val="20"/>
          <w:lang w:val="en-US"/>
        </w:rPr>
        <w:t xml:space="preserve">. </w:t>
      </w:r>
      <w:proofErr w:type="spellStart"/>
      <w:r w:rsidRPr="00F92890">
        <w:rPr>
          <w:rFonts w:asciiTheme="minorHAnsi" w:hAnsiTheme="minorHAnsi" w:cstheme="minorHAnsi"/>
          <w:color w:val="00B0F0"/>
          <w:sz w:val="20"/>
          <w:szCs w:val="20"/>
          <w:lang w:val="fr-RE"/>
        </w:rPr>
        <w:t>PLoS</w:t>
      </w:r>
      <w:proofErr w:type="spellEnd"/>
      <w:r w:rsidRPr="00F92890">
        <w:rPr>
          <w:rFonts w:asciiTheme="minorHAnsi" w:hAnsiTheme="minorHAnsi" w:cstheme="minorHAnsi"/>
          <w:color w:val="00B0F0"/>
          <w:sz w:val="20"/>
          <w:szCs w:val="20"/>
          <w:lang w:val="fr-RE"/>
        </w:rPr>
        <w:t xml:space="preserve"> </w:t>
      </w:r>
      <w:proofErr w:type="spellStart"/>
      <w:r w:rsidRPr="00F92890">
        <w:rPr>
          <w:rFonts w:asciiTheme="minorHAnsi" w:hAnsiTheme="minorHAnsi" w:cstheme="minorHAnsi"/>
          <w:color w:val="00B0F0"/>
          <w:sz w:val="20"/>
          <w:szCs w:val="20"/>
          <w:lang w:val="fr-RE"/>
        </w:rPr>
        <w:t>Negl</w:t>
      </w:r>
      <w:proofErr w:type="spellEnd"/>
      <w:r w:rsidRPr="00F92890">
        <w:rPr>
          <w:rFonts w:asciiTheme="minorHAnsi" w:hAnsiTheme="minorHAnsi" w:cstheme="minorHAnsi"/>
          <w:color w:val="00B0F0"/>
          <w:sz w:val="20"/>
          <w:szCs w:val="20"/>
          <w:lang w:val="fr-RE"/>
        </w:rPr>
        <w:t xml:space="preserve"> Trop Dis </w:t>
      </w:r>
      <w:proofErr w:type="gramStart"/>
      <w:r w:rsidRPr="00F92890">
        <w:rPr>
          <w:rFonts w:asciiTheme="minorHAnsi" w:hAnsiTheme="minorHAnsi" w:cstheme="minorHAnsi"/>
          <w:color w:val="00B0F0"/>
          <w:sz w:val="20"/>
          <w:szCs w:val="20"/>
          <w:lang w:val="fr-RE"/>
        </w:rPr>
        <w:t>2021;</w:t>
      </w:r>
      <w:proofErr w:type="gramEnd"/>
      <w:r w:rsidRPr="00F92890">
        <w:rPr>
          <w:rFonts w:asciiTheme="minorHAnsi" w:hAnsiTheme="minorHAnsi" w:cstheme="minorHAnsi"/>
          <w:color w:val="00B0F0"/>
          <w:sz w:val="20"/>
          <w:szCs w:val="20"/>
          <w:lang w:val="fr-RE"/>
        </w:rPr>
        <w:t xml:space="preserve"> 15: e0008879. https://dx.doi/10.1371/journal.pntd.8879. </w:t>
      </w:r>
    </w:p>
    <w:p w14:paraId="1F0AC156" w14:textId="77777777" w:rsidR="008A4B57" w:rsidRPr="00F92890" w:rsidRDefault="008A4B57" w:rsidP="008A4B57">
      <w:pPr>
        <w:pStyle w:val="Textedebulles"/>
        <w:spacing w:line="360" w:lineRule="auto"/>
        <w:ind w:left="567" w:hanging="567"/>
        <w:jc w:val="both"/>
        <w:rPr>
          <w:rFonts w:asciiTheme="minorHAnsi" w:hAnsiTheme="minorHAnsi" w:cstheme="minorHAnsi"/>
          <w:color w:val="00B0F0"/>
          <w:sz w:val="20"/>
          <w:szCs w:val="20"/>
          <w:lang w:val="en-US"/>
        </w:rPr>
      </w:pPr>
      <w:r w:rsidRPr="00F92890">
        <w:rPr>
          <w:rFonts w:asciiTheme="minorHAnsi" w:hAnsiTheme="minorHAnsi" w:cstheme="minorHAnsi"/>
          <w:sz w:val="20"/>
          <w:szCs w:val="20"/>
          <w:lang w:val="en-US"/>
        </w:rPr>
        <w:t>[2]</w:t>
      </w:r>
      <w:r w:rsidRPr="00F92890">
        <w:rPr>
          <w:rFonts w:asciiTheme="minorHAnsi" w:hAnsiTheme="minorHAnsi" w:cstheme="minorHAnsi"/>
          <w:sz w:val="20"/>
          <w:szCs w:val="20"/>
          <w:lang w:val="en-US"/>
        </w:rPr>
        <w:tab/>
      </w:r>
      <w:r w:rsidRPr="00F92890">
        <w:rPr>
          <w:rFonts w:asciiTheme="minorHAnsi" w:hAnsiTheme="minorHAnsi" w:cstheme="minorHAnsi"/>
          <w:color w:val="00B0F0"/>
          <w:sz w:val="20"/>
          <w:szCs w:val="20"/>
          <w:lang w:val="en-US"/>
        </w:rPr>
        <w:t xml:space="preserve">Marty FM, Chen K, Verrill KA. How to obtain a nasopharyngeal swab specimen. New Engl J Med 2020; 382; e76. </w:t>
      </w:r>
      <w:r w:rsidR="00DD117F">
        <w:fldChar w:fldCharType="begin"/>
      </w:r>
      <w:r w:rsidR="00DD117F" w:rsidRPr="00DD117F">
        <w:rPr>
          <w:lang w:val="en-US"/>
        </w:rPr>
        <w:instrText xml:space="preserve"> HYPERLINK "https://dx.doi/10.1056/NEJMvcm2010260" </w:instrText>
      </w:r>
      <w:r w:rsidR="00DD117F">
        <w:fldChar w:fldCharType="separate"/>
      </w:r>
      <w:r w:rsidRPr="00F92890">
        <w:rPr>
          <w:rFonts w:asciiTheme="minorHAnsi" w:hAnsiTheme="minorHAnsi" w:cstheme="minorHAnsi"/>
          <w:color w:val="00B0F0"/>
          <w:sz w:val="20"/>
          <w:szCs w:val="20"/>
          <w:lang w:val="en-US"/>
        </w:rPr>
        <w:t>https://dx.doi/10.1056/NEJMvcm2010260</w:t>
      </w:r>
      <w:r w:rsidR="00DD117F">
        <w:rPr>
          <w:rFonts w:asciiTheme="minorHAnsi" w:hAnsiTheme="minorHAnsi" w:cstheme="minorHAnsi"/>
          <w:color w:val="00B0F0"/>
          <w:sz w:val="20"/>
          <w:szCs w:val="20"/>
          <w:lang w:val="en-US"/>
        </w:rPr>
        <w:fldChar w:fldCharType="end"/>
      </w:r>
      <w:r w:rsidRPr="00F92890">
        <w:rPr>
          <w:rFonts w:asciiTheme="minorHAnsi" w:hAnsiTheme="minorHAnsi" w:cstheme="minorHAnsi"/>
          <w:color w:val="00B0F0"/>
          <w:sz w:val="20"/>
          <w:szCs w:val="20"/>
          <w:lang w:val="en-US"/>
        </w:rPr>
        <w:t xml:space="preserve">. </w:t>
      </w:r>
    </w:p>
    <w:p w14:paraId="7AA7C21A" w14:textId="77777777" w:rsidR="008A4B57" w:rsidRPr="00E92095" w:rsidRDefault="008A4B57" w:rsidP="008A4B57">
      <w:pPr>
        <w:pStyle w:val="Textedebulles"/>
        <w:spacing w:line="360" w:lineRule="auto"/>
        <w:ind w:left="567" w:hanging="567"/>
        <w:jc w:val="both"/>
        <w:rPr>
          <w:rFonts w:asciiTheme="minorHAnsi" w:hAnsiTheme="minorHAnsi" w:cstheme="minorHAnsi"/>
          <w:sz w:val="20"/>
          <w:szCs w:val="20"/>
          <w:lang w:val="en-US"/>
        </w:rPr>
      </w:pPr>
      <w:r w:rsidRPr="00F92890">
        <w:rPr>
          <w:rFonts w:asciiTheme="minorHAnsi" w:hAnsiTheme="minorHAnsi" w:cstheme="minorHAnsi"/>
          <w:sz w:val="20"/>
          <w:szCs w:val="20"/>
          <w:lang w:val="en-US"/>
        </w:rPr>
        <w:t>[3]</w:t>
      </w:r>
      <w:r w:rsidRPr="00F92890">
        <w:rPr>
          <w:rFonts w:asciiTheme="minorHAnsi" w:hAnsiTheme="minorHAnsi" w:cstheme="minorHAnsi"/>
          <w:color w:val="00B0F0"/>
          <w:sz w:val="20"/>
          <w:szCs w:val="20"/>
          <w:lang w:val="en-US"/>
        </w:rPr>
        <w:tab/>
      </w:r>
      <w:r w:rsidRPr="00F92890">
        <w:rPr>
          <w:rFonts w:asciiTheme="minorHAnsi" w:hAnsiTheme="minorHAnsi" w:cstheme="minorHAnsi"/>
          <w:sz w:val="20"/>
          <w:szCs w:val="20"/>
          <w:lang w:val="en-US"/>
        </w:rPr>
        <w:t>Fagerland MW, Hosmer DW. A generalized Hosmer-</w:t>
      </w:r>
      <w:proofErr w:type="spellStart"/>
      <w:r w:rsidRPr="00F92890">
        <w:rPr>
          <w:rFonts w:asciiTheme="minorHAnsi" w:hAnsiTheme="minorHAnsi" w:cstheme="minorHAnsi"/>
          <w:sz w:val="20"/>
          <w:szCs w:val="20"/>
          <w:lang w:val="en-US"/>
        </w:rPr>
        <w:t>Lemeshow</w:t>
      </w:r>
      <w:proofErr w:type="spellEnd"/>
      <w:r w:rsidRPr="00F92890">
        <w:rPr>
          <w:rFonts w:asciiTheme="minorHAnsi" w:hAnsiTheme="minorHAnsi" w:cstheme="minorHAnsi"/>
          <w:sz w:val="20"/>
          <w:szCs w:val="20"/>
          <w:lang w:val="en-US"/>
        </w:rPr>
        <w:t xml:space="preserve"> goodness-of-fit test for multinomial logistic regression models. Stata Journal 2012; 12: 447-53.</w:t>
      </w:r>
      <w:r>
        <w:rPr>
          <w:rFonts w:asciiTheme="minorHAnsi" w:hAnsiTheme="minorHAnsi" w:cstheme="minorHAnsi"/>
          <w:sz w:val="20"/>
          <w:szCs w:val="20"/>
          <w:lang w:val="en-US"/>
        </w:rPr>
        <w:t xml:space="preserve"> </w:t>
      </w:r>
      <w:r w:rsidR="00DD117F">
        <w:fldChar w:fldCharType="begin"/>
      </w:r>
      <w:r w:rsidR="00DD117F" w:rsidRPr="00DD117F">
        <w:rPr>
          <w:lang w:val="en-US"/>
        </w:rPr>
        <w:instrText xml:space="preserve"> HYPERLINK "https://dx.doi/" </w:instrText>
      </w:r>
      <w:r w:rsidR="00DD117F">
        <w:fldChar w:fldCharType="separate"/>
      </w:r>
      <w:r w:rsidRPr="00E92095">
        <w:rPr>
          <w:rStyle w:val="Lienhypertexte"/>
          <w:rFonts w:asciiTheme="minorHAnsi" w:hAnsiTheme="minorHAnsi" w:cstheme="minorHAnsi"/>
          <w:color w:val="auto"/>
          <w:sz w:val="20"/>
          <w:szCs w:val="20"/>
          <w:u w:val="none"/>
          <w:lang w:val="en-US"/>
        </w:rPr>
        <w:t>https://dx.doi/</w:t>
      </w:r>
      <w:r w:rsidR="00DD117F">
        <w:rPr>
          <w:rStyle w:val="Lienhypertexte"/>
          <w:rFonts w:asciiTheme="minorHAnsi" w:hAnsiTheme="minorHAnsi" w:cstheme="minorHAnsi"/>
          <w:color w:val="auto"/>
          <w:sz w:val="20"/>
          <w:szCs w:val="20"/>
          <w:u w:val="none"/>
          <w:lang w:val="en-US"/>
        </w:rPr>
        <w:fldChar w:fldCharType="end"/>
      </w:r>
      <w:r w:rsidRPr="00E92095">
        <w:rPr>
          <w:rFonts w:asciiTheme="minorHAnsi" w:hAnsiTheme="minorHAnsi" w:cstheme="minorHAnsi"/>
          <w:sz w:val="20"/>
          <w:szCs w:val="20"/>
          <w:lang w:val="en-US"/>
        </w:rPr>
        <w:t xml:space="preserve">10.1177/1536867X1201200307. </w:t>
      </w:r>
    </w:p>
    <w:p w14:paraId="10CE52B0" w14:textId="77777777" w:rsidR="008A4B57" w:rsidRPr="008A4B57" w:rsidRDefault="008A4B57" w:rsidP="008A4B57">
      <w:pPr>
        <w:pStyle w:val="Textedebulles"/>
        <w:spacing w:line="360" w:lineRule="auto"/>
        <w:ind w:left="567" w:hanging="567"/>
        <w:jc w:val="both"/>
        <w:rPr>
          <w:rFonts w:asciiTheme="minorHAnsi" w:hAnsiTheme="minorHAnsi" w:cstheme="minorHAnsi"/>
          <w:color w:val="00B0F0"/>
          <w:sz w:val="20"/>
          <w:szCs w:val="20"/>
          <w:shd w:val="clear" w:color="auto" w:fill="FFFFFF"/>
          <w:lang w:val="en-US"/>
        </w:rPr>
      </w:pPr>
      <w:r w:rsidRPr="00F92890">
        <w:rPr>
          <w:rFonts w:asciiTheme="minorHAnsi" w:hAnsiTheme="minorHAnsi" w:cstheme="minorHAnsi"/>
          <w:sz w:val="20"/>
          <w:szCs w:val="20"/>
          <w:lang w:val="en-US"/>
        </w:rPr>
        <w:t>[4]</w:t>
      </w:r>
      <w:r w:rsidRPr="00F92890">
        <w:rPr>
          <w:rFonts w:asciiTheme="minorHAnsi" w:hAnsiTheme="minorHAnsi" w:cstheme="minorHAnsi"/>
          <w:color w:val="00B0F0"/>
          <w:sz w:val="20"/>
          <w:szCs w:val="20"/>
          <w:lang w:val="en-US"/>
        </w:rPr>
        <w:tab/>
      </w:r>
      <w:proofErr w:type="spellStart"/>
      <w:r w:rsidRPr="00F92890">
        <w:rPr>
          <w:rFonts w:asciiTheme="minorHAnsi" w:hAnsiTheme="minorHAnsi" w:cstheme="minorHAnsi"/>
          <w:color w:val="00B0F0"/>
          <w:sz w:val="20"/>
          <w:szCs w:val="20"/>
          <w:lang w:val="en-US"/>
        </w:rPr>
        <w:t>Leening</w:t>
      </w:r>
      <w:proofErr w:type="spellEnd"/>
      <w:r w:rsidRPr="00F92890">
        <w:rPr>
          <w:rFonts w:asciiTheme="minorHAnsi" w:hAnsiTheme="minorHAnsi" w:cstheme="minorHAnsi"/>
          <w:color w:val="00B0F0"/>
          <w:sz w:val="20"/>
          <w:szCs w:val="20"/>
          <w:lang w:val="en-US"/>
        </w:rPr>
        <w:t xml:space="preserve"> MJG, </w:t>
      </w:r>
      <w:proofErr w:type="spellStart"/>
      <w:r w:rsidRPr="00F92890">
        <w:rPr>
          <w:rFonts w:asciiTheme="minorHAnsi" w:hAnsiTheme="minorHAnsi" w:cstheme="minorHAnsi"/>
          <w:color w:val="00B0F0"/>
          <w:sz w:val="20"/>
          <w:szCs w:val="20"/>
          <w:lang w:val="en-US"/>
        </w:rPr>
        <w:t>Steyerberg</w:t>
      </w:r>
      <w:proofErr w:type="spellEnd"/>
      <w:r w:rsidRPr="00F92890">
        <w:rPr>
          <w:rFonts w:asciiTheme="minorHAnsi" w:hAnsiTheme="minorHAnsi" w:cstheme="minorHAnsi"/>
          <w:color w:val="00B0F0"/>
          <w:sz w:val="20"/>
          <w:szCs w:val="20"/>
          <w:lang w:val="en-US"/>
        </w:rPr>
        <w:t xml:space="preserve"> EW, Van </w:t>
      </w:r>
      <w:proofErr w:type="spellStart"/>
      <w:r w:rsidRPr="00F92890">
        <w:rPr>
          <w:rFonts w:asciiTheme="minorHAnsi" w:hAnsiTheme="minorHAnsi" w:cstheme="minorHAnsi"/>
          <w:color w:val="00B0F0"/>
          <w:sz w:val="20"/>
          <w:szCs w:val="20"/>
          <w:lang w:val="en-US"/>
        </w:rPr>
        <w:t>Calster</w:t>
      </w:r>
      <w:proofErr w:type="spellEnd"/>
      <w:r w:rsidRPr="00F92890">
        <w:rPr>
          <w:rFonts w:asciiTheme="minorHAnsi" w:hAnsiTheme="minorHAnsi" w:cstheme="minorHAnsi"/>
          <w:color w:val="00B0F0"/>
          <w:sz w:val="20"/>
          <w:szCs w:val="20"/>
          <w:lang w:val="en-US"/>
        </w:rPr>
        <w:t xml:space="preserve"> B, D’Agostino RB, </w:t>
      </w:r>
      <w:proofErr w:type="spellStart"/>
      <w:r w:rsidRPr="00F92890">
        <w:rPr>
          <w:rFonts w:asciiTheme="minorHAnsi" w:hAnsiTheme="minorHAnsi" w:cstheme="minorHAnsi"/>
          <w:color w:val="00B0F0"/>
          <w:sz w:val="20"/>
          <w:szCs w:val="20"/>
          <w:lang w:val="en-US"/>
        </w:rPr>
        <w:t>Pencina</w:t>
      </w:r>
      <w:proofErr w:type="spellEnd"/>
      <w:r w:rsidRPr="00F92890">
        <w:rPr>
          <w:rFonts w:asciiTheme="minorHAnsi" w:hAnsiTheme="minorHAnsi" w:cstheme="minorHAnsi"/>
          <w:color w:val="00B0F0"/>
          <w:sz w:val="20"/>
          <w:szCs w:val="20"/>
          <w:lang w:val="en-US"/>
        </w:rPr>
        <w:t xml:space="preserve"> MJ. Net reclassification improvement and integrated discrimination improvement require calibrated models: relevance from a marker and a model perspective. Stat Med 2014; 33: 3415-8. </w:t>
      </w:r>
      <w:r w:rsidR="00DD117F">
        <w:fldChar w:fldCharType="begin"/>
      </w:r>
      <w:r w:rsidR="00DD117F" w:rsidRPr="00DD117F">
        <w:rPr>
          <w:lang w:val="en-US"/>
        </w:rPr>
        <w:instrText xml:space="preserve"> HYPERLINK "https://dx.doi/" </w:instrText>
      </w:r>
      <w:r w:rsidR="00DD117F">
        <w:fldChar w:fldCharType="separate"/>
      </w:r>
      <w:r w:rsidRPr="00F92890">
        <w:rPr>
          <w:rFonts w:asciiTheme="minorHAnsi" w:hAnsiTheme="minorHAnsi" w:cstheme="minorHAnsi"/>
          <w:color w:val="00B0F0"/>
          <w:sz w:val="20"/>
          <w:szCs w:val="20"/>
          <w:lang w:val="en-US"/>
        </w:rPr>
        <w:t>https://dx.doi/</w:t>
      </w:r>
      <w:r w:rsidR="00DD117F">
        <w:rPr>
          <w:rFonts w:asciiTheme="minorHAnsi" w:hAnsiTheme="minorHAnsi" w:cstheme="minorHAnsi"/>
          <w:color w:val="00B0F0"/>
          <w:sz w:val="20"/>
          <w:szCs w:val="20"/>
          <w:lang w:val="en-US"/>
        </w:rPr>
        <w:fldChar w:fldCharType="end"/>
      </w:r>
      <w:r w:rsidRPr="00F92890">
        <w:rPr>
          <w:rFonts w:asciiTheme="minorHAnsi" w:hAnsiTheme="minorHAnsi" w:cstheme="minorHAnsi"/>
          <w:color w:val="00B0F0"/>
          <w:sz w:val="20"/>
          <w:szCs w:val="20"/>
          <w:lang w:val="en-US"/>
        </w:rPr>
        <w:t>10.</w:t>
      </w:r>
      <w:r w:rsidRPr="008A4B57">
        <w:rPr>
          <w:rFonts w:asciiTheme="minorHAnsi" w:hAnsiTheme="minorHAnsi" w:cstheme="minorHAnsi"/>
          <w:color w:val="00B0F0"/>
          <w:sz w:val="20"/>
          <w:szCs w:val="20"/>
          <w:shd w:val="clear" w:color="auto" w:fill="FFFFFF"/>
          <w:lang w:val="en-US"/>
        </w:rPr>
        <w:t xml:space="preserve"> 1002/sim.6133.</w:t>
      </w:r>
    </w:p>
    <w:p w14:paraId="5646EB80" w14:textId="77777777" w:rsidR="008A4B57" w:rsidRPr="00F92890" w:rsidRDefault="008A4B57" w:rsidP="008A4B57">
      <w:pPr>
        <w:pStyle w:val="Textedebulles"/>
        <w:spacing w:line="360" w:lineRule="auto"/>
        <w:ind w:left="567" w:hanging="567"/>
        <w:jc w:val="both"/>
        <w:rPr>
          <w:rFonts w:asciiTheme="minorHAnsi" w:hAnsiTheme="minorHAnsi" w:cstheme="minorHAnsi"/>
          <w:color w:val="00B0F0"/>
          <w:sz w:val="20"/>
          <w:szCs w:val="20"/>
          <w:lang w:val="en-US"/>
        </w:rPr>
      </w:pPr>
      <w:r w:rsidRPr="00F92890">
        <w:rPr>
          <w:rFonts w:asciiTheme="minorHAnsi" w:hAnsiTheme="minorHAnsi" w:cstheme="minorHAnsi"/>
          <w:sz w:val="20"/>
          <w:szCs w:val="20"/>
          <w:lang w:val="en-US"/>
        </w:rPr>
        <w:t>[5]</w:t>
      </w:r>
      <w:r w:rsidRPr="00F92890">
        <w:rPr>
          <w:rFonts w:asciiTheme="minorHAnsi" w:hAnsiTheme="minorHAnsi" w:cstheme="minorHAnsi"/>
          <w:sz w:val="20"/>
          <w:szCs w:val="20"/>
          <w:lang w:val="en-US"/>
        </w:rPr>
        <w:tab/>
      </w:r>
      <w:r w:rsidRPr="008A4B57">
        <w:rPr>
          <w:rFonts w:asciiTheme="minorHAnsi" w:eastAsia="Times New Roman" w:hAnsiTheme="minorHAnsi" w:cstheme="minorHAnsi"/>
          <w:color w:val="00B0F0"/>
          <w:sz w:val="20"/>
          <w:szCs w:val="20"/>
          <w:shd w:val="clear" w:color="auto" w:fill="FFFFFF"/>
          <w:lang w:val="en-US" w:eastAsia="fr-RE"/>
        </w:rPr>
        <w:t xml:space="preserve">Yates LA, Richards SA, Brooks BW. </w:t>
      </w:r>
      <w:r w:rsidRPr="00F92890">
        <w:rPr>
          <w:rFonts w:asciiTheme="minorHAnsi" w:hAnsiTheme="minorHAnsi" w:cstheme="minorHAnsi"/>
          <w:color w:val="00B0F0"/>
          <w:sz w:val="20"/>
          <w:szCs w:val="20"/>
          <w:lang w:val="en-US"/>
        </w:rPr>
        <w:t xml:space="preserve">Parsimonious model selection using 2 information theory: a modified selection rule. Ecology </w:t>
      </w:r>
      <w:r w:rsidRPr="00F92890">
        <w:rPr>
          <w:rFonts w:asciiTheme="minorHAnsi" w:eastAsia="Times New Roman" w:hAnsiTheme="minorHAnsi" w:cstheme="minorHAnsi"/>
          <w:color w:val="00B0F0"/>
          <w:sz w:val="20"/>
          <w:szCs w:val="20"/>
          <w:lang w:val="en-US" w:eastAsia="fr-RE"/>
        </w:rPr>
        <w:t xml:space="preserve">2021; e03475. </w:t>
      </w:r>
      <w:r w:rsidRPr="00F92890">
        <w:rPr>
          <w:rFonts w:asciiTheme="minorHAnsi" w:eastAsia="Times New Roman" w:hAnsiTheme="minorHAnsi" w:cstheme="minorHAnsi"/>
          <w:color w:val="00B0F0"/>
          <w:sz w:val="20"/>
          <w:szCs w:val="20"/>
          <w:shd w:val="clear" w:color="auto" w:fill="FFFFFF"/>
          <w:lang w:val="en-US" w:eastAsia="fr-RE"/>
        </w:rPr>
        <w:t>https://dx.doi/10.1002/ecy.3475. Online ahead of print.</w:t>
      </w:r>
    </w:p>
    <w:p w14:paraId="79C564DD" w14:textId="77777777" w:rsidR="008A4B57" w:rsidRPr="00F92890" w:rsidRDefault="008A4B57" w:rsidP="008A4B57">
      <w:pPr>
        <w:pStyle w:val="Textedebulles"/>
        <w:spacing w:line="360" w:lineRule="auto"/>
        <w:ind w:left="567" w:hanging="567"/>
        <w:jc w:val="both"/>
        <w:rPr>
          <w:rFonts w:asciiTheme="minorHAnsi" w:hAnsiTheme="minorHAnsi" w:cstheme="minorHAnsi"/>
          <w:color w:val="00B0F0"/>
          <w:sz w:val="20"/>
          <w:szCs w:val="20"/>
          <w:lang w:val="en-US"/>
        </w:rPr>
      </w:pPr>
      <w:r w:rsidRPr="00F92890">
        <w:rPr>
          <w:rFonts w:asciiTheme="minorHAnsi" w:hAnsiTheme="minorHAnsi" w:cstheme="minorHAnsi"/>
          <w:sz w:val="20"/>
          <w:szCs w:val="20"/>
          <w:lang w:val="en-US"/>
        </w:rPr>
        <w:t>[6]</w:t>
      </w:r>
      <w:r w:rsidRPr="00F92890">
        <w:rPr>
          <w:rFonts w:asciiTheme="minorHAnsi" w:hAnsiTheme="minorHAnsi" w:cstheme="minorHAnsi"/>
          <w:sz w:val="20"/>
          <w:szCs w:val="20"/>
          <w:lang w:val="en-US"/>
        </w:rPr>
        <w:tab/>
        <w:t xml:space="preserve">Long JS, Freese J. Scalar measures of fit for regression models. Indiana University and University of Wisconsin-Madison press. 2000; 1-9 pp. </w:t>
      </w:r>
      <w:r w:rsidR="00DD117F">
        <w:fldChar w:fldCharType="begin"/>
      </w:r>
      <w:r w:rsidR="00DD117F" w:rsidRPr="00DD117F">
        <w:rPr>
          <w:lang w:val="en-US"/>
        </w:rPr>
        <w:instrText xml:space="preserve"> HYPERLINK "https://fmwww.bc.edu/repec/bocode/fitstat.pdf" </w:instrText>
      </w:r>
      <w:r w:rsidR="00DD117F">
        <w:fldChar w:fldCharType="separate"/>
      </w:r>
      <w:r w:rsidRPr="00F92890">
        <w:rPr>
          <w:rFonts w:asciiTheme="minorHAnsi" w:hAnsiTheme="minorHAnsi" w:cstheme="minorHAnsi"/>
          <w:sz w:val="20"/>
          <w:szCs w:val="20"/>
          <w:lang w:val="en-US"/>
        </w:rPr>
        <w:t>https://fmwww.bc.edu/repec/bocode/fitstat.pdf</w:t>
      </w:r>
      <w:r w:rsidR="00DD117F">
        <w:rPr>
          <w:rFonts w:asciiTheme="minorHAnsi" w:hAnsiTheme="minorHAnsi" w:cstheme="minorHAnsi"/>
          <w:sz w:val="20"/>
          <w:szCs w:val="20"/>
          <w:lang w:val="en-US"/>
        </w:rPr>
        <w:fldChar w:fldCharType="end"/>
      </w:r>
      <w:r w:rsidRPr="00F92890">
        <w:rPr>
          <w:rFonts w:asciiTheme="minorHAnsi" w:hAnsiTheme="minorHAnsi" w:cstheme="minorHAnsi"/>
          <w:sz w:val="20"/>
          <w:szCs w:val="20"/>
          <w:lang w:val="en-US"/>
        </w:rPr>
        <w:t>.</w:t>
      </w:r>
    </w:p>
    <w:p w14:paraId="24BB6A8C" w14:textId="77777777" w:rsidR="008A4B57" w:rsidRPr="00F92890" w:rsidRDefault="008A4B57" w:rsidP="008A4B57">
      <w:pPr>
        <w:pStyle w:val="Textedebulles"/>
        <w:spacing w:line="360" w:lineRule="auto"/>
        <w:ind w:left="567" w:hanging="567"/>
        <w:jc w:val="both"/>
        <w:rPr>
          <w:rFonts w:asciiTheme="minorHAnsi" w:hAnsiTheme="minorHAnsi" w:cstheme="minorHAnsi"/>
          <w:color w:val="00B0F0"/>
          <w:sz w:val="20"/>
          <w:szCs w:val="20"/>
          <w:lang w:val="en-US"/>
        </w:rPr>
      </w:pPr>
      <w:r w:rsidRPr="00F92890">
        <w:rPr>
          <w:rFonts w:asciiTheme="minorHAnsi" w:hAnsiTheme="minorHAnsi" w:cstheme="minorHAnsi"/>
          <w:sz w:val="20"/>
          <w:szCs w:val="20"/>
          <w:lang w:val="en-US"/>
        </w:rPr>
        <w:t>[7</w:t>
      </w:r>
      <w:r>
        <w:rPr>
          <w:rFonts w:asciiTheme="minorHAnsi" w:hAnsiTheme="minorHAnsi" w:cstheme="minorHAnsi"/>
          <w:sz w:val="20"/>
          <w:szCs w:val="20"/>
          <w:lang w:val="en-US"/>
        </w:rPr>
        <w:t>]</w:t>
      </w:r>
      <w:r>
        <w:rPr>
          <w:rFonts w:asciiTheme="minorHAnsi" w:hAnsiTheme="minorHAnsi" w:cstheme="minorHAnsi"/>
          <w:sz w:val="20"/>
          <w:szCs w:val="20"/>
          <w:lang w:val="en-US"/>
        </w:rPr>
        <w:tab/>
      </w:r>
      <w:r w:rsidRPr="00F92890">
        <w:rPr>
          <w:rStyle w:val="nomauteur"/>
          <w:rFonts w:asciiTheme="minorHAnsi" w:hAnsiTheme="minorHAnsi" w:cstheme="minorHAnsi"/>
          <w:color w:val="00B0F0"/>
          <w:sz w:val="20"/>
          <w:szCs w:val="20"/>
          <w:shd w:val="clear" w:color="auto" w:fill="FFFFFF"/>
          <w:lang w:val="en-US"/>
        </w:rPr>
        <w:t>Akaike H.</w:t>
      </w:r>
      <w:r w:rsidRPr="00F92890">
        <w:rPr>
          <w:rFonts w:asciiTheme="minorHAnsi" w:hAnsiTheme="minorHAnsi" w:cstheme="minorHAnsi"/>
          <w:color w:val="00B0F0"/>
          <w:sz w:val="20"/>
          <w:szCs w:val="20"/>
          <w:shd w:val="clear" w:color="auto" w:fill="FFFFFF"/>
          <w:lang w:val="en"/>
        </w:rPr>
        <w:t> </w:t>
      </w:r>
      <w:r w:rsidRPr="00F92890">
        <w:rPr>
          <w:rStyle w:val="CitationHTML"/>
          <w:rFonts w:asciiTheme="minorHAnsi" w:hAnsiTheme="minorHAnsi" w:cstheme="minorHAnsi"/>
          <w:color w:val="00B0F0"/>
          <w:sz w:val="20"/>
          <w:szCs w:val="20"/>
          <w:shd w:val="clear" w:color="auto" w:fill="FFFFFF"/>
          <w:lang w:val="en"/>
        </w:rPr>
        <w:t>A new look at the statistical model identification</w:t>
      </w:r>
      <w:r w:rsidRPr="00F92890">
        <w:rPr>
          <w:rFonts w:asciiTheme="minorHAnsi" w:hAnsiTheme="minorHAnsi" w:cstheme="minorHAnsi"/>
          <w:i/>
          <w:iCs/>
          <w:color w:val="00B0F0"/>
          <w:sz w:val="20"/>
          <w:szCs w:val="20"/>
          <w:shd w:val="clear" w:color="auto" w:fill="FFFFFF"/>
          <w:lang w:val="en-US"/>
        </w:rPr>
        <w:t>.</w:t>
      </w:r>
      <w:r w:rsidRPr="00F92890">
        <w:rPr>
          <w:rFonts w:asciiTheme="minorHAnsi" w:hAnsiTheme="minorHAnsi" w:cstheme="minorHAnsi"/>
          <w:color w:val="00B0F0"/>
          <w:sz w:val="20"/>
          <w:szCs w:val="20"/>
          <w:shd w:val="clear" w:color="auto" w:fill="FFFFFF"/>
          <w:lang w:val="en-US"/>
        </w:rPr>
        <w:t> </w:t>
      </w:r>
      <w:r w:rsidRPr="00F92890">
        <w:rPr>
          <w:rStyle w:val="lang-en"/>
          <w:rFonts w:asciiTheme="minorHAnsi" w:hAnsiTheme="minorHAnsi" w:cstheme="minorHAnsi"/>
          <w:i/>
          <w:iCs/>
          <w:color w:val="00B0F0"/>
          <w:sz w:val="20"/>
          <w:szCs w:val="20"/>
          <w:shd w:val="clear" w:color="auto" w:fill="FFFFFF"/>
          <w:lang w:val="en"/>
        </w:rPr>
        <w:t>IEEE Trans Automatic Control</w:t>
      </w:r>
      <w:r w:rsidRPr="00F92890">
        <w:rPr>
          <w:rFonts w:asciiTheme="minorHAnsi" w:hAnsiTheme="minorHAnsi" w:cstheme="minorHAnsi"/>
          <w:color w:val="00B0F0"/>
          <w:sz w:val="20"/>
          <w:szCs w:val="20"/>
          <w:shd w:val="clear" w:color="auto" w:fill="FFFFFF"/>
          <w:lang w:val="en-US"/>
        </w:rPr>
        <w:t xml:space="preserve"> 1974; 19: 716-23. https://dx.doi/</w:t>
      </w:r>
      <w:r w:rsidR="00DD117F">
        <w:fldChar w:fldCharType="begin"/>
      </w:r>
      <w:r w:rsidR="00DD117F" w:rsidRPr="00DD117F">
        <w:rPr>
          <w:lang w:val="en-US"/>
        </w:rPr>
        <w:instrText xml:space="preserve"> HYPERLINK "https://dx.doi.org/10.1109/TAC.1974.1100705" </w:instrText>
      </w:r>
      <w:r w:rsidR="00DD117F">
        <w:fldChar w:fldCharType="separate"/>
      </w:r>
      <w:r w:rsidRPr="00F92890">
        <w:rPr>
          <w:rFonts w:asciiTheme="minorHAnsi" w:hAnsiTheme="minorHAnsi" w:cstheme="minorHAnsi"/>
          <w:color w:val="00B0F0"/>
          <w:sz w:val="20"/>
          <w:szCs w:val="20"/>
          <w:shd w:val="clear" w:color="auto" w:fill="FFFFFF"/>
          <w:lang w:val="en-US"/>
        </w:rPr>
        <w:t>10.1109/TAC.1974.1100705</w:t>
      </w:r>
      <w:r w:rsidR="00DD117F">
        <w:rPr>
          <w:rFonts w:asciiTheme="minorHAnsi" w:hAnsiTheme="minorHAnsi" w:cstheme="minorHAnsi"/>
          <w:color w:val="00B0F0"/>
          <w:sz w:val="20"/>
          <w:szCs w:val="20"/>
          <w:shd w:val="clear" w:color="auto" w:fill="FFFFFF"/>
          <w:lang w:val="en-US"/>
        </w:rPr>
        <w:fldChar w:fldCharType="end"/>
      </w:r>
      <w:r w:rsidRPr="00F92890">
        <w:rPr>
          <w:rFonts w:asciiTheme="minorHAnsi" w:hAnsiTheme="minorHAnsi" w:cstheme="minorHAnsi"/>
          <w:sz w:val="20"/>
          <w:szCs w:val="20"/>
          <w:shd w:val="clear" w:color="auto" w:fill="FFFFFF"/>
          <w:lang w:val="en-US"/>
        </w:rPr>
        <w:t>.</w:t>
      </w:r>
    </w:p>
    <w:p w14:paraId="44F344DE" w14:textId="77777777" w:rsidR="008A4B57" w:rsidRPr="00F92890" w:rsidRDefault="008A4B57" w:rsidP="008A4B57">
      <w:pPr>
        <w:pStyle w:val="Textedebulles"/>
        <w:spacing w:line="360" w:lineRule="auto"/>
        <w:ind w:left="567" w:hanging="567"/>
        <w:jc w:val="both"/>
        <w:rPr>
          <w:rFonts w:asciiTheme="minorHAnsi" w:eastAsia="Times New Roman" w:hAnsiTheme="minorHAnsi" w:cstheme="minorHAnsi"/>
          <w:sz w:val="20"/>
          <w:szCs w:val="20"/>
          <w:shd w:val="clear" w:color="auto" w:fill="FFFFFF"/>
          <w:lang w:val="en-US" w:eastAsia="fr-RE"/>
        </w:rPr>
      </w:pPr>
      <w:r w:rsidRPr="00F92890">
        <w:rPr>
          <w:rFonts w:asciiTheme="minorHAnsi" w:eastAsia="Times New Roman" w:hAnsiTheme="minorHAnsi" w:cstheme="minorHAnsi"/>
          <w:sz w:val="20"/>
          <w:szCs w:val="20"/>
          <w:shd w:val="clear" w:color="auto" w:fill="FFFFFF"/>
          <w:lang w:val="en-US" w:eastAsia="fr-RE"/>
        </w:rPr>
        <w:t>[8]</w:t>
      </w:r>
      <w:r w:rsidRPr="00F92890">
        <w:rPr>
          <w:rFonts w:asciiTheme="minorHAnsi" w:eastAsia="Times New Roman" w:hAnsiTheme="minorHAnsi" w:cstheme="minorHAnsi"/>
          <w:sz w:val="20"/>
          <w:szCs w:val="20"/>
          <w:shd w:val="clear" w:color="auto" w:fill="FFFFFF"/>
          <w:lang w:val="en-US" w:eastAsia="fr-RE"/>
        </w:rPr>
        <w:tab/>
      </w:r>
      <w:r w:rsidRPr="00F92890">
        <w:rPr>
          <w:rFonts w:asciiTheme="minorHAnsi" w:eastAsia="Times New Roman" w:hAnsiTheme="minorHAnsi" w:cstheme="minorHAnsi"/>
          <w:color w:val="00B0F0"/>
          <w:sz w:val="20"/>
          <w:szCs w:val="20"/>
          <w:shd w:val="clear" w:color="auto" w:fill="FFFFFF"/>
          <w:lang w:val="en-US" w:eastAsia="fr-RE"/>
        </w:rPr>
        <w:t xml:space="preserve">Selig K, Shaw P, </w:t>
      </w:r>
      <w:proofErr w:type="spellStart"/>
      <w:r w:rsidRPr="00F92890">
        <w:rPr>
          <w:rFonts w:asciiTheme="minorHAnsi" w:eastAsia="Times New Roman" w:hAnsiTheme="minorHAnsi" w:cstheme="minorHAnsi"/>
          <w:color w:val="00B0F0"/>
          <w:sz w:val="20"/>
          <w:szCs w:val="20"/>
          <w:shd w:val="clear" w:color="auto" w:fill="FFFFFF"/>
          <w:lang w:val="en-US" w:eastAsia="fr-RE"/>
        </w:rPr>
        <w:t>Ankerst</w:t>
      </w:r>
      <w:proofErr w:type="spellEnd"/>
      <w:r w:rsidRPr="00F92890">
        <w:rPr>
          <w:rFonts w:asciiTheme="minorHAnsi" w:eastAsia="Times New Roman" w:hAnsiTheme="minorHAnsi" w:cstheme="minorHAnsi"/>
          <w:color w:val="00B0F0"/>
          <w:sz w:val="20"/>
          <w:szCs w:val="20"/>
          <w:shd w:val="clear" w:color="auto" w:fill="FFFFFF"/>
          <w:lang w:val="en-US" w:eastAsia="fr-RE"/>
        </w:rPr>
        <w:t xml:space="preserve"> D. Bayesian information criterion approximations to Bayes factors for univariate and multivariate logistic regression models. Int J </w:t>
      </w:r>
      <w:proofErr w:type="spellStart"/>
      <w:r w:rsidRPr="00F92890">
        <w:rPr>
          <w:rFonts w:asciiTheme="minorHAnsi" w:eastAsia="Times New Roman" w:hAnsiTheme="minorHAnsi" w:cstheme="minorHAnsi"/>
          <w:color w:val="00B0F0"/>
          <w:sz w:val="20"/>
          <w:szCs w:val="20"/>
          <w:shd w:val="clear" w:color="auto" w:fill="FFFFFF"/>
          <w:lang w:val="en-US" w:eastAsia="fr-RE"/>
        </w:rPr>
        <w:t>Biostat</w:t>
      </w:r>
      <w:proofErr w:type="spellEnd"/>
      <w:r w:rsidRPr="00F92890">
        <w:rPr>
          <w:rFonts w:asciiTheme="minorHAnsi" w:eastAsia="Times New Roman" w:hAnsiTheme="minorHAnsi" w:cstheme="minorHAnsi"/>
          <w:color w:val="00B0F0"/>
          <w:sz w:val="20"/>
          <w:szCs w:val="20"/>
          <w:shd w:val="clear" w:color="auto" w:fill="FFFFFF"/>
          <w:lang w:val="en-US" w:eastAsia="fr-RE"/>
        </w:rPr>
        <w:t xml:space="preserve"> 2020;</w:t>
      </w:r>
      <w:r w:rsidRPr="00F92890">
        <w:rPr>
          <w:rStyle w:val="Titre1Car"/>
          <w:rFonts w:asciiTheme="minorHAnsi" w:eastAsiaTheme="minorHAnsi" w:hAnsiTheme="minorHAnsi" w:cstheme="minorHAnsi"/>
          <w:color w:val="00B0F0"/>
          <w:sz w:val="20"/>
          <w:szCs w:val="20"/>
          <w:lang w:val="en-US"/>
        </w:rPr>
        <w:t xml:space="preserve"> </w:t>
      </w:r>
      <w:r w:rsidRPr="00F92890">
        <w:rPr>
          <w:rFonts w:asciiTheme="minorHAnsi" w:eastAsia="Times New Roman" w:hAnsiTheme="minorHAnsi" w:cstheme="minorHAnsi"/>
          <w:color w:val="00B0F0"/>
          <w:sz w:val="20"/>
          <w:szCs w:val="20"/>
          <w:lang w:val="en-US" w:eastAsia="fr-RE"/>
        </w:rPr>
        <w:t>j/</w:t>
      </w:r>
      <w:proofErr w:type="spellStart"/>
      <w:r w:rsidRPr="00F92890">
        <w:rPr>
          <w:rFonts w:asciiTheme="minorHAnsi" w:eastAsia="Times New Roman" w:hAnsiTheme="minorHAnsi" w:cstheme="minorHAnsi"/>
          <w:color w:val="00B0F0"/>
          <w:sz w:val="20"/>
          <w:szCs w:val="20"/>
          <w:lang w:val="en-US" w:eastAsia="fr-RE"/>
        </w:rPr>
        <w:t>ijb.ahead</w:t>
      </w:r>
      <w:proofErr w:type="spellEnd"/>
      <w:r w:rsidRPr="00F92890">
        <w:rPr>
          <w:rFonts w:asciiTheme="minorHAnsi" w:eastAsia="Times New Roman" w:hAnsiTheme="minorHAnsi" w:cstheme="minorHAnsi"/>
          <w:color w:val="00B0F0"/>
          <w:sz w:val="20"/>
          <w:szCs w:val="20"/>
          <w:lang w:val="en-US" w:eastAsia="fr-RE"/>
        </w:rPr>
        <w:t>-of-print/ijb-2020-0045/ijb-2020-0045.xml. https://dx.</w:t>
      </w:r>
      <w:r w:rsidRPr="00F92890">
        <w:rPr>
          <w:rFonts w:asciiTheme="minorHAnsi" w:eastAsia="Times New Roman" w:hAnsiTheme="minorHAnsi" w:cstheme="minorHAnsi"/>
          <w:color w:val="00B0F0"/>
          <w:sz w:val="20"/>
          <w:szCs w:val="20"/>
          <w:shd w:val="clear" w:color="auto" w:fill="FFFFFF"/>
          <w:lang w:val="en-US" w:eastAsia="fr-RE"/>
        </w:rPr>
        <w:t>doi/10.1515/ijb-2020-0045. Online ahead of print.</w:t>
      </w:r>
    </w:p>
    <w:p w14:paraId="43A5C17B" w14:textId="77777777" w:rsidR="008A4B57" w:rsidRPr="008A4B57" w:rsidRDefault="008A4B57" w:rsidP="008A4B57">
      <w:pPr>
        <w:pStyle w:val="Textedebulles"/>
        <w:spacing w:line="360" w:lineRule="auto"/>
        <w:ind w:left="567" w:hanging="567"/>
        <w:jc w:val="both"/>
        <w:rPr>
          <w:rFonts w:asciiTheme="minorHAnsi" w:eastAsia="Times New Roman" w:hAnsiTheme="minorHAnsi" w:cstheme="minorHAnsi"/>
          <w:sz w:val="20"/>
          <w:szCs w:val="20"/>
          <w:shd w:val="clear" w:color="auto" w:fill="FFFFFF"/>
          <w:lang w:val="fr-RE" w:eastAsia="fr-RE"/>
        </w:rPr>
      </w:pPr>
      <w:r w:rsidRPr="00936D6E">
        <w:rPr>
          <w:rFonts w:asciiTheme="minorHAnsi" w:hAnsiTheme="minorHAnsi" w:cstheme="minorHAnsi"/>
          <w:sz w:val="20"/>
          <w:szCs w:val="20"/>
        </w:rPr>
        <w:t>[9]</w:t>
      </w:r>
      <w:r w:rsidRPr="00936D6E">
        <w:rPr>
          <w:rFonts w:asciiTheme="minorHAnsi" w:hAnsiTheme="minorHAnsi" w:cstheme="minorHAnsi"/>
          <w:sz w:val="20"/>
          <w:szCs w:val="20"/>
        </w:rPr>
        <w:tab/>
      </w:r>
      <w:proofErr w:type="spellStart"/>
      <w:r w:rsidRPr="00936D6E">
        <w:rPr>
          <w:rFonts w:asciiTheme="minorHAnsi" w:hAnsiTheme="minorHAnsi" w:cstheme="minorHAnsi"/>
          <w:color w:val="00B0F0"/>
          <w:sz w:val="20"/>
          <w:szCs w:val="20"/>
        </w:rPr>
        <w:t>Verbackel</w:t>
      </w:r>
      <w:proofErr w:type="spellEnd"/>
      <w:r w:rsidRPr="00936D6E">
        <w:rPr>
          <w:rFonts w:asciiTheme="minorHAnsi" w:hAnsiTheme="minorHAnsi" w:cstheme="minorHAnsi"/>
          <w:color w:val="00B0F0"/>
          <w:sz w:val="20"/>
          <w:szCs w:val="20"/>
        </w:rPr>
        <w:t xml:space="preserve"> JY, </w:t>
      </w:r>
      <w:proofErr w:type="spellStart"/>
      <w:r w:rsidRPr="00936D6E">
        <w:rPr>
          <w:rFonts w:asciiTheme="minorHAnsi" w:hAnsiTheme="minorHAnsi" w:cstheme="minorHAnsi"/>
          <w:color w:val="00B0F0"/>
          <w:sz w:val="20"/>
          <w:szCs w:val="20"/>
        </w:rPr>
        <w:t>Steyerberg</w:t>
      </w:r>
      <w:proofErr w:type="spellEnd"/>
      <w:r w:rsidRPr="00936D6E">
        <w:rPr>
          <w:rFonts w:asciiTheme="minorHAnsi" w:hAnsiTheme="minorHAnsi" w:cstheme="minorHAnsi"/>
          <w:color w:val="00B0F0"/>
          <w:sz w:val="20"/>
          <w:szCs w:val="20"/>
        </w:rPr>
        <w:t xml:space="preserve"> EW, </w:t>
      </w:r>
      <w:proofErr w:type="spellStart"/>
      <w:r w:rsidRPr="00936D6E">
        <w:rPr>
          <w:rFonts w:asciiTheme="minorHAnsi" w:hAnsiTheme="minorHAnsi" w:cstheme="minorHAnsi"/>
          <w:color w:val="00B0F0"/>
          <w:sz w:val="20"/>
          <w:szCs w:val="20"/>
        </w:rPr>
        <w:t>Uno</w:t>
      </w:r>
      <w:proofErr w:type="spellEnd"/>
      <w:r w:rsidRPr="00936D6E">
        <w:rPr>
          <w:rFonts w:asciiTheme="minorHAnsi" w:hAnsiTheme="minorHAnsi" w:cstheme="minorHAnsi"/>
          <w:color w:val="00B0F0"/>
          <w:sz w:val="20"/>
          <w:szCs w:val="20"/>
        </w:rPr>
        <w:t xml:space="preserve"> H, De </w:t>
      </w:r>
      <w:proofErr w:type="spellStart"/>
      <w:r w:rsidRPr="00936D6E">
        <w:rPr>
          <w:rFonts w:asciiTheme="minorHAnsi" w:hAnsiTheme="minorHAnsi" w:cstheme="minorHAnsi"/>
          <w:color w:val="00B0F0"/>
          <w:sz w:val="20"/>
          <w:szCs w:val="20"/>
        </w:rPr>
        <w:t>Cock</w:t>
      </w:r>
      <w:proofErr w:type="spellEnd"/>
      <w:r w:rsidRPr="00936D6E">
        <w:rPr>
          <w:rFonts w:asciiTheme="minorHAnsi" w:hAnsiTheme="minorHAnsi" w:cstheme="minorHAnsi"/>
          <w:color w:val="00B0F0"/>
          <w:sz w:val="20"/>
          <w:szCs w:val="20"/>
        </w:rPr>
        <w:t xml:space="preserve"> B, </w:t>
      </w:r>
      <w:proofErr w:type="spellStart"/>
      <w:r w:rsidRPr="00936D6E">
        <w:rPr>
          <w:rFonts w:asciiTheme="minorHAnsi" w:hAnsiTheme="minorHAnsi" w:cstheme="minorHAnsi"/>
          <w:color w:val="00B0F0"/>
          <w:sz w:val="20"/>
          <w:szCs w:val="20"/>
        </w:rPr>
        <w:t>Wynants</w:t>
      </w:r>
      <w:proofErr w:type="spellEnd"/>
      <w:r w:rsidRPr="00936D6E">
        <w:rPr>
          <w:rFonts w:asciiTheme="minorHAnsi" w:hAnsiTheme="minorHAnsi" w:cstheme="minorHAnsi"/>
          <w:color w:val="00B0F0"/>
          <w:sz w:val="20"/>
          <w:szCs w:val="20"/>
        </w:rPr>
        <w:t xml:space="preserve"> L, Collins GS, et al. </w:t>
      </w:r>
      <w:r w:rsidRPr="00F92890">
        <w:rPr>
          <w:rFonts w:asciiTheme="minorHAnsi" w:hAnsiTheme="minorHAnsi" w:cstheme="minorHAnsi"/>
          <w:color w:val="00B0F0"/>
          <w:sz w:val="20"/>
          <w:szCs w:val="20"/>
          <w:lang w:val="en-US"/>
        </w:rPr>
        <w:t xml:space="preserve">ROC curves for clinical prediction models part 1. ROC plots showed no added value to the AUC when evaluating the performance </w:t>
      </w:r>
      <w:r w:rsidRPr="00F92890">
        <w:rPr>
          <w:rFonts w:asciiTheme="minorHAnsi" w:hAnsiTheme="minorHAnsi" w:cstheme="minorHAnsi"/>
          <w:color w:val="00B0F0"/>
          <w:sz w:val="20"/>
          <w:szCs w:val="20"/>
          <w:lang w:val="en-US"/>
        </w:rPr>
        <w:lastRenderedPageBreak/>
        <w:t xml:space="preserve">of clinical prediction models. </w:t>
      </w:r>
      <w:r w:rsidRPr="00F92890">
        <w:rPr>
          <w:rFonts w:asciiTheme="minorHAnsi" w:hAnsiTheme="minorHAnsi" w:cstheme="minorHAnsi"/>
          <w:color w:val="00B0F0"/>
          <w:sz w:val="20"/>
          <w:szCs w:val="20"/>
          <w:lang w:val="fr-RE"/>
        </w:rPr>
        <w:t xml:space="preserve">J Clin </w:t>
      </w:r>
      <w:proofErr w:type="spellStart"/>
      <w:r w:rsidRPr="00F92890">
        <w:rPr>
          <w:rFonts w:asciiTheme="minorHAnsi" w:hAnsiTheme="minorHAnsi" w:cstheme="minorHAnsi"/>
          <w:color w:val="00B0F0"/>
          <w:sz w:val="20"/>
          <w:szCs w:val="20"/>
          <w:lang w:val="fr-RE"/>
        </w:rPr>
        <w:t>Epidemiol</w:t>
      </w:r>
      <w:proofErr w:type="spellEnd"/>
      <w:r w:rsidRPr="00F92890">
        <w:rPr>
          <w:rFonts w:asciiTheme="minorHAnsi" w:hAnsiTheme="minorHAnsi" w:cstheme="minorHAnsi"/>
          <w:color w:val="00B0F0"/>
          <w:sz w:val="20"/>
          <w:szCs w:val="20"/>
          <w:lang w:val="fr-RE"/>
        </w:rPr>
        <w:t xml:space="preserve"> </w:t>
      </w:r>
      <w:proofErr w:type="gramStart"/>
      <w:r w:rsidRPr="00F92890">
        <w:rPr>
          <w:rFonts w:asciiTheme="minorHAnsi" w:hAnsiTheme="minorHAnsi" w:cstheme="minorHAnsi"/>
          <w:color w:val="00B0F0"/>
          <w:sz w:val="20"/>
          <w:szCs w:val="20"/>
          <w:lang w:val="fr-RE"/>
        </w:rPr>
        <w:t>2020;</w:t>
      </w:r>
      <w:proofErr w:type="gramEnd"/>
      <w:r w:rsidRPr="00F92890">
        <w:rPr>
          <w:rFonts w:asciiTheme="minorHAnsi" w:hAnsiTheme="minorHAnsi" w:cstheme="minorHAnsi"/>
          <w:color w:val="00B0F0"/>
          <w:sz w:val="20"/>
          <w:szCs w:val="20"/>
          <w:lang w:val="fr-RE"/>
        </w:rPr>
        <w:t xml:space="preserve"> 126: 207-15. https://dx.doi/10.1016/j.clinepi.2020.01.028</w:t>
      </w:r>
      <w:r w:rsidRPr="00F92890">
        <w:rPr>
          <w:rFonts w:asciiTheme="minorHAnsi" w:hAnsiTheme="minorHAnsi" w:cstheme="minorHAnsi"/>
          <w:sz w:val="20"/>
          <w:szCs w:val="20"/>
          <w:lang w:val="fr-RE"/>
        </w:rPr>
        <w:t xml:space="preserve">. </w:t>
      </w:r>
    </w:p>
    <w:p w14:paraId="48FC5470" w14:textId="77777777" w:rsidR="008A4B57" w:rsidRPr="00F92890" w:rsidRDefault="008A4B57" w:rsidP="008A4B57">
      <w:pPr>
        <w:pStyle w:val="Textedebulles"/>
        <w:spacing w:line="360" w:lineRule="auto"/>
        <w:ind w:left="567" w:hanging="567"/>
        <w:jc w:val="both"/>
        <w:rPr>
          <w:rFonts w:asciiTheme="minorHAnsi" w:eastAsia="Times New Roman" w:hAnsiTheme="minorHAnsi" w:cstheme="minorHAnsi"/>
          <w:color w:val="00B0F0"/>
          <w:sz w:val="20"/>
          <w:szCs w:val="20"/>
          <w:shd w:val="clear" w:color="auto" w:fill="FFFFFF"/>
          <w:lang w:val="en-US" w:eastAsia="fr-RE"/>
        </w:rPr>
      </w:pPr>
      <w:r w:rsidRPr="008A4B57">
        <w:rPr>
          <w:rFonts w:asciiTheme="minorHAnsi" w:hAnsiTheme="minorHAnsi" w:cstheme="minorHAnsi"/>
          <w:sz w:val="20"/>
          <w:szCs w:val="20"/>
          <w:lang w:val="fr-RE"/>
        </w:rPr>
        <w:t>[10]</w:t>
      </w:r>
      <w:r w:rsidRPr="008A4B57">
        <w:rPr>
          <w:rFonts w:asciiTheme="minorHAnsi" w:hAnsiTheme="minorHAnsi" w:cstheme="minorHAnsi"/>
          <w:sz w:val="20"/>
          <w:szCs w:val="20"/>
          <w:lang w:val="fr-RE"/>
        </w:rPr>
        <w:tab/>
      </w:r>
      <w:r w:rsidRPr="008A4B57">
        <w:rPr>
          <w:rFonts w:asciiTheme="minorHAnsi" w:hAnsiTheme="minorHAnsi" w:cstheme="minorHAnsi"/>
          <w:color w:val="00B0F0"/>
          <w:sz w:val="20"/>
          <w:szCs w:val="20"/>
          <w:lang w:val="fr-RE"/>
        </w:rPr>
        <w:t xml:space="preserve">Peterson LE, Coleman MA. </w:t>
      </w:r>
      <w:r w:rsidRPr="00F92890">
        <w:rPr>
          <w:rFonts w:asciiTheme="minorHAnsi" w:hAnsiTheme="minorHAnsi" w:cstheme="minorHAnsi"/>
          <w:color w:val="00B0F0"/>
          <w:sz w:val="20"/>
          <w:szCs w:val="20"/>
          <w:lang w:val="en-US"/>
        </w:rPr>
        <w:t xml:space="preserve">Machine learning-based receiver operating characteristic (ROC) curves for crisp and fuzzy classification of DNA microarrays in cancer research. </w:t>
      </w:r>
      <w:r w:rsidRPr="00F92890">
        <w:rPr>
          <w:rFonts w:asciiTheme="minorHAnsi" w:eastAsia="Times New Roman" w:hAnsiTheme="minorHAnsi" w:cstheme="minorHAnsi"/>
          <w:color w:val="00B0F0"/>
          <w:sz w:val="20"/>
          <w:szCs w:val="20"/>
          <w:lang w:val="en-US" w:eastAsia="fr-RE"/>
        </w:rPr>
        <w:t xml:space="preserve">Int J </w:t>
      </w:r>
      <w:proofErr w:type="spellStart"/>
      <w:r w:rsidRPr="00F92890">
        <w:rPr>
          <w:rFonts w:asciiTheme="minorHAnsi" w:eastAsia="Times New Roman" w:hAnsiTheme="minorHAnsi" w:cstheme="minorHAnsi"/>
          <w:color w:val="00B0F0"/>
          <w:sz w:val="20"/>
          <w:szCs w:val="20"/>
          <w:lang w:val="en-US" w:eastAsia="fr-RE"/>
        </w:rPr>
        <w:t>Approx</w:t>
      </w:r>
      <w:proofErr w:type="spellEnd"/>
      <w:r w:rsidRPr="00F92890">
        <w:rPr>
          <w:rFonts w:asciiTheme="minorHAnsi" w:eastAsia="Times New Roman" w:hAnsiTheme="minorHAnsi" w:cstheme="minorHAnsi"/>
          <w:color w:val="00B0F0"/>
          <w:sz w:val="20"/>
          <w:szCs w:val="20"/>
          <w:lang w:val="en-US" w:eastAsia="fr-RE"/>
        </w:rPr>
        <w:t xml:space="preserve"> Reason 2008; 47: 17-36. </w:t>
      </w:r>
      <w:r w:rsidR="00DD117F">
        <w:fldChar w:fldCharType="begin"/>
      </w:r>
      <w:r w:rsidR="00DD117F" w:rsidRPr="00DD117F">
        <w:rPr>
          <w:lang w:val="en-US"/>
        </w:rPr>
        <w:instrText xml:space="preserve"> HYPERLINK "https://dx.doi/10.1016/j.ijar.2007.03.006" </w:instrText>
      </w:r>
      <w:r w:rsidR="00DD117F">
        <w:fldChar w:fldCharType="separate"/>
      </w:r>
      <w:r w:rsidRPr="00F92890">
        <w:rPr>
          <w:rFonts w:asciiTheme="minorHAnsi" w:hAnsiTheme="minorHAnsi" w:cstheme="minorHAnsi"/>
          <w:color w:val="00B0F0"/>
          <w:sz w:val="20"/>
          <w:szCs w:val="20"/>
          <w:shd w:val="clear" w:color="auto" w:fill="FFFFFF"/>
          <w:lang w:val="en-US"/>
        </w:rPr>
        <w:t>https://dx.doi/</w:t>
      </w:r>
      <w:r w:rsidRPr="00F92890">
        <w:rPr>
          <w:rFonts w:asciiTheme="minorHAnsi" w:eastAsia="Times New Roman" w:hAnsiTheme="minorHAnsi" w:cstheme="minorHAnsi"/>
          <w:color w:val="00B0F0"/>
          <w:sz w:val="20"/>
          <w:szCs w:val="20"/>
          <w:shd w:val="clear" w:color="auto" w:fill="FFFFFF"/>
          <w:lang w:val="en-US" w:eastAsia="fr-RE"/>
        </w:rPr>
        <w:t>10.1016/j.ijar.2007.03.006</w:t>
      </w:r>
      <w:r w:rsidR="00DD117F">
        <w:rPr>
          <w:rFonts w:asciiTheme="minorHAnsi" w:eastAsia="Times New Roman" w:hAnsiTheme="minorHAnsi" w:cstheme="minorHAnsi"/>
          <w:color w:val="00B0F0"/>
          <w:sz w:val="20"/>
          <w:szCs w:val="20"/>
          <w:shd w:val="clear" w:color="auto" w:fill="FFFFFF"/>
          <w:lang w:val="en-US" w:eastAsia="fr-RE"/>
        </w:rPr>
        <w:fldChar w:fldCharType="end"/>
      </w:r>
      <w:r w:rsidRPr="00F92890">
        <w:rPr>
          <w:rFonts w:asciiTheme="minorHAnsi" w:eastAsia="Times New Roman" w:hAnsiTheme="minorHAnsi" w:cstheme="minorHAnsi"/>
          <w:color w:val="00B0F0"/>
          <w:sz w:val="20"/>
          <w:szCs w:val="20"/>
          <w:shd w:val="clear" w:color="auto" w:fill="FFFFFF"/>
          <w:lang w:val="en-US" w:eastAsia="fr-RE"/>
        </w:rPr>
        <w:t>.</w:t>
      </w:r>
    </w:p>
    <w:p w14:paraId="134034D7" w14:textId="77777777" w:rsidR="008A4B57" w:rsidRPr="00F92890" w:rsidRDefault="008A4B57" w:rsidP="008A4B57">
      <w:pPr>
        <w:pStyle w:val="Textedebulles"/>
        <w:spacing w:line="360" w:lineRule="auto"/>
        <w:ind w:left="567" w:hanging="567"/>
        <w:jc w:val="both"/>
        <w:rPr>
          <w:rFonts w:asciiTheme="minorHAnsi" w:eastAsia="Times New Roman" w:hAnsiTheme="minorHAnsi" w:cstheme="minorHAnsi"/>
          <w:color w:val="00B0F0"/>
          <w:sz w:val="20"/>
          <w:szCs w:val="20"/>
          <w:shd w:val="clear" w:color="auto" w:fill="FFFFFF"/>
          <w:lang w:val="en-US" w:eastAsia="fr-RE"/>
        </w:rPr>
      </w:pPr>
      <w:r>
        <w:rPr>
          <w:rFonts w:asciiTheme="minorHAnsi" w:hAnsiTheme="minorHAnsi" w:cstheme="minorHAnsi"/>
          <w:sz w:val="20"/>
          <w:szCs w:val="20"/>
          <w:lang w:val="en-US"/>
        </w:rPr>
        <w:t>[11]</w:t>
      </w:r>
      <w:r>
        <w:rPr>
          <w:rFonts w:asciiTheme="minorHAnsi" w:hAnsiTheme="minorHAnsi" w:cstheme="minorHAnsi"/>
          <w:sz w:val="20"/>
          <w:szCs w:val="20"/>
          <w:lang w:val="en-US"/>
        </w:rPr>
        <w:tab/>
      </w:r>
      <w:r w:rsidRPr="00F92890">
        <w:rPr>
          <w:rFonts w:asciiTheme="minorHAnsi" w:hAnsiTheme="minorHAnsi" w:cstheme="minorHAnsi"/>
          <w:color w:val="00B0F0"/>
          <w:sz w:val="20"/>
          <w:szCs w:val="20"/>
          <w:lang w:val="en-US"/>
        </w:rPr>
        <w:t xml:space="preserve">DeLong ER, DeLong DM, Clarke-Pearson DL. </w:t>
      </w:r>
      <w:r w:rsidRPr="00F92890">
        <w:rPr>
          <w:rFonts w:asciiTheme="minorHAnsi" w:eastAsia="Times New Roman" w:hAnsiTheme="minorHAnsi" w:cstheme="minorHAnsi"/>
          <w:color w:val="00B0F0"/>
          <w:kern w:val="36"/>
          <w:sz w:val="20"/>
          <w:szCs w:val="20"/>
          <w:lang w:val="en-US" w:eastAsia="fr-RE"/>
        </w:rPr>
        <w:t xml:space="preserve">Comparing the areas under two or more correlated receiver operating characteristic curves: a nonparametric approach. </w:t>
      </w:r>
      <w:r w:rsidRPr="00437FCA">
        <w:rPr>
          <w:rFonts w:asciiTheme="minorHAnsi" w:eastAsia="Times New Roman" w:hAnsiTheme="minorHAnsi" w:cstheme="minorHAnsi"/>
          <w:color w:val="00B0F0"/>
          <w:sz w:val="20"/>
          <w:szCs w:val="20"/>
          <w:lang w:val="en-US" w:eastAsia="fr-RE"/>
        </w:rPr>
        <w:t xml:space="preserve">Biometrics </w:t>
      </w:r>
      <w:r w:rsidRPr="00437FCA">
        <w:rPr>
          <w:rFonts w:asciiTheme="minorHAnsi" w:eastAsia="Times New Roman" w:hAnsiTheme="minorHAnsi" w:cstheme="minorHAnsi"/>
          <w:color w:val="00B0F0"/>
          <w:sz w:val="20"/>
          <w:szCs w:val="20"/>
          <w:shd w:val="clear" w:color="auto" w:fill="FFFFFF"/>
          <w:lang w:val="en-US" w:eastAsia="fr-RE"/>
        </w:rPr>
        <w:t>1988; 44: 837-45.</w:t>
      </w:r>
    </w:p>
    <w:p w14:paraId="2137E204" w14:textId="77777777" w:rsidR="008A4B57" w:rsidRPr="00F92890" w:rsidRDefault="008A4B57" w:rsidP="008A4B57">
      <w:pPr>
        <w:autoSpaceDE w:val="0"/>
        <w:autoSpaceDN w:val="0"/>
        <w:adjustRightInd w:val="0"/>
        <w:spacing w:after="0" w:line="360" w:lineRule="auto"/>
        <w:ind w:left="567" w:hanging="567"/>
        <w:jc w:val="both"/>
        <w:rPr>
          <w:rFonts w:cstheme="minorHAnsi"/>
          <w:color w:val="00B0F0"/>
          <w:sz w:val="20"/>
          <w:szCs w:val="20"/>
          <w:lang w:val="en-US"/>
        </w:rPr>
      </w:pPr>
      <w:bookmarkStart w:id="1" w:name="_Hlk80981543"/>
      <w:r>
        <w:rPr>
          <w:rFonts w:cstheme="minorHAnsi"/>
          <w:sz w:val="20"/>
          <w:szCs w:val="20"/>
          <w:lang w:val="en-US"/>
        </w:rPr>
        <w:t>[12]</w:t>
      </w:r>
      <w:r>
        <w:rPr>
          <w:rFonts w:cstheme="minorHAnsi"/>
          <w:sz w:val="20"/>
          <w:szCs w:val="20"/>
          <w:lang w:val="en-US"/>
        </w:rPr>
        <w:tab/>
      </w:r>
      <w:r w:rsidRPr="00F92890">
        <w:rPr>
          <w:rFonts w:cstheme="minorHAnsi"/>
          <w:color w:val="00B0F0"/>
          <w:sz w:val="20"/>
          <w:szCs w:val="20"/>
          <w:lang w:val="en-US"/>
        </w:rPr>
        <w:t xml:space="preserve">Van </w:t>
      </w:r>
      <w:proofErr w:type="spellStart"/>
      <w:r w:rsidRPr="00F92890">
        <w:rPr>
          <w:rFonts w:cstheme="minorHAnsi"/>
          <w:color w:val="00B0F0"/>
          <w:sz w:val="20"/>
          <w:szCs w:val="20"/>
          <w:lang w:val="en-US"/>
        </w:rPr>
        <w:t>Calster</w:t>
      </w:r>
      <w:proofErr w:type="spellEnd"/>
      <w:r w:rsidRPr="00F92890">
        <w:rPr>
          <w:rFonts w:cstheme="minorHAnsi"/>
          <w:color w:val="00B0F0"/>
          <w:sz w:val="20"/>
          <w:szCs w:val="20"/>
          <w:lang w:val="en-US"/>
        </w:rPr>
        <w:t xml:space="preserve"> B, Wynants L, Collins GS, </w:t>
      </w:r>
      <w:proofErr w:type="spellStart"/>
      <w:r w:rsidRPr="00F92890">
        <w:rPr>
          <w:rFonts w:cstheme="minorHAnsi"/>
          <w:color w:val="00B0F0"/>
          <w:sz w:val="20"/>
          <w:szCs w:val="20"/>
          <w:lang w:val="en-US"/>
        </w:rPr>
        <w:t>Verbackel</w:t>
      </w:r>
      <w:proofErr w:type="spellEnd"/>
      <w:r w:rsidRPr="00F92890">
        <w:rPr>
          <w:rFonts w:cstheme="minorHAnsi"/>
          <w:color w:val="00B0F0"/>
          <w:sz w:val="20"/>
          <w:szCs w:val="20"/>
          <w:lang w:val="en-US"/>
        </w:rPr>
        <w:t xml:space="preserve"> JY, </w:t>
      </w:r>
      <w:proofErr w:type="spellStart"/>
      <w:r w:rsidRPr="00F92890">
        <w:rPr>
          <w:rFonts w:cstheme="minorHAnsi"/>
          <w:color w:val="00B0F0"/>
          <w:sz w:val="20"/>
          <w:szCs w:val="20"/>
          <w:lang w:val="en-US"/>
        </w:rPr>
        <w:t>Steyerberg</w:t>
      </w:r>
      <w:proofErr w:type="spellEnd"/>
      <w:r w:rsidRPr="00F92890">
        <w:rPr>
          <w:rFonts w:cstheme="minorHAnsi"/>
          <w:color w:val="00B0F0"/>
          <w:sz w:val="20"/>
          <w:szCs w:val="20"/>
          <w:lang w:val="en-US"/>
        </w:rPr>
        <w:t xml:space="preserve"> EW. ROC curves for clinical prediction models part 3. The ROC plot: a picture that needs </w:t>
      </w:r>
      <w:proofErr w:type="gramStart"/>
      <w:r w:rsidRPr="00F92890">
        <w:rPr>
          <w:rFonts w:cstheme="minorHAnsi"/>
          <w:color w:val="00B0F0"/>
          <w:sz w:val="20"/>
          <w:szCs w:val="20"/>
          <w:lang w:val="en-US"/>
        </w:rPr>
        <w:t>a 1000 words</w:t>
      </w:r>
      <w:proofErr w:type="gramEnd"/>
      <w:r w:rsidRPr="00F92890">
        <w:rPr>
          <w:rFonts w:cstheme="minorHAnsi"/>
          <w:color w:val="00B0F0"/>
          <w:sz w:val="20"/>
          <w:szCs w:val="20"/>
          <w:lang w:val="en-US"/>
        </w:rPr>
        <w:t xml:space="preserve">. J Clin Epidemiol 2020; 126: 220-3. https://dx.doi/10.1016/j.clinepi.2020.05.037. </w:t>
      </w:r>
    </w:p>
    <w:p w14:paraId="77E678FC" w14:textId="77777777" w:rsidR="008A4B57" w:rsidRPr="00F92890" w:rsidRDefault="008A4B57" w:rsidP="008A4B57">
      <w:pPr>
        <w:autoSpaceDE w:val="0"/>
        <w:autoSpaceDN w:val="0"/>
        <w:adjustRightInd w:val="0"/>
        <w:spacing w:after="0" w:line="360" w:lineRule="auto"/>
        <w:ind w:left="567" w:hanging="567"/>
        <w:jc w:val="both"/>
        <w:rPr>
          <w:rFonts w:cstheme="minorHAnsi"/>
          <w:sz w:val="20"/>
          <w:szCs w:val="20"/>
          <w:lang w:val="en-US"/>
        </w:rPr>
      </w:pPr>
      <w:r>
        <w:rPr>
          <w:rFonts w:cstheme="minorHAnsi"/>
          <w:sz w:val="20"/>
          <w:szCs w:val="20"/>
          <w:lang w:val="en-US"/>
        </w:rPr>
        <w:t>[13]</w:t>
      </w:r>
      <w:r>
        <w:rPr>
          <w:rFonts w:cstheme="minorHAnsi"/>
          <w:sz w:val="20"/>
          <w:szCs w:val="20"/>
          <w:lang w:val="en-US"/>
        </w:rPr>
        <w:tab/>
      </w:r>
      <w:r w:rsidRPr="00F92890">
        <w:rPr>
          <w:rFonts w:cstheme="minorHAnsi"/>
          <w:color w:val="00B0F0"/>
          <w:sz w:val="20"/>
          <w:szCs w:val="20"/>
          <w:lang w:val="en-US"/>
        </w:rPr>
        <w:t xml:space="preserve">Stevens RJ, Poppe KR. Validation of clinical prediction models: what does the “calibration slope” really </w:t>
      </w:r>
      <w:proofErr w:type="gramStart"/>
      <w:r w:rsidRPr="00F92890">
        <w:rPr>
          <w:rFonts w:cstheme="minorHAnsi"/>
          <w:color w:val="00B0F0"/>
          <w:sz w:val="20"/>
          <w:szCs w:val="20"/>
          <w:lang w:val="en-US"/>
        </w:rPr>
        <w:t>measure ?</w:t>
      </w:r>
      <w:proofErr w:type="gramEnd"/>
      <w:r w:rsidRPr="00F92890">
        <w:rPr>
          <w:rFonts w:cstheme="minorHAnsi"/>
          <w:color w:val="00B0F0"/>
          <w:sz w:val="20"/>
          <w:szCs w:val="20"/>
          <w:lang w:val="en-US"/>
        </w:rPr>
        <w:t xml:space="preserve"> J Clin Epidemiol 2020; 118: 93-9. https://dx.doi/10.1016/j.clinepi.2019.09.016. </w:t>
      </w:r>
    </w:p>
    <w:p w14:paraId="5FBC4AF7" w14:textId="77777777" w:rsidR="008A4B57" w:rsidRPr="00F92890" w:rsidRDefault="008A4B57" w:rsidP="008A4B57">
      <w:pPr>
        <w:autoSpaceDE w:val="0"/>
        <w:autoSpaceDN w:val="0"/>
        <w:adjustRightInd w:val="0"/>
        <w:spacing w:after="0" w:line="360" w:lineRule="auto"/>
        <w:ind w:left="567" w:hanging="567"/>
        <w:jc w:val="both"/>
        <w:rPr>
          <w:rFonts w:cstheme="minorHAnsi"/>
          <w:color w:val="00B0F0"/>
          <w:sz w:val="20"/>
          <w:szCs w:val="20"/>
          <w:lang w:val="en-US"/>
        </w:rPr>
      </w:pPr>
      <w:r>
        <w:rPr>
          <w:rFonts w:cstheme="minorHAnsi"/>
          <w:sz w:val="20"/>
          <w:szCs w:val="20"/>
          <w:lang w:val="en-US"/>
        </w:rPr>
        <w:t>[14]</w:t>
      </w:r>
      <w:r w:rsidRPr="00F92890">
        <w:rPr>
          <w:rFonts w:cstheme="minorHAnsi"/>
          <w:color w:val="00B0F0"/>
          <w:sz w:val="20"/>
          <w:szCs w:val="20"/>
          <w:lang w:val="en-US"/>
        </w:rPr>
        <w:tab/>
        <w:t xml:space="preserve">Van </w:t>
      </w:r>
      <w:proofErr w:type="spellStart"/>
      <w:r w:rsidRPr="00F92890">
        <w:rPr>
          <w:rFonts w:cstheme="minorHAnsi"/>
          <w:color w:val="00B0F0"/>
          <w:sz w:val="20"/>
          <w:szCs w:val="20"/>
          <w:lang w:val="en-US"/>
        </w:rPr>
        <w:t>Hoorde</w:t>
      </w:r>
      <w:proofErr w:type="spellEnd"/>
      <w:r w:rsidRPr="00F92890">
        <w:rPr>
          <w:rFonts w:cstheme="minorHAnsi"/>
          <w:color w:val="00B0F0"/>
          <w:sz w:val="20"/>
          <w:szCs w:val="20"/>
          <w:lang w:val="en-US"/>
        </w:rPr>
        <w:t xml:space="preserve"> K, </w:t>
      </w:r>
      <w:proofErr w:type="spellStart"/>
      <w:r w:rsidRPr="00F92890">
        <w:rPr>
          <w:rFonts w:cstheme="minorHAnsi"/>
          <w:color w:val="00B0F0"/>
          <w:sz w:val="20"/>
          <w:szCs w:val="20"/>
          <w:lang w:val="en-US"/>
        </w:rPr>
        <w:t>Vergouwe</w:t>
      </w:r>
      <w:proofErr w:type="spellEnd"/>
      <w:r w:rsidRPr="00F92890">
        <w:rPr>
          <w:rFonts w:cstheme="minorHAnsi"/>
          <w:color w:val="00B0F0"/>
          <w:sz w:val="20"/>
          <w:szCs w:val="20"/>
          <w:lang w:val="en-US"/>
        </w:rPr>
        <w:t xml:space="preserve"> Y, Timmerman D, Van Huffel S, </w:t>
      </w:r>
      <w:proofErr w:type="spellStart"/>
      <w:r w:rsidRPr="00F92890">
        <w:rPr>
          <w:rFonts w:cstheme="minorHAnsi"/>
          <w:color w:val="00B0F0"/>
          <w:sz w:val="20"/>
          <w:szCs w:val="20"/>
          <w:lang w:val="en-US"/>
        </w:rPr>
        <w:t>Steyerberg</w:t>
      </w:r>
      <w:proofErr w:type="spellEnd"/>
      <w:r w:rsidRPr="00F92890">
        <w:rPr>
          <w:rFonts w:cstheme="minorHAnsi"/>
          <w:color w:val="00B0F0"/>
          <w:sz w:val="20"/>
          <w:szCs w:val="20"/>
          <w:lang w:val="en-US"/>
        </w:rPr>
        <w:t xml:space="preserve"> EW, Van </w:t>
      </w:r>
      <w:proofErr w:type="spellStart"/>
      <w:r w:rsidRPr="00F92890">
        <w:rPr>
          <w:rFonts w:cstheme="minorHAnsi"/>
          <w:color w:val="00B0F0"/>
          <w:sz w:val="20"/>
          <w:szCs w:val="20"/>
          <w:lang w:val="en-US"/>
        </w:rPr>
        <w:t>Calster</w:t>
      </w:r>
      <w:proofErr w:type="spellEnd"/>
      <w:r w:rsidRPr="00F92890">
        <w:rPr>
          <w:rFonts w:cstheme="minorHAnsi"/>
          <w:color w:val="00B0F0"/>
          <w:sz w:val="20"/>
          <w:szCs w:val="20"/>
          <w:lang w:val="en-US"/>
        </w:rPr>
        <w:t xml:space="preserve"> B. Assessing calibration of multinomial risk prediction models. Stat Med 2014; 33: 2585-96. </w:t>
      </w:r>
      <w:hyperlink r:id="rId8" w:history="1">
        <w:r w:rsidRPr="00F92890">
          <w:rPr>
            <w:rFonts w:cstheme="minorHAnsi"/>
            <w:color w:val="00B0F0"/>
            <w:sz w:val="20"/>
            <w:szCs w:val="20"/>
            <w:lang w:val="en-US"/>
          </w:rPr>
          <w:t>https://dx.doi/10.1002/sim.6114</w:t>
        </w:r>
      </w:hyperlink>
      <w:r w:rsidRPr="00F92890">
        <w:rPr>
          <w:rFonts w:cstheme="minorHAnsi"/>
          <w:color w:val="00B0F0"/>
          <w:sz w:val="20"/>
          <w:szCs w:val="20"/>
          <w:lang w:val="en-US"/>
        </w:rPr>
        <w:t>.</w:t>
      </w:r>
      <w:bookmarkEnd w:id="1"/>
    </w:p>
    <w:p w14:paraId="5594C377" w14:textId="77777777" w:rsidR="008A4B57" w:rsidRPr="00F92890" w:rsidRDefault="008A4B57" w:rsidP="008A4B57">
      <w:pPr>
        <w:autoSpaceDE w:val="0"/>
        <w:autoSpaceDN w:val="0"/>
        <w:adjustRightInd w:val="0"/>
        <w:spacing w:after="0" w:line="360" w:lineRule="auto"/>
        <w:ind w:left="567" w:hanging="567"/>
        <w:jc w:val="both"/>
        <w:rPr>
          <w:rStyle w:val="PieddepageCar"/>
          <w:rFonts w:cstheme="minorHAnsi"/>
          <w:sz w:val="20"/>
          <w:szCs w:val="20"/>
          <w:lang w:val="en-US"/>
        </w:rPr>
      </w:pPr>
      <w:r>
        <w:rPr>
          <w:rFonts w:cstheme="minorHAnsi"/>
          <w:sz w:val="20"/>
          <w:szCs w:val="20"/>
          <w:lang w:val="en-US"/>
        </w:rPr>
        <w:t>[15]</w:t>
      </w:r>
      <w:r>
        <w:rPr>
          <w:rFonts w:cstheme="minorHAnsi"/>
          <w:sz w:val="20"/>
          <w:szCs w:val="20"/>
          <w:lang w:val="en-US"/>
        </w:rPr>
        <w:tab/>
      </w:r>
      <w:r w:rsidRPr="00F92890">
        <w:rPr>
          <w:rFonts w:cstheme="minorHAnsi"/>
          <w:color w:val="00B0F0"/>
          <w:sz w:val="20"/>
          <w:szCs w:val="20"/>
          <w:lang w:val="en-US"/>
        </w:rPr>
        <w:t xml:space="preserve">Van </w:t>
      </w:r>
      <w:proofErr w:type="spellStart"/>
      <w:r w:rsidRPr="00F92890">
        <w:rPr>
          <w:rFonts w:cstheme="minorHAnsi"/>
          <w:color w:val="00B0F0"/>
          <w:sz w:val="20"/>
          <w:szCs w:val="20"/>
          <w:lang w:val="en-US"/>
        </w:rPr>
        <w:t>Calster</w:t>
      </w:r>
      <w:proofErr w:type="spellEnd"/>
      <w:r w:rsidRPr="00F92890">
        <w:rPr>
          <w:rFonts w:cstheme="minorHAnsi"/>
          <w:color w:val="00B0F0"/>
          <w:sz w:val="20"/>
          <w:szCs w:val="20"/>
          <w:lang w:val="en-US"/>
        </w:rPr>
        <w:t xml:space="preserve"> B, </w:t>
      </w:r>
      <w:proofErr w:type="spellStart"/>
      <w:r w:rsidRPr="00F92890">
        <w:rPr>
          <w:rFonts w:cstheme="minorHAnsi"/>
          <w:color w:val="00B0F0"/>
          <w:sz w:val="20"/>
          <w:szCs w:val="20"/>
          <w:lang w:val="en-US"/>
        </w:rPr>
        <w:t>Nieboer</w:t>
      </w:r>
      <w:proofErr w:type="spellEnd"/>
      <w:r w:rsidRPr="00F92890">
        <w:rPr>
          <w:rFonts w:cstheme="minorHAnsi"/>
          <w:color w:val="00B0F0"/>
          <w:sz w:val="20"/>
          <w:szCs w:val="20"/>
          <w:lang w:val="en-US"/>
        </w:rPr>
        <w:t xml:space="preserve"> D, </w:t>
      </w:r>
      <w:proofErr w:type="spellStart"/>
      <w:r w:rsidRPr="00F92890">
        <w:rPr>
          <w:rFonts w:cstheme="minorHAnsi"/>
          <w:color w:val="00B0F0"/>
          <w:sz w:val="20"/>
          <w:szCs w:val="20"/>
          <w:lang w:val="en-US"/>
        </w:rPr>
        <w:t>Vergouwe</w:t>
      </w:r>
      <w:proofErr w:type="spellEnd"/>
      <w:r w:rsidRPr="00F92890">
        <w:rPr>
          <w:rFonts w:cstheme="minorHAnsi"/>
          <w:color w:val="00B0F0"/>
          <w:sz w:val="20"/>
          <w:szCs w:val="20"/>
          <w:lang w:val="en-US"/>
        </w:rPr>
        <w:t xml:space="preserve"> Y, De Cock B, </w:t>
      </w:r>
      <w:proofErr w:type="spellStart"/>
      <w:r w:rsidRPr="00F92890">
        <w:rPr>
          <w:rFonts w:cstheme="minorHAnsi"/>
          <w:color w:val="00B0F0"/>
          <w:sz w:val="20"/>
          <w:szCs w:val="20"/>
          <w:lang w:val="en-US"/>
        </w:rPr>
        <w:t>Pencina</w:t>
      </w:r>
      <w:proofErr w:type="spellEnd"/>
      <w:r w:rsidRPr="00F92890">
        <w:rPr>
          <w:rFonts w:cstheme="minorHAnsi"/>
          <w:color w:val="00B0F0"/>
          <w:sz w:val="20"/>
          <w:szCs w:val="20"/>
          <w:lang w:val="en-US"/>
        </w:rPr>
        <w:t xml:space="preserve"> MJ, </w:t>
      </w:r>
      <w:proofErr w:type="spellStart"/>
      <w:r w:rsidRPr="00F92890">
        <w:rPr>
          <w:rFonts w:cstheme="minorHAnsi"/>
          <w:color w:val="00B0F0"/>
          <w:sz w:val="20"/>
          <w:szCs w:val="20"/>
          <w:lang w:val="en-US"/>
        </w:rPr>
        <w:t>Steyerberg</w:t>
      </w:r>
      <w:proofErr w:type="spellEnd"/>
      <w:r w:rsidRPr="00F92890">
        <w:rPr>
          <w:rFonts w:cstheme="minorHAnsi"/>
          <w:color w:val="00B0F0"/>
          <w:sz w:val="20"/>
          <w:szCs w:val="20"/>
          <w:lang w:val="en-US"/>
        </w:rPr>
        <w:t xml:space="preserve"> EW. A calibration hierarchy for risk models was defined: from utopia to empirical data. Stat Med 2016; 74: 167-76. </w:t>
      </w:r>
      <w:r w:rsidR="00DD117F">
        <w:fldChar w:fldCharType="begin"/>
      </w:r>
      <w:r w:rsidR="00DD117F" w:rsidRPr="00DD117F">
        <w:rPr>
          <w:lang w:val="en-US"/>
        </w:rPr>
        <w:instrText xml:space="preserve"> HYPERLINK "https://dx.doi/10.1016" </w:instrText>
      </w:r>
      <w:r w:rsidR="00DD117F">
        <w:fldChar w:fldCharType="separate"/>
      </w:r>
      <w:r w:rsidRPr="00F92890">
        <w:rPr>
          <w:rFonts w:cstheme="minorHAnsi"/>
          <w:color w:val="00B0F0"/>
          <w:sz w:val="20"/>
          <w:szCs w:val="20"/>
          <w:lang w:val="en-US"/>
        </w:rPr>
        <w:t>https://dx.doi/10.1016</w:t>
      </w:r>
      <w:r w:rsidR="00DD117F">
        <w:rPr>
          <w:rFonts w:cstheme="minorHAnsi"/>
          <w:color w:val="00B0F0"/>
          <w:sz w:val="20"/>
          <w:szCs w:val="20"/>
          <w:lang w:val="en-US"/>
        </w:rPr>
        <w:fldChar w:fldCharType="end"/>
      </w:r>
      <w:r w:rsidR="00DD117F">
        <w:fldChar w:fldCharType="begin"/>
      </w:r>
      <w:r w:rsidR="00DD117F" w:rsidRPr="00DD117F">
        <w:rPr>
          <w:lang w:val="en-US"/>
        </w:rPr>
        <w:instrText xml:space="preserve"> HYPERLINK "https://doi-org.proxy.insermbiblio.inist.fr/10.1016/j.jclinepi.2015.12.005" \t "_blank" </w:instrText>
      </w:r>
      <w:r w:rsidR="00DD117F">
        <w:fldChar w:fldCharType="separate"/>
      </w:r>
      <w:r w:rsidRPr="00F92890">
        <w:rPr>
          <w:rFonts w:cstheme="minorHAnsi"/>
          <w:color w:val="00B0F0"/>
          <w:sz w:val="20"/>
          <w:szCs w:val="20"/>
          <w:lang w:val="en-US"/>
        </w:rPr>
        <w:t>/</w:t>
      </w:r>
      <w:proofErr w:type="gramStart"/>
      <w:r w:rsidRPr="00F92890">
        <w:rPr>
          <w:rFonts w:cstheme="minorHAnsi"/>
          <w:color w:val="00B0F0"/>
          <w:sz w:val="20"/>
          <w:szCs w:val="20"/>
          <w:lang w:val="en-US"/>
        </w:rPr>
        <w:t>j.jclinepi</w:t>
      </w:r>
      <w:proofErr w:type="gramEnd"/>
      <w:r w:rsidRPr="00F92890">
        <w:rPr>
          <w:rFonts w:cstheme="minorHAnsi"/>
          <w:color w:val="00B0F0"/>
          <w:sz w:val="20"/>
          <w:szCs w:val="20"/>
          <w:lang w:val="en-US"/>
        </w:rPr>
        <w:t>.2015.12.005</w:t>
      </w:r>
      <w:r w:rsidR="00DD117F">
        <w:rPr>
          <w:rFonts w:cstheme="minorHAnsi"/>
          <w:color w:val="00B0F0"/>
          <w:sz w:val="20"/>
          <w:szCs w:val="20"/>
          <w:lang w:val="en-US"/>
        </w:rPr>
        <w:fldChar w:fldCharType="end"/>
      </w:r>
      <w:r w:rsidRPr="00F92890">
        <w:rPr>
          <w:rStyle w:val="PieddepageCar"/>
          <w:rFonts w:cstheme="minorHAnsi"/>
          <w:color w:val="00B0F0"/>
          <w:sz w:val="20"/>
          <w:szCs w:val="20"/>
          <w:lang w:val="en-US"/>
        </w:rPr>
        <w:t>.</w:t>
      </w:r>
    </w:p>
    <w:p w14:paraId="471B8EFC" w14:textId="77777777" w:rsidR="008A4B57" w:rsidRPr="00F92890" w:rsidRDefault="008A4B57" w:rsidP="008A4B57">
      <w:pPr>
        <w:autoSpaceDE w:val="0"/>
        <w:autoSpaceDN w:val="0"/>
        <w:adjustRightInd w:val="0"/>
        <w:spacing w:after="0" w:line="360" w:lineRule="auto"/>
        <w:ind w:left="567" w:hanging="567"/>
        <w:rPr>
          <w:rStyle w:val="cit"/>
          <w:rFonts w:cstheme="minorHAnsi"/>
          <w:color w:val="00B0F0"/>
          <w:sz w:val="20"/>
          <w:szCs w:val="20"/>
          <w:lang w:val="en-US"/>
        </w:rPr>
      </w:pPr>
      <w:r>
        <w:rPr>
          <w:rFonts w:cstheme="minorHAnsi"/>
          <w:sz w:val="20"/>
          <w:szCs w:val="20"/>
          <w:lang w:val="en-US"/>
        </w:rPr>
        <w:t>[16]</w:t>
      </w:r>
      <w:r>
        <w:rPr>
          <w:rFonts w:cstheme="minorHAnsi"/>
          <w:sz w:val="20"/>
          <w:szCs w:val="20"/>
          <w:lang w:val="en-US"/>
        </w:rPr>
        <w:tab/>
      </w:r>
      <w:proofErr w:type="spellStart"/>
      <w:r w:rsidRPr="00F92890">
        <w:rPr>
          <w:rFonts w:cstheme="minorHAnsi"/>
          <w:color w:val="00B0F0"/>
          <w:sz w:val="20"/>
          <w:szCs w:val="20"/>
          <w:lang w:val="en-US"/>
        </w:rPr>
        <w:t>Lemeshow</w:t>
      </w:r>
      <w:proofErr w:type="spellEnd"/>
      <w:r w:rsidRPr="00F92890">
        <w:rPr>
          <w:rFonts w:cstheme="minorHAnsi"/>
          <w:color w:val="00B0F0"/>
          <w:sz w:val="20"/>
          <w:szCs w:val="20"/>
          <w:lang w:val="en-US"/>
        </w:rPr>
        <w:t xml:space="preserve"> S, Hosmer DW. A review of goodness of fit statistics for use in the development of logistic regression models. Am J Epidemiol 1982; 115: 92–8. </w:t>
      </w:r>
      <w:r w:rsidR="00DD117F">
        <w:fldChar w:fldCharType="begin"/>
      </w:r>
      <w:r w:rsidR="00DD117F" w:rsidRPr="00DD117F">
        <w:rPr>
          <w:lang w:val="en-US"/>
        </w:rPr>
        <w:instrText xml:space="preserve"> HYPERLINK "https://dx.doi/10.1093/oxfordjournals.aje.a113284" </w:instrText>
      </w:r>
      <w:r w:rsidR="00DD117F">
        <w:fldChar w:fldCharType="separate"/>
      </w:r>
      <w:r w:rsidRPr="00F92890">
        <w:rPr>
          <w:rFonts w:cstheme="minorHAnsi"/>
          <w:color w:val="00B0F0"/>
          <w:sz w:val="20"/>
          <w:szCs w:val="20"/>
          <w:lang w:val="en-US"/>
        </w:rPr>
        <w:t>https://dx.doi/</w:t>
      </w:r>
      <w:r w:rsidRPr="00F92890">
        <w:rPr>
          <w:rFonts w:cstheme="minorHAnsi"/>
          <w:color w:val="00B0F0"/>
          <w:sz w:val="20"/>
          <w:szCs w:val="20"/>
          <w:shd w:val="clear" w:color="auto" w:fill="FFFFFF"/>
          <w:lang w:val="en-US"/>
        </w:rPr>
        <w:t>10.1093/oxfordjournals.aje.a113284</w:t>
      </w:r>
      <w:r w:rsidR="00DD117F">
        <w:rPr>
          <w:rFonts w:cstheme="minorHAnsi"/>
          <w:color w:val="00B0F0"/>
          <w:sz w:val="20"/>
          <w:szCs w:val="20"/>
          <w:shd w:val="clear" w:color="auto" w:fill="FFFFFF"/>
          <w:lang w:val="en-US"/>
        </w:rPr>
        <w:fldChar w:fldCharType="end"/>
      </w:r>
      <w:r w:rsidRPr="00F92890">
        <w:rPr>
          <w:rStyle w:val="cit"/>
          <w:rFonts w:cstheme="minorHAnsi"/>
          <w:color w:val="00B0F0"/>
          <w:sz w:val="20"/>
          <w:szCs w:val="20"/>
          <w:shd w:val="clear" w:color="auto" w:fill="FFFFFF"/>
          <w:lang w:val="en-US"/>
        </w:rPr>
        <w:t>.</w:t>
      </w:r>
    </w:p>
    <w:p w14:paraId="074942D3" w14:textId="77777777" w:rsidR="008A4B57" w:rsidRPr="00F92890" w:rsidRDefault="008A4B57" w:rsidP="008A4B57">
      <w:pPr>
        <w:autoSpaceDE w:val="0"/>
        <w:autoSpaceDN w:val="0"/>
        <w:adjustRightInd w:val="0"/>
        <w:spacing w:after="0" w:line="360" w:lineRule="auto"/>
        <w:ind w:left="567" w:hanging="567"/>
        <w:jc w:val="both"/>
        <w:rPr>
          <w:rStyle w:val="PieddepageCar"/>
          <w:rFonts w:cstheme="minorHAnsi"/>
          <w:color w:val="00B0F0"/>
          <w:sz w:val="20"/>
          <w:szCs w:val="20"/>
          <w:lang w:val="en-US"/>
        </w:rPr>
      </w:pPr>
      <w:r>
        <w:rPr>
          <w:rFonts w:cstheme="minorHAnsi"/>
          <w:sz w:val="20"/>
          <w:szCs w:val="20"/>
          <w:lang w:val="en-US"/>
        </w:rPr>
        <w:t>[17]</w:t>
      </w:r>
      <w:r w:rsidRPr="00F92890">
        <w:rPr>
          <w:rFonts w:cstheme="minorHAnsi"/>
          <w:color w:val="00B0F0"/>
          <w:sz w:val="20"/>
          <w:szCs w:val="20"/>
          <w:lang w:val="en-US"/>
        </w:rPr>
        <w:tab/>
        <w:t>Liu X. Classification accuracy and cut point selection. Stat Med 2012; 31: 2676-86. https://dx.doi/</w:t>
      </w:r>
      <w:r w:rsidRPr="00F92890">
        <w:rPr>
          <w:rStyle w:val="PieddepageCar"/>
          <w:rFonts w:cstheme="minorHAnsi"/>
          <w:color w:val="00B0F0"/>
          <w:sz w:val="20"/>
          <w:szCs w:val="20"/>
          <w:lang w:val="en-US"/>
        </w:rPr>
        <w:t>1</w:t>
      </w:r>
      <w:r w:rsidR="00DD117F">
        <w:fldChar w:fldCharType="begin"/>
      </w:r>
      <w:r w:rsidR="00DD117F" w:rsidRPr="00DD117F">
        <w:rPr>
          <w:lang w:val="en-US"/>
        </w:rPr>
        <w:instrText xml:space="preserve"> HYPERLINK "https://doi-org.proxy.insermbiblio.inist.fr/10.1002/sim.4509" \t "_blank" </w:instrText>
      </w:r>
      <w:r w:rsidR="00DD117F">
        <w:fldChar w:fldCharType="separate"/>
      </w:r>
      <w:r w:rsidRPr="00F92890">
        <w:rPr>
          <w:rFonts w:cstheme="minorHAnsi"/>
          <w:color w:val="00B0F0"/>
          <w:sz w:val="20"/>
          <w:szCs w:val="20"/>
          <w:lang w:val="en-US"/>
        </w:rPr>
        <w:t>0.1002/sim.4509</w:t>
      </w:r>
      <w:r w:rsidR="00DD117F">
        <w:rPr>
          <w:rFonts w:cstheme="minorHAnsi"/>
          <w:color w:val="00B0F0"/>
          <w:sz w:val="20"/>
          <w:szCs w:val="20"/>
          <w:lang w:val="en-US"/>
        </w:rPr>
        <w:fldChar w:fldCharType="end"/>
      </w:r>
      <w:r w:rsidRPr="00F92890">
        <w:rPr>
          <w:rStyle w:val="PieddepageCar"/>
          <w:rFonts w:cstheme="minorHAnsi"/>
          <w:color w:val="00B0F0"/>
          <w:sz w:val="20"/>
          <w:szCs w:val="20"/>
          <w:lang w:val="en-US"/>
        </w:rPr>
        <w:t>.</w:t>
      </w:r>
    </w:p>
    <w:p w14:paraId="209553FF" w14:textId="77777777" w:rsidR="008A4B57" w:rsidRPr="00F92890" w:rsidRDefault="008A4B57" w:rsidP="008A4B57">
      <w:pPr>
        <w:autoSpaceDE w:val="0"/>
        <w:autoSpaceDN w:val="0"/>
        <w:adjustRightInd w:val="0"/>
        <w:spacing w:after="0" w:line="360" w:lineRule="auto"/>
        <w:ind w:left="567" w:hanging="567"/>
        <w:jc w:val="both"/>
        <w:rPr>
          <w:rFonts w:cstheme="minorHAnsi"/>
          <w:sz w:val="20"/>
          <w:szCs w:val="20"/>
          <w:lang w:val="en-US"/>
        </w:rPr>
      </w:pPr>
      <w:r>
        <w:rPr>
          <w:rFonts w:cstheme="minorHAnsi"/>
          <w:sz w:val="20"/>
          <w:szCs w:val="20"/>
          <w:shd w:val="clear" w:color="auto" w:fill="FFFFFF"/>
          <w:lang w:val="en-US"/>
        </w:rPr>
        <w:t>[18]</w:t>
      </w:r>
      <w:r>
        <w:rPr>
          <w:rFonts w:cstheme="minorHAnsi"/>
          <w:sz w:val="20"/>
          <w:szCs w:val="20"/>
          <w:shd w:val="clear" w:color="auto" w:fill="FFFFFF"/>
          <w:lang w:val="en-US"/>
        </w:rPr>
        <w:tab/>
      </w:r>
      <w:r w:rsidRPr="00F92890">
        <w:rPr>
          <w:rFonts w:cstheme="minorHAnsi"/>
          <w:color w:val="00B0F0"/>
          <w:sz w:val="20"/>
          <w:szCs w:val="20"/>
          <w:shd w:val="clear" w:color="auto" w:fill="FFFFFF"/>
          <w:lang w:val="en-US"/>
        </w:rPr>
        <w:t xml:space="preserve">von Elm E, Altman DG, Egger M, Pocock SJ, Gøtzsche PC, Vandenbroucke JP; STROBE Initiative. </w:t>
      </w:r>
      <w:r w:rsidR="00DD117F">
        <w:fldChar w:fldCharType="begin"/>
      </w:r>
      <w:r w:rsidR="00DD117F" w:rsidRPr="00DD117F">
        <w:rPr>
          <w:lang w:val="en-US"/>
        </w:rPr>
        <w:instrText xml:space="preserve"> HYPERLINK "https://pubmed.ncbi.nlm.nih.gov/17941714/</w:instrText>
      </w:r>
      <w:r w:rsidR="00DD117F" w:rsidRPr="00DD117F">
        <w:rPr>
          <w:lang w:val="en-US"/>
        </w:rPr>
        <w:instrText xml:space="preserve">" </w:instrText>
      </w:r>
      <w:r w:rsidR="00DD117F">
        <w:fldChar w:fldCharType="separate"/>
      </w:r>
      <w:r w:rsidRPr="00F92890">
        <w:rPr>
          <w:rFonts w:cstheme="minorHAnsi"/>
          <w:color w:val="00B0F0"/>
          <w:sz w:val="20"/>
          <w:szCs w:val="20"/>
          <w:lang w:val="en-US"/>
        </w:rPr>
        <w:t>The Strengthening the Reporting of Observational Studies in Epidemiology (STROBE) statement: guidelines for reporting observational studies</w:t>
      </w:r>
      <w:r w:rsidR="00DD117F">
        <w:rPr>
          <w:rFonts w:cstheme="minorHAnsi"/>
          <w:color w:val="00B0F0"/>
          <w:sz w:val="20"/>
          <w:szCs w:val="20"/>
          <w:lang w:val="en-US"/>
        </w:rPr>
        <w:fldChar w:fldCharType="end"/>
      </w:r>
      <w:r w:rsidRPr="00F92890">
        <w:rPr>
          <w:rFonts w:cstheme="minorHAnsi"/>
          <w:color w:val="00B0F0"/>
          <w:sz w:val="20"/>
          <w:szCs w:val="20"/>
          <w:lang w:val="en-US"/>
        </w:rPr>
        <w:t xml:space="preserve">. </w:t>
      </w:r>
      <w:r w:rsidRPr="008A4B57">
        <w:rPr>
          <w:rFonts w:eastAsia="Times New Roman" w:cstheme="minorHAnsi"/>
          <w:color w:val="00B0F0"/>
          <w:sz w:val="20"/>
          <w:szCs w:val="20"/>
          <w:lang w:val="en-US" w:eastAsia="fr-RE"/>
        </w:rPr>
        <w:t xml:space="preserve">PLoS Med 2007; 4: e296. </w:t>
      </w:r>
      <w:hyperlink r:id="rId9" w:history="1">
        <w:r w:rsidRPr="008A4B57">
          <w:rPr>
            <w:rFonts w:eastAsia="Times New Roman" w:cstheme="minorHAnsi"/>
            <w:color w:val="00B0F0"/>
            <w:sz w:val="20"/>
            <w:szCs w:val="20"/>
            <w:shd w:val="clear" w:color="auto" w:fill="FFFFFF"/>
            <w:lang w:val="en-US" w:eastAsia="fr-RE"/>
          </w:rPr>
          <w:t>https://dx.doi/10.1371/journal.pmed.0040296</w:t>
        </w:r>
      </w:hyperlink>
      <w:r w:rsidRPr="008A4B57">
        <w:rPr>
          <w:rFonts w:eastAsia="Times New Roman" w:cstheme="minorHAnsi"/>
          <w:color w:val="00B0F0"/>
          <w:sz w:val="20"/>
          <w:szCs w:val="20"/>
          <w:shd w:val="clear" w:color="auto" w:fill="FFFFFF"/>
          <w:lang w:val="en-US" w:eastAsia="fr-RE"/>
        </w:rPr>
        <w:t>.</w:t>
      </w:r>
    </w:p>
    <w:p w14:paraId="7CBEA136" w14:textId="5FE15433" w:rsidR="00D77321" w:rsidRPr="008A4B57" w:rsidRDefault="008A4B57" w:rsidP="000630B3">
      <w:pPr>
        <w:autoSpaceDE w:val="0"/>
        <w:autoSpaceDN w:val="0"/>
        <w:adjustRightInd w:val="0"/>
        <w:spacing w:after="0" w:line="360" w:lineRule="auto"/>
        <w:ind w:left="567" w:hanging="567"/>
        <w:jc w:val="both"/>
      </w:pPr>
      <w:r>
        <w:rPr>
          <w:rFonts w:cstheme="minorHAnsi"/>
          <w:sz w:val="20"/>
          <w:szCs w:val="20"/>
          <w:shd w:val="clear" w:color="auto" w:fill="FFFFFF"/>
          <w:lang w:val="en-US"/>
        </w:rPr>
        <w:t>[19]</w:t>
      </w:r>
      <w:r>
        <w:rPr>
          <w:rFonts w:cstheme="minorHAnsi"/>
          <w:sz w:val="20"/>
          <w:szCs w:val="20"/>
          <w:shd w:val="clear" w:color="auto" w:fill="FFFFFF"/>
          <w:lang w:val="en-US"/>
        </w:rPr>
        <w:tab/>
      </w:r>
      <w:r w:rsidRPr="00F92890">
        <w:rPr>
          <w:rFonts w:cstheme="minorHAnsi"/>
          <w:color w:val="00B0F0"/>
          <w:sz w:val="20"/>
          <w:szCs w:val="20"/>
          <w:shd w:val="clear" w:color="auto" w:fill="FFFFFF"/>
          <w:lang w:val="en-US"/>
        </w:rPr>
        <w:t xml:space="preserve">Collins GS, Reitsma JB, Altman DG, Moons KG. </w:t>
      </w:r>
      <w:r w:rsidRPr="00F92890">
        <w:rPr>
          <w:rFonts w:cstheme="minorHAnsi"/>
          <w:color w:val="00B0F0"/>
          <w:sz w:val="20"/>
          <w:szCs w:val="20"/>
          <w:lang w:val="en-US"/>
        </w:rPr>
        <w:t xml:space="preserve">Transparent reporting of a multivariable prediction model for individual prognosis or diagnosis (TRIPOD): the TRIPOD Statement. </w:t>
      </w:r>
      <w:r w:rsidRPr="00F92890">
        <w:rPr>
          <w:rFonts w:eastAsia="Times New Roman" w:cstheme="minorHAnsi"/>
          <w:color w:val="00B0F0"/>
          <w:sz w:val="20"/>
          <w:szCs w:val="20"/>
          <w:lang w:val="fr-RE" w:eastAsia="fr-RE"/>
        </w:rPr>
        <w:t xml:space="preserve">BMC Med </w:t>
      </w:r>
      <w:proofErr w:type="gramStart"/>
      <w:r w:rsidRPr="00F92890">
        <w:rPr>
          <w:rFonts w:eastAsia="Times New Roman" w:cstheme="minorHAnsi"/>
          <w:color w:val="00B0F0"/>
          <w:sz w:val="20"/>
          <w:szCs w:val="20"/>
          <w:lang w:val="fr-RE" w:eastAsia="fr-RE"/>
        </w:rPr>
        <w:t>2015;</w:t>
      </w:r>
      <w:proofErr w:type="gramEnd"/>
      <w:r w:rsidRPr="00F92890">
        <w:rPr>
          <w:rFonts w:eastAsia="Times New Roman" w:cstheme="minorHAnsi"/>
          <w:color w:val="00B0F0"/>
          <w:sz w:val="20"/>
          <w:szCs w:val="20"/>
          <w:lang w:val="fr-RE" w:eastAsia="fr-RE"/>
        </w:rPr>
        <w:t xml:space="preserve"> 13: 1. </w:t>
      </w:r>
      <w:r w:rsidRPr="00F92890">
        <w:rPr>
          <w:rFonts w:cstheme="minorHAnsi"/>
          <w:color w:val="00B0F0"/>
          <w:sz w:val="20"/>
          <w:szCs w:val="20"/>
          <w:lang w:val="en-US"/>
        </w:rPr>
        <w:t>https://dx.</w:t>
      </w:r>
      <w:proofErr w:type="spellStart"/>
      <w:r w:rsidRPr="00F92890">
        <w:rPr>
          <w:rFonts w:eastAsia="Times New Roman" w:cstheme="minorHAnsi"/>
          <w:color w:val="00B0F0"/>
          <w:sz w:val="20"/>
          <w:szCs w:val="20"/>
          <w:shd w:val="clear" w:color="auto" w:fill="FFFFFF"/>
          <w:lang w:val="fr-RE" w:eastAsia="fr-RE"/>
        </w:rPr>
        <w:t>doi</w:t>
      </w:r>
      <w:proofErr w:type="spellEnd"/>
      <w:r w:rsidRPr="00F92890">
        <w:rPr>
          <w:rFonts w:eastAsia="Times New Roman" w:cstheme="minorHAnsi"/>
          <w:color w:val="00B0F0"/>
          <w:sz w:val="20"/>
          <w:szCs w:val="20"/>
          <w:shd w:val="clear" w:color="auto" w:fill="FFFFFF"/>
          <w:lang w:val="fr-RE" w:eastAsia="fr-RE"/>
        </w:rPr>
        <w:t>/10.1186/s12916-014-0241-z.</w:t>
      </w:r>
    </w:p>
    <w:sectPr w:rsidR="00D77321" w:rsidRPr="008A4B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F4C9" w14:textId="77777777" w:rsidR="00EE4B75" w:rsidRDefault="00EE4B75" w:rsidP="00BB23B5">
      <w:pPr>
        <w:spacing w:after="0" w:line="240" w:lineRule="auto"/>
      </w:pPr>
      <w:r>
        <w:separator/>
      </w:r>
    </w:p>
  </w:endnote>
  <w:endnote w:type="continuationSeparator" w:id="0">
    <w:p w14:paraId="5980599A" w14:textId="77777777" w:rsidR="00EE4B75" w:rsidRDefault="00EE4B75" w:rsidP="00B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8100"/>
      <w:docPartObj>
        <w:docPartGallery w:val="Page Numbers (Bottom of Page)"/>
        <w:docPartUnique/>
      </w:docPartObj>
    </w:sdtPr>
    <w:sdtEndPr/>
    <w:sdtContent>
      <w:p w14:paraId="46E2F62D" w14:textId="77777777" w:rsidR="00F466CC" w:rsidRDefault="00F466CC">
        <w:pPr>
          <w:pStyle w:val="Pieddepage"/>
          <w:jc w:val="center"/>
        </w:pPr>
        <w:r>
          <w:fldChar w:fldCharType="begin"/>
        </w:r>
        <w:r>
          <w:instrText>PAGE   \* MERGEFORMAT</w:instrText>
        </w:r>
        <w:r>
          <w:fldChar w:fldCharType="separate"/>
        </w:r>
        <w:r w:rsidR="00F82317">
          <w:rPr>
            <w:noProof/>
          </w:rPr>
          <w:t>2</w:t>
        </w:r>
        <w:r>
          <w:fldChar w:fldCharType="end"/>
        </w:r>
      </w:p>
    </w:sdtContent>
  </w:sdt>
  <w:p w14:paraId="0C0B0434" w14:textId="77777777" w:rsidR="00F466CC" w:rsidRDefault="00F466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BFA2" w14:textId="77777777" w:rsidR="00EE4B75" w:rsidRDefault="00EE4B75" w:rsidP="00BB23B5">
      <w:pPr>
        <w:spacing w:after="0" w:line="240" w:lineRule="auto"/>
      </w:pPr>
      <w:r>
        <w:separator/>
      </w:r>
    </w:p>
  </w:footnote>
  <w:footnote w:type="continuationSeparator" w:id="0">
    <w:p w14:paraId="67466E66" w14:textId="77777777" w:rsidR="00EE4B75" w:rsidRDefault="00EE4B75" w:rsidP="00BB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A09"/>
    <w:multiLevelType w:val="hybridMultilevel"/>
    <w:tmpl w:val="FDD0D1A4"/>
    <w:lvl w:ilvl="0" w:tplc="040C000F">
      <w:start w:val="1"/>
      <w:numFmt w:val="decimal"/>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B33B13"/>
    <w:multiLevelType w:val="hybridMultilevel"/>
    <w:tmpl w:val="C1AEAFE0"/>
    <w:lvl w:ilvl="0" w:tplc="8BBC41A4">
      <w:start w:val="1"/>
      <w:numFmt w:val="decimal"/>
      <w:lvlText w:val="%1."/>
      <w:lvlJc w:val="left"/>
      <w:pPr>
        <w:ind w:left="720" w:hanging="360"/>
      </w:pPr>
      <w:rPr>
        <w:b w:val="0"/>
        <w:bCs w:val="0"/>
      </w:rPr>
    </w:lvl>
    <w:lvl w:ilvl="1" w:tplc="200C0019">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 w15:restartNumberingAfterBreak="0">
    <w:nsid w:val="322021BA"/>
    <w:multiLevelType w:val="hybridMultilevel"/>
    <w:tmpl w:val="C1AEAFE0"/>
    <w:lvl w:ilvl="0" w:tplc="8BBC41A4">
      <w:start w:val="1"/>
      <w:numFmt w:val="decimal"/>
      <w:lvlText w:val="%1."/>
      <w:lvlJc w:val="left"/>
      <w:pPr>
        <w:ind w:left="720" w:hanging="360"/>
      </w:pPr>
      <w:rPr>
        <w:b w:val="0"/>
        <w:bCs w:val="0"/>
      </w:rPr>
    </w:lvl>
    <w:lvl w:ilvl="1" w:tplc="200C0019">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 w15:restartNumberingAfterBreak="0">
    <w:nsid w:val="4DC5452F"/>
    <w:multiLevelType w:val="multilevel"/>
    <w:tmpl w:val="CAB2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F2688"/>
    <w:multiLevelType w:val="multilevel"/>
    <w:tmpl w:val="EC28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F5BAC"/>
    <w:multiLevelType w:val="multilevel"/>
    <w:tmpl w:val="3DD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A3"/>
    <w:rsid w:val="00004BCA"/>
    <w:rsid w:val="00033794"/>
    <w:rsid w:val="00046496"/>
    <w:rsid w:val="000630B3"/>
    <w:rsid w:val="00064E01"/>
    <w:rsid w:val="00074FE4"/>
    <w:rsid w:val="00082CC0"/>
    <w:rsid w:val="000A2E06"/>
    <w:rsid w:val="000B4602"/>
    <w:rsid w:val="000D763C"/>
    <w:rsid w:val="00100937"/>
    <w:rsid w:val="0011084B"/>
    <w:rsid w:val="00116E3F"/>
    <w:rsid w:val="00130AED"/>
    <w:rsid w:val="00141425"/>
    <w:rsid w:val="00161AFA"/>
    <w:rsid w:val="00191419"/>
    <w:rsid w:val="00197617"/>
    <w:rsid w:val="001A1A45"/>
    <w:rsid w:val="001B33D4"/>
    <w:rsid w:val="001C5219"/>
    <w:rsid w:val="001E533D"/>
    <w:rsid w:val="00214259"/>
    <w:rsid w:val="00217B91"/>
    <w:rsid w:val="00231A13"/>
    <w:rsid w:val="00245371"/>
    <w:rsid w:val="002631D0"/>
    <w:rsid w:val="0026337A"/>
    <w:rsid w:val="002711F9"/>
    <w:rsid w:val="00271251"/>
    <w:rsid w:val="002821EC"/>
    <w:rsid w:val="00293C0A"/>
    <w:rsid w:val="00295E99"/>
    <w:rsid w:val="002B0B13"/>
    <w:rsid w:val="002D04C1"/>
    <w:rsid w:val="002E20D2"/>
    <w:rsid w:val="002E4FF3"/>
    <w:rsid w:val="002E527F"/>
    <w:rsid w:val="002F65C2"/>
    <w:rsid w:val="003056A5"/>
    <w:rsid w:val="00307334"/>
    <w:rsid w:val="003300A3"/>
    <w:rsid w:val="00330BC1"/>
    <w:rsid w:val="0038559B"/>
    <w:rsid w:val="003A42F2"/>
    <w:rsid w:val="003D6EAE"/>
    <w:rsid w:val="003D7795"/>
    <w:rsid w:val="003E598D"/>
    <w:rsid w:val="003F14AA"/>
    <w:rsid w:val="003F1C96"/>
    <w:rsid w:val="00420CBB"/>
    <w:rsid w:val="00420D64"/>
    <w:rsid w:val="00424F3F"/>
    <w:rsid w:val="004418A8"/>
    <w:rsid w:val="004510E9"/>
    <w:rsid w:val="00476786"/>
    <w:rsid w:val="004946EC"/>
    <w:rsid w:val="00494CE6"/>
    <w:rsid w:val="004B7347"/>
    <w:rsid w:val="004C1A5E"/>
    <w:rsid w:val="004C29AA"/>
    <w:rsid w:val="004D2850"/>
    <w:rsid w:val="004E759B"/>
    <w:rsid w:val="00501E32"/>
    <w:rsid w:val="00507D85"/>
    <w:rsid w:val="005564E7"/>
    <w:rsid w:val="005A2357"/>
    <w:rsid w:val="005B3CD9"/>
    <w:rsid w:val="005B4242"/>
    <w:rsid w:val="005B5975"/>
    <w:rsid w:val="005D4574"/>
    <w:rsid w:val="005F3D1F"/>
    <w:rsid w:val="00614D79"/>
    <w:rsid w:val="006160A7"/>
    <w:rsid w:val="00623620"/>
    <w:rsid w:val="00627C79"/>
    <w:rsid w:val="00685611"/>
    <w:rsid w:val="006C468D"/>
    <w:rsid w:val="006D2324"/>
    <w:rsid w:val="006E40DF"/>
    <w:rsid w:val="006E4A46"/>
    <w:rsid w:val="007016C8"/>
    <w:rsid w:val="00713445"/>
    <w:rsid w:val="0075417A"/>
    <w:rsid w:val="007763E7"/>
    <w:rsid w:val="00796315"/>
    <w:rsid w:val="007D632A"/>
    <w:rsid w:val="007E13E0"/>
    <w:rsid w:val="008243BF"/>
    <w:rsid w:val="008453CC"/>
    <w:rsid w:val="0086021E"/>
    <w:rsid w:val="008636C4"/>
    <w:rsid w:val="00871C71"/>
    <w:rsid w:val="008826CC"/>
    <w:rsid w:val="008926C4"/>
    <w:rsid w:val="008A0CC4"/>
    <w:rsid w:val="008A4B57"/>
    <w:rsid w:val="008B0517"/>
    <w:rsid w:val="008B3634"/>
    <w:rsid w:val="008D4E1E"/>
    <w:rsid w:val="00911E5A"/>
    <w:rsid w:val="0091750C"/>
    <w:rsid w:val="00936D6E"/>
    <w:rsid w:val="00954BE2"/>
    <w:rsid w:val="00976DD4"/>
    <w:rsid w:val="00981CE4"/>
    <w:rsid w:val="0098552D"/>
    <w:rsid w:val="00987326"/>
    <w:rsid w:val="00992F2E"/>
    <w:rsid w:val="009A0A4B"/>
    <w:rsid w:val="009A58D3"/>
    <w:rsid w:val="009C5E85"/>
    <w:rsid w:val="009D4191"/>
    <w:rsid w:val="009D50CF"/>
    <w:rsid w:val="009E2727"/>
    <w:rsid w:val="009F5384"/>
    <w:rsid w:val="00A14FBB"/>
    <w:rsid w:val="00A16A93"/>
    <w:rsid w:val="00A20D8A"/>
    <w:rsid w:val="00A23E48"/>
    <w:rsid w:val="00A43558"/>
    <w:rsid w:val="00A5779F"/>
    <w:rsid w:val="00A6081A"/>
    <w:rsid w:val="00A83A3D"/>
    <w:rsid w:val="00AD033F"/>
    <w:rsid w:val="00B03E39"/>
    <w:rsid w:val="00B0585E"/>
    <w:rsid w:val="00B13E71"/>
    <w:rsid w:val="00B167D2"/>
    <w:rsid w:val="00B26FD7"/>
    <w:rsid w:val="00B34187"/>
    <w:rsid w:val="00B34AA9"/>
    <w:rsid w:val="00B34F6E"/>
    <w:rsid w:val="00B42C0F"/>
    <w:rsid w:val="00B52CC8"/>
    <w:rsid w:val="00B5479E"/>
    <w:rsid w:val="00B6274E"/>
    <w:rsid w:val="00B62D40"/>
    <w:rsid w:val="00B76C3B"/>
    <w:rsid w:val="00B91608"/>
    <w:rsid w:val="00B96B42"/>
    <w:rsid w:val="00BA0F02"/>
    <w:rsid w:val="00BB152B"/>
    <w:rsid w:val="00BB23B5"/>
    <w:rsid w:val="00BB38BA"/>
    <w:rsid w:val="00BD0379"/>
    <w:rsid w:val="00BD308F"/>
    <w:rsid w:val="00BE4033"/>
    <w:rsid w:val="00BE52B8"/>
    <w:rsid w:val="00C0678B"/>
    <w:rsid w:val="00C20D73"/>
    <w:rsid w:val="00C233D8"/>
    <w:rsid w:val="00C24349"/>
    <w:rsid w:val="00C406AA"/>
    <w:rsid w:val="00C741D1"/>
    <w:rsid w:val="00C854F0"/>
    <w:rsid w:val="00CB358E"/>
    <w:rsid w:val="00CD6A68"/>
    <w:rsid w:val="00CE3EF5"/>
    <w:rsid w:val="00D14610"/>
    <w:rsid w:val="00D15643"/>
    <w:rsid w:val="00D20136"/>
    <w:rsid w:val="00D25B66"/>
    <w:rsid w:val="00D25C6B"/>
    <w:rsid w:val="00D43263"/>
    <w:rsid w:val="00D4618A"/>
    <w:rsid w:val="00D67BDC"/>
    <w:rsid w:val="00D77321"/>
    <w:rsid w:val="00DA29DC"/>
    <w:rsid w:val="00DD117F"/>
    <w:rsid w:val="00DD52DB"/>
    <w:rsid w:val="00DD6F9F"/>
    <w:rsid w:val="00E02908"/>
    <w:rsid w:val="00E128F7"/>
    <w:rsid w:val="00E13900"/>
    <w:rsid w:val="00E22A17"/>
    <w:rsid w:val="00E24086"/>
    <w:rsid w:val="00E46C4C"/>
    <w:rsid w:val="00E51101"/>
    <w:rsid w:val="00E62CAE"/>
    <w:rsid w:val="00E76CEC"/>
    <w:rsid w:val="00E90E2A"/>
    <w:rsid w:val="00E92095"/>
    <w:rsid w:val="00EA69BC"/>
    <w:rsid w:val="00EB0E47"/>
    <w:rsid w:val="00EC4B8B"/>
    <w:rsid w:val="00ED2F42"/>
    <w:rsid w:val="00ED5F32"/>
    <w:rsid w:val="00EE4B75"/>
    <w:rsid w:val="00F1537A"/>
    <w:rsid w:val="00F40D17"/>
    <w:rsid w:val="00F466CC"/>
    <w:rsid w:val="00F508CF"/>
    <w:rsid w:val="00F621A7"/>
    <w:rsid w:val="00F767E5"/>
    <w:rsid w:val="00F77A8C"/>
    <w:rsid w:val="00F82317"/>
    <w:rsid w:val="00F90599"/>
    <w:rsid w:val="00FA01C6"/>
    <w:rsid w:val="00FA507C"/>
    <w:rsid w:val="00FB562E"/>
    <w:rsid w:val="00FC3B2B"/>
    <w:rsid w:val="00FE4A1A"/>
    <w:rsid w:val="00FF41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EDE4"/>
  <w15:docId w15:val="{6BD42AE2-5250-4E7A-B866-6B55C5F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57"/>
    <w:pPr>
      <w:spacing w:after="160" w:line="259" w:lineRule="auto"/>
    </w:pPr>
  </w:style>
  <w:style w:type="paragraph" w:styleId="Titre1">
    <w:name w:val="heading 1"/>
    <w:basedOn w:val="Normal"/>
    <w:link w:val="Titre1Car"/>
    <w:uiPriority w:val="9"/>
    <w:qFormat/>
    <w:rsid w:val="003A42F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RE" w:eastAsia="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3300A3"/>
    <w:pPr>
      <w:spacing w:line="240" w:lineRule="auto"/>
    </w:pPr>
    <w:rPr>
      <w:sz w:val="20"/>
      <w:szCs w:val="20"/>
    </w:rPr>
  </w:style>
  <w:style w:type="character" w:customStyle="1" w:styleId="CommentaireCar">
    <w:name w:val="Commentaire Car"/>
    <w:basedOn w:val="Policepardfaut"/>
    <w:link w:val="Commentaire"/>
    <w:uiPriority w:val="99"/>
    <w:rsid w:val="003300A3"/>
    <w:rPr>
      <w:sz w:val="20"/>
      <w:szCs w:val="20"/>
    </w:rPr>
  </w:style>
  <w:style w:type="character" w:styleId="Lienhypertexte">
    <w:name w:val="Hyperlink"/>
    <w:basedOn w:val="Policepardfaut"/>
    <w:uiPriority w:val="99"/>
    <w:unhideWhenUsed/>
    <w:rsid w:val="00BD0379"/>
    <w:rPr>
      <w:color w:val="0000FF" w:themeColor="hyperlink"/>
      <w:u w:val="single"/>
    </w:rPr>
  </w:style>
  <w:style w:type="paragraph" w:styleId="Paragraphedeliste">
    <w:name w:val="List Paragraph"/>
    <w:basedOn w:val="Normal"/>
    <w:uiPriority w:val="34"/>
    <w:qFormat/>
    <w:rsid w:val="00BD0379"/>
    <w:pPr>
      <w:ind w:left="720"/>
      <w:contextualSpacing/>
    </w:pPr>
  </w:style>
  <w:style w:type="paragraph" w:styleId="En-tte">
    <w:name w:val="header"/>
    <w:basedOn w:val="Normal"/>
    <w:link w:val="En-tteCar"/>
    <w:uiPriority w:val="99"/>
    <w:unhideWhenUsed/>
    <w:rsid w:val="00BB23B5"/>
    <w:pPr>
      <w:tabs>
        <w:tab w:val="center" w:pos="4536"/>
        <w:tab w:val="right" w:pos="9072"/>
      </w:tabs>
      <w:spacing w:after="0" w:line="240" w:lineRule="auto"/>
    </w:pPr>
  </w:style>
  <w:style w:type="character" w:customStyle="1" w:styleId="En-tteCar">
    <w:name w:val="En-tête Car"/>
    <w:basedOn w:val="Policepardfaut"/>
    <w:link w:val="En-tte"/>
    <w:uiPriority w:val="99"/>
    <w:rsid w:val="00BB23B5"/>
  </w:style>
  <w:style w:type="paragraph" w:styleId="Pieddepage">
    <w:name w:val="footer"/>
    <w:basedOn w:val="Normal"/>
    <w:link w:val="PieddepageCar"/>
    <w:uiPriority w:val="99"/>
    <w:unhideWhenUsed/>
    <w:rsid w:val="00BB2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23B5"/>
  </w:style>
  <w:style w:type="paragraph" w:styleId="Bibliographie">
    <w:name w:val="Bibliography"/>
    <w:basedOn w:val="Normal"/>
    <w:next w:val="Normal"/>
    <w:uiPriority w:val="37"/>
    <w:unhideWhenUsed/>
    <w:rsid w:val="00420CBB"/>
  </w:style>
  <w:style w:type="character" w:styleId="Marquedecommentaire">
    <w:name w:val="annotation reference"/>
    <w:basedOn w:val="Policepardfaut"/>
    <w:uiPriority w:val="99"/>
    <w:semiHidden/>
    <w:unhideWhenUsed/>
    <w:rsid w:val="00130AED"/>
    <w:rPr>
      <w:sz w:val="16"/>
      <w:szCs w:val="16"/>
    </w:rPr>
  </w:style>
  <w:style w:type="character" w:customStyle="1" w:styleId="citation-doi">
    <w:name w:val="citation-doi"/>
    <w:basedOn w:val="Policepardfaut"/>
    <w:rsid w:val="00D77321"/>
  </w:style>
  <w:style w:type="character" w:customStyle="1" w:styleId="nomauteur">
    <w:name w:val="nom_auteur"/>
    <w:basedOn w:val="Policepardfaut"/>
    <w:rsid w:val="00D77321"/>
  </w:style>
  <w:style w:type="character" w:styleId="CitationHTML">
    <w:name w:val="HTML Cite"/>
    <w:basedOn w:val="Policepardfaut"/>
    <w:uiPriority w:val="99"/>
    <w:semiHidden/>
    <w:unhideWhenUsed/>
    <w:rsid w:val="00D77321"/>
    <w:rPr>
      <w:i/>
      <w:iCs/>
    </w:rPr>
  </w:style>
  <w:style w:type="character" w:customStyle="1" w:styleId="lang-en">
    <w:name w:val="lang-en"/>
    <w:basedOn w:val="Policepardfaut"/>
    <w:rsid w:val="00D77321"/>
  </w:style>
  <w:style w:type="character" w:customStyle="1" w:styleId="Mentionnonrsolue1">
    <w:name w:val="Mention non résolue1"/>
    <w:basedOn w:val="Policepardfaut"/>
    <w:uiPriority w:val="99"/>
    <w:semiHidden/>
    <w:unhideWhenUsed/>
    <w:rsid w:val="00D77321"/>
    <w:rPr>
      <w:color w:val="605E5C"/>
      <w:shd w:val="clear" w:color="auto" w:fill="E1DFDD"/>
    </w:rPr>
  </w:style>
  <w:style w:type="character" w:customStyle="1" w:styleId="authors-list-item">
    <w:name w:val="authors-list-item"/>
    <w:basedOn w:val="Policepardfaut"/>
    <w:rsid w:val="003A42F2"/>
  </w:style>
  <w:style w:type="character" w:customStyle="1" w:styleId="author-sup-separator">
    <w:name w:val="author-sup-separator"/>
    <w:basedOn w:val="Policepardfaut"/>
    <w:rsid w:val="003A42F2"/>
  </w:style>
  <w:style w:type="character" w:customStyle="1" w:styleId="comma">
    <w:name w:val="comma"/>
    <w:basedOn w:val="Policepardfaut"/>
    <w:rsid w:val="003A42F2"/>
  </w:style>
  <w:style w:type="character" w:customStyle="1" w:styleId="Titre1Car">
    <w:name w:val="Titre 1 Car"/>
    <w:basedOn w:val="Policepardfaut"/>
    <w:link w:val="Titre1"/>
    <w:uiPriority w:val="9"/>
    <w:rsid w:val="003A42F2"/>
    <w:rPr>
      <w:rFonts w:ascii="Times New Roman" w:eastAsia="Times New Roman" w:hAnsi="Times New Roman" w:cs="Times New Roman"/>
      <w:b/>
      <w:bCs/>
      <w:kern w:val="36"/>
      <w:sz w:val="48"/>
      <w:szCs w:val="48"/>
      <w:lang w:val="fr-RE" w:eastAsia="fr-RE"/>
    </w:rPr>
  </w:style>
  <w:style w:type="character" w:customStyle="1" w:styleId="period">
    <w:name w:val="period"/>
    <w:basedOn w:val="Policepardfaut"/>
    <w:rsid w:val="003A42F2"/>
  </w:style>
  <w:style w:type="character" w:customStyle="1" w:styleId="cit">
    <w:name w:val="cit"/>
    <w:basedOn w:val="Policepardfaut"/>
    <w:rsid w:val="003A42F2"/>
  </w:style>
  <w:style w:type="character" w:customStyle="1" w:styleId="identifier">
    <w:name w:val="identifier"/>
    <w:basedOn w:val="Policepardfaut"/>
    <w:rsid w:val="005D4574"/>
  </w:style>
  <w:style w:type="character" w:customStyle="1" w:styleId="id-label">
    <w:name w:val="id-label"/>
    <w:basedOn w:val="Policepardfaut"/>
    <w:rsid w:val="005D4574"/>
  </w:style>
  <w:style w:type="character" w:styleId="Lienhypertextesuivivisit">
    <w:name w:val="FollowedHyperlink"/>
    <w:basedOn w:val="Policepardfaut"/>
    <w:uiPriority w:val="99"/>
    <w:semiHidden/>
    <w:unhideWhenUsed/>
    <w:rsid w:val="00C24349"/>
    <w:rPr>
      <w:color w:val="800080" w:themeColor="followedHyperlink"/>
      <w:u w:val="single"/>
    </w:rPr>
  </w:style>
  <w:style w:type="paragraph" w:styleId="Textedebulles">
    <w:name w:val="Balloon Text"/>
    <w:basedOn w:val="Normal"/>
    <w:link w:val="TextedebullesCar"/>
    <w:uiPriority w:val="99"/>
    <w:semiHidden/>
    <w:unhideWhenUsed/>
    <w:rsid w:val="00C233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33D8"/>
    <w:rPr>
      <w:rFonts w:ascii="Tahoma" w:hAnsi="Tahoma" w:cs="Tahoma"/>
      <w:sz w:val="16"/>
      <w:szCs w:val="16"/>
    </w:rPr>
  </w:style>
  <w:style w:type="character" w:styleId="Mentionnonrsolue">
    <w:name w:val="Unresolved Mention"/>
    <w:basedOn w:val="Policepardfaut"/>
    <w:uiPriority w:val="99"/>
    <w:semiHidden/>
    <w:unhideWhenUsed/>
    <w:rsid w:val="00063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825">
      <w:bodyDiv w:val="1"/>
      <w:marLeft w:val="0"/>
      <w:marRight w:val="0"/>
      <w:marTop w:val="0"/>
      <w:marBottom w:val="0"/>
      <w:divBdr>
        <w:top w:val="none" w:sz="0" w:space="0" w:color="auto"/>
        <w:left w:val="none" w:sz="0" w:space="0" w:color="auto"/>
        <w:bottom w:val="none" w:sz="0" w:space="0" w:color="auto"/>
        <w:right w:val="none" w:sz="0" w:space="0" w:color="auto"/>
      </w:divBdr>
    </w:div>
    <w:div w:id="793258978">
      <w:bodyDiv w:val="1"/>
      <w:marLeft w:val="0"/>
      <w:marRight w:val="0"/>
      <w:marTop w:val="0"/>
      <w:marBottom w:val="0"/>
      <w:divBdr>
        <w:top w:val="none" w:sz="0" w:space="0" w:color="auto"/>
        <w:left w:val="none" w:sz="0" w:space="0" w:color="auto"/>
        <w:bottom w:val="none" w:sz="0" w:space="0" w:color="auto"/>
        <w:right w:val="none" w:sz="0" w:space="0" w:color="auto"/>
      </w:divBdr>
    </w:div>
    <w:div w:id="920867650">
      <w:bodyDiv w:val="1"/>
      <w:marLeft w:val="0"/>
      <w:marRight w:val="0"/>
      <w:marTop w:val="0"/>
      <w:marBottom w:val="0"/>
      <w:divBdr>
        <w:top w:val="none" w:sz="0" w:space="0" w:color="auto"/>
        <w:left w:val="none" w:sz="0" w:space="0" w:color="auto"/>
        <w:bottom w:val="none" w:sz="0" w:space="0" w:color="auto"/>
        <w:right w:val="none" w:sz="0" w:space="0" w:color="auto"/>
      </w:divBdr>
    </w:div>
    <w:div w:id="1110588481">
      <w:bodyDiv w:val="1"/>
      <w:marLeft w:val="0"/>
      <w:marRight w:val="0"/>
      <w:marTop w:val="0"/>
      <w:marBottom w:val="0"/>
      <w:divBdr>
        <w:top w:val="none" w:sz="0" w:space="0" w:color="auto"/>
        <w:left w:val="none" w:sz="0" w:space="0" w:color="auto"/>
        <w:bottom w:val="none" w:sz="0" w:space="0" w:color="auto"/>
        <w:right w:val="none" w:sz="0" w:space="0" w:color="auto"/>
      </w:divBdr>
    </w:div>
    <w:div w:id="1166362506">
      <w:bodyDiv w:val="1"/>
      <w:marLeft w:val="0"/>
      <w:marRight w:val="0"/>
      <w:marTop w:val="0"/>
      <w:marBottom w:val="0"/>
      <w:divBdr>
        <w:top w:val="none" w:sz="0" w:space="0" w:color="auto"/>
        <w:left w:val="none" w:sz="0" w:space="0" w:color="auto"/>
        <w:bottom w:val="none" w:sz="0" w:space="0" w:color="auto"/>
        <w:right w:val="none" w:sz="0" w:space="0" w:color="auto"/>
      </w:divBdr>
      <w:divsChild>
        <w:div w:id="1806388598">
          <w:marLeft w:val="0"/>
          <w:marRight w:val="0"/>
          <w:marTop w:val="0"/>
          <w:marBottom w:val="0"/>
          <w:divBdr>
            <w:top w:val="none" w:sz="0" w:space="0" w:color="auto"/>
            <w:left w:val="none" w:sz="0" w:space="0" w:color="auto"/>
            <w:bottom w:val="none" w:sz="0" w:space="0" w:color="auto"/>
            <w:right w:val="none" w:sz="0" w:space="0" w:color="auto"/>
          </w:divBdr>
          <w:divsChild>
            <w:div w:id="3836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605">
      <w:bodyDiv w:val="1"/>
      <w:marLeft w:val="0"/>
      <w:marRight w:val="0"/>
      <w:marTop w:val="0"/>
      <w:marBottom w:val="0"/>
      <w:divBdr>
        <w:top w:val="none" w:sz="0" w:space="0" w:color="auto"/>
        <w:left w:val="none" w:sz="0" w:space="0" w:color="auto"/>
        <w:bottom w:val="none" w:sz="0" w:space="0" w:color="auto"/>
        <w:right w:val="none" w:sz="0" w:space="0" w:color="auto"/>
      </w:divBdr>
    </w:div>
    <w:div w:id="1397513711">
      <w:bodyDiv w:val="1"/>
      <w:marLeft w:val="0"/>
      <w:marRight w:val="0"/>
      <w:marTop w:val="0"/>
      <w:marBottom w:val="0"/>
      <w:divBdr>
        <w:top w:val="none" w:sz="0" w:space="0" w:color="auto"/>
        <w:left w:val="none" w:sz="0" w:space="0" w:color="auto"/>
        <w:bottom w:val="none" w:sz="0" w:space="0" w:color="auto"/>
        <w:right w:val="none" w:sz="0" w:space="0" w:color="auto"/>
      </w:divBdr>
    </w:div>
    <w:div w:id="14269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10.1002/sim.6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x.doi/10.1371/journal.pmed.004029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5812-DB40-4448-B95E-0DE72DD5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2717</Words>
  <Characters>14948</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GERARDIN</dc:creator>
  <cp:lastModifiedBy>patrick gerardin</cp:lastModifiedBy>
  <cp:revision>3</cp:revision>
  <dcterms:created xsi:type="dcterms:W3CDTF">2021-10-26T08:55:00Z</dcterms:created>
  <dcterms:modified xsi:type="dcterms:W3CDTF">2021-11-15T19:53:00Z</dcterms:modified>
</cp:coreProperties>
</file>