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0157" w14:textId="7D37B8D9" w:rsidR="00857230" w:rsidRPr="00D82355" w:rsidRDefault="00D82355">
      <w:pPr>
        <w:rPr>
          <w:b/>
          <w:bCs/>
          <w:sz w:val="28"/>
          <w:szCs w:val="28"/>
        </w:rPr>
      </w:pPr>
      <w:r w:rsidRPr="00D82355">
        <w:rPr>
          <w:b/>
          <w:bCs/>
          <w:sz w:val="28"/>
          <w:szCs w:val="28"/>
        </w:rPr>
        <w:t>Supplementary Methods</w:t>
      </w:r>
    </w:p>
    <w:p w14:paraId="5DBB65E0" w14:textId="04006AA5" w:rsidR="00D82355" w:rsidRPr="00D82355" w:rsidRDefault="00D82355">
      <w:pPr>
        <w:rPr>
          <w:b/>
          <w:bCs/>
        </w:rPr>
      </w:pPr>
      <w:r w:rsidRPr="00D82355">
        <w:rPr>
          <w:b/>
          <w:bCs/>
        </w:rPr>
        <w:t>Vitamin K</w:t>
      </w:r>
      <w:r w:rsidRPr="00D82355">
        <w:rPr>
          <w:b/>
          <w:bCs/>
          <w:vertAlign w:val="subscript"/>
        </w:rPr>
        <w:t>1</w:t>
      </w:r>
      <w:r w:rsidRPr="00D82355">
        <w:rPr>
          <w:b/>
          <w:bCs/>
        </w:rPr>
        <w:t xml:space="preserve"> genetic instruments</w:t>
      </w:r>
    </w:p>
    <w:p w14:paraId="66F2B599" w14:textId="1AEB441A" w:rsidR="00D82355" w:rsidRDefault="00D82355">
      <w:r>
        <w:t>We removed 4 vitamin K</w:t>
      </w:r>
      <w:r w:rsidRPr="00D82355">
        <w:rPr>
          <w:vertAlign w:val="subscript"/>
        </w:rPr>
        <w:t>1</w:t>
      </w:r>
      <w:r>
        <w:t xml:space="preserve"> SNPs from downstream processing. </w:t>
      </w:r>
      <w:r w:rsidRPr="00D82355">
        <w:t xml:space="preserve">First was the exceptionally pleiotropic (associated with 74 traits in GWAS </w:t>
      </w:r>
      <w:proofErr w:type="spellStart"/>
      <w:r w:rsidRPr="00D82355">
        <w:t>Catalog</w:t>
      </w:r>
      <w:proofErr w:type="spellEnd"/>
      <w:r w:rsidRPr="00D82355">
        <w:t xml:space="preserve"> and 96 in </w:t>
      </w:r>
      <w:proofErr w:type="spellStart"/>
      <w:r w:rsidRPr="00D82355">
        <w:t>PhenoScanner</w:t>
      </w:r>
      <w:proofErr w:type="spellEnd"/>
      <w:r w:rsidRPr="00D82355">
        <w:t>) and confounded (p-value close to 1 in 2 of alternative GWAS models) rs964184. Secondly, we excluded rs2108622 (along with rs12609820 in the same clump) which was also highly significantly associated with vitamin E concentration phenotypes. Lastly, we had to discard rs2192574 as it was unavailable in the outcome dataset and no proxy could be found.</w:t>
      </w:r>
    </w:p>
    <w:p w14:paraId="4EA04F2B" w14:textId="7D574080" w:rsidR="00D82355" w:rsidRDefault="00D82355" w:rsidP="00D82355">
      <w:pPr>
        <w:rPr>
          <w:rFonts w:cstheme="minorHAnsi"/>
          <w:b/>
          <w:bCs/>
        </w:rPr>
      </w:pPr>
      <w:proofErr w:type="spellStart"/>
      <w:r w:rsidRPr="00D82355">
        <w:rPr>
          <w:rFonts w:cstheme="minorHAnsi"/>
          <w:b/>
          <w:bCs/>
        </w:rPr>
        <w:t>PhenoScanner</w:t>
      </w:r>
      <w:proofErr w:type="spellEnd"/>
      <w:r w:rsidRPr="00D82355">
        <w:rPr>
          <w:rFonts w:cstheme="minorHAnsi"/>
          <w:b/>
          <w:bCs/>
        </w:rPr>
        <w:t xml:space="preserve"> results</w:t>
      </w:r>
    </w:p>
    <w:p w14:paraId="7DF188D5" w14:textId="2FAE3498" w:rsidR="00D82355" w:rsidRPr="00D82355" w:rsidRDefault="00D82355" w:rsidP="00D82355">
      <w:pPr>
        <w:rPr>
          <w:rFonts w:cstheme="minorHAnsi"/>
        </w:rPr>
      </w:pPr>
      <w:r w:rsidRPr="00D82355">
        <w:rPr>
          <w:rFonts w:cstheme="minorHAnsi"/>
        </w:rPr>
        <w:t>Out of known risk-factors for COVID-19 with evidence from previous MR analyses</w:t>
      </w:r>
      <w:r w:rsidRPr="00D82355">
        <w:rPr>
          <w:rFonts w:cstheme="minorHAnsi"/>
        </w:rPr>
        <w:fldChar w:fldCharType="begin" w:fldLock="1"/>
      </w:r>
      <w:r w:rsidRPr="00D82355">
        <w:rPr>
          <w:rFonts w:cstheme="minorHAnsi"/>
        </w:rPr>
        <w:instrText>ADDIN CSL_CITATION {"citationItems":[{"id":"ITEM-1","itemData":{"DOI":"10.1038/s41586-021-03767-x","ISSN":"1476-4687","abstract":"The genetic makeup of an individual contributes to susceptibility and response to viral infection. While environmental, clinical and social factors play a role in exposure to SARS-CoV-2 and COVID-19 disease severity1,2, host genetics may also be important. Identifying host-specific genetic factors may reveal biological mechanisms of therapeutic relevance and clarify causal relationships of modifiable environmental risk factors for SARS-CoV-2 infection and outcomes. We formed a global network of researchers to investigate the role of human genetics in SARS-CoV-2 infection and COVID-19 severity. We describe the results of three genome-wide association meta-analyses comprised of up to 49,562 COVID-19 patients from 46 studies across 19 countries. We reported 13 genome-wide significant loci that are associated with SARS-CoV-2 infection or severe manifestations of COVID-19. Several of these loci correspond to previously documented associations to lung or autoimmune and inflammatory diseases3–7. They also represent potentially actionable mechanisms in response to infection. Mendelian Randomization analyses support a causal role for smoking and body mass index for severe COVID-19 although not for type II diabetes. The identification of novel host genetic factors associated with COVID-19, with unprecedented speed, was made possible by the community of human genetic researchers coming together to prioritize sharing of data, results, resources and analytical frameworks. This working model of international collaboration underscores what is possible for future genetic discoveries in emerging pandemics, or indeed for any complex human disease.","author":[{"dropping-particle":"","family":"Initiative","given":"COVID-19 Host Genetics","non-dropping-particle":"","parse-names":false,"suffix":""}],"container-title":"Nature","id":"ITEM-1","issued":{"date-parts":[["2021"]]},"title":"Mapping the human genetic architecture of COVID-19","type":"article-journal"},"uris":["http://www.mendeley.com/documents/?uuid=33d7959d-b298-4546-b41b-762ffb39fe09"]}],"mendeley":{"formattedCitation":"(1)","plainTextFormattedCitation":"(1)","previouslyFormattedCitation":"(71)"},"properties":{"noteIndex":0},"schema":"https://github.com/citation-style-language/schema/raw/master/csl-citation.json"}</w:instrText>
      </w:r>
      <w:r w:rsidRPr="00D82355">
        <w:rPr>
          <w:rFonts w:cstheme="minorHAnsi"/>
        </w:rPr>
        <w:fldChar w:fldCharType="separate"/>
      </w:r>
      <w:r w:rsidRPr="00D82355">
        <w:rPr>
          <w:rFonts w:cstheme="minorHAnsi"/>
          <w:noProof/>
        </w:rPr>
        <w:t>(1)</w:t>
      </w:r>
      <w:r w:rsidRPr="00D82355">
        <w:rPr>
          <w:rFonts w:cstheme="minorHAnsi"/>
        </w:rPr>
        <w:fldChar w:fldCharType="end"/>
      </w:r>
      <w:r w:rsidRPr="00D82355">
        <w:rPr>
          <w:rFonts w:cstheme="minorHAnsi"/>
        </w:rPr>
        <w:t xml:space="preserve"> – BMI for hospitalization and infection, smoking for hospitalization, height and low red blood cells (RBC) for infection, we found overlap with adiposity, height and RBC traits. One SNP (rs2769264, Cu) was associated with adiposity traits, while 5 with height (rs921943, rs10944 – Se; rs248381, rs17823744, rs2163813 – Se sensitivity analysis). We did not remove the Cu instrument (rs2769264), as it is the strongest and one of only 2 instruments for Cu nutrition, but we note that the Cu associations are by far the strongest at the locus (</w:t>
      </w:r>
      <w:r w:rsidRPr="00D82355">
        <w:rPr>
          <w:rFonts w:cstheme="minorHAnsi"/>
          <w:i/>
          <w:iCs/>
        </w:rPr>
        <w:t>p</w:t>
      </w:r>
      <w:r w:rsidRPr="00D82355">
        <w:rPr>
          <w:rFonts w:cstheme="minorHAnsi"/>
        </w:rPr>
        <w:t>-value = 2.63 x 10</w:t>
      </w:r>
      <w:r w:rsidRPr="00D82355">
        <w:rPr>
          <w:rFonts w:cstheme="minorHAnsi"/>
          <w:vertAlign w:val="superscript"/>
        </w:rPr>
        <w:t>-20</w:t>
      </w:r>
      <w:r w:rsidRPr="00D82355">
        <w:rPr>
          <w:rFonts w:cstheme="minorHAnsi"/>
        </w:rPr>
        <w:t>) and adiposity related traits are only nominally associated (</w:t>
      </w:r>
      <w:r w:rsidRPr="00D82355">
        <w:rPr>
          <w:rFonts w:cstheme="minorHAnsi"/>
          <w:i/>
          <w:iCs/>
        </w:rPr>
        <w:t>p-</w:t>
      </w:r>
      <w:r w:rsidRPr="00D82355">
        <w:rPr>
          <w:rFonts w:cstheme="minorHAnsi"/>
        </w:rPr>
        <w:t>value &gt; 1 x 10</w:t>
      </w:r>
      <w:r w:rsidRPr="00D82355">
        <w:rPr>
          <w:rFonts w:cstheme="minorHAnsi"/>
          <w:vertAlign w:val="superscript"/>
        </w:rPr>
        <w:t>-7</w:t>
      </w:r>
      <w:r w:rsidRPr="00D82355">
        <w:rPr>
          <w:rFonts w:cstheme="minorHAnsi"/>
        </w:rPr>
        <w:t>). Furthermore, copper is known to play an essential role in fat catabolism</w:t>
      </w:r>
      <w:r w:rsidRPr="00D82355">
        <w:rPr>
          <w:rFonts w:cstheme="minorHAnsi"/>
        </w:rPr>
        <w:fldChar w:fldCharType="begin" w:fldLock="1"/>
      </w:r>
      <w:r w:rsidRPr="00D82355">
        <w:rPr>
          <w:rFonts w:cstheme="minorHAnsi"/>
        </w:rPr>
        <w:instrText>ADDIN CSL_CITATION {"citationItems":[{"id":"ITEM-1","itemData":{"DOI":"10.1371/journal.pbio.2006519","abstract":"Copper (Cu) has emerged as an important modifier of body lipid metabolism. However, how Cu contributes to the physiology of fat cells remains largely unknown. We found that adipocytes require Cu to establish a balance between main metabolic fuels. Differentiating adipocytes increase their Cu uptake along with the ATP7A-dependent transport of Cu into the secretory pathway to activate a highly up-regulated amino-oxidase copper-containing 3 (AOC3)/semicarbazide-sensitive amine oxidase (SSAO); in vivo, the activity of SSAO depends on the organism’s Cu status. Activated SSAO oppositely regulates uptake of glucose and long-chain fatty acids and remodels the cellular proteome to coordinate changes in fuel availability and related downstream processes, such as glycolysis, de novo lipogenesis, and sphingomyelin/ceramide synthesis. The loss of SSAO-dependent regulation due to Cu deficiency, limited Cu transport to the secretory pathway, or SSAO inactivation shifts metabolism towards lipid-dependent pathways and results in adipocyte hypertrophy and fat accumulation. The results establish a role for Cu homeostasis in adipocyte metabolism and identify SSAO as a regulator of energy utilization processes in adipocytes.","author":[{"dropping-particle":"","family":"Yang","given":"Haojun","non-dropping-particle":"","parse-names":false,"suffix":""},{"dropping-particle":"","family":"Ralle","given":"Martina","non-dropping-particle":"","parse-names":false,"suffix":""},{"dropping-particle":"","family":"Wolfgang","given":"Michael J","non-dropping-particle":"","parse-names":false,"suffix":""},{"dropping-particle":"","family":"Dhawan","given":"Neha","non-dropping-particle":"","parse-names":false,"suffix":""},{"dropping-particle":"","family":"Burkhead","given":"Jason L","non-dropping-particle":"","parse-names":false,"suffix":""},{"dropping-particle":"","family":"Rodriguez","given":"Susana","non-dropping-particle":"","parse-names":false,"suffix":""},{"dropping-particle":"","family":"Kaplan","given":"Jack H","non-dropping-particle":"","parse-names":false,"suffix":""},{"dropping-particle":"","family":"Wong","given":"G William","non-dropping-particle":"","parse-names":false,"suffix":""},{"dropping-particle":"","family":"Haughey","given":"Norman","non-dropping-particle":"","parse-names":false,"suffix":""},{"dropping-particle":"","family":"Lutsenko","given":"Svetlana","non-dropping-particle":"","parse-names":false,"suffix":""}],"container-title":"PLOS Biology","id":"ITEM-1","issue":"9","issued":{"date-parts":[["2018"]]},"page":"1-27","publisher":"Public Library of Science","title":"Copper-dependent amino oxidase 3 governs selection of metabolic fuels in adipocytes","type":"article-journal","volume":"16"},"uris":["http://www.mendeley.com/documents/?uuid=0bd83b9c-82af-47c7-824e-41e358712bbe"]},{"id":"ITEM-2","itemData":{"DOI":"10.1038/nchembio.2098","ISSN":"1552-4469","abstract":"Biochemical analysis, and imaging using a copper-sensitive fluorescent sensor, demonstrate that copper regulates cAMP-mediated lipolysis by inhibiting the activity of the cAMP-degrading phosphodiesterase PDE3B.","author":[{"dropping-particle":"","family":"Krishnamoorthy","given":"Lakshmi","non-dropping-particle":"","parse-names":false,"suffix":""},{"dropping-particle":"","family":"Cotruvo","given":"Joseph A","non-dropping-particle":"","parse-names":false,"suffix":""},{"dropping-particle":"","family":"Chan","given":"Jefferson","non-dropping-particle":"","parse-names":false,"suffix":""},{"dropping-particle":"","family":"Kaluarachchi","given":"Harini","non-dropping-particle":"","parse-names":false,"suffix":""},{"dropping-particle":"","family":"Muchenditsi","given":"Abigael","non-dropping-particle":"","parse-names":false,"suffix":""},{"dropping-particle":"","family":"Pendyala","given":"Venkata S","non-dropping-particle":"","parse-names":false,"suffix":""},{"dropping-particle":"","family":"Jia","given":"Shang","non-dropping-particle":"","parse-names":false,"suffix":""},{"dropping-particle":"","family":"Aron","given":"Allegra T","non-dropping-particle":"","parse-names":false,"suffix":""},{"dropping-particle":"","family":"Ackerman","given":"Cheri M","non-dropping-particle":"","parse-names":false,"suffix":""},{"dropping-particle":"Vander","family":"Wal","given":"Mark N","non-dropping-particle":"","parse-names":false,"suffix":""},{"dropping-particle":"","family":"Guan","given":"Timothy","non-dropping-particle":"","parse-names":false,"suffix":""},{"dropping-particle":"","family":"Smaga","given":"Lukas P","non-dropping-particle":"","parse-names":false,"suffix":""},{"dropping-particle":"","family":"Farhi","given":"Samouil L","non-dropping-particle":"","parse-names":false,"suffix":""},{"dropping-particle":"","family":"New","given":"Elizabeth J","non-dropping-particle":"","parse-names":false,"suffix":""},{"dropping-particle":"","family":"Lutsenko","given":"Svetlana","non-dropping-particle":"","parse-names":false,"suffix":""},{"dropping-particle":"","family":"Chang","given":"Christopher J","non-dropping-particle":"","parse-names":false,"suffix":""}],"container-title":"Nature Chemical Biology","id":"ITEM-2","issue":"8","issued":{"date-parts":[["2016"]]},"page":"586-592","title":"Copper regulates cyclic-AMP-dependent lipolysis","type":"article-journal","volume":"12"},"uris":["http://www.mendeley.com/documents/?uuid=50db0628-324c-41e2-9fa3-6349f697aed4"]}],"mendeley":{"formattedCitation":"(2,3)","plainTextFormattedCitation":"(2,3)","previouslyFormattedCitation":"(72,73)"},"properties":{"noteIndex":0},"schema":"https://github.com/citation-style-language/schema/raw/master/csl-citation.json"}</w:instrText>
      </w:r>
      <w:r w:rsidRPr="00D82355">
        <w:rPr>
          <w:rFonts w:cstheme="minorHAnsi"/>
        </w:rPr>
        <w:fldChar w:fldCharType="separate"/>
      </w:r>
      <w:r w:rsidRPr="00D82355">
        <w:rPr>
          <w:rFonts w:cstheme="minorHAnsi"/>
          <w:noProof/>
        </w:rPr>
        <w:t>(2,3)</w:t>
      </w:r>
      <w:r w:rsidRPr="00D82355">
        <w:rPr>
          <w:rFonts w:cstheme="minorHAnsi"/>
        </w:rPr>
        <w:fldChar w:fldCharType="end"/>
      </w:r>
      <w:r w:rsidRPr="00D82355">
        <w:rPr>
          <w:rFonts w:cstheme="minorHAnsi"/>
        </w:rPr>
        <w:t xml:space="preserve"> and so BMI is likely a case of vertical pleiotropy, downstream from copper exposure, which does not violate MR assumptions. We were also cautious with SNPs related to height, as height is a famously highly complex polygenic trait</w:t>
      </w:r>
      <w:r w:rsidRPr="00D82355">
        <w:rPr>
          <w:rFonts w:cstheme="minorHAnsi"/>
        </w:rPr>
        <w:fldChar w:fldCharType="begin" w:fldLock="1"/>
      </w:r>
      <w:r w:rsidRPr="00D82355">
        <w:rPr>
          <w:rFonts w:cstheme="minorHAnsi"/>
        </w:rPr>
        <w:instrText xml:space="preserve">ADDIN CSL_CITATION {"citationItems":[{"id":"ITEM-1","itemData":{"DOI":"10.1093/hmg/ddy271","ISSN":"0964-6906","abstract":"Recent genome-wide association studies (GWAS) of height and body mass index (BMI) in </w:instrText>
      </w:r>
      <w:r w:rsidRPr="00D82355">
        <w:rPr>
          <w:rFonts w:ascii="Cambria Math" w:hAnsi="Cambria Math" w:cs="Cambria Math"/>
        </w:rPr>
        <w:instrText>∼</w:instrText>
      </w:r>
      <w:r w:rsidRPr="00D82355">
        <w:rPr>
          <w:rFonts w:cstheme="minorHAnsi"/>
        </w:rPr>
        <w:instrText xml:space="preserve">250000 European participants have led to the discovery of </w:instrText>
      </w:r>
      <w:r w:rsidRPr="00D82355">
        <w:rPr>
          <w:rFonts w:ascii="Cambria Math" w:hAnsi="Cambria Math" w:cs="Cambria Math"/>
        </w:rPr>
        <w:instrText>∼</w:instrText>
      </w:r>
      <w:r w:rsidRPr="00D82355">
        <w:rPr>
          <w:rFonts w:cstheme="minorHAnsi"/>
        </w:rPr>
        <w:instrText xml:space="preserve">700 and </w:instrText>
      </w:r>
      <w:r w:rsidRPr="00D82355">
        <w:rPr>
          <w:rFonts w:ascii="Cambria Math" w:hAnsi="Cambria Math" w:cs="Cambria Math"/>
        </w:rPr>
        <w:instrText>∼</w:instrText>
      </w:r>
      <w:r w:rsidRPr="00D82355">
        <w:rPr>
          <w:rFonts w:cstheme="minorHAnsi"/>
        </w:rPr>
        <w:instrText xml:space="preserve">100 nearly independent single nucleotide polymorphisms (SNPs) associated with these traits, respectively. Here we combine summary statistics from those two studies with GWAS of height and BMI performed in </w:instrText>
      </w:r>
      <w:r w:rsidRPr="00D82355">
        <w:rPr>
          <w:rFonts w:ascii="Cambria Math" w:hAnsi="Cambria Math" w:cs="Cambria Math"/>
        </w:rPr>
        <w:instrText>∼</w:instrText>
      </w:r>
      <w:r w:rsidRPr="00D82355">
        <w:rPr>
          <w:rFonts w:cstheme="minorHAnsi"/>
        </w:rPr>
        <w:instrText>450000 UK Biobank participants of European ancestry. Overall, our combined GWAS meta-analysis reaches N </w:instrText>
      </w:r>
      <w:r w:rsidRPr="00D82355">
        <w:rPr>
          <w:rFonts w:ascii="Cambria Math" w:hAnsi="Cambria Math" w:cs="Cambria Math"/>
        </w:rPr>
        <w:instrText>∼</w:instrText>
      </w:r>
      <w:r w:rsidRPr="00D82355">
        <w:rPr>
          <w:rFonts w:cstheme="minorHAnsi"/>
        </w:rPr>
        <w:instrText xml:space="preserve">700000 individuals and substantially increases the number of GWAS signals associated with these traits. We identified 3290 and 941 near-independent SNPs associated with height and BMI, respectively (at a revised genome-wide significance threshold of P &amp;lt; 1 × 10−8), including 1185 height-associated SNPs and 751 BMI-associated SNPs located within loci not previously identified by these two GWAS. The near-independent genome-wide significant SNPs explain </w:instrText>
      </w:r>
      <w:r w:rsidRPr="00D82355">
        <w:rPr>
          <w:rFonts w:ascii="Cambria Math" w:hAnsi="Cambria Math" w:cs="Cambria Math"/>
        </w:rPr>
        <w:instrText>∼</w:instrText>
      </w:r>
      <w:r w:rsidRPr="00D82355">
        <w:rPr>
          <w:rFonts w:cstheme="minorHAnsi"/>
        </w:rPr>
        <w:instrText xml:space="preserve">24.6% of the variance of height and </w:instrText>
      </w:r>
      <w:r w:rsidRPr="00D82355">
        <w:rPr>
          <w:rFonts w:ascii="Cambria Math" w:hAnsi="Cambria Math" w:cs="Cambria Math"/>
        </w:rPr>
        <w:instrText>∼</w:instrText>
      </w:r>
      <w:r w:rsidRPr="00D82355">
        <w:rPr>
          <w:rFonts w:cstheme="minorHAnsi"/>
        </w:rPr>
        <w:instrText xml:space="preserve">6.0% of the variance of BMI in an independent sample from the Health and Retirement Study (HRS). Correlations between polygenic scores based upon these SNPs with actual height and BMI in HRS participants were </w:instrText>
      </w:r>
      <w:r w:rsidRPr="00D82355">
        <w:rPr>
          <w:rFonts w:ascii="Cambria Math" w:hAnsi="Cambria Math" w:cs="Cambria Math"/>
        </w:rPr>
        <w:instrText>∼</w:instrText>
      </w:r>
      <w:r w:rsidRPr="00D82355">
        <w:rPr>
          <w:rFonts w:cstheme="minorHAnsi"/>
        </w:rPr>
        <w:instrText xml:space="preserve">0.44 and </w:instrText>
      </w:r>
      <w:r w:rsidRPr="00D82355">
        <w:rPr>
          <w:rFonts w:ascii="Cambria Math" w:hAnsi="Cambria Math" w:cs="Cambria Math"/>
        </w:rPr>
        <w:instrText>∼</w:instrText>
      </w:r>
      <w:r w:rsidRPr="00D82355">
        <w:rPr>
          <w:rFonts w:cstheme="minorHAnsi"/>
        </w:rPr>
        <w:instrText xml:space="preserve">0.22, respectively. From analyses of integrating GWAS and expression quantitative trait loci (eQTL) data by summary-data-based Mendelian randomization, we identified an enrichment of eQTLs among lead height and BMI signals, prioritizing 610 and 138 genes, respectively. Our study demonstrates that, as previously predicted, increasing GWAS sample sizes continues to deliver, by the discovery of new loci, increasing prediction accuracy and providing additional data to achieve deeper insight into complex trait biology. All summary statistics are made available for follow-up studies.","author":[{"dropping-particle":"","family":"Yengo","given":"Loic","non-dropping-particle":"","parse-names":false,"suffix":""},{"dropping-particle":"","family":"Sidorenko","given":"Julia","non-dropping-particle":"","parse-names":false,"suffix":""},{"dropping-particle":"","family":"Kemper","given":"Kathryn E","non-dropping-particle":"","parse-names":false,"suffix":""},{"dropping-particle":"","family":"Zheng","given":"Zhili","non-dropping-particle":"","parse-names":false,"suffix":""},{"dropping-particle":"","family":"Wood","given":"Andrew R","non-dropping-particle":"","parse-names":false,"suffix":""},{"dropping-particle":"","family":"Weedon","given":"Michael N","non-dropping-particle":"","parse-names":false,"suffix":""},{"dropping-particle":"","family":"Frayling","given":"Timothy M","non-dropping-particle":"","parse-names":false,"suffix":""},{"dropping-particle":"","family":"Hirschhorn","given":"Joel","non-dropping-particle":"","parse-names":false,"suffix":""},{"dropping-particle":"","family":"Yang","given":"Jian","non-dropping-particle":"","parse-names":false,"suffix":""},{"dropping-particle":"","family":"Visscher","given":"Peter M","non-dropping-particle":"","parse-names":false,"suffix":""},{"dropping-particle":"","family":"Consortium","given":"the GIANT","non-dropping-particle":"","parse-names":false,"suffix":""}],"container-title":"Human Molecular Genetics","id":"ITEM-1","issue":"20","issued":{"date-parts":[["2018","10","15"]]},"page":"3641-3649","title":"Meta-analysis of genome-wide association studies for height and body mass index in </w:instrText>
      </w:r>
      <w:r w:rsidRPr="00D82355">
        <w:rPr>
          <w:rFonts w:ascii="Cambria Math" w:hAnsi="Cambria Math" w:cs="Cambria Math"/>
        </w:rPr>
        <w:instrText>∼</w:instrText>
      </w:r>
      <w:r w:rsidRPr="00D82355">
        <w:rPr>
          <w:rFonts w:cstheme="minorHAnsi"/>
        </w:rPr>
        <w:instrText>700000 individuals of European ancestry","type":"article-journal","volume":"27"},"uris":["http://www.mendeley.com/documents/?uuid=1776a1bb-4a83-44c6-8d02-f21fc24e0cc9"]}],"mendeley":{"formattedCitation":"(4)","plainTextFormattedCitation":"(4)","previouslyFormattedCitation":"(74)"},"properties":{"noteIndex":0},"schema":"https://github.com/citation-style-language/schema/raw/master/csl-citation.json"}</w:instrText>
      </w:r>
      <w:r w:rsidRPr="00D82355">
        <w:rPr>
          <w:rFonts w:cstheme="minorHAnsi"/>
        </w:rPr>
        <w:fldChar w:fldCharType="separate"/>
      </w:r>
      <w:r w:rsidRPr="00D82355">
        <w:rPr>
          <w:rFonts w:cstheme="minorHAnsi"/>
          <w:noProof/>
        </w:rPr>
        <w:t>(4)</w:t>
      </w:r>
      <w:r w:rsidRPr="00D82355">
        <w:rPr>
          <w:rFonts w:cstheme="minorHAnsi"/>
        </w:rPr>
        <w:fldChar w:fldCharType="end"/>
      </w:r>
      <w:r w:rsidRPr="00D82355">
        <w:rPr>
          <w:rFonts w:cstheme="minorHAnsi"/>
        </w:rPr>
        <w:t xml:space="preserve">, and higher COVID-19 reported infection rate in tall individuals currently lacks a plausible biological mechanism. It is causally not clear whether the impact of red blood cell number on COVID-19 infection is not possibly related to their micronutrient content of interest here, so SNPs associated with RBC phenotypes (rs1175550 – Cu, rs2120019 – Zn, rs1532423 – Zn) were also retained. Again, for all those instruments, stronger association was found for micronutrient content relative to RBC phenotypes, except for rs1175550, despite pronounced difference in respective GWAS power: </w:t>
      </w:r>
      <w:r w:rsidRPr="00D82355">
        <w:rPr>
          <w:rFonts w:cstheme="minorHAnsi"/>
          <w:i/>
          <w:iCs/>
        </w:rPr>
        <w:t>n</w:t>
      </w:r>
      <w:r w:rsidRPr="00D82355">
        <w:rPr>
          <w:rFonts w:cstheme="minorHAnsi"/>
        </w:rPr>
        <w:t xml:space="preserve">=2,603 for Zn and Cu, </w:t>
      </w:r>
      <w:r w:rsidRPr="00D82355">
        <w:rPr>
          <w:rFonts w:cstheme="minorHAnsi"/>
          <w:i/>
          <w:iCs/>
        </w:rPr>
        <w:t>n</w:t>
      </w:r>
      <w:r w:rsidRPr="00D82355">
        <w:rPr>
          <w:rFonts w:cstheme="minorHAnsi"/>
        </w:rPr>
        <w:t>= 173,480 for RBC phenotypes; these SNPs were also associated with other blood cell phenotypes.</w:t>
      </w:r>
    </w:p>
    <w:p w14:paraId="7D01E75E" w14:textId="1D8BE50D" w:rsidR="00D82355" w:rsidRDefault="00D82355" w:rsidP="00D82355">
      <w:pPr>
        <w:rPr>
          <w:rFonts w:cstheme="minorHAnsi"/>
          <w:sz w:val="24"/>
          <w:szCs w:val="24"/>
        </w:rPr>
      </w:pPr>
    </w:p>
    <w:p w14:paraId="1ADEF193" w14:textId="554106D7" w:rsidR="00D82355" w:rsidRPr="00D82355" w:rsidRDefault="00D82355" w:rsidP="00D82355">
      <w:pPr>
        <w:rPr>
          <w:rFonts w:cstheme="minorHAnsi"/>
          <w:b/>
          <w:bCs/>
          <w:sz w:val="24"/>
          <w:szCs w:val="24"/>
        </w:rPr>
      </w:pPr>
      <w:r w:rsidRPr="00D82355">
        <w:rPr>
          <w:rFonts w:cstheme="minorHAnsi"/>
          <w:b/>
          <w:bCs/>
          <w:sz w:val="24"/>
          <w:szCs w:val="24"/>
        </w:rPr>
        <w:t>References</w:t>
      </w:r>
    </w:p>
    <w:p w14:paraId="3FB02A2F" w14:textId="45E002B0" w:rsidR="00D82355" w:rsidRPr="00D82355" w:rsidRDefault="00D82355" w:rsidP="00D82355">
      <w:pPr>
        <w:widowControl w:val="0"/>
        <w:autoSpaceDE w:val="0"/>
        <w:autoSpaceDN w:val="0"/>
        <w:adjustRightInd w:val="0"/>
        <w:spacing w:line="240" w:lineRule="auto"/>
        <w:ind w:left="640" w:hanging="640"/>
        <w:rPr>
          <w:rFonts w:ascii="Calibri" w:hAnsi="Calibri" w:cs="Calibri"/>
          <w:noProof/>
        </w:rPr>
      </w:pPr>
      <w:r w:rsidRPr="00D82355">
        <w:rPr>
          <w:rFonts w:cstheme="minorHAnsi"/>
        </w:rPr>
        <w:fldChar w:fldCharType="begin" w:fldLock="1"/>
      </w:r>
      <w:r w:rsidRPr="00D82355">
        <w:rPr>
          <w:rFonts w:cstheme="minorHAnsi"/>
        </w:rPr>
        <w:instrText xml:space="preserve">ADDIN Mendeley Bibliography CSL_BIBLIOGRAPHY </w:instrText>
      </w:r>
      <w:r w:rsidRPr="00D82355">
        <w:rPr>
          <w:rFonts w:cstheme="minorHAnsi"/>
        </w:rPr>
        <w:fldChar w:fldCharType="separate"/>
      </w:r>
      <w:r w:rsidRPr="00D82355">
        <w:rPr>
          <w:rFonts w:ascii="Calibri" w:hAnsi="Calibri" w:cs="Calibri"/>
          <w:noProof/>
        </w:rPr>
        <w:t xml:space="preserve">1. </w:t>
      </w:r>
      <w:r w:rsidRPr="00D82355">
        <w:rPr>
          <w:rFonts w:ascii="Calibri" w:hAnsi="Calibri" w:cs="Calibri"/>
          <w:noProof/>
        </w:rPr>
        <w:tab/>
        <w:t>Initiative C-19 HG. Mapping the human genetic architecture of COVID-19. Nature [Internet]. 2021; Available from: https://doi.org/10.1038/s41586-021-03767-x</w:t>
      </w:r>
    </w:p>
    <w:p w14:paraId="644F2D81" w14:textId="77777777" w:rsidR="00D82355" w:rsidRPr="00D82355" w:rsidRDefault="00D82355" w:rsidP="00D82355">
      <w:pPr>
        <w:widowControl w:val="0"/>
        <w:autoSpaceDE w:val="0"/>
        <w:autoSpaceDN w:val="0"/>
        <w:adjustRightInd w:val="0"/>
        <w:spacing w:line="240" w:lineRule="auto"/>
        <w:ind w:left="640" w:hanging="640"/>
        <w:rPr>
          <w:rFonts w:ascii="Calibri" w:hAnsi="Calibri" w:cs="Calibri"/>
          <w:noProof/>
        </w:rPr>
      </w:pPr>
      <w:r w:rsidRPr="00D82355">
        <w:rPr>
          <w:rFonts w:ascii="Calibri" w:hAnsi="Calibri" w:cs="Calibri"/>
          <w:noProof/>
        </w:rPr>
        <w:t xml:space="preserve">2. </w:t>
      </w:r>
      <w:r w:rsidRPr="00D82355">
        <w:rPr>
          <w:rFonts w:ascii="Calibri" w:hAnsi="Calibri" w:cs="Calibri"/>
          <w:noProof/>
        </w:rPr>
        <w:tab/>
        <w:t>Yang H, Ralle M, Wolfgang MJ, Dhawan N, Burkhead JL, Rodriguez S, Kaplan JH, Wong GW, Haughey N, Lutsenko S. Copper-dependent amino oxidase 3 governs selection of metabolic fuels in adipocytes. PLOS Biol [Internet]. Public Library of Science; 2018;16:1–27. Available from: https://doi.org/10.1371/journal.pbio.2006519</w:t>
      </w:r>
    </w:p>
    <w:p w14:paraId="4C91A54C" w14:textId="77777777" w:rsidR="00D82355" w:rsidRPr="00D82355" w:rsidRDefault="00D82355" w:rsidP="00D82355">
      <w:pPr>
        <w:widowControl w:val="0"/>
        <w:autoSpaceDE w:val="0"/>
        <w:autoSpaceDN w:val="0"/>
        <w:adjustRightInd w:val="0"/>
        <w:spacing w:line="240" w:lineRule="auto"/>
        <w:ind w:left="640" w:hanging="640"/>
        <w:rPr>
          <w:rFonts w:ascii="Calibri" w:hAnsi="Calibri" w:cs="Calibri"/>
          <w:noProof/>
        </w:rPr>
      </w:pPr>
      <w:r w:rsidRPr="00D82355">
        <w:rPr>
          <w:rFonts w:ascii="Calibri" w:hAnsi="Calibri" w:cs="Calibri"/>
          <w:noProof/>
        </w:rPr>
        <w:t xml:space="preserve">3. </w:t>
      </w:r>
      <w:r w:rsidRPr="00D82355">
        <w:rPr>
          <w:rFonts w:ascii="Calibri" w:hAnsi="Calibri" w:cs="Calibri"/>
          <w:noProof/>
        </w:rPr>
        <w:tab/>
        <w:t>Krishnamoorthy L, Cotruvo JA, Chan J, Kaluarachchi H, Muchenditsi A, Pendyala VS, Jia S, Aron AT, Ackerman CM, Wal MN Vander, et al. Copper regulates cyclic-AMP-dependent lipolysis. Nat Chem Biol [Internet]. 2016;12:586–92. Available from: https://doi.org/10.1038/nchembio.2098</w:t>
      </w:r>
    </w:p>
    <w:p w14:paraId="0A7F42FB" w14:textId="77777777" w:rsidR="00D82355" w:rsidRPr="00D82355" w:rsidRDefault="00D82355" w:rsidP="00D82355">
      <w:pPr>
        <w:widowControl w:val="0"/>
        <w:autoSpaceDE w:val="0"/>
        <w:autoSpaceDN w:val="0"/>
        <w:adjustRightInd w:val="0"/>
        <w:spacing w:line="240" w:lineRule="auto"/>
        <w:ind w:left="640" w:hanging="640"/>
        <w:rPr>
          <w:rFonts w:ascii="Calibri" w:hAnsi="Calibri" w:cs="Calibri"/>
          <w:noProof/>
        </w:rPr>
      </w:pPr>
      <w:r w:rsidRPr="00D82355">
        <w:rPr>
          <w:rFonts w:ascii="Calibri" w:hAnsi="Calibri" w:cs="Calibri"/>
          <w:noProof/>
        </w:rPr>
        <w:t xml:space="preserve">4. </w:t>
      </w:r>
      <w:r w:rsidRPr="00D82355">
        <w:rPr>
          <w:rFonts w:ascii="Calibri" w:hAnsi="Calibri" w:cs="Calibri"/>
          <w:noProof/>
        </w:rPr>
        <w:tab/>
        <w:t xml:space="preserve">Yengo L, Sidorenko J, Kemper KE, Zheng Z, Wood AR, Weedon MN, Frayling TM, Hirschhorn J, Yang J, Visscher PM, et al. Meta-analysis of genome-wide association studies for height and body mass index in </w:t>
      </w:r>
      <w:r w:rsidRPr="00D82355">
        <w:rPr>
          <w:rFonts w:ascii="Cambria Math" w:hAnsi="Cambria Math" w:cs="Cambria Math"/>
          <w:noProof/>
        </w:rPr>
        <w:t>∼</w:t>
      </w:r>
      <w:r w:rsidRPr="00D82355">
        <w:rPr>
          <w:rFonts w:ascii="Calibri" w:hAnsi="Calibri" w:cs="Calibri"/>
          <w:noProof/>
        </w:rPr>
        <w:t>700000 individuals of European ancestry. Hum Mol Genet [Internet]. 2018;27:3641–9. Available from: https://doi.org/10.1093/hmg/ddy271</w:t>
      </w:r>
    </w:p>
    <w:p w14:paraId="5E6460DB" w14:textId="1B69D368" w:rsidR="00D82355" w:rsidRPr="00D82355" w:rsidRDefault="00D82355" w:rsidP="00D82355">
      <w:pPr>
        <w:rPr>
          <w:rFonts w:cstheme="minorHAnsi"/>
        </w:rPr>
      </w:pPr>
      <w:r w:rsidRPr="00D82355">
        <w:rPr>
          <w:rFonts w:cstheme="minorHAnsi"/>
        </w:rPr>
        <w:fldChar w:fldCharType="end"/>
      </w:r>
    </w:p>
    <w:p w14:paraId="17525B73" w14:textId="77777777" w:rsidR="00D82355" w:rsidRPr="00D82355" w:rsidRDefault="00D82355" w:rsidP="00D82355">
      <w:pPr>
        <w:rPr>
          <w:rFonts w:cstheme="minorHAnsi"/>
          <w:b/>
          <w:bCs/>
        </w:rPr>
      </w:pPr>
    </w:p>
    <w:sectPr w:rsidR="00D82355" w:rsidRPr="00D823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C1A0" w14:textId="77777777" w:rsidR="00D82355" w:rsidRDefault="00D82355" w:rsidP="00D82355">
      <w:pPr>
        <w:spacing w:after="0" w:line="240" w:lineRule="auto"/>
      </w:pPr>
      <w:r>
        <w:separator/>
      </w:r>
    </w:p>
  </w:endnote>
  <w:endnote w:type="continuationSeparator" w:id="0">
    <w:p w14:paraId="6A0491BB" w14:textId="77777777" w:rsidR="00D82355" w:rsidRDefault="00D82355" w:rsidP="00D8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D0F8" w14:textId="77777777" w:rsidR="00D82355" w:rsidRDefault="00D82355" w:rsidP="00D82355">
      <w:pPr>
        <w:spacing w:after="0" w:line="240" w:lineRule="auto"/>
      </w:pPr>
      <w:r>
        <w:separator/>
      </w:r>
    </w:p>
  </w:footnote>
  <w:footnote w:type="continuationSeparator" w:id="0">
    <w:p w14:paraId="6115F877" w14:textId="77777777" w:rsidR="00D82355" w:rsidRDefault="00D82355" w:rsidP="00D82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55"/>
    <w:rsid w:val="00596C33"/>
    <w:rsid w:val="00857230"/>
    <w:rsid w:val="00BC77B6"/>
    <w:rsid w:val="00D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CAD5"/>
  <w15:chartTrackingRefBased/>
  <w15:docId w15:val="{752A1B96-65E9-4F75-9AA0-D221FF80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2355"/>
    <w:rPr>
      <w:sz w:val="16"/>
      <w:szCs w:val="16"/>
    </w:rPr>
  </w:style>
  <w:style w:type="paragraph" w:styleId="CommentText">
    <w:name w:val="annotation text"/>
    <w:basedOn w:val="Normal"/>
    <w:link w:val="CommentTextChar"/>
    <w:uiPriority w:val="99"/>
    <w:unhideWhenUsed/>
    <w:rsid w:val="00D82355"/>
    <w:pPr>
      <w:spacing w:line="240" w:lineRule="auto"/>
    </w:pPr>
    <w:rPr>
      <w:sz w:val="20"/>
      <w:szCs w:val="20"/>
    </w:rPr>
  </w:style>
  <w:style w:type="character" w:customStyle="1" w:styleId="CommentTextChar">
    <w:name w:val="Comment Text Char"/>
    <w:basedOn w:val="DefaultParagraphFont"/>
    <w:link w:val="CommentText"/>
    <w:uiPriority w:val="99"/>
    <w:rsid w:val="00D823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0478-D04D-4069-AD05-D0A0FE06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Sobczyk-Barad</dc:creator>
  <cp:keywords/>
  <dc:description/>
  <cp:lastModifiedBy>Maria Sobczyk-Barad</cp:lastModifiedBy>
  <cp:revision>2</cp:revision>
  <dcterms:created xsi:type="dcterms:W3CDTF">2021-10-05T15:17:00Z</dcterms:created>
  <dcterms:modified xsi:type="dcterms:W3CDTF">2021-10-05T15:55:00Z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http://csl.mendeley.com/styles/195392/GenMed-simple2</vt:lpwstr>
  </property>
  <property fmtid="{D5CDD505-2E9C-101B-9397-08002B2CF9AE}" pid="9" name="Mendeley Recent Style Name 3_1">
    <vt:lpwstr>GenMed-simple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http://www.zotero.org/styles/the-american-journal-of-clinical-nutrition</vt:lpwstr>
  </property>
  <property fmtid="{D5CDD505-2E9C-101B-9397-08002B2CF9AE}" pid="17" name="Mendeley Recent Style Name 7_1">
    <vt:lpwstr>The American Journal of Clinical Nutrition</vt:lpwstr>
  </property>
  <property fmtid="{D5CDD505-2E9C-101B-9397-08002B2CF9AE}" pid="18" name="Mendeley Recent Style Id 8_1">
    <vt:lpwstr>http://www.zotero.org/styles/the-journal-of-allergy-and-clinical-immunology</vt:lpwstr>
  </property>
  <property fmtid="{D5CDD505-2E9C-101B-9397-08002B2CF9AE}" pid="19" name="Mendeley Recent Style Name 8_1">
    <vt:lpwstr>The Journal of Allergy and Clinical Immunology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c86fb50c-74d3-3b94-a440-a1f5af9fd916</vt:lpwstr>
  </property>
  <property fmtid="{D5CDD505-2E9C-101B-9397-08002B2CF9AE}" pid="24" name="Mendeley Citation Style_1">
    <vt:lpwstr>http://www.zotero.org/styles/the-american-journal-of-clinical-nutrition</vt:lpwstr>
  </property>
</Properties>
</file>