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394" w:rsidRPr="00837F1C" w:rsidRDefault="00BC4394" w:rsidP="00BC4394">
      <w:pPr>
        <w:spacing w:line="276" w:lineRule="auto"/>
        <w:rPr>
          <w:b/>
          <w:sz w:val="28"/>
          <w:szCs w:val="28"/>
        </w:rPr>
      </w:pPr>
      <w:bookmarkStart w:id="0" w:name="_GoBack"/>
      <w:bookmarkEnd w:id="0"/>
      <w:r w:rsidRPr="00837F1C">
        <w:rPr>
          <w:b/>
          <w:sz w:val="28"/>
          <w:szCs w:val="28"/>
        </w:rPr>
        <w:t>Supplementary Figures</w:t>
      </w:r>
    </w:p>
    <w:p w:rsidR="00BC4394" w:rsidRDefault="00BC4394">
      <w:pPr>
        <w:rPr>
          <w:rFonts w:cstheme="minorHAnsi"/>
        </w:rPr>
      </w:pPr>
      <w:r>
        <w:rPr>
          <w:rFonts w:cstheme="minorHAnsi"/>
          <w:noProof/>
        </w:rPr>
        <w:drawing>
          <wp:inline distT="0" distB="0" distL="0" distR="0">
            <wp:extent cx="5943600" cy="3339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_flowchart.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rsidR="00BC4394" w:rsidRPr="00D82681" w:rsidRDefault="00BC4394" w:rsidP="00BC4394">
      <w:pPr>
        <w:spacing w:after="0" w:line="276" w:lineRule="auto"/>
        <w:rPr>
          <w:rFonts w:cstheme="minorHAnsi"/>
          <w:b/>
        </w:rPr>
      </w:pPr>
      <w:r>
        <w:rPr>
          <w:rFonts w:cstheme="minorHAnsi"/>
          <w:b/>
        </w:rPr>
        <w:t>Supplementary Figure 1</w:t>
      </w:r>
      <w:r w:rsidRPr="00D82681">
        <w:rPr>
          <w:rFonts w:cstheme="minorHAnsi"/>
          <w:b/>
        </w:rPr>
        <w:t xml:space="preserve">: </w:t>
      </w:r>
      <w:r>
        <w:rPr>
          <w:rFonts w:cstheme="minorHAnsi"/>
          <w:b/>
        </w:rPr>
        <w:t>Model Building Flow Chart</w:t>
      </w:r>
      <w:r w:rsidRPr="00D82681">
        <w:rPr>
          <w:rFonts w:cstheme="minorHAnsi"/>
          <w:b/>
        </w:rPr>
        <w:t xml:space="preserve">. </w:t>
      </w:r>
    </w:p>
    <w:p w:rsidR="00BC4394" w:rsidRDefault="00BC4394" w:rsidP="00E82A37">
      <w:pPr>
        <w:spacing w:line="276" w:lineRule="auto"/>
        <w:rPr>
          <w:rFonts w:cstheme="minorHAnsi"/>
        </w:rPr>
      </w:pPr>
      <w:r>
        <w:rPr>
          <w:rFonts w:cstheme="minorHAnsi"/>
        </w:rPr>
        <w:t xml:space="preserve">To build models using GWAS loci, we grouped lead variants </w:t>
      </w:r>
      <w:r w:rsidR="00E82A37">
        <w:rPr>
          <w:rFonts w:cstheme="minorHAnsi"/>
        </w:rPr>
        <w:t xml:space="preserve">by LD, then split into training and holdout sets semi-randomly, enforcing an even distribution of positive loci and maintaining the distribution of variant counts between the sets. For modelling, we included only positive loci which had a sufficient number of negative loci with similar locus variant count, which was enforced in both training and holdout sets. After models were built, they were assessed by building ROC plots in the holdout sets. </w:t>
      </w:r>
    </w:p>
    <w:p w:rsidR="00E82A37" w:rsidRDefault="00E82A37">
      <w:pPr>
        <w:rPr>
          <w:rFonts w:cstheme="minorHAnsi"/>
        </w:rPr>
      </w:pPr>
      <w:r>
        <w:rPr>
          <w:rFonts w:cstheme="minorHAnsi"/>
        </w:rPr>
        <w:br w:type="page"/>
      </w:r>
    </w:p>
    <w:p w:rsidR="00BC4394" w:rsidRPr="00BC4394" w:rsidRDefault="00BC4394" w:rsidP="00BC4394">
      <w:pPr>
        <w:spacing w:after="0" w:line="276" w:lineRule="auto"/>
        <w:rPr>
          <w:rFonts w:cstheme="minorHAnsi"/>
        </w:rPr>
      </w:pPr>
      <w:r w:rsidRPr="00BC4394">
        <w:rPr>
          <w:rFonts w:cstheme="minorHAnsi"/>
        </w:rPr>
        <w:lastRenderedPageBreak/>
        <w:t>A)</w:t>
      </w:r>
      <w:r w:rsidRPr="00BC4394">
        <w:rPr>
          <w:rFonts w:cstheme="minorHAnsi"/>
        </w:rPr>
        <w:tab/>
      </w:r>
      <w:r w:rsidRPr="00BC4394">
        <w:rPr>
          <w:rFonts w:cstheme="minorHAnsi"/>
        </w:rPr>
        <w:tab/>
      </w:r>
      <w:r w:rsidRPr="00BC4394">
        <w:rPr>
          <w:rFonts w:cstheme="minorHAnsi"/>
        </w:rPr>
        <w:tab/>
      </w:r>
      <w:r w:rsidRPr="00BC4394">
        <w:rPr>
          <w:rFonts w:cstheme="minorHAnsi"/>
        </w:rPr>
        <w:tab/>
      </w:r>
      <w:r w:rsidRPr="00BC4394">
        <w:rPr>
          <w:rFonts w:cstheme="minorHAnsi"/>
        </w:rPr>
        <w:tab/>
      </w:r>
      <w:r w:rsidRPr="00BC4394">
        <w:rPr>
          <w:rFonts w:cstheme="minorHAnsi"/>
        </w:rPr>
        <w:tab/>
        <w:t xml:space="preserve">        B)</w:t>
      </w:r>
    </w:p>
    <w:p w:rsidR="00BC4394" w:rsidRDefault="00BC4394" w:rsidP="00BC4394">
      <w:pPr>
        <w:spacing w:after="0" w:line="276" w:lineRule="auto"/>
        <w:rPr>
          <w:rFonts w:cstheme="minorHAnsi"/>
          <w:b/>
        </w:rPr>
      </w:pPr>
      <w:r>
        <w:rPr>
          <w:rFonts w:cstheme="minorHAnsi"/>
          <w:b/>
          <w:noProof/>
        </w:rPr>
        <w:drawing>
          <wp:inline distT="0" distB="0" distL="0" distR="0" wp14:anchorId="461412CC" wp14:editId="0B2201DE">
            <wp:extent cx="2411374" cy="193111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atures_vs_holdout_AU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1374" cy="1931114"/>
                    </a:xfrm>
                    <a:prstGeom prst="rect">
                      <a:avLst/>
                    </a:prstGeom>
                  </pic:spPr>
                </pic:pic>
              </a:graphicData>
            </a:graphic>
          </wp:inline>
        </w:drawing>
      </w:r>
      <w:r>
        <w:rPr>
          <w:rFonts w:cstheme="minorHAnsi"/>
          <w:b/>
        </w:rPr>
        <w:t xml:space="preserve">      </w:t>
      </w:r>
      <w:r w:rsidR="007F7110">
        <w:rPr>
          <w:rFonts w:cstheme="minorHAnsi"/>
          <w:b/>
        </w:rPr>
        <w:t xml:space="preserve">            </w:t>
      </w:r>
      <w:r>
        <w:rPr>
          <w:rFonts w:cstheme="minorHAnsi"/>
          <w:b/>
          <w:noProof/>
        </w:rPr>
        <w:drawing>
          <wp:inline distT="0" distB="0" distL="0" distR="0" wp14:anchorId="32AE4863" wp14:editId="631BD448">
            <wp:extent cx="2360151" cy="189009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ups_vs_holdout_AU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0151" cy="1890093"/>
                    </a:xfrm>
                    <a:prstGeom prst="rect">
                      <a:avLst/>
                    </a:prstGeom>
                  </pic:spPr>
                </pic:pic>
              </a:graphicData>
            </a:graphic>
          </wp:inline>
        </w:drawing>
      </w:r>
    </w:p>
    <w:p w:rsidR="00BC4394" w:rsidRPr="00D82681" w:rsidRDefault="00BC4394" w:rsidP="00BC4394">
      <w:pPr>
        <w:spacing w:after="0" w:line="276" w:lineRule="auto"/>
        <w:rPr>
          <w:rFonts w:cstheme="minorHAnsi"/>
          <w:b/>
        </w:rPr>
      </w:pPr>
      <w:r>
        <w:rPr>
          <w:rFonts w:cstheme="minorHAnsi"/>
          <w:b/>
        </w:rPr>
        <w:t>Supplementary Figure 2</w:t>
      </w:r>
      <w:r w:rsidRPr="00D82681">
        <w:rPr>
          <w:rFonts w:cstheme="minorHAnsi"/>
          <w:b/>
        </w:rPr>
        <w:t xml:space="preserve">: </w:t>
      </w:r>
      <w:r>
        <w:rPr>
          <w:rFonts w:cstheme="minorHAnsi"/>
          <w:b/>
        </w:rPr>
        <w:t>Holdout AUCs vs # Selected Features and # Groups used for Training</w:t>
      </w:r>
      <w:r w:rsidRPr="00D82681">
        <w:rPr>
          <w:rFonts w:cstheme="minorHAnsi"/>
          <w:b/>
        </w:rPr>
        <w:t xml:space="preserve">. </w:t>
      </w:r>
    </w:p>
    <w:p w:rsidR="00BC4394" w:rsidRDefault="00BC4394" w:rsidP="00BC4394">
      <w:pPr>
        <w:spacing w:line="276" w:lineRule="auto"/>
        <w:rPr>
          <w:rFonts w:cstheme="minorHAnsi"/>
        </w:rPr>
      </w:pPr>
      <w:r>
        <w:rPr>
          <w:rFonts w:cstheme="minorHAnsi"/>
        </w:rPr>
        <w:t xml:space="preserve">Model AUC in holdout set plotted against A) number of features selected by the model and B) number of positives groups used for training. In both panels, models which passed selection criteria (AUC ≥ 0.7, AUC change between training and holdout ≤ 0.02) are green while models which were not selected are purple. </w:t>
      </w:r>
    </w:p>
    <w:p w:rsidR="00BC4394" w:rsidRDefault="00BC4394" w:rsidP="00BC4394">
      <w:pPr>
        <w:spacing w:line="276" w:lineRule="auto"/>
        <w:rPr>
          <w:rFonts w:cstheme="minorHAnsi"/>
        </w:rPr>
      </w:pPr>
    </w:p>
    <w:p w:rsidR="00BC4394" w:rsidRDefault="00BC4394">
      <w:r>
        <w:br w:type="page"/>
      </w:r>
    </w:p>
    <w:p w:rsidR="00BC4394" w:rsidRDefault="00BC4394" w:rsidP="00BC4394">
      <w:pPr>
        <w:spacing w:line="276" w:lineRule="auto"/>
      </w:pPr>
      <w:r>
        <w:lastRenderedPageBreak/>
        <w:t>A)</w:t>
      </w:r>
    </w:p>
    <w:p w:rsidR="00BC4394" w:rsidRDefault="00BC4394" w:rsidP="00BC4394">
      <w:pPr>
        <w:spacing w:line="276" w:lineRule="auto"/>
      </w:pPr>
      <w:r>
        <w:rPr>
          <w:noProof/>
        </w:rPr>
        <w:drawing>
          <wp:inline distT="0" distB="0" distL="0" distR="0" wp14:anchorId="49A69B2A" wp14:editId="179B7E71">
            <wp:extent cx="5943600" cy="29717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immune_difmodels_sameloci_crosspredict6_RO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799"/>
                    </a:xfrm>
                    <a:prstGeom prst="rect">
                      <a:avLst/>
                    </a:prstGeom>
                  </pic:spPr>
                </pic:pic>
              </a:graphicData>
            </a:graphic>
          </wp:inline>
        </w:drawing>
      </w:r>
    </w:p>
    <w:p w:rsidR="00BC4394" w:rsidRDefault="00BC4394" w:rsidP="00BC4394">
      <w:pPr>
        <w:spacing w:line="276" w:lineRule="auto"/>
      </w:pPr>
      <w:r>
        <w:t>B)</w:t>
      </w:r>
      <w:r>
        <w:rPr>
          <w:noProof/>
        </w:rPr>
        <w:drawing>
          <wp:inline distT="0" distB="0" distL="0" distR="0" wp14:anchorId="434E62E8" wp14:editId="31353E6A">
            <wp:extent cx="5943600" cy="29717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pids_difmodels_sameloci_crosspredict6_RO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799"/>
                    </a:xfrm>
                    <a:prstGeom prst="rect">
                      <a:avLst/>
                    </a:prstGeom>
                  </pic:spPr>
                </pic:pic>
              </a:graphicData>
            </a:graphic>
          </wp:inline>
        </w:drawing>
      </w:r>
    </w:p>
    <w:p w:rsidR="00BC4394" w:rsidRDefault="00BC4394" w:rsidP="00BC4394">
      <w:pPr>
        <w:spacing w:line="276" w:lineRule="auto"/>
      </w:pPr>
      <w:r>
        <w:lastRenderedPageBreak/>
        <w:t>C)</w:t>
      </w:r>
      <w:r>
        <w:rPr>
          <w:noProof/>
        </w:rPr>
        <w:drawing>
          <wp:inline distT="0" distB="0" distL="0" distR="0" wp14:anchorId="62A84412" wp14:editId="6C483F07">
            <wp:extent cx="5943600" cy="29717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BC_difmodels_sameloci_crosspredict6_R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799"/>
                    </a:xfrm>
                    <a:prstGeom prst="rect">
                      <a:avLst/>
                    </a:prstGeom>
                  </pic:spPr>
                </pic:pic>
              </a:graphicData>
            </a:graphic>
          </wp:inline>
        </w:drawing>
      </w:r>
    </w:p>
    <w:p w:rsidR="00BC4394" w:rsidRDefault="00BC4394" w:rsidP="00BC4394">
      <w:pPr>
        <w:spacing w:line="276" w:lineRule="auto"/>
      </w:pPr>
      <w:r>
        <w:t>D)</w:t>
      </w:r>
      <w:r>
        <w:rPr>
          <w:noProof/>
        </w:rPr>
        <w:drawing>
          <wp:inline distT="0" distB="0" distL="0" distR="0" wp14:anchorId="2AA6DD3D" wp14:editId="5E824400">
            <wp:extent cx="5943600" cy="29717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BC_difmodels_sameloci_crosspredict6_R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799"/>
                    </a:xfrm>
                    <a:prstGeom prst="rect">
                      <a:avLst/>
                    </a:prstGeom>
                  </pic:spPr>
                </pic:pic>
              </a:graphicData>
            </a:graphic>
          </wp:inline>
        </w:drawing>
      </w:r>
    </w:p>
    <w:p w:rsidR="00BC4394" w:rsidRPr="00D82681" w:rsidRDefault="00BC4394" w:rsidP="00BC4394">
      <w:pPr>
        <w:spacing w:after="0" w:line="276" w:lineRule="auto"/>
        <w:rPr>
          <w:rFonts w:cstheme="minorHAnsi"/>
          <w:b/>
        </w:rPr>
      </w:pPr>
      <w:r>
        <w:rPr>
          <w:rFonts w:cstheme="minorHAnsi"/>
          <w:b/>
        </w:rPr>
        <w:t>Supplementary Figure 3</w:t>
      </w:r>
      <w:r w:rsidRPr="00D82681">
        <w:rPr>
          <w:rFonts w:cstheme="minorHAnsi"/>
          <w:b/>
        </w:rPr>
        <w:t xml:space="preserve">: Model AUCs on </w:t>
      </w:r>
      <w:r>
        <w:rPr>
          <w:rFonts w:cstheme="minorHAnsi"/>
          <w:b/>
        </w:rPr>
        <w:t>same</w:t>
      </w:r>
      <w:r w:rsidRPr="00D82681">
        <w:rPr>
          <w:rFonts w:cstheme="minorHAnsi"/>
          <w:b/>
        </w:rPr>
        <w:t xml:space="preserve"> holdout sets. </w:t>
      </w:r>
    </w:p>
    <w:p w:rsidR="00BC4394" w:rsidRDefault="00BC4394" w:rsidP="00BC4394">
      <w:pPr>
        <w:spacing w:line="276" w:lineRule="auto"/>
        <w:rPr>
          <w:rFonts w:cstheme="minorHAnsi"/>
        </w:rPr>
      </w:pPr>
      <w:r>
        <w:rPr>
          <w:rFonts w:cstheme="minorHAnsi"/>
        </w:rPr>
        <w:t>Each panel shows the named holdout set: A) Autoimmune, B) Lipids, C) Red Blood Cells and D) White Blood Cells. AUCs for all six selected models are shown on all plots, with the left (All) plot having all loci in that holdout and the right (No Overlap) having only those loci not positive in multiple models.</w:t>
      </w:r>
    </w:p>
    <w:p w:rsidR="00BC4394" w:rsidRDefault="00BC4394" w:rsidP="00BC4394">
      <w:pPr>
        <w:spacing w:line="276" w:lineRule="auto"/>
        <w:rPr>
          <w:rFonts w:cstheme="minorHAnsi"/>
        </w:rPr>
      </w:pPr>
    </w:p>
    <w:p w:rsidR="00BC4394" w:rsidRDefault="00BC4394" w:rsidP="00BC4394">
      <w:pPr>
        <w:spacing w:line="276" w:lineRule="auto"/>
        <w:rPr>
          <w:rFonts w:cstheme="minorHAnsi"/>
          <w:b/>
        </w:rPr>
      </w:pPr>
      <w:r>
        <w:rPr>
          <w:rFonts w:cstheme="minorHAnsi"/>
          <w:b/>
        </w:rPr>
        <w:br w:type="page"/>
      </w:r>
    </w:p>
    <w:p w:rsidR="00BC4394" w:rsidRDefault="00BC4394" w:rsidP="00BC4394">
      <w:pPr>
        <w:spacing w:line="276" w:lineRule="auto"/>
        <w:rPr>
          <w:rFonts w:cstheme="minorHAnsi"/>
        </w:rPr>
      </w:pPr>
      <w:r>
        <w:rPr>
          <w:rFonts w:cstheme="minorHAnsi"/>
        </w:rPr>
        <w:lastRenderedPageBreak/>
        <w:t>A)</w:t>
      </w:r>
      <w:r>
        <w:rPr>
          <w:rFonts w:cstheme="minorHAnsi"/>
          <w:noProof/>
        </w:rPr>
        <w:drawing>
          <wp:inline distT="0" distB="0" distL="0" distR="0" wp14:anchorId="7A213BD2" wp14:editId="6800D0F0">
            <wp:extent cx="5943599" cy="3200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efficients_autoimmu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9" cy="3200400"/>
                    </a:xfrm>
                    <a:prstGeom prst="rect">
                      <a:avLst/>
                    </a:prstGeom>
                  </pic:spPr>
                </pic:pic>
              </a:graphicData>
            </a:graphic>
          </wp:inline>
        </w:drawing>
      </w:r>
      <w:r>
        <w:rPr>
          <w:rFonts w:cstheme="minorHAnsi"/>
        </w:rPr>
        <w:t>B)</w:t>
      </w:r>
    </w:p>
    <w:p w:rsidR="00BC4394" w:rsidRDefault="00BC4394" w:rsidP="00BC4394">
      <w:pPr>
        <w:spacing w:line="276" w:lineRule="auto"/>
        <w:rPr>
          <w:rFonts w:cstheme="minorHAnsi"/>
        </w:rPr>
      </w:pPr>
      <w:r>
        <w:rPr>
          <w:rFonts w:cstheme="minorHAnsi"/>
          <w:noProof/>
        </w:rPr>
        <w:drawing>
          <wp:inline distT="0" distB="0" distL="0" distR="0" wp14:anchorId="025C6587" wp14:editId="2DAF9375">
            <wp:extent cx="5419085" cy="332750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efficients_RB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9085" cy="3327509"/>
                    </a:xfrm>
                    <a:prstGeom prst="rect">
                      <a:avLst/>
                    </a:prstGeom>
                  </pic:spPr>
                </pic:pic>
              </a:graphicData>
            </a:graphic>
          </wp:inline>
        </w:drawing>
      </w:r>
    </w:p>
    <w:p w:rsidR="00BC4394" w:rsidRDefault="00BC4394" w:rsidP="00BC4394">
      <w:pPr>
        <w:rPr>
          <w:rFonts w:cstheme="minorHAnsi"/>
        </w:rPr>
      </w:pPr>
      <w:r>
        <w:rPr>
          <w:rFonts w:cstheme="minorHAnsi"/>
        </w:rPr>
        <w:br w:type="page"/>
      </w:r>
    </w:p>
    <w:p w:rsidR="00BC4394" w:rsidRDefault="00BC4394" w:rsidP="00BC4394">
      <w:pPr>
        <w:spacing w:line="276" w:lineRule="auto"/>
        <w:rPr>
          <w:rFonts w:cstheme="minorHAnsi"/>
        </w:rPr>
      </w:pPr>
      <w:r>
        <w:rPr>
          <w:rFonts w:cstheme="minorHAnsi"/>
        </w:rPr>
        <w:lastRenderedPageBreak/>
        <w:t>C)</w:t>
      </w:r>
    </w:p>
    <w:p w:rsidR="00BC4394" w:rsidRDefault="00BC4394" w:rsidP="00BC4394">
      <w:pPr>
        <w:spacing w:line="276" w:lineRule="auto"/>
        <w:rPr>
          <w:rFonts w:cstheme="minorHAnsi"/>
        </w:rPr>
      </w:pPr>
      <w:r>
        <w:rPr>
          <w:rFonts w:cstheme="minorHAnsi"/>
          <w:noProof/>
        </w:rPr>
        <w:drawing>
          <wp:inline distT="0" distB="0" distL="0" distR="0" wp14:anchorId="43B8B7D0" wp14:editId="20707BE8">
            <wp:extent cx="5068570" cy="35479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efficients_WB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8570" cy="3547999"/>
                    </a:xfrm>
                    <a:prstGeom prst="rect">
                      <a:avLst/>
                    </a:prstGeom>
                  </pic:spPr>
                </pic:pic>
              </a:graphicData>
            </a:graphic>
          </wp:inline>
        </w:drawing>
      </w:r>
    </w:p>
    <w:p w:rsidR="00BC4394" w:rsidRPr="00D82681" w:rsidRDefault="00BC4394" w:rsidP="00BC4394">
      <w:pPr>
        <w:spacing w:after="0" w:line="276" w:lineRule="auto"/>
        <w:rPr>
          <w:rFonts w:cstheme="minorHAnsi"/>
          <w:b/>
        </w:rPr>
      </w:pPr>
      <w:r>
        <w:rPr>
          <w:rFonts w:cstheme="minorHAnsi"/>
          <w:b/>
        </w:rPr>
        <w:t>Supplementary Figure 4</w:t>
      </w:r>
      <w:r w:rsidRPr="00D82681">
        <w:rPr>
          <w:rFonts w:cstheme="minorHAnsi"/>
          <w:b/>
        </w:rPr>
        <w:t xml:space="preserve">: </w:t>
      </w:r>
      <w:r>
        <w:rPr>
          <w:rFonts w:cstheme="minorHAnsi"/>
          <w:b/>
        </w:rPr>
        <w:t>Selected Model Feature Coefficients</w:t>
      </w:r>
      <w:r w:rsidRPr="00D82681">
        <w:rPr>
          <w:rFonts w:cstheme="minorHAnsi"/>
          <w:b/>
        </w:rPr>
        <w:t xml:space="preserve">. </w:t>
      </w:r>
    </w:p>
    <w:p w:rsidR="00BC4394" w:rsidRDefault="00BC4394" w:rsidP="00BC4394">
      <w:pPr>
        <w:spacing w:after="0" w:line="276" w:lineRule="auto"/>
        <w:rPr>
          <w:rFonts w:cstheme="minorHAnsi"/>
        </w:rPr>
      </w:pPr>
      <w:r w:rsidRPr="00DF7DF4">
        <w:rPr>
          <w:rFonts w:cstheme="minorHAnsi"/>
        </w:rPr>
        <w:t>A)</w:t>
      </w:r>
      <w:r>
        <w:rPr>
          <w:rFonts w:cstheme="minorHAnsi"/>
        </w:rPr>
        <w:t xml:space="preserve"> Autoimmune, B) Red Blood Cells, and C) White Blood Cells model coefficients, sorted by tissue type and value. </w:t>
      </w:r>
    </w:p>
    <w:p w:rsidR="00BC4394" w:rsidRDefault="00BC4394" w:rsidP="00BC4394">
      <w:pPr>
        <w:spacing w:after="0" w:line="276" w:lineRule="auto"/>
      </w:pPr>
    </w:p>
    <w:p w:rsidR="00BC4394" w:rsidRDefault="00BC4394" w:rsidP="00BC4394">
      <w:pPr>
        <w:spacing w:after="0" w:line="276" w:lineRule="auto"/>
      </w:pPr>
    </w:p>
    <w:p w:rsidR="00BC4394" w:rsidRDefault="00BC4394" w:rsidP="00BC4394">
      <w:pPr>
        <w:spacing w:after="0" w:line="276" w:lineRule="auto"/>
      </w:pPr>
      <w:r>
        <w:rPr>
          <w:noProof/>
        </w:rPr>
        <w:lastRenderedPageBreak/>
        <w:drawing>
          <wp:inline distT="0" distB="0" distL="0" distR="0" wp14:anchorId="164E48DA" wp14:editId="544D974E">
            <wp:extent cx="4543053" cy="45352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kb_collect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3053" cy="4535278"/>
                    </a:xfrm>
                    <a:prstGeom prst="rect">
                      <a:avLst/>
                    </a:prstGeom>
                  </pic:spPr>
                </pic:pic>
              </a:graphicData>
            </a:graphic>
          </wp:inline>
        </w:drawing>
      </w:r>
    </w:p>
    <w:p w:rsidR="00BC4394" w:rsidRPr="00D82681" w:rsidRDefault="00BC4394" w:rsidP="00BC4394">
      <w:pPr>
        <w:spacing w:after="0" w:line="276" w:lineRule="auto"/>
        <w:rPr>
          <w:rFonts w:cstheme="minorHAnsi"/>
          <w:b/>
        </w:rPr>
      </w:pPr>
      <w:r>
        <w:rPr>
          <w:rFonts w:cstheme="minorHAnsi"/>
          <w:b/>
        </w:rPr>
        <w:t>Supplementary Figure 5</w:t>
      </w:r>
      <w:r w:rsidRPr="00D82681">
        <w:rPr>
          <w:rFonts w:cstheme="minorHAnsi"/>
          <w:b/>
        </w:rPr>
        <w:t xml:space="preserve">: </w:t>
      </w:r>
      <w:r>
        <w:rPr>
          <w:rFonts w:cstheme="minorHAnsi"/>
          <w:b/>
        </w:rPr>
        <w:t>Enrichment of FDR &lt; 0.01 SNPs within 25kb of GWAS variants</w:t>
      </w:r>
      <w:r w:rsidRPr="00D82681">
        <w:rPr>
          <w:rFonts w:cstheme="minorHAnsi"/>
          <w:b/>
        </w:rPr>
        <w:t xml:space="preserve">. </w:t>
      </w:r>
    </w:p>
    <w:p w:rsidR="00BC4394" w:rsidRDefault="00BC4394" w:rsidP="00BC4394">
      <w:pPr>
        <w:spacing w:after="0" w:line="276" w:lineRule="auto"/>
      </w:pPr>
      <w:r>
        <w:rPr>
          <w:rFonts w:cstheme="minorHAnsi"/>
        </w:rPr>
        <w:t xml:space="preserve">GWAS tested for platelets model: mean platelet volume (MPV) and platelet count (PLT); for RBC model: hematocrit (HCT), mean corpuscular volume (MCV), red blood cell count (RBC), and red cell distribution width (RDW); for WBC model: basophil count (BAS), eosinophil count (EOS), monocyte count (MON) and neutrophil count (NEU). </w:t>
      </w:r>
    </w:p>
    <w:p w:rsidR="00A17F41" w:rsidRDefault="00A17F41"/>
    <w:sectPr w:rsidR="00A17F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394"/>
    <w:rsid w:val="0031776D"/>
    <w:rsid w:val="00401EEA"/>
    <w:rsid w:val="004152CB"/>
    <w:rsid w:val="007F7110"/>
    <w:rsid w:val="00A17F41"/>
    <w:rsid w:val="00BC4394"/>
    <w:rsid w:val="00E82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8D725-74C1-48EF-B0C4-3BA8B222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Lorenz</dc:creator>
  <cp:keywords/>
  <dc:description/>
  <cp:lastModifiedBy>Kim Lorenz</cp:lastModifiedBy>
  <cp:revision>2</cp:revision>
  <dcterms:created xsi:type="dcterms:W3CDTF">2021-09-27T20:37:00Z</dcterms:created>
  <dcterms:modified xsi:type="dcterms:W3CDTF">2021-09-27T20:37:00Z</dcterms:modified>
</cp:coreProperties>
</file>