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0DA84" w14:textId="2BDCBDD8" w:rsidR="006B0DBB" w:rsidRPr="001F568C" w:rsidRDefault="003C1426">
      <w:pPr>
        <w:spacing w:before="240"/>
        <w:jc w:val="both"/>
        <w:rPr>
          <w:rFonts w:ascii="Times New Roman" w:hAnsi="Times New Roman"/>
          <w:color w:val="4F81BD" w:themeColor="accent1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Supplemental Material A: Data Sources</w:t>
      </w:r>
      <w:r w:rsidR="00855DC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</w:p>
    <w:p w14:paraId="0D7BC748" w14:textId="77777777" w:rsidR="006B0DBB" w:rsidRDefault="003C1426">
      <w:pPr>
        <w:spacing w:before="24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bookmarkStart w:id="0" w:name="_pdqgojmz37sv" w:colFirst="0" w:colLast="0"/>
      <w:bookmarkEnd w:id="0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Cerner Real World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TM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(CRWD)</w:t>
      </w:r>
    </w:p>
    <w:p w14:paraId="6098DA04" w14:textId="6F9B16FD" w:rsidR="006B0DBB" w:rsidRDefault="003C1426" w:rsidP="005E34B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j4436buvazz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Cerner Real-World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 national, de-identified, person-centric dataset solution provided by Cerner </w:t>
      </w:r>
      <w:r w:rsidR="00EE2818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orporation to enable researchers to leverage longitudinal electronic health records (EHR) data from contributing organizations. Cerner offer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one</w:t>
      </w:r>
      <w:r w:rsidR="00E9320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year free access to a COVID-19 data science workspace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which includes access to a CRWD COVID-19 de-identified data cohort hosted on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HealtheDataLab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TM</w:t>
      </w:r>
      <w:proofErr w:type="spellEnd"/>
      <w:r w:rsidR="00551E32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>the Cerner data science ecosystem, built and deployed on Amazon Web Services (AWS).</w:t>
      </w:r>
    </w:p>
    <w:p w14:paraId="62F0A285" w14:textId="16668D2D" w:rsidR="006B0DBB" w:rsidRDefault="003C1426" w:rsidP="005E34B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2u1krnuskpv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Data in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CRWD </w:t>
      </w:r>
      <w:r w:rsidR="00C70998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extracted from the EHR of hospitals and clinics </w:t>
      </w:r>
      <w:r w:rsidR="00E93208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have consented to such use. Encounters may include pharmacy, clinical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microbiology laboratory, admission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billing information from affiliated patient care locations. All admissions, medication orders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dispensing, laboratory orders</w:t>
      </w:r>
      <w:r w:rsidR="00E9320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specimens are date</w:t>
      </w:r>
      <w:r w:rsidR="007B090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time</w:t>
      </w:r>
      <w:r w:rsidR="00E9320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stamped, providing a temporal relationship between treatment patterns and clinical information. Cerner de-identifies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CRWD in compliance with</w:t>
      </w:r>
      <w:r w:rsidR="00A916F4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Health Insurance Portability and Accountability Act</w:t>
      </w:r>
      <w:r w:rsidR="00BC3D6F">
        <w:rPr>
          <w:rFonts w:ascii="Times New Roman" w:eastAsia="Times New Roman" w:hAnsi="Times New Roman" w:cs="Times New Roman"/>
          <w:sz w:val="24"/>
          <w:szCs w:val="24"/>
        </w:rPr>
        <w:t xml:space="preserve"> (HIPAA)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97A4B4" w14:textId="53EF063A" w:rsidR="006B0DBB" w:rsidRDefault="003C1426" w:rsidP="005E34B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our study</w:t>
      </w:r>
      <w:r w:rsidR="00E9320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 used the latest freely available version (Q3)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5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which includes patient data 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up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end of September 2020.</w:t>
      </w:r>
    </w:p>
    <w:p w14:paraId="089665CF" w14:textId="138D2C06" w:rsidR="006B0DBB" w:rsidRPr="001F568C" w:rsidRDefault="001F568C">
      <w:pPr>
        <w:spacing w:before="240"/>
        <w:jc w:val="both"/>
        <w:rPr>
          <w:rFonts w:ascii="Times New Roman" w:hAnsi="Times New Roman"/>
          <w:b/>
          <w:color w:val="000000" w:themeColor="text1"/>
          <w:sz w:val="24"/>
        </w:rPr>
      </w:pPr>
      <w:bookmarkStart w:id="3" w:name="_88idxa8ab74m" w:colFirst="0" w:colLast="0"/>
      <w:bookmarkEnd w:id="3"/>
      <w:r w:rsidRPr="001F568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Optum® de-identified COVID-19 Electronic Health Record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68C">
        <w:rPr>
          <w:rFonts w:ascii="Times New Roman" w:eastAsia="Times New Roman" w:hAnsi="Times New Roman" w:cs="Times New Roman"/>
          <w:b/>
          <w:sz w:val="24"/>
          <w:szCs w:val="24"/>
        </w:rPr>
        <w:t>Dataset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(OPTUM)</w:t>
      </w:r>
    </w:p>
    <w:p w14:paraId="0CCC7691" w14:textId="0113E5A5" w:rsidR="006B0DBB" w:rsidRDefault="003C1426" w:rsidP="005E34B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Given the urgent need to clinically understand the novel virus of COVID 19, </w:t>
      </w:r>
      <w:r w:rsidR="004D66B4">
        <w:rPr>
          <w:rFonts w:ascii="Times New Roman" w:eastAsia="Times New Roman" w:hAnsi="Times New Roman" w:cs="Times New Roman"/>
          <w:sz w:val="24"/>
          <w:szCs w:val="24"/>
        </w:rPr>
        <w:t xml:space="preserve">Optum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developed a low latency data pipeline that enables minimal data lag, while preserving as much clinical data as possible.  The data 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sourced from Optum’s longitudinal EHR repository, which is derived from dozens of healthcare provider organizations in the United States, including more than 700 hospitals and 7</w:t>
      </w:r>
      <w:r w:rsidR="009C49E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000 clinics. The data 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certified as de-identified by an independent statistical expert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following HIPAA statistical de-identification rules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managed according to </w:t>
      </w:r>
      <w:r w:rsidR="004D66B4">
        <w:rPr>
          <w:rFonts w:ascii="Times New Roman" w:eastAsia="Times New Roman" w:hAnsi="Times New Roman" w:cs="Times New Roman"/>
          <w:sz w:val="24"/>
          <w:szCs w:val="24"/>
        </w:rPr>
        <w:t>Optum®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customer data</w:t>
      </w:r>
      <w:r w:rsidR="00BC3D6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agreements. The COVID-19 data asset incorporates a wide swath of raw clinical data, including new, unmapped COVID-specific clinical data points from 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npatient and 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mbulatory electronic medical records (EMRs), practice management systems</w:t>
      </w:r>
      <w:r w:rsidR="00E9320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numerous other internal systems. Information is processed from across the continuum of care, including acute inpatient stays and outpatient visits. The COVID-19 data capture point of care diagnostics specific to the COVID-19 patient during initial presentation, acute illness</w:t>
      </w:r>
      <w:r w:rsidR="00E9320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convalescence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over 500 mapped labs and bedside observations, including COVID-19 specific testing.</w:t>
      </w:r>
    </w:p>
    <w:p w14:paraId="1AED4D47" w14:textId="3D6407D6" w:rsidR="006B0DBB" w:rsidRDefault="003C1426" w:rsidP="005E34B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ug2t65oq8085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D66B4">
        <w:rPr>
          <w:rFonts w:ascii="Times New Roman" w:eastAsia="Times New Roman" w:hAnsi="Times New Roman" w:cs="Times New Roman"/>
          <w:sz w:val="24"/>
          <w:szCs w:val="24"/>
        </w:rPr>
        <w:t>Optum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COVID-19 data elements include patient</w:t>
      </w:r>
      <w:r w:rsidR="00E9320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level information: demographics, mortality, 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clinical interventions</w:t>
      </w:r>
      <w:r w:rsidR="003559F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such as medications prescribed and administered. The 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data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composed of multiple tables that can be linked by a common patient identifier (</w:t>
      </w:r>
      <w:r w:rsidR="00E93208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anonymous, randomized string of characters). The COVID-19 patient 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base includes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patients in the 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EHR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atabase who have documented clinical care from January 2007 to the most current monthly data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release (October 2020) with a documented diagnosis of COVID-19 or acute respiratory illness after 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 xml:space="preserve">February 1, 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and/or documented COVID-19 testing (positive or negative result).</w:t>
      </w:r>
    </w:p>
    <w:p w14:paraId="1CBA63E7" w14:textId="2526BC76" w:rsidR="006B0DBB" w:rsidRPr="005E34B4" w:rsidRDefault="003C1426" w:rsidP="005E34B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84vx20qenx2s" w:colFirst="0" w:colLast="0"/>
      <w:bookmarkEnd w:id="5"/>
      <w:r w:rsidRPr="00C11E84">
        <w:rPr>
          <w:rFonts w:ascii="Times New Roman" w:eastAsia="Times New Roman" w:hAnsi="Times New Roman" w:cs="Times New Roman"/>
          <w:sz w:val="24"/>
          <w:szCs w:val="24"/>
        </w:rPr>
        <w:t>In our study</w:t>
      </w:r>
      <w:r w:rsidR="00E93208" w:rsidRPr="00C11E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11E84">
        <w:rPr>
          <w:rFonts w:ascii="Times New Roman" w:eastAsia="Times New Roman" w:hAnsi="Times New Roman" w:cs="Times New Roman"/>
          <w:sz w:val="24"/>
          <w:szCs w:val="24"/>
        </w:rPr>
        <w:t xml:space="preserve"> we used the 1015 version</w:t>
      </w:r>
      <w:r w:rsidR="00551E32" w:rsidRPr="00C11E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11E84">
        <w:rPr>
          <w:rFonts w:ascii="Times New Roman" w:eastAsia="Times New Roman" w:hAnsi="Times New Roman" w:cs="Times New Roman"/>
          <w:sz w:val="24"/>
          <w:szCs w:val="24"/>
        </w:rPr>
        <w:t xml:space="preserve"> which includes patient data </w:t>
      </w:r>
      <w:r w:rsidR="00551E32" w:rsidRPr="00C11E84">
        <w:rPr>
          <w:rFonts w:ascii="Times New Roman" w:eastAsia="Times New Roman" w:hAnsi="Times New Roman" w:cs="Times New Roman"/>
          <w:sz w:val="24"/>
          <w:szCs w:val="24"/>
        </w:rPr>
        <w:t xml:space="preserve">until </w:t>
      </w:r>
      <w:r w:rsidR="00C11E84" w:rsidRPr="00C11E84">
        <w:rPr>
          <w:rFonts w:ascii="Times New Roman" w:eastAsia="Times New Roman" w:hAnsi="Times New Roman" w:cs="Times New Roman"/>
          <w:sz w:val="24"/>
          <w:szCs w:val="24"/>
        </w:rPr>
        <w:t xml:space="preserve">October 15, </w:t>
      </w:r>
      <w:r w:rsidRPr="005E34B4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C11E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1F70">
        <w:rPr>
          <w:rFonts w:ascii="Times New Roman" w:eastAsia="Times New Roman" w:hAnsi="Times New Roman" w:cs="Times New Roman"/>
          <w:sz w:val="24"/>
          <w:szCs w:val="24"/>
        </w:rPr>
        <w:t xml:space="preserve"> We only included COVID-19 patients</w:t>
      </w:r>
      <w:r w:rsidR="00B9364C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E40593">
        <w:rPr>
          <w:rFonts w:ascii="Times New Roman" w:eastAsia="Times New Roman" w:hAnsi="Times New Roman" w:cs="Times New Roman"/>
          <w:sz w:val="24"/>
          <w:szCs w:val="24"/>
        </w:rPr>
        <w:t>a hospital</w:t>
      </w:r>
      <w:r w:rsidR="00B9364C">
        <w:rPr>
          <w:rFonts w:ascii="Times New Roman" w:eastAsia="Times New Roman" w:hAnsi="Times New Roman" w:cs="Times New Roman"/>
          <w:sz w:val="24"/>
          <w:szCs w:val="24"/>
        </w:rPr>
        <w:t xml:space="preserve"> stay longer than one day and a confirmed COVID-19 diagnosis,</w:t>
      </w:r>
      <w:r w:rsidR="007F1F70">
        <w:rPr>
          <w:rFonts w:ascii="Times New Roman" w:eastAsia="Times New Roman" w:hAnsi="Times New Roman" w:cs="Times New Roman"/>
          <w:sz w:val="24"/>
          <w:szCs w:val="24"/>
        </w:rPr>
        <w:t xml:space="preserve"> either through positive COVID-19 testing results</w:t>
      </w:r>
      <w:r w:rsidR="00B9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F70">
        <w:rPr>
          <w:rFonts w:ascii="Times New Roman" w:eastAsia="Times New Roman" w:hAnsi="Times New Roman" w:cs="Times New Roman"/>
          <w:sz w:val="24"/>
          <w:szCs w:val="24"/>
        </w:rPr>
        <w:t xml:space="preserve">or a documented </w:t>
      </w:r>
      <w:r w:rsidR="00B9364C">
        <w:rPr>
          <w:rFonts w:ascii="Times New Roman" w:eastAsia="Times New Roman" w:hAnsi="Times New Roman" w:cs="Times New Roman"/>
          <w:sz w:val="24"/>
          <w:szCs w:val="24"/>
        </w:rPr>
        <w:t>COVID-19 diagnosis code (</w:t>
      </w:r>
      <w:r w:rsidR="00B9364C" w:rsidRPr="00B9364C">
        <w:rPr>
          <w:rFonts w:ascii="Times New Roman" w:eastAsia="Times New Roman" w:hAnsi="Times New Roman" w:cs="Times New Roman"/>
          <w:sz w:val="24"/>
          <w:szCs w:val="24"/>
        </w:rPr>
        <w:t>U071)</w:t>
      </w:r>
      <w:r w:rsidR="00B93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59756DB" w14:textId="779BBDDD" w:rsidR="006B0DBB" w:rsidRPr="00C11E84" w:rsidRDefault="003C1426">
      <w:pPr>
        <w:spacing w:before="240"/>
        <w:jc w:val="both"/>
        <w:rPr>
          <w:rFonts w:ascii="Times New Roman" w:hAnsi="Times New Roman"/>
          <w:b/>
          <w:color w:val="000000" w:themeColor="text1"/>
          <w:sz w:val="24"/>
        </w:rPr>
      </w:pPr>
      <w:bookmarkStart w:id="6" w:name="_c2lvujithqg8" w:colFirst="0" w:colLast="0"/>
      <w:bookmarkEnd w:id="6"/>
      <w:r w:rsidRPr="00C11E84">
        <w:rPr>
          <w:rFonts w:ascii="Times New Roman" w:hAnsi="Times New Roman"/>
          <w:b/>
          <w:color w:val="000000" w:themeColor="text1"/>
          <w:sz w:val="24"/>
        </w:rPr>
        <w:t xml:space="preserve">Major differences and similarities between CRWD and </w:t>
      </w:r>
      <w:r w:rsidR="00C11E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OPTUM</w:t>
      </w:r>
    </w:p>
    <w:p w14:paraId="12DCF4EB" w14:textId="53AB9CA6" w:rsidR="00551E32" w:rsidRDefault="003C1426" w:rsidP="005E34B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key difference between both datasets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they applied different de-identification strategies. 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CRWD applied date shifting for date de-identification, wh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ereas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E84">
        <w:rPr>
          <w:rFonts w:ascii="Times New Roman" w:eastAsia="Times New Roman" w:hAnsi="Times New Roman" w:cs="Times New Roman"/>
          <w:sz w:val="24"/>
          <w:szCs w:val="24"/>
        </w:rPr>
        <w:t>OPTUM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 xml:space="preserve"> did 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apply date shifting for events but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rather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masked 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exact day for patient identifiable dates</w:t>
      </w:r>
      <w:r w:rsidR="006551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 xml:space="preserve"> such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date of birth. </w:t>
      </w:r>
      <w:r w:rsidR="00C11E84">
        <w:rPr>
          <w:rFonts w:ascii="Times New Roman" w:eastAsia="Times New Roman" w:hAnsi="Times New Roman" w:cs="Times New Roman"/>
          <w:sz w:val="24"/>
          <w:szCs w:val="24"/>
        </w:rPr>
        <w:t>OPTUM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did not provide the exact encounter disposition for expired patients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, whereas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is available on CRWD.</w:t>
      </w:r>
    </w:p>
    <w:p w14:paraId="767804B4" w14:textId="3D179766" w:rsidR="006B0DBB" w:rsidRPr="005E34B4" w:rsidRDefault="003C1426" w:rsidP="005E34B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CRWD and </w:t>
      </w:r>
      <w:r w:rsidR="00C11E84">
        <w:rPr>
          <w:rFonts w:ascii="Times New Roman" w:eastAsia="Times New Roman" w:hAnsi="Times New Roman" w:cs="Times New Roman"/>
          <w:sz w:val="24"/>
          <w:szCs w:val="24"/>
        </w:rPr>
        <w:t>OPTUM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used nearly the same standard codes for diagnosis, procedures, laboratory</w:t>
      </w:r>
      <w:r w:rsidR="00E9320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assessment result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s; thus,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 did not need to apply any terminology normalization. Cerner used </w:t>
      </w:r>
      <w:proofErr w:type="spellStart"/>
      <w:r w:rsidRPr="005E34B4">
        <w:rPr>
          <w:rFonts w:ascii="Times New Roman" w:eastAsia="Times New Roman" w:hAnsi="Times New Roman" w:cs="Times New Roman"/>
          <w:sz w:val="24"/>
          <w:szCs w:val="24"/>
        </w:rPr>
        <w:t>M</w:t>
      </w:r>
      <w:r w:rsidR="00C11E84" w:rsidRPr="005E34B4">
        <w:rPr>
          <w:rFonts w:ascii="Times New Roman" w:eastAsia="Times New Roman" w:hAnsi="Times New Roman" w:cs="Times New Roman"/>
          <w:sz w:val="24"/>
          <w:szCs w:val="24"/>
        </w:rPr>
        <w:t>ultum</w:t>
      </w:r>
      <w:proofErr w:type="spellEnd"/>
      <w:r w:rsidRPr="005E3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codes for medications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where</w:t>
      </w:r>
      <w:r w:rsidR="00C82E2D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E84">
        <w:rPr>
          <w:rFonts w:ascii="Times New Roman" w:eastAsia="Times New Roman" w:hAnsi="Times New Roman" w:cs="Times New Roman"/>
          <w:sz w:val="24"/>
          <w:szCs w:val="24"/>
        </w:rPr>
        <w:t>OPTUM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NDC code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s. Thus,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 used the Cerner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drug database mapping tool to map the </w:t>
      </w:r>
      <w:r w:rsidR="00C11E84">
        <w:rPr>
          <w:rFonts w:ascii="Times New Roman" w:eastAsia="Times New Roman" w:hAnsi="Times New Roman" w:cs="Times New Roman"/>
          <w:sz w:val="24"/>
          <w:szCs w:val="24"/>
        </w:rPr>
        <w:t>OPTUM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medication NDC codes to </w:t>
      </w:r>
      <w:proofErr w:type="spellStart"/>
      <w:r w:rsidR="00C11E84" w:rsidRPr="005E34B4">
        <w:rPr>
          <w:rFonts w:ascii="Times New Roman" w:eastAsia="Times New Roman" w:hAnsi="Times New Roman" w:cs="Times New Roman"/>
          <w:sz w:val="24"/>
          <w:szCs w:val="24"/>
        </w:rPr>
        <w:t>Multum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codes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529775" w14:textId="355E4DE6" w:rsidR="006B0DBB" w:rsidRPr="005E34B4" w:rsidRDefault="007D0DF9" w:rsidP="005E34B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>CRWD results table include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 the clinical interpretations 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 laboratory results and 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does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 not include the normal range for numerical values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. Although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E34B4">
        <w:rPr>
          <w:rFonts w:ascii="Times New Roman" w:eastAsia="Times New Roman" w:hAnsi="Times New Roman" w:cs="Times New Roman"/>
          <w:sz w:val="24"/>
          <w:szCs w:val="24"/>
        </w:rPr>
        <w:t>OPTUM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 laboratory results include the normal range for numerical values</w:t>
      </w:r>
      <w:r w:rsidR="00551E32">
        <w:rPr>
          <w:rFonts w:ascii="Times New Roman" w:eastAsia="Times New Roman" w:hAnsi="Times New Roman" w:cs="Times New Roman"/>
          <w:sz w:val="24"/>
          <w:szCs w:val="24"/>
        </w:rPr>
        <w:t>, they do not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 include the interpretation. As in our study</w:t>
      </w:r>
      <w:r w:rsidR="00E932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 we </w:t>
      </w:r>
      <w:r w:rsidR="003C1426" w:rsidRPr="005E34B4">
        <w:rPr>
          <w:rFonts w:ascii="Times New Roman" w:eastAsia="Times New Roman" w:hAnsi="Times New Roman" w:cs="Times New Roman"/>
          <w:sz w:val="24"/>
          <w:szCs w:val="24"/>
        </w:rPr>
        <w:t>convert</w:t>
      </w:r>
      <w:r w:rsidR="00551E32" w:rsidRPr="005E34B4">
        <w:rPr>
          <w:rFonts w:ascii="Times New Roman" w:eastAsia="Times New Roman" w:hAnsi="Times New Roman" w:cs="Times New Roman"/>
          <w:sz w:val="24"/>
          <w:szCs w:val="24"/>
        </w:rPr>
        <w:t>e</w:t>
      </w:r>
      <w:r w:rsidR="00F213CC" w:rsidRPr="005E34B4">
        <w:rPr>
          <w:rFonts w:ascii="Times New Roman" w:eastAsia="Times New Roman" w:hAnsi="Times New Roman" w:cs="Times New Roman"/>
          <w:sz w:val="24"/>
          <w:szCs w:val="24"/>
        </w:rPr>
        <w:t>d</w:t>
      </w:r>
      <w:r w:rsidR="003C1426" w:rsidRPr="005E34B4">
        <w:rPr>
          <w:rFonts w:ascii="Times New Roman" w:eastAsia="Times New Roman" w:hAnsi="Times New Roman" w:cs="Times New Roman"/>
          <w:sz w:val="24"/>
          <w:szCs w:val="24"/>
        </w:rPr>
        <w:t xml:space="preserve"> all</w:t>
      </w:r>
      <w:r w:rsidR="00F213CC" w:rsidRPr="005E3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>numerical laboratory results into</w:t>
      </w:r>
      <w:r w:rsidR="00F213C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 “below normal low, normal, or above normal high” classification, </w:t>
      </w:r>
      <w:r w:rsidR="005E34B4">
        <w:rPr>
          <w:rFonts w:ascii="Times New Roman" w:eastAsia="Times New Roman" w:hAnsi="Times New Roman" w:cs="Times New Roman"/>
          <w:sz w:val="24"/>
          <w:szCs w:val="24"/>
        </w:rPr>
        <w:t>by using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 the interpretation value provided in the CRWD</w:t>
      </w:r>
      <w:r w:rsidR="00F213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4B4">
        <w:rPr>
          <w:rFonts w:ascii="Times New Roman" w:eastAsia="Times New Roman" w:hAnsi="Times New Roman" w:cs="Times New Roman"/>
          <w:sz w:val="24"/>
          <w:szCs w:val="24"/>
        </w:rPr>
        <w:t>or by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 defin</w:t>
      </w:r>
      <w:r w:rsidR="005E34B4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 the result categories, based on the assigned normal result ranges for </w:t>
      </w:r>
      <w:r w:rsidR="005E34B4">
        <w:rPr>
          <w:rFonts w:ascii="Times New Roman" w:eastAsia="Times New Roman" w:hAnsi="Times New Roman" w:cs="Times New Roman"/>
          <w:sz w:val="24"/>
          <w:szCs w:val="24"/>
        </w:rPr>
        <w:t>OPTUM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. In regard </w:t>
      </w:r>
      <w:r w:rsidR="00E9320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 demographics, the </w:t>
      </w:r>
      <w:r w:rsidR="005E34B4">
        <w:rPr>
          <w:rFonts w:ascii="Times New Roman" w:eastAsia="Times New Roman" w:hAnsi="Times New Roman" w:cs="Times New Roman"/>
          <w:sz w:val="24"/>
          <w:szCs w:val="24"/>
        </w:rPr>
        <w:t>OPTUM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 version</w:t>
      </w:r>
      <w:r w:rsidR="00F213CC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 we used did not include a race group for native Alaskan</w:t>
      </w:r>
      <w:r w:rsidR="00F213CC">
        <w:rPr>
          <w:rFonts w:ascii="Times New Roman" w:eastAsia="Times New Roman" w:hAnsi="Times New Roman" w:cs="Times New Roman"/>
          <w:sz w:val="24"/>
          <w:szCs w:val="24"/>
        </w:rPr>
        <w:t>s</w:t>
      </w:r>
      <w:r w:rsidR="00CF23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E9320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South </w:t>
      </w:r>
      <w:r w:rsidR="00E93208">
        <w:rPr>
          <w:rFonts w:ascii="Times New Roman" w:eastAsia="Times New Roman" w:hAnsi="Times New Roman" w:cs="Times New Roman"/>
          <w:sz w:val="24"/>
          <w:szCs w:val="24"/>
        </w:rPr>
        <w:t>A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tlantic and </w:t>
      </w:r>
      <w:r w:rsidR="00E93208">
        <w:rPr>
          <w:rFonts w:ascii="Times New Roman" w:eastAsia="Times New Roman" w:hAnsi="Times New Roman" w:cs="Times New Roman"/>
          <w:sz w:val="24"/>
          <w:szCs w:val="24"/>
        </w:rPr>
        <w:t>W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est </w:t>
      </w:r>
      <w:r w:rsidR="00E9320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>outh regions were merged, which is not the case in</w:t>
      </w:r>
      <w:r w:rsidR="00F213C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 CRWD. Supplementary </w:t>
      </w:r>
      <w:r w:rsidR="00F213CC">
        <w:rPr>
          <w:rFonts w:ascii="Times New Roman" w:eastAsia="Times New Roman" w:hAnsi="Times New Roman" w:cs="Times New Roman"/>
          <w:sz w:val="24"/>
          <w:szCs w:val="24"/>
        </w:rPr>
        <w:t>F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igure 1 </w:t>
      </w:r>
      <w:r w:rsidR="00F213CC">
        <w:rPr>
          <w:rFonts w:ascii="Times New Roman" w:eastAsia="Times New Roman" w:hAnsi="Times New Roman" w:cs="Times New Roman"/>
          <w:sz w:val="24"/>
          <w:szCs w:val="24"/>
        </w:rPr>
        <w:t>shows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 the geographical coverage </w:t>
      </w:r>
      <w:r w:rsidR="00F213CC">
        <w:rPr>
          <w:rFonts w:ascii="Times New Roman" w:eastAsia="Times New Roman" w:hAnsi="Times New Roman" w:cs="Times New Roman"/>
          <w:sz w:val="24"/>
          <w:szCs w:val="24"/>
        </w:rPr>
        <w:t>for the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 CRWD and </w:t>
      </w:r>
      <w:r w:rsidR="005E34B4">
        <w:rPr>
          <w:rFonts w:ascii="Times New Roman" w:eastAsia="Times New Roman" w:hAnsi="Times New Roman" w:cs="Times New Roman"/>
          <w:sz w:val="24"/>
          <w:szCs w:val="24"/>
        </w:rPr>
        <w:t>OPTUM</w:t>
      </w:r>
      <w:r w:rsidR="003C1426">
        <w:rPr>
          <w:rFonts w:ascii="Times New Roman" w:eastAsia="Times New Roman" w:hAnsi="Times New Roman" w:cs="Times New Roman"/>
          <w:sz w:val="24"/>
          <w:szCs w:val="24"/>
        </w:rPr>
        <w:t xml:space="preserve"> cohorts.</w:t>
      </w:r>
    </w:p>
    <w:p w14:paraId="358907FF" w14:textId="0B1C96F3" w:rsidR="006B0DBB" w:rsidRDefault="0098301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7" w:name="_o6fxwd70xvky" w:colFirst="0" w:colLast="0"/>
      <w:bookmarkEnd w:id="7"/>
      <w:r>
        <w:rPr>
          <w:noProof/>
        </w:rPr>
        <w:drawing>
          <wp:inline distT="0" distB="0" distL="0" distR="0" wp14:anchorId="62D79D53" wp14:editId="7A9D3E61">
            <wp:extent cx="5162550" cy="253185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0213" cy="261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_GoBack"/>
      <w:bookmarkEnd w:id="8"/>
    </w:p>
    <w:p w14:paraId="20839640" w14:textId="2E99B98F" w:rsidR="006B0DBB" w:rsidRPr="005E34B4" w:rsidRDefault="003C1426" w:rsidP="005E34B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Figure 1. Geographical distribution of CRWD and </w:t>
      </w:r>
      <w:r w:rsidR="005E34B4" w:rsidRPr="005E34B4">
        <w:rPr>
          <w:rFonts w:ascii="Times New Roman" w:eastAsia="Times New Roman" w:hAnsi="Times New Roman" w:cs="Times New Roman"/>
          <w:b/>
          <w:sz w:val="24"/>
          <w:szCs w:val="24"/>
        </w:rPr>
        <w:t>OPTUM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cohorts</w:t>
      </w:r>
      <w:bookmarkStart w:id="9" w:name="_nol2ybjdqk2t" w:colFirst="0" w:colLast="0"/>
      <w:bookmarkStart w:id="10" w:name="_l6ko87m69pq2" w:colFirst="0" w:colLast="0"/>
      <w:bookmarkEnd w:id="9"/>
      <w:bookmarkEnd w:id="10"/>
    </w:p>
    <w:sectPr w:rsidR="006B0DBB" w:rsidRPr="005E34B4" w:rsidSect="00E405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F2463" w14:textId="77777777" w:rsidR="0004276C" w:rsidRDefault="0004276C" w:rsidP="00E14A33">
      <w:pPr>
        <w:spacing w:line="240" w:lineRule="auto"/>
      </w:pPr>
      <w:r>
        <w:separator/>
      </w:r>
    </w:p>
  </w:endnote>
  <w:endnote w:type="continuationSeparator" w:id="0">
    <w:p w14:paraId="701AAFDB" w14:textId="77777777" w:rsidR="0004276C" w:rsidRDefault="0004276C" w:rsidP="00E14A33">
      <w:pPr>
        <w:spacing w:line="240" w:lineRule="auto"/>
      </w:pPr>
      <w:r>
        <w:continuationSeparator/>
      </w:r>
    </w:p>
  </w:endnote>
  <w:endnote w:type="continuationNotice" w:id="1">
    <w:p w14:paraId="0E213F70" w14:textId="77777777" w:rsidR="0004276C" w:rsidRDefault="000427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9D055" w14:textId="77777777" w:rsidR="0004276C" w:rsidRDefault="0004276C" w:rsidP="00E14A33">
      <w:pPr>
        <w:spacing w:line="240" w:lineRule="auto"/>
      </w:pPr>
      <w:r>
        <w:separator/>
      </w:r>
    </w:p>
  </w:footnote>
  <w:footnote w:type="continuationSeparator" w:id="0">
    <w:p w14:paraId="091F440D" w14:textId="77777777" w:rsidR="0004276C" w:rsidRDefault="0004276C" w:rsidP="00E14A33">
      <w:pPr>
        <w:spacing w:line="240" w:lineRule="auto"/>
      </w:pPr>
      <w:r>
        <w:continuationSeparator/>
      </w:r>
    </w:p>
  </w:footnote>
  <w:footnote w:type="continuationNotice" w:id="1">
    <w:p w14:paraId="178E9F68" w14:textId="77777777" w:rsidR="0004276C" w:rsidRDefault="0004276C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yNDY0MzAyNgXyDJV0lIJTi4sz8/NACkxqAdC5CP8sAAAA"/>
  </w:docVars>
  <w:rsids>
    <w:rsidRoot w:val="006B0DBB"/>
    <w:rsid w:val="00016F31"/>
    <w:rsid w:val="0004276C"/>
    <w:rsid w:val="00070577"/>
    <w:rsid w:val="00100C3F"/>
    <w:rsid w:val="001023C3"/>
    <w:rsid w:val="00164127"/>
    <w:rsid w:val="00176F2E"/>
    <w:rsid w:val="001F568C"/>
    <w:rsid w:val="0023794C"/>
    <w:rsid w:val="002450A4"/>
    <w:rsid w:val="002B7D9C"/>
    <w:rsid w:val="002C3AA3"/>
    <w:rsid w:val="003423C0"/>
    <w:rsid w:val="003559FF"/>
    <w:rsid w:val="003C1426"/>
    <w:rsid w:val="00493805"/>
    <w:rsid w:val="004B5D46"/>
    <w:rsid w:val="004D66B4"/>
    <w:rsid w:val="00506CCD"/>
    <w:rsid w:val="0053303E"/>
    <w:rsid w:val="00551E32"/>
    <w:rsid w:val="00563CA7"/>
    <w:rsid w:val="0057435C"/>
    <w:rsid w:val="00591021"/>
    <w:rsid w:val="005E34B4"/>
    <w:rsid w:val="005F132E"/>
    <w:rsid w:val="00627322"/>
    <w:rsid w:val="00642665"/>
    <w:rsid w:val="00646C9E"/>
    <w:rsid w:val="00651286"/>
    <w:rsid w:val="0065516D"/>
    <w:rsid w:val="006558AD"/>
    <w:rsid w:val="00664CEB"/>
    <w:rsid w:val="006657B1"/>
    <w:rsid w:val="00672900"/>
    <w:rsid w:val="0068345A"/>
    <w:rsid w:val="00690862"/>
    <w:rsid w:val="006B0DBB"/>
    <w:rsid w:val="00701930"/>
    <w:rsid w:val="007055D5"/>
    <w:rsid w:val="0070700B"/>
    <w:rsid w:val="00720378"/>
    <w:rsid w:val="00754123"/>
    <w:rsid w:val="00757D20"/>
    <w:rsid w:val="007B090B"/>
    <w:rsid w:val="007D0DF9"/>
    <w:rsid w:val="007F1F70"/>
    <w:rsid w:val="007F534A"/>
    <w:rsid w:val="00806DAE"/>
    <w:rsid w:val="00855DC7"/>
    <w:rsid w:val="00860963"/>
    <w:rsid w:val="00870094"/>
    <w:rsid w:val="008A627A"/>
    <w:rsid w:val="008B52BF"/>
    <w:rsid w:val="008B7646"/>
    <w:rsid w:val="008C2B81"/>
    <w:rsid w:val="008C4ECE"/>
    <w:rsid w:val="008D7EF3"/>
    <w:rsid w:val="00982221"/>
    <w:rsid w:val="00983010"/>
    <w:rsid w:val="009A1F6F"/>
    <w:rsid w:val="009C16EA"/>
    <w:rsid w:val="009C49E5"/>
    <w:rsid w:val="009F527E"/>
    <w:rsid w:val="00A076F9"/>
    <w:rsid w:val="00A13A5D"/>
    <w:rsid w:val="00A41155"/>
    <w:rsid w:val="00A916F4"/>
    <w:rsid w:val="00AB5104"/>
    <w:rsid w:val="00AD16A8"/>
    <w:rsid w:val="00B64685"/>
    <w:rsid w:val="00B81118"/>
    <w:rsid w:val="00B9364C"/>
    <w:rsid w:val="00BC3D6F"/>
    <w:rsid w:val="00BC6A1D"/>
    <w:rsid w:val="00BD3792"/>
    <w:rsid w:val="00BE4C18"/>
    <w:rsid w:val="00C11E84"/>
    <w:rsid w:val="00C34F8C"/>
    <w:rsid w:val="00C70998"/>
    <w:rsid w:val="00C7357D"/>
    <w:rsid w:val="00C82E2D"/>
    <w:rsid w:val="00CA595B"/>
    <w:rsid w:val="00CD25C6"/>
    <w:rsid w:val="00CE5CD6"/>
    <w:rsid w:val="00CE78DC"/>
    <w:rsid w:val="00CF2133"/>
    <w:rsid w:val="00CF2324"/>
    <w:rsid w:val="00D22A1B"/>
    <w:rsid w:val="00DA6FF8"/>
    <w:rsid w:val="00DE6BDE"/>
    <w:rsid w:val="00E14A33"/>
    <w:rsid w:val="00E302AF"/>
    <w:rsid w:val="00E40593"/>
    <w:rsid w:val="00E93208"/>
    <w:rsid w:val="00EB0381"/>
    <w:rsid w:val="00EE2818"/>
    <w:rsid w:val="00F060E0"/>
    <w:rsid w:val="00F213CC"/>
    <w:rsid w:val="00F73AA0"/>
    <w:rsid w:val="00F8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A4E5"/>
  <w15:docId w15:val="{EF483EAA-D68E-4A42-996C-CA3C42E9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5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D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4A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3"/>
  </w:style>
  <w:style w:type="paragraph" w:styleId="Footer">
    <w:name w:val="footer"/>
    <w:basedOn w:val="Normal"/>
    <w:link w:val="FooterChar"/>
    <w:uiPriority w:val="99"/>
    <w:unhideWhenUsed/>
    <w:rsid w:val="00E14A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3"/>
  </w:style>
  <w:style w:type="character" w:styleId="PageNumber">
    <w:name w:val="page number"/>
    <w:basedOn w:val="DefaultParagraphFont"/>
    <w:uiPriority w:val="99"/>
    <w:semiHidden/>
    <w:unhideWhenUsed/>
    <w:rsid w:val="00E14A33"/>
  </w:style>
  <w:style w:type="paragraph" w:styleId="Revision">
    <w:name w:val="Revision"/>
    <w:hidden/>
    <w:uiPriority w:val="99"/>
    <w:semiHidden/>
    <w:rsid w:val="001F568C"/>
    <w:pPr>
      <w:spacing w:line="240" w:lineRule="auto"/>
    </w:pPr>
  </w:style>
  <w:style w:type="table" w:styleId="PlainTable2">
    <w:name w:val="Plain Table 2"/>
    <w:basedOn w:val="TableNormal"/>
    <w:uiPriority w:val="42"/>
    <w:rsid w:val="00A076F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Bekhet, Laila R</dc:creator>
  <cp:keywords/>
  <dc:description/>
  <cp:lastModifiedBy>Bekhet, Laila R</cp:lastModifiedBy>
  <cp:revision>3</cp:revision>
  <dcterms:created xsi:type="dcterms:W3CDTF">2021-09-26T18:10:00Z</dcterms:created>
  <dcterms:modified xsi:type="dcterms:W3CDTF">2021-09-26T18:12:00Z</dcterms:modified>
  <cp:category/>
</cp:coreProperties>
</file>