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1"/>
        <w:tblW w:w="13079" w:type="dxa"/>
        <w:tblInd w:w="221" w:type="dxa"/>
        <w:tblLook w:val="04A0" w:firstRow="1" w:lastRow="0" w:firstColumn="1" w:lastColumn="0" w:noHBand="0" w:noVBand="1"/>
      </w:tblPr>
      <w:tblGrid>
        <w:gridCol w:w="2433"/>
        <w:gridCol w:w="717"/>
        <w:gridCol w:w="916"/>
        <w:gridCol w:w="2107"/>
        <w:gridCol w:w="701"/>
        <w:gridCol w:w="945"/>
        <w:gridCol w:w="1967"/>
        <w:gridCol w:w="1984"/>
        <w:gridCol w:w="1309"/>
      </w:tblGrid>
      <w:tr w:rsidR="00C24A1A" w:rsidRPr="00C24A1A" w14:paraId="4B8F7C93" w14:textId="77777777" w:rsidTr="00C24A1A">
        <w:trPr>
          <w:trHeight w:val="374"/>
        </w:trPr>
        <w:tc>
          <w:tcPr>
            <w:tcW w:w="0" w:type="auto"/>
            <w:gridSpan w:val="9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66E07258" w14:textId="1A4E1FA9" w:rsidR="00C24A1A" w:rsidRPr="00C24A1A" w:rsidRDefault="00C24A1A" w:rsidP="00C24A1A">
            <w:pPr>
              <w:pageBreakBefore/>
              <w:tabs>
                <w:tab w:val="left" w:pos="288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C24A1A">
              <w:rPr>
                <w:b/>
                <w:sz w:val="24"/>
                <w:szCs w:val="24"/>
                <w:lang w:val="en-GB"/>
              </w:rPr>
              <w:t xml:space="preserve">Supplemental Table 1. </w:t>
            </w:r>
            <w:r w:rsidRPr="00C24A1A">
              <w:rPr>
                <w:bCs/>
                <w:sz w:val="24"/>
                <w:szCs w:val="24"/>
                <w:lang w:val="en-GB"/>
              </w:rPr>
              <w:t xml:space="preserve">Overall Change From Baseline for Additional Efficacy Assessments </w:t>
            </w:r>
          </w:p>
        </w:tc>
      </w:tr>
      <w:tr w:rsidR="00C24A1A" w:rsidRPr="00C24A1A" w14:paraId="79F45987" w14:textId="77777777" w:rsidTr="00C24A1A">
        <w:trPr>
          <w:trHeight w:val="374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AAAEEBD" w14:textId="77777777" w:rsidR="00C24A1A" w:rsidRPr="00C24A1A" w:rsidRDefault="00C24A1A" w:rsidP="00C24A1A">
            <w:pPr>
              <w:keepNext/>
              <w:tabs>
                <w:tab w:val="left" w:pos="288"/>
              </w:tabs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FFFFFF"/>
              <w:right w:val="nil"/>
            </w:tcBorders>
            <w:vAlign w:val="center"/>
          </w:tcPr>
          <w:p w14:paraId="6A95B29B" w14:textId="77777777" w:rsidR="00C24A1A" w:rsidRPr="00C24A1A" w:rsidRDefault="00C24A1A" w:rsidP="00C24A1A">
            <w:pPr>
              <w:keepNext/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nVNS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14:paraId="0BF1DE5F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SoC</w:t>
            </w:r>
            <w:r w:rsidRPr="00C24A1A" w:rsidDel="00605C2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8EC91DD" w14:textId="77777777" w:rsidR="00C24A1A" w:rsidRPr="00C24A1A" w:rsidRDefault="00C24A1A" w:rsidP="00C24A1A">
            <w:pPr>
              <w:keepNext/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Treatment</w:t>
            </w:r>
            <w:r w:rsidRPr="00C24A1A">
              <w:rPr>
                <w:b/>
                <w:bCs/>
                <w:sz w:val="24"/>
                <w:szCs w:val="24"/>
              </w:rPr>
              <w:br/>
              <w:t>difference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06A4C3B3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Pr="00C24A1A">
              <w:rPr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C24A1A" w:rsidRPr="00C24A1A" w14:paraId="0CF57018" w14:textId="77777777" w:rsidTr="00C24A1A">
        <w:trPr>
          <w:trHeight w:val="374"/>
        </w:trPr>
        <w:tc>
          <w:tcPr>
            <w:tcW w:w="2433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E1B9664" w14:textId="77777777" w:rsidR="00C24A1A" w:rsidRPr="00C24A1A" w:rsidRDefault="00C24A1A" w:rsidP="00C24A1A">
            <w:pPr>
              <w:keepNext/>
              <w:tabs>
                <w:tab w:val="left" w:pos="28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73654807" w14:textId="77777777" w:rsidR="00C24A1A" w:rsidRPr="00C24A1A" w:rsidRDefault="00C24A1A" w:rsidP="00C24A1A">
            <w:pPr>
              <w:keepNext/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F891C3F" w14:textId="77777777" w:rsidR="00C24A1A" w:rsidRPr="00C24A1A" w:rsidRDefault="00C24A1A" w:rsidP="00C24A1A">
            <w:pPr>
              <w:keepNext/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4A1A">
              <w:rPr>
                <w:b/>
                <w:bCs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A0D5F5A" w14:textId="77777777" w:rsidR="00C24A1A" w:rsidRPr="00C24A1A" w:rsidRDefault="00C24A1A" w:rsidP="00C24A1A">
            <w:pPr>
              <w:keepNext/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LSM change from BL (95% CI)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E0FB79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C03090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4A1A">
              <w:rPr>
                <w:b/>
                <w:bCs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B7E1DF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LSM change from BL (95% CI)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right w:val="single" w:sz="4" w:space="0" w:color="FFFFFF"/>
            </w:tcBorders>
            <w:vAlign w:val="center"/>
          </w:tcPr>
          <w:p w14:paraId="6050976C" w14:textId="77777777" w:rsidR="00C24A1A" w:rsidRPr="00C24A1A" w:rsidRDefault="00C24A1A" w:rsidP="00C24A1A">
            <w:pPr>
              <w:keepNext/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LSM (95% CI)</w:t>
            </w:r>
          </w:p>
        </w:tc>
        <w:tc>
          <w:tcPr>
            <w:tcW w:w="131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CDEC7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4A1A" w:rsidRPr="00C24A1A" w14:paraId="2BB86B15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3ED9FA8C" w14:textId="77777777" w:rsidR="00C24A1A" w:rsidRPr="00C24A1A" w:rsidRDefault="00C24A1A" w:rsidP="00C24A1A">
            <w:pPr>
              <w:keepNext/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FiO</w:t>
            </w:r>
            <w:r w:rsidRPr="00C24A1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6D9EA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6D6089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168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4A1D541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0.04</w:t>
            </w:r>
            <w:r w:rsidRPr="00C24A1A">
              <w:rPr>
                <w:sz w:val="24"/>
                <w:szCs w:val="24"/>
              </w:rPr>
              <w:br/>
              <w:t>(–0.01 to 0.09)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6230CF66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0591675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224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center"/>
          </w:tcPr>
          <w:p w14:paraId="3636C5B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0.03</w:t>
            </w:r>
            <w:r w:rsidRPr="00C24A1A">
              <w:rPr>
                <w:sz w:val="24"/>
                <w:szCs w:val="24"/>
              </w:rPr>
              <w:br/>
              <w:t>(–0.02 to 0.07)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14:paraId="6E4C6F32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0.01</w:t>
            </w:r>
          </w:p>
          <w:p w14:paraId="0552D052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(–0.05 to 0.08)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550E96B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0.650</w:t>
            </w:r>
          </w:p>
        </w:tc>
      </w:tr>
      <w:tr w:rsidR="00C24A1A" w:rsidRPr="00C24A1A" w14:paraId="3ECBF7AD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5CF0C97D" w14:textId="77777777" w:rsidR="00C24A1A" w:rsidRPr="00C24A1A" w:rsidRDefault="00C24A1A" w:rsidP="00C24A1A">
            <w:pPr>
              <w:keepNext/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Oxygen saturation, %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6E977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5FFB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168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361F9B2C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0.41</w:t>
            </w:r>
            <w:r w:rsidRPr="00C24A1A">
              <w:rPr>
                <w:sz w:val="24"/>
                <w:szCs w:val="24"/>
              </w:rPr>
              <w:br/>
              <w:t>(0.06-0.75)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7590A75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4970DC4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224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center"/>
          </w:tcPr>
          <w:p w14:paraId="09C016DF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0.28</w:t>
            </w:r>
          </w:p>
          <w:p w14:paraId="293A1286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(–0.02 to 0.57)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14:paraId="33E56A49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0.13</w:t>
            </w:r>
          </w:p>
          <w:p w14:paraId="032B3090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(–0.32 to 0.59)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2AF2C713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0.568</w:t>
            </w:r>
          </w:p>
        </w:tc>
      </w:tr>
      <w:tr w:rsidR="00C24A1A" w:rsidRPr="00C24A1A" w14:paraId="5450C438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31E9752D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Lymphocytes, no./µL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6441043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D4B3C52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39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3A55F22D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689.56</w:t>
            </w:r>
            <w:r w:rsidRPr="00C24A1A">
              <w:rPr>
                <w:sz w:val="24"/>
                <w:szCs w:val="24"/>
              </w:rPr>
              <w:br/>
              <w:t>(459.09-920.03)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0E3880C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35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28B09F91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52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center"/>
          </w:tcPr>
          <w:p w14:paraId="1AE658A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472.19</w:t>
            </w:r>
            <w:r w:rsidRPr="00C24A1A">
              <w:rPr>
                <w:sz w:val="24"/>
                <w:szCs w:val="24"/>
              </w:rPr>
              <w:br/>
              <w:t>(273.05-</w:t>
            </w:r>
            <w:r w:rsidRPr="00C24A1A">
              <w:rPr>
                <w:sz w:val="24"/>
                <w:szCs w:val="24"/>
              </w:rPr>
              <w:br/>
              <w:t>671.33)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14:paraId="11E352B0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 xml:space="preserve">217.37 </w:t>
            </w:r>
            <w:r w:rsidRPr="00C24A1A">
              <w:rPr>
                <w:sz w:val="24"/>
                <w:szCs w:val="24"/>
              </w:rPr>
              <w:br/>
              <w:t>(–93.30 to 528.05)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58E7EBE0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0.166</w:t>
            </w:r>
          </w:p>
        </w:tc>
      </w:tr>
      <w:tr w:rsidR="00C24A1A" w:rsidRPr="00C24A1A" w14:paraId="37EC6F23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39847C00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Platelets, no./µL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2A95D5C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138167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39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6FC2391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83191.27</w:t>
            </w:r>
            <w:r w:rsidRPr="00C24A1A">
              <w:rPr>
                <w:sz w:val="24"/>
                <w:szCs w:val="24"/>
              </w:rPr>
              <w:br/>
              <w:t>(53475.70-112906.80)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0914A569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35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781A6B6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52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center"/>
          </w:tcPr>
          <w:p w14:paraId="289772D0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66150.90 (40576.65-91725.16)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14:paraId="551C5D1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17040.37</w:t>
            </w:r>
          </w:p>
          <w:p w14:paraId="3C2D33A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(–22152.80 to 56233.57)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2D23226D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0.387</w:t>
            </w:r>
          </w:p>
        </w:tc>
      </w:tr>
      <w:tr w:rsidR="00C24A1A" w:rsidRPr="00C24A1A" w14:paraId="39BD591D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04706CC2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TNF</w:t>
            </w:r>
            <w:r w:rsidRPr="00C24A1A">
              <w:rPr>
                <w:sz w:val="24"/>
                <w:szCs w:val="24"/>
              </w:rPr>
              <w:noBreakHyphen/>
              <w:t xml:space="preserve">α, </w:t>
            </w:r>
            <w:proofErr w:type="spellStart"/>
            <w:r w:rsidRPr="00C24A1A">
              <w:rPr>
                <w:sz w:val="24"/>
                <w:szCs w:val="24"/>
              </w:rPr>
              <w:t>pg</w:t>
            </w:r>
            <w:proofErr w:type="spellEnd"/>
            <w:r w:rsidRPr="00C24A1A">
              <w:rPr>
                <w:sz w:val="24"/>
                <w:szCs w:val="24"/>
              </w:rPr>
              <w:t>/mL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6808F630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AD9739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29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4335489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–1.66</w:t>
            </w:r>
          </w:p>
          <w:p w14:paraId="6E2FB587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(–6.36 to 3.04)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3753FDF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28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2C42EBBC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39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center"/>
          </w:tcPr>
          <w:p w14:paraId="1E5A6091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–2.26</w:t>
            </w:r>
          </w:p>
          <w:p w14:paraId="0C376947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(–6.06 to 1.55)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14:paraId="44CE9106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0.60</w:t>
            </w:r>
          </w:p>
          <w:p w14:paraId="439E70EA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(–5.48 to 6.67)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305EA3C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0.849</w:t>
            </w:r>
          </w:p>
        </w:tc>
      </w:tr>
      <w:tr w:rsidR="00C24A1A" w:rsidRPr="00C24A1A" w14:paraId="14416BF4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30108F3E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 xml:space="preserve">IL-6, </w:t>
            </w:r>
            <w:proofErr w:type="spellStart"/>
            <w:r w:rsidRPr="00C24A1A">
              <w:rPr>
                <w:sz w:val="24"/>
                <w:szCs w:val="24"/>
              </w:rPr>
              <w:t>pg</w:t>
            </w:r>
            <w:proofErr w:type="spellEnd"/>
            <w:r w:rsidRPr="00C24A1A">
              <w:rPr>
                <w:sz w:val="24"/>
                <w:szCs w:val="24"/>
              </w:rPr>
              <w:t>/mL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065411F9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24225C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32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1EAFC5C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25.07</w:t>
            </w:r>
          </w:p>
          <w:p w14:paraId="5842C9D1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(–80.60 to 130.73)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15453A0F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31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1BD110D7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44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center"/>
          </w:tcPr>
          <w:p w14:paraId="3E7FD53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57.70</w:t>
            </w:r>
          </w:p>
          <w:p w14:paraId="49232892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(–34.35 to 149.75)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14:paraId="64D84C7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–32.64</w:t>
            </w:r>
          </w:p>
          <w:p w14:paraId="58FA72D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(–172.81 to 107.53)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1B151E8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0.642</w:t>
            </w:r>
          </w:p>
        </w:tc>
      </w:tr>
      <w:tr w:rsidR="00C24A1A" w:rsidRPr="00C24A1A" w14:paraId="7231C98F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2CD71E9F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Ferritin, ng/mL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53BE8F5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08D73FD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30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5DA78F0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–343.68</w:t>
            </w:r>
          </w:p>
          <w:p w14:paraId="0026920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 xml:space="preserve">(–485.18 to </w:t>
            </w:r>
            <w:r w:rsidRPr="00C24A1A">
              <w:rPr>
                <w:sz w:val="24"/>
                <w:szCs w:val="24"/>
              </w:rPr>
              <w:br/>
              <w:t>–202.17)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62BDD164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2716CCE9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41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center"/>
          </w:tcPr>
          <w:p w14:paraId="30BFD7D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–214.93</w:t>
            </w:r>
          </w:p>
          <w:p w14:paraId="4AC93597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 xml:space="preserve">(–339.39 to </w:t>
            </w:r>
            <w:r w:rsidRPr="00C24A1A">
              <w:rPr>
                <w:sz w:val="24"/>
                <w:szCs w:val="24"/>
              </w:rPr>
              <w:br/>
              <w:t>–90.48)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14:paraId="2419C8CF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–128.74</w:t>
            </w:r>
          </w:p>
          <w:p w14:paraId="0C3976B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(–317.20 to 59.71)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138BB880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0.176</w:t>
            </w:r>
          </w:p>
        </w:tc>
      </w:tr>
      <w:tr w:rsidR="00C24A1A" w:rsidRPr="00C24A1A" w14:paraId="3B9481E4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7B0E6297" w14:textId="77777777" w:rsidR="00C24A1A" w:rsidRPr="00C24A1A" w:rsidRDefault="00C24A1A" w:rsidP="00C24A1A">
            <w:pPr>
              <w:keepNext/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lastRenderedPageBreak/>
              <w:t>Haptoglobin, mg/dL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71E92D91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86177A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28</w:t>
            </w:r>
          </w:p>
        </w:tc>
        <w:tc>
          <w:tcPr>
            <w:tcW w:w="21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3F6A47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–104.31</w:t>
            </w:r>
          </w:p>
          <w:p w14:paraId="43DD0028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 xml:space="preserve">(–141.69 to </w:t>
            </w:r>
            <w:r w:rsidRPr="00C24A1A">
              <w:rPr>
                <w:sz w:val="24"/>
                <w:szCs w:val="24"/>
              </w:rPr>
              <w:br/>
              <w:t>–66.92)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105BDA9F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29</w:t>
            </w: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DEC24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40</w:t>
            </w:r>
          </w:p>
        </w:tc>
        <w:tc>
          <w:tcPr>
            <w:tcW w:w="1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0FB2F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–66.63</w:t>
            </w:r>
          </w:p>
          <w:p w14:paraId="1641138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 xml:space="preserve">(–99.05 to </w:t>
            </w:r>
            <w:r w:rsidRPr="00C24A1A">
              <w:rPr>
                <w:sz w:val="24"/>
                <w:szCs w:val="24"/>
              </w:rPr>
              <w:br/>
              <w:t>–34.22)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976A53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–37.67</w:t>
            </w:r>
          </w:p>
          <w:p w14:paraId="20D6E026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(–87.54 to 12.20)</w:t>
            </w:r>
          </w:p>
        </w:tc>
        <w:tc>
          <w:tcPr>
            <w:tcW w:w="1310" w:type="dxa"/>
            <w:tcBorders>
              <w:left w:val="nil"/>
              <w:right w:val="single" w:sz="4" w:space="0" w:color="FFFFFF"/>
            </w:tcBorders>
            <w:vAlign w:val="center"/>
          </w:tcPr>
          <w:p w14:paraId="6E61DE27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0.135</w:t>
            </w:r>
          </w:p>
        </w:tc>
      </w:tr>
      <w:tr w:rsidR="00C24A1A" w:rsidRPr="00C24A1A" w14:paraId="3048B042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4B47EE41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218C1912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0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AA78C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Mean (SD)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24E7DE02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90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3CAE4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b/>
                <w:bCs/>
                <w:sz w:val="24"/>
                <w:szCs w:val="24"/>
              </w:rPr>
              <w:t>Mean (SD)</w:t>
            </w:r>
          </w:p>
        </w:tc>
        <w:tc>
          <w:tcPr>
            <w:tcW w:w="1986" w:type="dxa"/>
            <w:tcBorders>
              <w:left w:val="nil"/>
              <w:right w:val="single" w:sz="4" w:space="0" w:color="FFFFFF"/>
            </w:tcBorders>
            <w:vAlign w:val="center"/>
          </w:tcPr>
          <w:p w14:paraId="28F75C99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4A81C0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</w:p>
        </w:tc>
      </w:tr>
      <w:tr w:rsidR="00C24A1A" w:rsidRPr="00C24A1A" w14:paraId="6822FC7C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F9E9AC8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Length of hospital stay, mean (SD), d</w:t>
            </w:r>
          </w:p>
        </w:tc>
        <w:tc>
          <w:tcPr>
            <w:tcW w:w="718" w:type="dxa"/>
            <w:tcBorders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32A4DD73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47</w:t>
            </w:r>
          </w:p>
        </w:tc>
        <w:tc>
          <w:tcPr>
            <w:tcW w:w="3038" w:type="dxa"/>
            <w:gridSpan w:val="2"/>
            <w:tcBorders>
              <w:left w:val="nil"/>
              <w:right w:val="single" w:sz="4" w:space="0" w:color="FFFFFF"/>
            </w:tcBorders>
            <w:vAlign w:val="center"/>
          </w:tcPr>
          <w:p w14:paraId="79D042BD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11.0 (8.0)</w:t>
            </w:r>
          </w:p>
        </w:tc>
        <w:tc>
          <w:tcPr>
            <w:tcW w:w="691" w:type="dxa"/>
            <w:tcBorders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459D552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49</w:t>
            </w:r>
          </w:p>
        </w:tc>
        <w:tc>
          <w:tcPr>
            <w:tcW w:w="2903" w:type="dxa"/>
            <w:gridSpan w:val="2"/>
            <w:tcBorders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3FD99DC1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10.1 (6.7)</w:t>
            </w:r>
          </w:p>
        </w:tc>
        <w:tc>
          <w:tcPr>
            <w:tcW w:w="198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85B900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NA</w:t>
            </w:r>
          </w:p>
        </w:tc>
        <w:tc>
          <w:tcPr>
            <w:tcW w:w="13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716FE35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C24A1A">
              <w:rPr>
                <w:sz w:val="24"/>
                <w:szCs w:val="24"/>
              </w:rPr>
              <w:t>0.840</w:t>
            </w:r>
            <w:r w:rsidRPr="00C24A1A">
              <w:rPr>
                <w:sz w:val="24"/>
                <w:szCs w:val="24"/>
                <w:vertAlign w:val="superscript"/>
              </w:rPr>
              <w:t>a</w:t>
            </w:r>
          </w:p>
        </w:tc>
      </w:tr>
      <w:tr w:rsidR="00C24A1A" w:rsidRPr="00C24A1A" w14:paraId="3017A9DC" w14:textId="77777777" w:rsidTr="00C24A1A">
        <w:trPr>
          <w:trHeight w:val="373"/>
        </w:trPr>
        <w:tc>
          <w:tcPr>
            <w:tcW w:w="2433" w:type="dxa"/>
            <w:tcBorders>
              <w:left w:val="single" w:sz="4" w:space="0" w:color="FFFFFF"/>
              <w:right w:val="nil"/>
            </w:tcBorders>
            <w:vAlign w:val="center"/>
          </w:tcPr>
          <w:p w14:paraId="213D1AF5" w14:textId="77777777" w:rsidR="00C24A1A" w:rsidRPr="00C24A1A" w:rsidRDefault="00C24A1A" w:rsidP="00C24A1A">
            <w:pPr>
              <w:tabs>
                <w:tab w:val="left" w:pos="288"/>
              </w:tabs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Length of ICU stay, mean (SD), d</w:t>
            </w:r>
          </w:p>
        </w:tc>
        <w:tc>
          <w:tcPr>
            <w:tcW w:w="718" w:type="dxa"/>
            <w:tcBorders>
              <w:left w:val="nil"/>
              <w:right w:val="nil"/>
            </w:tcBorders>
            <w:vAlign w:val="center"/>
          </w:tcPr>
          <w:p w14:paraId="403FF0C9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8</w:t>
            </w:r>
          </w:p>
        </w:tc>
        <w:tc>
          <w:tcPr>
            <w:tcW w:w="3038" w:type="dxa"/>
            <w:gridSpan w:val="2"/>
            <w:tcBorders>
              <w:left w:val="nil"/>
              <w:right w:val="nil"/>
            </w:tcBorders>
            <w:vAlign w:val="center"/>
          </w:tcPr>
          <w:p w14:paraId="7005294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8.0 (6.1)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14:paraId="110E90D2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gridSpan w:val="2"/>
            <w:tcBorders>
              <w:left w:val="nil"/>
              <w:right w:val="single" w:sz="4" w:space="0" w:color="FFFFFF"/>
            </w:tcBorders>
            <w:vAlign w:val="center"/>
          </w:tcPr>
          <w:p w14:paraId="76D688F3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7.0 (1.4)</w:t>
            </w:r>
          </w:p>
        </w:tc>
        <w:tc>
          <w:tcPr>
            <w:tcW w:w="198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F50C91E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C24A1A">
              <w:rPr>
                <w:sz w:val="24"/>
                <w:szCs w:val="24"/>
              </w:rPr>
              <w:t>NA</w:t>
            </w:r>
          </w:p>
        </w:tc>
        <w:tc>
          <w:tcPr>
            <w:tcW w:w="13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03AAB" w14:textId="77777777" w:rsidR="00C24A1A" w:rsidRPr="00C24A1A" w:rsidRDefault="00C24A1A" w:rsidP="00C24A1A">
            <w:pPr>
              <w:tabs>
                <w:tab w:val="left" w:pos="28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C24A1A">
              <w:rPr>
                <w:sz w:val="24"/>
                <w:szCs w:val="24"/>
              </w:rPr>
              <w:t>0.933</w:t>
            </w:r>
            <w:r w:rsidRPr="00C24A1A">
              <w:rPr>
                <w:sz w:val="24"/>
                <w:szCs w:val="24"/>
                <w:vertAlign w:val="superscript"/>
              </w:rPr>
              <w:t>a</w:t>
            </w:r>
          </w:p>
        </w:tc>
      </w:tr>
      <w:tr w:rsidR="00C24A1A" w:rsidRPr="00C24A1A" w14:paraId="41E5D92B" w14:textId="77777777" w:rsidTr="00C24A1A">
        <w:trPr>
          <w:trHeight w:val="373"/>
        </w:trPr>
        <w:tc>
          <w:tcPr>
            <w:tcW w:w="0" w:type="auto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DC1A97" w14:textId="77777777" w:rsidR="00C24A1A" w:rsidRPr="00C24A1A" w:rsidRDefault="00C24A1A" w:rsidP="00C24A1A">
            <w:pPr>
              <w:tabs>
                <w:tab w:val="left" w:pos="288"/>
              </w:tabs>
            </w:pPr>
            <w:r w:rsidRPr="00C24A1A">
              <w:rPr>
                <w:i/>
                <w:iCs/>
              </w:rPr>
              <w:t>p</w:t>
            </w:r>
            <w:r w:rsidRPr="00C24A1A">
              <w:t xml:space="preserve"> values are from </w:t>
            </w:r>
            <w:r w:rsidRPr="00C24A1A">
              <w:rPr>
                <w:i/>
                <w:iCs/>
              </w:rPr>
              <w:t>F</w:t>
            </w:r>
            <w:r w:rsidRPr="00C24A1A">
              <w:t xml:space="preserve"> tests comparing the change from baseline overall (</w:t>
            </w:r>
            <w:proofErr w:type="spellStart"/>
            <w:r w:rsidRPr="00C24A1A">
              <w:t>ie</w:t>
            </w:r>
            <w:proofErr w:type="spellEnd"/>
            <w:r w:rsidRPr="00C24A1A">
              <w:t>, for all postbaseline observations) for the nVNS and SoC groups unless otherwise indicated.</w:t>
            </w:r>
          </w:p>
          <w:p w14:paraId="14F4D924" w14:textId="77777777" w:rsidR="00C24A1A" w:rsidRPr="00C24A1A" w:rsidRDefault="00C24A1A" w:rsidP="00C24A1A">
            <w:pPr>
              <w:tabs>
                <w:tab w:val="left" w:pos="288"/>
              </w:tabs>
            </w:pPr>
            <w:proofErr w:type="spellStart"/>
            <w:r w:rsidRPr="00C24A1A">
              <w:rPr>
                <w:vertAlign w:val="superscript"/>
              </w:rPr>
              <w:t>a</w:t>
            </w:r>
            <w:r w:rsidRPr="00C24A1A">
              <w:t>From</w:t>
            </w:r>
            <w:proofErr w:type="spellEnd"/>
            <w:r w:rsidRPr="00C24A1A">
              <w:t xml:space="preserve"> Wilcoxon rank sum test.</w:t>
            </w:r>
          </w:p>
          <w:p w14:paraId="103AFC18" w14:textId="77777777" w:rsidR="00C24A1A" w:rsidRPr="00C24A1A" w:rsidRDefault="00C24A1A" w:rsidP="00C24A1A">
            <w:pPr>
              <w:tabs>
                <w:tab w:val="left" w:pos="288"/>
              </w:tabs>
            </w:pPr>
            <w:r w:rsidRPr="00C24A1A">
              <w:t>Abbreviations: BL, baseline; FiO</w:t>
            </w:r>
            <w:r w:rsidRPr="00C24A1A">
              <w:rPr>
                <w:vertAlign w:val="subscript"/>
              </w:rPr>
              <w:t>2</w:t>
            </w:r>
            <w:r w:rsidRPr="00C24A1A">
              <w:t xml:space="preserve">, fraction of inspired oxygen; IL, interleukin; LSM, least squares mean; NA, not applicable; nVNS, non-invasive vagus nerve stimulation; </w:t>
            </w:r>
            <w:proofErr w:type="spellStart"/>
            <w:r w:rsidRPr="00C24A1A">
              <w:t>obs</w:t>
            </w:r>
            <w:proofErr w:type="spellEnd"/>
            <w:r w:rsidRPr="00C24A1A">
              <w:t xml:space="preserve">, observations; SoC, standard of care; </w:t>
            </w:r>
            <w:r w:rsidRPr="00C24A1A">
              <w:rPr>
                <w:bCs/>
              </w:rPr>
              <w:t>TNF</w:t>
            </w:r>
            <w:r w:rsidRPr="00C24A1A">
              <w:t>, tumor necrosis factor.</w:t>
            </w:r>
          </w:p>
        </w:tc>
      </w:tr>
      <w:tr w:rsidR="00C24A1A" w:rsidRPr="00C24A1A" w14:paraId="24C996B6" w14:textId="77777777" w:rsidTr="00C24A1A">
        <w:trPr>
          <w:trHeight w:val="373"/>
        </w:trPr>
        <w:tc>
          <w:tcPr>
            <w:tcW w:w="0" w:type="auto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C92628" w14:textId="77777777" w:rsidR="00C24A1A" w:rsidRPr="00C24A1A" w:rsidRDefault="00C24A1A" w:rsidP="00C24A1A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14:paraId="58E888F5" w14:textId="77777777" w:rsidR="00487389" w:rsidRDefault="00487389"/>
    <w:sectPr w:rsidR="00487389" w:rsidSect="006808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4D4E"/>
    <w:multiLevelType w:val="multilevel"/>
    <w:tmpl w:val="18D4FEB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556"/>
        </w:tabs>
        <w:ind w:left="255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  <w:b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348"/>
        </w:tabs>
        <w:ind w:left="3348" w:hanging="100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CE"/>
    <w:rsid w:val="00390329"/>
    <w:rsid w:val="004200E1"/>
    <w:rsid w:val="00487389"/>
    <w:rsid w:val="005256FC"/>
    <w:rsid w:val="006808CE"/>
    <w:rsid w:val="00731CFC"/>
    <w:rsid w:val="00764465"/>
    <w:rsid w:val="00C24A1A"/>
    <w:rsid w:val="00CD688D"/>
    <w:rsid w:val="00DE0483"/>
    <w:rsid w:val="00EE200B"/>
    <w:rsid w:val="00F96FE5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E083"/>
  <w15:chartTrackingRefBased/>
  <w15:docId w15:val="{4AB60391-77B0-415A-A079-17ECCC45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FC"/>
  </w:style>
  <w:style w:type="paragraph" w:styleId="Heading1">
    <w:name w:val="heading 1"/>
    <w:aliases w:val="TFS Heading 1"/>
    <w:basedOn w:val="Normal"/>
    <w:next w:val="Normal"/>
    <w:link w:val="Heading1Char"/>
    <w:qFormat/>
    <w:rsid w:val="00731CFC"/>
    <w:pPr>
      <w:keepNext/>
      <w:pageBreakBefore/>
      <w:numPr>
        <w:numId w:val="5"/>
      </w:numPr>
      <w:tabs>
        <w:tab w:val="left" w:pos="851"/>
      </w:tabs>
      <w:spacing w:before="480" w:after="240"/>
      <w:outlineLvl w:val="0"/>
    </w:pPr>
    <w:rPr>
      <w:rFonts w:ascii="Arial" w:eastAsia="Times New Roman" w:hAnsi="Arial"/>
      <w:b/>
      <w:caps/>
      <w:color w:val="000000"/>
      <w:sz w:val="22"/>
      <w:lang w:val="en-GB"/>
    </w:rPr>
  </w:style>
  <w:style w:type="paragraph" w:styleId="Heading2">
    <w:name w:val="heading 2"/>
    <w:aliases w:val="TFS Heading 2"/>
    <w:basedOn w:val="Normal"/>
    <w:next w:val="Normal"/>
    <w:link w:val="Heading2Char"/>
    <w:qFormat/>
    <w:rsid w:val="00731CFC"/>
    <w:pPr>
      <w:keepNext/>
      <w:numPr>
        <w:ilvl w:val="1"/>
        <w:numId w:val="5"/>
      </w:numPr>
      <w:tabs>
        <w:tab w:val="left" w:pos="851"/>
      </w:tabs>
      <w:spacing w:before="360" w:after="240"/>
      <w:outlineLvl w:val="1"/>
    </w:pPr>
    <w:rPr>
      <w:rFonts w:ascii="Arial" w:eastAsia="Times New Roman" w:hAnsi="Arial"/>
      <w:b/>
      <w:sz w:val="24"/>
      <w:szCs w:val="24"/>
      <w:lang w:val="en-GB"/>
    </w:rPr>
  </w:style>
  <w:style w:type="paragraph" w:styleId="Heading3">
    <w:name w:val="heading 3"/>
    <w:aliases w:val="TFS Heading 3"/>
    <w:basedOn w:val="Normal"/>
    <w:next w:val="Normal"/>
    <w:link w:val="Heading3Char"/>
    <w:qFormat/>
    <w:rsid w:val="00731CFC"/>
    <w:pPr>
      <w:keepNext/>
      <w:numPr>
        <w:ilvl w:val="2"/>
        <w:numId w:val="5"/>
      </w:numPr>
      <w:tabs>
        <w:tab w:val="left" w:pos="1134"/>
      </w:tabs>
      <w:spacing w:before="240" w:after="120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Heading4">
    <w:name w:val="heading 4"/>
    <w:aliases w:val="TFS Heading 4"/>
    <w:basedOn w:val="Normal"/>
    <w:next w:val="Normal"/>
    <w:link w:val="Heading4Char"/>
    <w:qFormat/>
    <w:rsid w:val="00731CFC"/>
    <w:pPr>
      <w:keepNext/>
      <w:numPr>
        <w:ilvl w:val="3"/>
        <w:numId w:val="5"/>
      </w:numPr>
      <w:tabs>
        <w:tab w:val="left" w:pos="1418"/>
      </w:tabs>
      <w:spacing w:before="240" w:after="120"/>
      <w:jc w:val="both"/>
      <w:outlineLvl w:val="3"/>
    </w:pPr>
    <w:rPr>
      <w:rFonts w:ascii="Arial" w:eastAsia="Times New Roman" w:hAnsi="Arial"/>
      <w:b/>
      <w:sz w:val="24"/>
      <w:szCs w:val="24"/>
    </w:rPr>
  </w:style>
  <w:style w:type="paragraph" w:styleId="Heading5">
    <w:name w:val="heading 5"/>
    <w:aliases w:val="TFS Heading 5"/>
    <w:basedOn w:val="Normal"/>
    <w:next w:val="Normal"/>
    <w:link w:val="Heading5Char"/>
    <w:qFormat/>
    <w:rsid w:val="00731CFC"/>
    <w:pPr>
      <w:keepNext/>
      <w:numPr>
        <w:ilvl w:val="4"/>
        <w:numId w:val="5"/>
      </w:numPr>
      <w:tabs>
        <w:tab w:val="left" w:pos="1701"/>
      </w:tabs>
      <w:spacing w:after="240"/>
      <w:outlineLvl w:val="4"/>
    </w:pPr>
    <w:rPr>
      <w:rFonts w:ascii="Arial" w:eastAsia="Times New Roman" w:hAnsi="Arial"/>
      <w:b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FS Heading 1 Char"/>
    <w:link w:val="Heading1"/>
    <w:rsid w:val="00731CFC"/>
    <w:rPr>
      <w:rFonts w:ascii="Arial" w:eastAsia="Times New Roman" w:hAnsi="Arial"/>
      <w:b/>
      <w:caps/>
      <w:color w:val="000000"/>
      <w:sz w:val="22"/>
      <w:lang w:val="en-GB"/>
    </w:rPr>
  </w:style>
  <w:style w:type="character" w:customStyle="1" w:styleId="Heading2Char">
    <w:name w:val="Heading 2 Char"/>
    <w:aliases w:val="TFS Heading 2 Char"/>
    <w:link w:val="Heading2"/>
    <w:rsid w:val="00731CFC"/>
    <w:rPr>
      <w:rFonts w:ascii="Arial" w:eastAsia="Times New Roman" w:hAnsi="Arial"/>
      <w:b/>
      <w:sz w:val="24"/>
      <w:szCs w:val="24"/>
      <w:lang w:val="en-GB"/>
    </w:rPr>
  </w:style>
  <w:style w:type="character" w:customStyle="1" w:styleId="Heading3Char">
    <w:name w:val="Heading 3 Char"/>
    <w:aliases w:val="TFS Heading 3 Char"/>
    <w:link w:val="Heading3"/>
    <w:rsid w:val="00731CFC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aliases w:val="TFS Heading 4 Char"/>
    <w:link w:val="Heading4"/>
    <w:rsid w:val="00731CFC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TFS Heading 5 Char"/>
    <w:link w:val="Heading5"/>
    <w:rsid w:val="00731CFC"/>
    <w:rPr>
      <w:rFonts w:ascii="Arial" w:eastAsia="Times New Roman" w:hAnsi="Arial"/>
      <w:b/>
      <w:noProof/>
      <w:sz w:val="22"/>
    </w:rPr>
  </w:style>
  <w:style w:type="table" w:customStyle="1" w:styleId="TableGrid21">
    <w:name w:val="Table Grid21"/>
    <w:basedOn w:val="TableNormal"/>
    <w:next w:val="TableGrid"/>
    <w:rsid w:val="00C24A1A"/>
    <w:pPr>
      <w:spacing w:after="60" w:line="276" w:lineRule="auto"/>
    </w:pPr>
    <w:rPr>
      <w:rFonts w:ascii="Calibri" w:eastAsia="Times New Roman" w:hAnsi="Calibri"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Barton</dc:creator>
  <cp:keywords/>
  <dc:description/>
  <cp:lastModifiedBy>Liz Barton</cp:lastModifiedBy>
  <cp:revision>2</cp:revision>
  <dcterms:created xsi:type="dcterms:W3CDTF">2021-09-23T16:31:00Z</dcterms:created>
  <dcterms:modified xsi:type="dcterms:W3CDTF">2021-09-23T16:35:00Z</dcterms:modified>
</cp:coreProperties>
</file>