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5C31" w14:textId="4CBE5954" w:rsidR="00373F25" w:rsidRPr="00AB3E2B" w:rsidRDefault="00544F38" w:rsidP="00544F38">
      <w:pPr>
        <w:jc w:val="both"/>
        <w:rPr>
          <w:rFonts w:cstheme="minorHAnsi"/>
          <w:b/>
          <w:bCs/>
          <w:iCs/>
          <w:sz w:val="24"/>
          <w:u w:val="single"/>
          <w:lang w:val="en-US"/>
        </w:rPr>
      </w:pPr>
      <w:bookmarkStart w:id="0" w:name="_GoBack"/>
      <w:bookmarkEnd w:id="0"/>
      <w:r w:rsidRPr="00AB3E2B">
        <w:rPr>
          <w:rFonts w:cstheme="minorHAnsi"/>
          <w:b/>
          <w:bCs/>
          <w:iCs/>
          <w:sz w:val="24"/>
          <w:u w:val="single"/>
          <w:lang w:val="en-US"/>
        </w:rPr>
        <w:t xml:space="preserve">Supplementary </w:t>
      </w:r>
      <w:r w:rsidR="00AB3E2B" w:rsidRPr="00AB3E2B">
        <w:rPr>
          <w:rFonts w:cstheme="minorHAnsi"/>
          <w:b/>
          <w:bCs/>
          <w:iCs/>
          <w:sz w:val="24"/>
          <w:u w:val="single"/>
          <w:lang w:val="en-US"/>
        </w:rPr>
        <w:t>Information</w:t>
      </w:r>
    </w:p>
    <w:p w14:paraId="235C45BF" w14:textId="77777777" w:rsidR="0080793B" w:rsidRPr="0080793B" w:rsidRDefault="0080793B" w:rsidP="0080793B">
      <w:pPr>
        <w:rPr>
          <w:rFonts w:eastAsia="Arial Unicode MS" w:cstheme="minorHAnsi"/>
          <w:b/>
          <w:lang w:val="en-US" w:eastAsia="de-DE"/>
        </w:rPr>
      </w:pPr>
      <w:r w:rsidRPr="0080793B">
        <w:rPr>
          <w:rFonts w:eastAsia="Arial Unicode MS" w:cstheme="minorHAnsi"/>
          <w:b/>
          <w:lang w:val="en-US" w:eastAsia="de-DE"/>
        </w:rPr>
        <w:t>Suppl. Methods:</w:t>
      </w:r>
    </w:p>
    <w:p w14:paraId="4AA1E4E2" w14:textId="5888E3DC" w:rsidR="00373F25" w:rsidRPr="0080793B" w:rsidRDefault="00373F25" w:rsidP="0080793B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B3E2B">
        <w:rPr>
          <w:rFonts w:cstheme="minorHAnsi"/>
          <w:b/>
          <w:color w:val="000000"/>
          <w:lang w:val="en-US"/>
        </w:rPr>
        <w:t>Prepa</w:t>
      </w:r>
      <w:r w:rsidR="00622BC8" w:rsidRPr="00AB3E2B">
        <w:rPr>
          <w:rFonts w:cstheme="minorHAnsi"/>
          <w:b/>
          <w:color w:val="000000"/>
          <w:lang w:val="en-US"/>
        </w:rPr>
        <w:t>ration and storage of s</w:t>
      </w:r>
      <w:r w:rsidR="0080793B" w:rsidRPr="00AB3E2B">
        <w:rPr>
          <w:rFonts w:cstheme="minorHAnsi"/>
          <w:b/>
          <w:color w:val="000000"/>
          <w:lang w:val="en-US"/>
        </w:rPr>
        <w:t xml:space="preserve">erum and </w:t>
      </w:r>
      <w:r w:rsidR="00622BC8" w:rsidRPr="00AB3E2B">
        <w:rPr>
          <w:rFonts w:cstheme="minorHAnsi"/>
          <w:b/>
          <w:color w:val="000000"/>
          <w:lang w:val="en-US"/>
        </w:rPr>
        <w:t>PBMC</w:t>
      </w:r>
      <w:r w:rsidR="0080793B" w:rsidRPr="00AB3E2B">
        <w:rPr>
          <w:rFonts w:cstheme="minorHAnsi"/>
          <w:b/>
          <w:color w:val="000000"/>
          <w:lang w:val="en-US"/>
        </w:rPr>
        <w:t xml:space="preserve">: </w:t>
      </w:r>
      <w:r w:rsidRPr="00AB3E2B">
        <w:rPr>
          <w:rFonts w:cstheme="minorHAnsi"/>
          <w:color w:val="000000"/>
          <w:lang w:val="en-US"/>
        </w:rPr>
        <w:t xml:space="preserve">Serum </w:t>
      </w:r>
      <w:r w:rsidR="0080793B" w:rsidRPr="00AB3E2B">
        <w:rPr>
          <w:rFonts w:cstheme="minorHAnsi"/>
          <w:color w:val="000000"/>
          <w:lang w:val="en-US"/>
        </w:rPr>
        <w:t xml:space="preserve">samples </w:t>
      </w:r>
      <w:r w:rsidR="00622BC8" w:rsidRPr="00AB3E2B">
        <w:rPr>
          <w:rFonts w:cstheme="minorHAnsi"/>
          <w:color w:val="000000"/>
          <w:lang w:val="en-US"/>
        </w:rPr>
        <w:t>were</w:t>
      </w:r>
      <w:r w:rsidRPr="00AB3E2B">
        <w:rPr>
          <w:rFonts w:cstheme="minorHAnsi"/>
          <w:color w:val="000000"/>
          <w:lang w:val="en-US"/>
        </w:rPr>
        <w:t xml:space="preserve"> obtained from native venous blood and stored at </w:t>
      </w:r>
      <w:r w:rsidRPr="00AB3E2B">
        <w:rPr>
          <w:rFonts w:eastAsia="MTSY" w:cstheme="minorHAnsi"/>
          <w:color w:val="000000"/>
          <w:lang w:val="en-US"/>
        </w:rPr>
        <w:t>−</w:t>
      </w:r>
      <w:r w:rsidRPr="00AB3E2B">
        <w:rPr>
          <w:rFonts w:cstheme="minorHAnsi"/>
          <w:color w:val="000000"/>
          <w:lang w:val="en-US"/>
        </w:rPr>
        <w:t>20</w:t>
      </w:r>
      <w:r w:rsidRPr="00AB3E2B">
        <w:rPr>
          <w:rFonts w:eastAsia="MTSY" w:cstheme="minorHAnsi"/>
          <w:color w:val="000000"/>
          <w:lang w:val="en-US"/>
        </w:rPr>
        <w:t>°</w:t>
      </w:r>
      <w:r w:rsidRPr="00AB3E2B">
        <w:rPr>
          <w:rFonts w:cstheme="minorHAnsi"/>
          <w:color w:val="000000"/>
          <w:lang w:val="en-US"/>
        </w:rPr>
        <w:t xml:space="preserve">C until evaluation. Peripheral blood mononuclear cells were prepared from heparinized blood by Ficoll Paque </w:t>
      </w:r>
      <w:r w:rsidR="0080793B" w:rsidRPr="00AB3E2B">
        <w:rPr>
          <w:rFonts w:cstheme="minorHAnsi"/>
          <w:lang w:val="en-US"/>
        </w:rPr>
        <w:t>density gradient centrifugation</w:t>
      </w:r>
      <w:r w:rsidRPr="00AB3E2B">
        <w:rPr>
          <w:rFonts w:cstheme="minorHAnsi"/>
          <w:color w:val="000000"/>
          <w:lang w:val="en-US"/>
        </w:rPr>
        <w:t xml:space="preserve">, as previously </w:t>
      </w:r>
      <w:r w:rsidR="0080793B" w:rsidRPr="00AB3E2B">
        <w:rPr>
          <w:rFonts w:cstheme="minorHAnsi"/>
          <w:color w:val="000000"/>
          <w:lang w:val="en-US"/>
        </w:rPr>
        <w:t xml:space="preserve">described </w:t>
      </w:r>
      <w:r w:rsidR="0080793B" w:rsidRPr="00AB3E2B">
        <w:rPr>
          <w:rFonts w:cstheme="minorHAnsi"/>
          <w:color w:val="4D4D4D"/>
          <w:lang w:val="en-US"/>
        </w:rPr>
        <w:fldChar w:fldCharType="begin">
          <w:fldData xml:space="preserve">PEVuZE5vdGU+PENpdGU+PEF1dGhvcj5HYXJuZXItU3BpdHplcjwvQXV0aG9yPjxZZWFyPjIwMTM8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</w:fldData>
        </w:fldChar>
      </w:r>
      <w:r w:rsidR="0080793B" w:rsidRPr="00AB3E2B">
        <w:rPr>
          <w:rFonts w:cstheme="minorHAnsi"/>
          <w:color w:val="4D4D4D"/>
          <w:lang w:val="en-US"/>
        </w:rPr>
        <w:instrText xml:space="preserve"> ADDIN EN.CITE </w:instrText>
      </w:r>
      <w:r w:rsidR="0080793B" w:rsidRPr="00AB3E2B">
        <w:rPr>
          <w:rFonts w:cstheme="minorHAnsi"/>
          <w:color w:val="4D4D4D"/>
          <w:lang w:val="en-US"/>
        </w:rPr>
        <w:fldChar w:fldCharType="begin">
          <w:fldData xml:space="preserve">PEVuZE5vdGU+PENpdGU+PEF1dGhvcj5HYXJuZXItU3BpdHplcjwvQXV0aG9yPjxZZWFyPjIwMTM8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</w:fldData>
        </w:fldChar>
      </w:r>
      <w:r w:rsidR="0080793B" w:rsidRPr="00AB3E2B">
        <w:rPr>
          <w:rFonts w:cstheme="minorHAnsi"/>
          <w:color w:val="4D4D4D"/>
          <w:lang w:val="en-US"/>
        </w:rPr>
        <w:instrText xml:space="preserve"> ADDIN EN.CITE.DATA </w:instrText>
      </w:r>
      <w:r w:rsidR="0080793B" w:rsidRPr="00AB3E2B">
        <w:rPr>
          <w:rFonts w:cstheme="minorHAnsi"/>
          <w:color w:val="4D4D4D"/>
          <w:lang w:val="en-US"/>
        </w:rPr>
      </w:r>
      <w:r w:rsidR="0080793B" w:rsidRPr="00AB3E2B">
        <w:rPr>
          <w:rFonts w:cstheme="minorHAnsi"/>
          <w:color w:val="4D4D4D"/>
          <w:lang w:val="en-US"/>
        </w:rPr>
        <w:fldChar w:fldCharType="end"/>
      </w:r>
      <w:r w:rsidR="0080793B" w:rsidRPr="00AB3E2B">
        <w:rPr>
          <w:rFonts w:cstheme="minorHAnsi"/>
          <w:color w:val="4D4D4D"/>
          <w:lang w:val="en-US"/>
        </w:rPr>
      </w:r>
      <w:r w:rsidR="0080793B" w:rsidRPr="00AB3E2B">
        <w:rPr>
          <w:rFonts w:cstheme="minorHAnsi"/>
          <w:color w:val="4D4D4D"/>
          <w:lang w:val="en-US"/>
        </w:rPr>
        <w:fldChar w:fldCharType="separate"/>
      </w:r>
      <w:r w:rsidR="0080793B" w:rsidRPr="00AB3E2B">
        <w:rPr>
          <w:rFonts w:cstheme="minorHAnsi"/>
          <w:noProof/>
          <w:color w:val="4D4D4D"/>
          <w:lang w:val="en-US"/>
        </w:rPr>
        <w:t>(1)</w:t>
      </w:r>
      <w:r w:rsidR="0080793B" w:rsidRPr="00AB3E2B">
        <w:rPr>
          <w:rFonts w:cstheme="minorHAnsi"/>
          <w:color w:val="4D4D4D"/>
          <w:lang w:val="en-US"/>
        </w:rPr>
        <w:fldChar w:fldCharType="end"/>
      </w:r>
      <w:r w:rsidR="0080793B" w:rsidRPr="00AB3E2B">
        <w:rPr>
          <w:rFonts w:cstheme="minorHAnsi"/>
          <w:color w:val="4D4D4D"/>
          <w:lang w:val="en-US"/>
        </w:rPr>
        <w:t xml:space="preserve"> </w:t>
      </w:r>
      <w:r w:rsidRPr="00AB3E2B">
        <w:rPr>
          <w:rFonts w:cstheme="minorHAnsi"/>
          <w:color w:val="000000"/>
          <w:lang w:val="en-US"/>
        </w:rPr>
        <w:t>and immediately used for flow-cytometric assays and antigen-specific re-stimulation.</w:t>
      </w:r>
    </w:p>
    <w:p w14:paraId="2DE9DF37" w14:textId="77777777" w:rsidR="00373F25" w:rsidRPr="0080793B" w:rsidRDefault="00373F25" w:rsidP="0080793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lang w:val="en-US"/>
        </w:rPr>
      </w:pPr>
    </w:p>
    <w:p w14:paraId="7A2E5D5F" w14:textId="69063685" w:rsidR="00672C69" w:rsidRPr="0080793B" w:rsidRDefault="00672C69" w:rsidP="00F30FB0">
      <w:pPr>
        <w:jc w:val="both"/>
        <w:rPr>
          <w:rFonts w:eastAsia="Arial Unicode MS" w:cstheme="minorHAnsi"/>
          <w:b/>
          <w:lang w:val="en-US" w:eastAsia="de-DE"/>
        </w:rPr>
      </w:pPr>
      <w:r w:rsidRPr="0080793B">
        <w:rPr>
          <w:rFonts w:cstheme="minorHAnsi"/>
          <w:b/>
          <w:color w:val="000000"/>
          <w:lang w:val="en-US"/>
        </w:rPr>
        <w:t xml:space="preserve">SARS-CoV-2 neutralization assay: </w:t>
      </w:r>
      <w:r w:rsidR="00373F25" w:rsidRPr="0080793B">
        <w:rPr>
          <w:rFonts w:cstheme="minorHAnsi"/>
          <w:color w:val="000000"/>
          <w:lang w:val="en-US"/>
        </w:rPr>
        <w:t>In brief,</w:t>
      </w:r>
      <w:r w:rsidR="00373F25" w:rsidRPr="0080793B">
        <w:rPr>
          <w:rFonts w:cstheme="minorHAnsi"/>
          <w:b/>
          <w:color w:val="000000"/>
          <w:lang w:val="en-US"/>
        </w:rPr>
        <w:t xml:space="preserve"> </w:t>
      </w:r>
      <w:r w:rsidRPr="0080793B">
        <w:rPr>
          <w:rFonts w:cstheme="minorHAnsi"/>
          <w:color w:val="000000"/>
          <w:lang w:val="en-US"/>
        </w:rPr>
        <w:t>SARS-CoV-2 neutralization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="00373F25" w:rsidRPr="0080793B">
        <w:rPr>
          <w:rFonts w:cstheme="minorHAnsi"/>
          <w:color w:val="000000"/>
          <w:lang w:val="en-US"/>
        </w:rPr>
        <w:t xml:space="preserve">(NT) tests were performed as follows: </w:t>
      </w:r>
      <w:r w:rsidRPr="0080793B">
        <w:rPr>
          <w:rFonts w:cstheme="minorHAnsi"/>
          <w:color w:val="000000"/>
          <w:lang w:val="en-US"/>
        </w:rPr>
        <w:t>Vero cells (ATCC CCL-81) sourced from the European Collection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of Authenticated Cell Cultures (84113001) were cultured in TC-Vero medium supplemented with 5% fetal calf serum, L</w:t>
      </w:r>
      <w:r w:rsidR="00BC1965" w:rsidRPr="0080793B">
        <w:rPr>
          <w:rFonts w:cstheme="minorHAnsi"/>
          <w:color w:val="000000"/>
          <w:lang w:val="en-US"/>
        </w:rPr>
        <w:t>-</w:t>
      </w:r>
      <w:r w:rsidRPr="0080793B">
        <w:rPr>
          <w:rFonts w:cstheme="minorHAnsi"/>
          <w:color w:val="000000"/>
          <w:lang w:val="en-US"/>
        </w:rPr>
        <w:t>glutamine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(2 mM), nonessential amino acids (1x), sodium pyruvate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(1 mM), gentamicin sulfate (100 mg/ml), and sodium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bicarbonate (7.5%). SARS-CoV-2 strain BetaCoV/Germany/Bav-Pat1/2020 was kindly provided by the Institute of Virology at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Charité Universitätsmedizin, Berlin, Germany. For the SARS</w:t>
      </w:r>
      <w:r w:rsidR="00832D9A" w:rsidRPr="0080793B">
        <w:rPr>
          <w:rFonts w:cstheme="minorHAnsi"/>
          <w:color w:val="000000"/>
          <w:lang w:val="en-US"/>
        </w:rPr>
        <w:t>-</w:t>
      </w:r>
      <w:r w:rsidRPr="0080793B">
        <w:rPr>
          <w:rFonts w:cstheme="minorHAnsi"/>
          <w:color w:val="000000"/>
          <w:lang w:val="en-US"/>
        </w:rPr>
        <w:t>CoV-2 neutralization assays, samples were serially diluted 1:2 and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incubated with 100 tissue culture infectious dose 50% (TCID50) of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SARS-CoV-2 per well. The samples were subsequently applied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onto Vero cells seeded in tissue culture plates and incubated for 5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to 7 days, after which the cells were evaluated for the presence of a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cytopathic effect and the SARS-CoV-2 neutralization titer (NT50),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i. e. the reciprocal sample dilution resulting in 50% virus neutralization,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was determined using the Spearman-Kärber formula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and reported as 1:X. Cut-off values varied between 1:3 and 1:7.7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NT50 between the assay runs, depending on sample-predilution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color w:val="000000"/>
          <w:lang w:val="en-US"/>
        </w:rPr>
        <w:t>and level of sample cytotoxicity.</w:t>
      </w:r>
    </w:p>
    <w:p w14:paraId="5FC10D81" w14:textId="7CEACD05" w:rsidR="00672C69" w:rsidRPr="0080793B" w:rsidRDefault="00672C69" w:rsidP="00F30FB0">
      <w:pPr>
        <w:jc w:val="both"/>
        <w:rPr>
          <w:rFonts w:eastAsia="Arial Unicode MS" w:cstheme="minorHAnsi"/>
          <w:lang w:val="en-US" w:eastAsia="de-DE"/>
        </w:rPr>
      </w:pPr>
      <w:r w:rsidRPr="0080793B">
        <w:rPr>
          <w:rFonts w:eastAsia="Arial Unicode MS" w:cstheme="minorHAnsi"/>
          <w:b/>
          <w:lang w:val="en-US" w:eastAsia="de-DE"/>
        </w:rPr>
        <w:t>Anti-SARS-CoV-2-QuantiVac-ELISA (IgG)</w:t>
      </w:r>
      <w:r w:rsidRPr="0080793B">
        <w:rPr>
          <w:rFonts w:eastAsia="Arial Unicode MS" w:cstheme="minorHAnsi"/>
          <w:lang w:val="en-US" w:eastAsia="de-DE"/>
        </w:rPr>
        <w:t xml:space="preserve"> obtained from </w:t>
      </w:r>
      <w:r w:rsidRPr="0080793B">
        <w:rPr>
          <w:rFonts w:cstheme="minorHAnsi"/>
          <w:lang w:val="en-US"/>
        </w:rPr>
        <w:t xml:space="preserve">Euroimmune®, Euroimmun </w:t>
      </w:r>
      <w:r w:rsidRPr="0080793B">
        <w:rPr>
          <w:rFonts w:eastAsia="Arial Unicode MS" w:cstheme="minorHAnsi"/>
          <w:lang w:val="en-US" w:eastAsia="de-DE"/>
        </w:rPr>
        <w:t xml:space="preserve">Medizinische Labordiagnostik AG (Lübeck, Germany) was carried out according to </w:t>
      </w:r>
      <w:r w:rsidR="00BC1965" w:rsidRPr="0080793B">
        <w:rPr>
          <w:rFonts w:eastAsia="Arial Unicode MS" w:cstheme="minorHAnsi"/>
          <w:lang w:val="en-US" w:eastAsia="de-DE"/>
        </w:rPr>
        <w:t xml:space="preserve">the </w:t>
      </w:r>
      <w:r w:rsidRPr="0080793B">
        <w:rPr>
          <w:rFonts w:eastAsia="Arial Unicode MS" w:cstheme="minorHAnsi"/>
          <w:lang w:val="en-US" w:eastAsia="de-DE"/>
        </w:rPr>
        <w:t>manufacturer’s instructions and results were calc</w:t>
      </w:r>
      <w:r w:rsidR="00726E24" w:rsidRPr="0080793B">
        <w:rPr>
          <w:rFonts w:eastAsia="Arial Unicode MS" w:cstheme="minorHAnsi"/>
          <w:lang w:val="en-US" w:eastAsia="de-DE"/>
        </w:rPr>
        <w:t>ulated as binding antibody units</w:t>
      </w:r>
      <w:r w:rsidRPr="0080793B">
        <w:rPr>
          <w:rFonts w:eastAsia="Arial Unicode MS" w:cstheme="minorHAnsi"/>
          <w:lang w:val="en-US" w:eastAsia="de-DE"/>
        </w:rPr>
        <w:t xml:space="preserve"> (BAU)/ml.</w:t>
      </w:r>
    </w:p>
    <w:p w14:paraId="0C3001C8" w14:textId="724EFC03" w:rsidR="00672C69" w:rsidRPr="0080793B" w:rsidRDefault="00672C69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80793B">
        <w:rPr>
          <w:rFonts w:eastAsia="Arial Unicode MS" w:cstheme="minorHAnsi"/>
          <w:b/>
          <w:color w:val="010101"/>
          <w:lang w:val="en" w:eastAsia="de-DE"/>
        </w:rPr>
        <w:t xml:space="preserve">SARS-CoV-2-NeutraLISA surrogate virus neutralization test (sVNT) </w:t>
      </w:r>
      <w:r w:rsidRPr="0080793B">
        <w:rPr>
          <w:rFonts w:eastAsia="Arial Unicode MS" w:cstheme="minorHAnsi"/>
          <w:lang w:val="en-US" w:eastAsia="de-DE"/>
        </w:rPr>
        <w:t xml:space="preserve">obtained from </w:t>
      </w:r>
      <w:r w:rsidRPr="0080793B">
        <w:rPr>
          <w:rFonts w:cstheme="minorHAnsi"/>
          <w:lang w:val="en-US"/>
        </w:rPr>
        <w:t xml:space="preserve">Euroimmune®, Euroimmun </w:t>
      </w:r>
      <w:r w:rsidRPr="0080793B">
        <w:rPr>
          <w:rFonts w:eastAsia="Arial Unicode MS" w:cstheme="minorHAnsi"/>
          <w:lang w:val="en-US" w:eastAsia="de-DE"/>
        </w:rPr>
        <w:t xml:space="preserve">Medizinische Labordiagnostik AG (Lübeck, Germany) was carried out according to </w:t>
      </w:r>
      <w:r w:rsidR="00BC1965" w:rsidRPr="0080793B">
        <w:rPr>
          <w:rFonts w:eastAsia="Arial Unicode MS" w:cstheme="minorHAnsi"/>
          <w:lang w:val="en-US" w:eastAsia="de-DE"/>
        </w:rPr>
        <w:t xml:space="preserve">the </w:t>
      </w:r>
      <w:r w:rsidRPr="0080793B">
        <w:rPr>
          <w:rFonts w:eastAsia="Arial Unicode MS" w:cstheme="minorHAnsi"/>
          <w:lang w:val="en-US" w:eastAsia="de-DE"/>
        </w:rPr>
        <w:t xml:space="preserve">manufacturer’s instructions and results were calculated as % inhibition </w:t>
      </w:r>
      <w:r w:rsidRPr="0080793B">
        <w:rPr>
          <w:rFonts w:cstheme="minorHAnsi"/>
          <w:lang w:val="en-US"/>
        </w:rPr>
        <w:t xml:space="preserve">(% inhibition &lt;20 negative; % inhibition ≥20 to &lt;35 borderline; % inhibition ≥35 positive). In brief, wells coated with </w:t>
      </w:r>
      <w:r w:rsidRPr="0080793B">
        <w:rPr>
          <w:rFonts w:eastAsia="Arial Unicode MS" w:cstheme="minorHAnsi"/>
          <w:lang w:val="en-US" w:eastAsia="de-DE"/>
        </w:rPr>
        <w:t>SARS-CoV-2</w:t>
      </w:r>
      <w:r w:rsidRPr="0080793B">
        <w:rPr>
          <w:rFonts w:eastAsia="Arial Unicode MS" w:cstheme="minorHAnsi"/>
          <w:b/>
          <w:lang w:val="en-US" w:eastAsia="de-DE"/>
        </w:rPr>
        <w:t xml:space="preserve"> </w:t>
      </w:r>
      <w:r w:rsidRPr="0080793B">
        <w:rPr>
          <w:rFonts w:cstheme="minorHAnsi"/>
          <w:lang w:val="en-US"/>
        </w:rPr>
        <w:t xml:space="preserve">S1/RBD domain were incubated with soluble ACE2 protein and diluted serum. Neutralizing Abs present in sera </w:t>
      </w:r>
      <w:proofErr w:type="gramStart"/>
      <w:r w:rsidRPr="0080793B">
        <w:rPr>
          <w:rFonts w:cstheme="minorHAnsi"/>
          <w:lang w:val="en-US"/>
        </w:rPr>
        <w:t>inhibit</w:t>
      </w:r>
      <w:proofErr w:type="gramEnd"/>
      <w:r w:rsidRPr="0080793B">
        <w:rPr>
          <w:rFonts w:cstheme="minorHAnsi"/>
          <w:lang w:val="en-US"/>
        </w:rPr>
        <w:t xml:space="preserve"> the binding of ACE2 to the S1/RBD proteins on the well surface and are quantified as % inhibition.</w:t>
      </w:r>
    </w:p>
    <w:p w14:paraId="28C1090F" w14:textId="77777777" w:rsidR="00672C69" w:rsidRPr="0080793B" w:rsidRDefault="00672C69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10854F28" w14:textId="05BC19D9" w:rsidR="00672C69" w:rsidRPr="0080793B" w:rsidRDefault="00672C69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80793B">
        <w:rPr>
          <w:rFonts w:eastAsia="Arial Unicode MS" w:cstheme="minorHAnsi"/>
          <w:b/>
          <w:lang w:val="en-US" w:eastAsia="de-DE"/>
        </w:rPr>
        <w:t xml:space="preserve">SARS-CoV-2 </w:t>
      </w:r>
      <w:r w:rsidRPr="0080793B">
        <w:rPr>
          <w:rFonts w:cstheme="minorHAnsi"/>
          <w:b/>
          <w:lang w:val="en-US"/>
        </w:rPr>
        <w:t>RBD-specific Abs</w:t>
      </w:r>
      <w:r w:rsidRPr="0080793B">
        <w:rPr>
          <w:rFonts w:cstheme="minorHAnsi"/>
          <w:lang w:val="en-US"/>
        </w:rPr>
        <w:t xml:space="preserve"> were determined using a commercial ELISA for total Abs (Beijing Wantai Biological Pharmacy Enterprise, Beijing, China) according to manufacturer’s instructions; results are expressed as ratios (&lt;0.9 negative, 0.9 to 1.1 borderline, &gt;1.1 positive).</w:t>
      </w:r>
    </w:p>
    <w:p w14:paraId="653A68AD" w14:textId="77777777" w:rsidR="00672C69" w:rsidRPr="0080793B" w:rsidRDefault="00672C69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0CCEA911" w14:textId="77777777" w:rsidR="00672C69" w:rsidRPr="0080793B" w:rsidRDefault="00672C69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80793B">
        <w:rPr>
          <w:rFonts w:eastAsia="Arial Unicode MS" w:cstheme="minorHAnsi"/>
          <w:b/>
          <w:lang w:val="en-US" w:eastAsia="de-DE"/>
        </w:rPr>
        <w:t xml:space="preserve">SARS-CoV-2 </w:t>
      </w:r>
      <w:r w:rsidRPr="0080793B">
        <w:rPr>
          <w:rFonts w:cstheme="minorHAnsi"/>
          <w:b/>
          <w:lang w:val="en-US"/>
        </w:rPr>
        <w:t xml:space="preserve">NCP-specific IgG </w:t>
      </w:r>
      <w:r w:rsidRPr="0080793B">
        <w:rPr>
          <w:rFonts w:cstheme="minorHAnsi"/>
          <w:lang w:val="en-US"/>
        </w:rPr>
        <w:t xml:space="preserve">were quantified by ELISA (Euroimmune®, Euroimmun Medizinische Labordiagnostika, Lübeck, Germany) </w:t>
      </w:r>
      <w:r w:rsidRPr="0080793B">
        <w:rPr>
          <w:rFonts w:eastAsia="Arial Unicode MS" w:cstheme="minorHAnsi"/>
          <w:lang w:val="en-US" w:eastAsia="de-DE"/>
        </w:rPr>
        <w:t xml:space="preserve">carried out according to manufacturer’s </w:t>
      </w:r>
      <w:r w:rsidRPr="0080793B">
        <w:rPr>
          <w:rFonts w:cstheme="minorHAnsi"/>
          <w:lang w:val="en-US"/>
        </w:rPr>
        <w:t>instructions; results are expressed as ratios (&lt;0.8 negative, 0.8 to 1.1 borderline, &gt;1.1 positive).</w:t>
      </w:r>
    </w:p>
    <w:p w14:paraId="6F389A16" w14:textId="77777777" w:rsidR="00F30FB0" w:rsidRPr="0080793B" w:rsidRDefault="00F30FB0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697C1E93" w14:textId="5E9B2852" w:rsidR="00F30FB0" w:rsidRDefault="00F30FB0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80793B">
        <w:rPr>
          <w:rFonts w:cstheme="minorHAnsi"/>
          <w:b/>
          <w:bCs/>
          <w:iCs/>
          <w:lang w:val="en-US"/>
        </w:rPr>
        <w:t>Detection of S1-specific B memory cells:</w:t>
      </w:r>
      <w:r w:rsidRPr="0080793B">
        <w:rPr>
          <w:rFonts w:cstheme="minorHAnsi"/>
          <w:b/>
          <w:bCs/>
          <w:i/>
          <w:iCs/>
          <w:lang w:val="en-US"/>
        </w:rPr>
        <w:t xml:space="preserve"> </w:t>
      </w:r>
      <w:r w:rsidRPr="0080793B">
        <w:rPr>
          <w:rFonts w:cstheme="minorHAnsi"/>
          <w:lang w:val="en-US"/>
        </w:rPr>
        <w:t xml:space="preserve">To detect SARS-CoV-2 S1-specific B memory cells, biotinylated S1 protein antigen was individually mixed with streptavidin APC and streptavidin BV421 probes. Streptavidin APC-Cy7 was used as a decoy probe to gate out SARS-CoV-2 non-specific streptavidin-binding B cells. The S1 antigen probes and decoy probe were mixed in Brilliant Buffer </w:t>
      </w:r>
      <w:r w:rsidRPr="0080793B">
        <w:rPr>
          <w:rFonts w:cstheme="minorHAnsi"/>
          <w:lang w:val="en-US"/>
        </w:rPr>
        <w:lastRenderedPageBreak/>
        <w:t>(BD Bioscience, Cat# 566349) containing 5</w:t>
      </w:r>
      <w:r w:rsidRPr="0080793B">
        <w:rPr>
          <w:rFonts w:cstheme="minorHAnsi"/>
        </w:rPr>
        <w:t>μ</w:t>
      </w:r>
      <w:r w:rsidRPr="0080793B">
        <w:rPr>
          <w:rFonts w:cstheme="minorHAnsi"/>
          <w:lang w:val="en-US"/>
        </w:rPr>
        <w:t>M free d-biotin and 3x10</w:t>
      </w:r>
      <w:r w:rsidRPr="0080793B">
        <w:rPr>
          <w:rFonts w:cstheme="minorHAnsi"/>
          <w:vertAlign w:val="superscript"/>
          <w:lang w:val="en-US"/>
        </w:rPr>
        <w:t>6</w:t>
      </w:r>
      <w:r w:rsidRPr="0080793B">
        <w:rPr>
          <w:rFonts w:cstheme="minorHAnsi"/>
          <w:lang w:val="en-US"/>
        </w:rPr>
        <w:t xml:space="preserve"> PBMC prepared in U-bottom 96-well plates were stained with 50</w:t>
      </w:r>
      <w:r w:rsidRPr="0080793B">
        <w:rPr>
          <w:rFonts w:cstheme="minorHAnsi"/>
        </w:rPr>
        <w:t>μ</w:t>
      </w:r>
      <w:r w:rsidRPr="0080793B">
        <w:rPr>
          <w:rFonts w:cstheme="minorHAnsi"/>
          <w:lang w:val="en-US"/>
        </w:rPr>
        <w:t xml:space="preserve">L antigen probe cocktail containing 100ng S1 per probe at 4°C for one hour. Then surface staining was performed with </w:t>
      </w:r>
      <w:r w:rsidR="000D6E88" w:rsidRPr="0080793B">
        <w:rPr>
          <w:rFonts w:cstheme="minorHAnsi"/>
          <w:lang w:val="en-US"/>
        </w:rPr>
        <w:t xml:space="preserve">directly-labeled monoclonal Abs towards </w:t>
      </w:r>
      <w:r w:rsidRPr="0080793B">
        <w:rPr>
          <w:rFonts w:cstheme="minorHAnsi"/>
          <w:lang w:val="en-US"/>
        </w:rPr>
        <w:t>human CD19 (</w:t>
      </w:r>
      <w:r w:rsidR="000D6E88" w:rsidRPr="0080793B">
        <w:rPr>
          <w:rFonts w:cstheme="minorHAnsi"/>
          <w:lang w:val="en-US"/>
        </w:rPr>
        <w:t xml:space="preserve">FITC, </w:t>
      </w:r>
      <w:r w:rsidRPr="0080793B">
        <w:rPr>
          <w:rFonts w:cstheme="minorHAnsi"/>
          <w:lang w:val="en-US"/>
        </w:rPr>
        <w:t>clone HIB19), human CD27 (</w:t>
      </w:r>
      <w:r w:rsidR="000D6E88" w:rsidRPr="0080793B">
        <w:rPr>
          <w:rFonts w:cstheme="minorHAnsi"/>
          <w:lang w:val="en-US"/>
        </w:rPr>
        <w:t xml:space="preserve">PE, </w:t>
      </w:r>
      <w:r w:rsidRPr="0080793B">
        <w:rPr>
          <w:rFonts w:cstheme="minorHAnsi"/>
          <w:lang w:val="en-US"/>
        </w:rPr>
        <w:t>clone L128), human CD38 (</w:t>
      </w:r>
      <w:r w:rsidR="000D6E88" w:rsidRPr="0080793B">
        <w:rPr>
          <w:rFonts w:cstheme="minorHAnsi"/>
          <w:lang w:val="en-US"/>
        </w:rPr>
        <w:t xml:space="preserve">PerCP-Cy5.5, </w:t>
      </w:r>
      <w:r w:rsidRPr="0080793B">
        <w:rPr>
          <w:rFonts w:cstheme="minorHAnsi"/>
          <w:lang w:val="en-US"/>
        </w:rPr>
        <w:t>clone HIT2) and human immunoglobulin D (IgD) (</w:t>
      </w:r>
      <w:r w:rsidR="000D6E88" w:rsidRPr="0080793B">
        <w:rPr>
          <w:rFonts w:cstheme="minorHAnsi"/>
          <w:lang w:val="en-US"/>
        </w:rPr>
        <w:t xml:space="preserve">PE-Cy7, </w:t>
      </w:r>
      <w:r w:rsidRPr="0080793B">
        <w:rPr>
          <w:rFonts w:cstheme="minorHAnsi"/>
          <w:lang w:val="en-US"/>
        </w:rPr>
        <w:t>clone IA6-2), all BD Bioscience, in Brilliant Buffer at 4°C for 30min. Dead cells were excluded by using Fixable viability dye eFluor-506 (eBioscience, now Thermo Fisher Scientific). Data were acquired on a FACS Canto II flow cytometer by gating on cells with forward/side light scatter properties of lymphocytes and analyzed with FACS Diva 8.0 software.</w:t>
      </w:r>
    </w:p>
    <w:p w14:paraId="7401D840" w14:textId="77777777" w:rsidR="0080793B" w:rsidRPr="002B5254" w:rsidRDefault="0080793B" w:rsidP="00F30FB0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en-US"/>
        </w:rPr>
      </w:pPr>
    </w:p>
    <w:p w14:paraId="02585CB5" w14:textId="42441099" w:rsidR="00607247" w:rsidRPr="00AB3E2B" w:rsidRDefault="00AB3E2B" w:rsidP="00AB3E2B">
      <w:pPr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PBMC stimulation: </w:t>
      </w:r>
      <w:r w:rsidR="00607247" w:rsidRPr="00AB3E2B">
        <w:rPr>
          <w:rFonts w:cstheme="minorHAnsi"/>
          <w:lang w:val="en-GB"/>
        </w:rPr>
        <w:t>RPMI 1640 supplemented with 2 mM L-glutamine (Lonza</w:t>
      </w:r>
      <w:r w:rsidR="00607247" w:rsidRPr="00AB3E2B">
        <w:rPr>
          <w:rFonts w:cstheme="minorHAnsi"/>
          <w:vertAlign w:val="superscript"/>
          <w:lang w:val="en-GB"/>
        </w:rPr>
        <w:t>TM</w:t>
      </w:r>
      <w:r w:rsidR="00607247" w:rsidRPr="00AB3E2B">
        <w:rPr>
          <w:rFonts w:cstheme="minorHAnsi"/>
          <w:lang w:val="en-GB"/>
        </w:rPr>
        <w:t>, BioWhittaker</w:t>
      </w:r>
      <w:r w:rsidR="00607247" w:rsidRPr="00AB3E2B">
        <w:rPr>
          <w:rFonts w:cstheme="minorHAnsi"/>
          <w:vertAlign w:val="superscript"/>
          <w:lang w:val="en-GB"/>
        </w:rPr>
        <w:t>TM</w:t>
      </w:r>
      <w:r w:rsidR="00607247" w:rsidRPr="00AB3E2B">
        <w:rPr>
          <w:rFonts w:cstheme="minorHAnsi"/>
          <w:lang w:val="en-GB"/>
        </w:rPr>
        <w:t xml:space="preserve">, Fisher Scientific, </w:t>
      </w:r>
      <w:proofErr w:type="gramStart"/>
      <w:r w:rsidR="00607247" w:rsidRPr="00AB3E2B">
        <w:rPr>
          <w:rFonts w:cstheme="minorHAnsi"/>
          <w:lang w:val="en-GB"/>
        </w:rPr>
        <w:t>Vienna</w:t>
      </w:r>
      <w:proofErr w:type="gramEnd"/>
      <w:r w:rsidR="00607247" w:rsidRPr="00AB3E2B">
        <w:rPr>
          <w:rFonts w:cstheme="minorHAnsi"/>
          <w:lang w:val="en-GB"/>
        </w:rPr>
        <w:t>, Austria) and 5% human AB serum (PAN-Biotech Seraclot, Aidenbach, Germany) was used for antigen-specific re-stimulation of PBMC. For each subject, 5 x 10</w:t>
      </w:r>
      <w:r w:rsidR="00607247" w:rsidRPr="00AB3E2B">
        <w:rPr>
          <w:rFonts w:cstheme="minorHAnsi"/>
          <w:vertAlign w:val="superscript"/>
          <w:lang w:val="en-GB"/>
        </w:rPr>
        <w:t>5</w:t>
      </w:r>
      <w:r w:rsidR="00607247" w:rsidRPr="00AB3E2B">
        <w:rPr>
          <w:rFonts w:cstheme="minorHAnsi"/>
          <w:lang w:val="en-GB"/>
        </w:rPr>
        <w:t xml:space="preserve"> freshly isolated PBMC in 190 µl medium were seeded in 96-well plates. Cells were rested overnight and then stimulants PepTivator®</w:t>
      </w:r>
      <w:r w:rsidR="00607247" w:rsidRPr="00AB3E2B">
        <w:rPr>
          <w:rFonts w:eastAsia="Times New Roman" w:cstheme="minorHAnsi"/>
          <w:vertAlign w:val="superscript"/>
          <w:lang w:val="en-GB" w:eastAsia="de-AT"/>
        </w:rPr>
        <w:t xml:space="preserve"> </w:t>
      </w:r>
      <w:r w:rsidR="00607247" w:rsidRPr="00AB3E2B">
        <w:rPr>
          <w:rFonts w:cstheme="minorHAnsi"/>
          <w:lang w:val="en-GB"/>
        </w:rPr>
        <w:t xml:space="preserve">SARS-CoV-2 peptide pools for S1-protein and nucleocapside phosphoprotein N (both Miltenyi Biotech B.V. &amp; Co. </w:t>
      </w:r>
      <w:r w:rsidR="00607247" w:rsidRPr="00AB3E2B">
        <w:rPr>
          <w:rFonts w:cstheme="minorHAnsi"/>
          <w:lang w:val="en-US"/>
        </w:rPr>
        <w:t>KG, Bergisch Gladbach, Germany) were added. L</w:t>
      </w:r>
      <w:r w:rsidR="00607247" w:rsidRPr="00AB3E2B">
        <w:rPr>
          <w:rFonts w:cstheme="minorHAnsi"/>
          <w:lang w:val="en-GB"/>
        </w:rPr>
        <w:t>yophilized antigens were reconstituted in sterile water (Cat.-No.: 95284, Merck, Darmstadt, Germany) according to manufacturer’s instructions yielding a stock of 30 nmol of peptide/mL. Working aliquots at 3 nmol/mL in 1x DPBS (Gibco</w:t>
      </w:r>
      <w:r w:rsidR="00607247" w:rsidRPr="00AB3E2B">
        <w:rPr>
          <w:rFonts w:cstheme="minorHAnsi"/>
          <w:vertAlign w:val="superscript"/>
          <w:lang w:val="en-GB"/>
        </w:rPr>
        <w:t>TM</w:t>
      </w:r>
      <w:r w:rsidR="00607247" w:rsidRPr="00AB3E2B">
        <w:rPr>
          <w:rFonts w:cstheme="minorHAnsi"/>
          <w:lang w:val="en-GB"/>
        </w:rPr>
        <w:t xml:space="preserve"> Cat.-No.: 14190094, Thermo Fisher Scientific, Vienna, Austria) were stored at -80°C until usage. For stimulation, 10µl of working solutions were added to rested cells (final volume of 200µl with 0.03 nmol of peptide/5 x 10</w:t>
      </w:r>
      <w:r w:rsidR="00607247" w:rsidRPr="00AB3E2B">
        <w:rPr>
          <w:rFonts w:cstheme="minorHAnsi"/>
          <w:vertAlign w:val="superscript"/>
          <w:lang w:val="en-GB"/>
        </w:rPr>
        <w:t>5</w:t>
      </w:r>
      <w:r w:rsidR="00607247" w:rsidRPr="00AB3E2B">
        <w:rPr>
          <w:rFonts w:cstheme="minorHAnsi"/>
          <w:lang w:val="en-GB"/>
        </w:rPr>
        <w:t xml:space="preserve"> cells).  Negative controls were stimulated with 10µl 1x DPBS, positive controls with 10µl PHA (250µg/mL working solution; 5µ/mL final concentration). </w:t>
      </w:r>
      <w:r w:rsidR="002E6C11">
        <w:rPr>
          <w:rFonts w:cstheme="minorHAnsi"/>
          <w:lang w:val="en-US"/>
        </w:rPr>
        <w:t>Cultures were maintained for 24</w:t>
      </w:r>
      <w:r w:rsidR="00607247" w:rsidRPr="00AB3E2B">
        <w:rPr>
          <w:rFonts w:cstheme="minorHAnsi"/>
          <w:lang w:val="en-US"/>
        </w:rPr>
        <w:t xml:space="preserve"> h (37</w:t>
      </w:r>
      <w:r w:rsidR="00607247" w:rsidRPr="00AB3E2B">
        <w:rPr>
          <w:rFonts w:eastAsia="MTSY" w:cstheme="minorHAnsi"/>
          <w:lang w:val="en-US"/>
        </w:rPr>
        <w:t>°</w:t>
      </w:r>
      <w:r w:rsidR="00607247" w:rsidRPr="00AB3E2B">
        <w:rPr>
          <w:rFonts w:cstheme="minorHAnsi"/>
          <w:lang w:val="en-US"/>
        </w:rPr>
        <w:t xml:space="preserve">C, 5%CO2, 95% humidity), and thereafter </w:t>
      </w:r>
      <w:r w:rsidR="00607247" w:rsidRPr="00AB3E2B">
        <w:rPr>
          <w:rFonts w:cstheme="minorHAnsi"/>
          <w:lang w:val="en-GB"/>
        </w:rPr>
        <w:t xml:space="preserve">supernatants were taken and stored at -80°C until analysis. </w:t>
      </w:r>
    </w:p>
    <w:p w14:paraId="12E92F6C" w14:textId="77777777" w:rsidR="00607247" w:rsidRPr="00AB3E2B" w:rsidRDefault="00607247" w:rsidP="00607247">
      <w:pPr>
        <w:jc w:val="both"/>
        <w:rPr>
          <w:rFonts w:ascii="MinionPro-Regular" w:hAnsi="MinionPro-Regular" w:cs="MinionPro-Regular"/>
          <w:sz w:val="19"/>
          <w:szCs w:val="19"/>
          <w:lang w:val="en-GB"/>
        </w:rPr>
      </w:pPr>
    </w:p>
    <w:p w14:paraId="3F9ABCD4" w14:textId="2E29AB7B" w:rsidR="00C93889" w:rsidRPr="00AB3E2B" w:rsidRDefault="00607247" w:rsidP="00607247">
      <w:pPr>
        <w:jc w:val="both"/>
        <w:rPr>
          <w:b/>
          <w:bCs/>
          <w:lang w:val="en-GB"/>
        </w:rPr>
      </w:pPr>
      <w:r w:rsidRPr="00AB3E2B">
        <w:rPr>
          <w:b/>
          <w:bCs/>
          <w:lang w:val="en-GB"/>
        </w:rPr>
        <w:t>Cytokine measurements</w:t>
      </w:r>
      <w:r w:rsidR="00AB3E2B">
        <w:rPr>
          <w:b/>
          <w:bCs/>
          <w:lang w:val="en-GB"/>
        </w:rPr>
        <w:t xml:space="preserve">: </w:t>
      </w:r>
      <w:r w:rsidRPr="00AB3E2B">
        <w:rPr>
          <w:lang w:val="en-GB"/>
        </w:rPr>
        <w:t>Conce</w:t>
      </w:r>
      <w:r w:rsidR="00AB3E2B">
        <w:rPr>
          <w:lang w:val="en-GB"/>
        </w:rPr>
        <w:t>ntrations of interleukin (IL)-2</w:t>
      </w:r>
      <w:r w:rsidRPr="00AB3E2B">
        <w:rPr>
          <w:lang w:val="en-GB"/>
        </w:rPr>
        <w:t xml:space="preserve"> </w:t>
      </w:r>
      <w:r w:rsidR="00AB3E2B" w:rsidRPr="00AB3E2B">
        <w:rPr>
          <w:lang w:val="en-GB"/>
        </w:rPr>
        <w:t>and</w:t>
      </w:r>
      <w:r w:rsidR="00AB3E2B">
        <w:rPr>
          <w:b/>
          <w:lang w:val="en-GB"/>
        </w:rPr>
        <w:t xml:space="preserve"> </w:t>
      </w:r>
      <w:r w:rsidRPr="00AB3E2B">
        <w:rPr>
          <w:lang w:val="en-GB"/>
        </w:rPr>
        <w:t>interferon (IFN)-gamma in thawed supernatants were measured with Luminex Human High-Sensitive Cytokine Performance Assays (Bio-techne, Minneapolis, USA) used according to the manufacturer’s instruction on a Luminex</w:t>
      </w:r>
      <w:r w:rsidRPr="00AB3E2B">
        <w:rPr>
          <w:rFonts w:cstheme="minorHAnsi"/>
          <w:lang w:val="en-GB"/>
        </w:rPr>
        <w:t>®</w:t>
      </w:r>
      <w:r w:rsidRPr="00AB3E2B">
        <w:rPr>
          <w:lang w:val="en-GB"/>
        </w:rPr>
        <w:t xml:space="preserve"> 100/200 System.</w:t>
      </w:r>
    </w:p>
    <w:p w14:paraId="670FDB9D" w14:textId="77777777" w:rsidR="00607247" w:rsidRPr="00607247" w:rsidRDefault="00607247" w:rsidP="00607247">
      <w:pPr>
        <w:jc w:val="both"/>
        <w:rPr>
          <w:lang w:val="en-GB"/>
        </w:rPr>
      </w:pPr>
    </w:p>
    <w:p w14:paraId="5030361F" w14:textId="1EB87865" w:rsidR="00672C69" w:rsidRPr="0080793B" w:rsidRDefault="00E61281" w:rsidP="00F30FB0">
      <w:pPr>
        <w:rPr>
          <w:rFonts w:cstheme="minorHAnsi"/>
          <w:b/>
          <w:lang w:val="en-US"/>
        </w:rPr>
      </w:pPr>
      <w:r w:rsidRPr="0080793B">
        <w:rPr>
          <w:rFonts w:cstheme="minorHAnsi"/>
          <w:b/>
          <w:lang w:val="en-US"/>
        </w:rPr>
        <w:t>Suppl. Statistical Evaluation:</w:t>
      </w:r>
    </w:p>
    <w:p w14:paraId="64993035" w14:textId="18A34428" w:rsidR="00E61281" w:rsidRPr="0080793B" w:rsidRDefault="00E61281" w:rsidP="00F30FB0">
      <w:pPr>
        <w:jc w:val="both"/>
        <w:rPr>
          <w:rFonts w:cstheme="minorHAnsi"/>
          <w:lang w:val="en-US"/>
        </w:rPr>
      </w:pPr>
      <w:r w:rsidRPr="0080793B">
        <w:rPr>
          <w:rFonts w:cstheme="minorHAnsi"/>
          <w:lang w:val="en-US"/>
        </w:rPr>
        <w:t>Persistence of immunity after infection or vaccination is sometimes life</w:t>
      </w:r>
      <w:r w:rsidR="0080793B">
        <w:rPr>
          <w:rFonts w:cstheme="minorHAnsi"/>
          <w:lang w:val="en-US"/>
        </w:rPr>
        <w:t xml:space="preserve"> </w:t>
      </w:r>
      <w:r w:rsidRPr="0080793B">
        <w:rPr>
          <w:rFonts w:cstheme="minorHAnsi"/>
          <w:lang w:val="en-US"/>
        </w:rPr>
        <w:t>long, such as in measles, however, typically antibody levels decline. It has been shown for vaccination-induced antibodies that decline kinetics are best described by two-component models that are log-linear</w:t>
      </w:r>
      <w:r w:rsidR="00C00094">
        <w:rPr>
          <w:rFonts w:cstheme="minorHAnsi"/>
          <w:lang w:val="en-US"/>
        </w:rPr>
        <w:t xml:space="preserve"> </w:t>
      </w:r>
      <w:r w:rsidR="00C00094" w:rsidRPr="00AB3E2B">
        <w:rPr>
          <w:rFonts w:cstheme="minorHAnsi"/>
          <w:lang w:val="en-US"/>
        </w:rPr>
        <w:t>(additional literature: 2-4</w:t>
      </w:r>
      <w:r w:rsidR="007A11A7" w:rsidRPr="00AB3E2B">
        <w:rPr>
          <w:rFonts w:cstheme="minorHAnsi"/>
          <w:lang w:val="en-US"/>
        </w:rPr>
        <w:t>)</w:t>
      </w:r>
      <w:r w:rsidRPr="00AB3E2B">
        <w:rPr>
          <w:rFonts w:cstheme="minorHAnsi"/>
          <w:lang w:val="en-US"/>
        </w:rPr>
        <w:t>. One component starts after the maximum level is reached (a few weeks aft</w:t>
      </w:r>
      <w:r w:rsidRPr="0080793B">
        <w:rPr>
          <w:rFonts w:cstheme="minorHAnsi"/>
          <w:lang w:val="en-US"/>
        </w:rPr>
        <w:t xml:space="preserve">er the first booster vaccination or after symptoms have resolved in infected individuals) and leads to an initial fast decline. The second component typically starts after a few months and is often very slowly declining (sometimes so slow that a certain level persists lifelong). We have applied such a model for the different antibody measurements. </w:t>
      </w:r>
    </w:p>
    <w:p w14:paraId="63DB3F23" w14:textId="77777777" w:rsidR="00E61281" w:rsidRPr="0080793B" w:rsidRDefault="00E42400" w:rsidP="00F30FB0">
      <w:pPr>
        <w:jc w:val="both"/>
        <w:rPr>
          <w:rFonts w:cstheme="minorHAnsi"/>
          <w:lang w:val="en-US"/>
        </w:rPr>
      </w:pP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log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e>
        </m:func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log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o</m:t>
                </m:r>
              </m:sub>
            </m:sSub>
          </m:e>
        </m:func>
        <m:r>
          <w:rPr>
            <w:rFonts w:ascii="Cambria Math" w:hAnsi="Cambria Math" w:cstheme="minorHAnsi"/>
            <w:lang w:val="en-US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β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lang w:val="en-US"/>
          </w:rPr>
          <m:t>∙t-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t-δ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+</m:t>
            </m:r>
          </m:sup>
        </m:sSup>
      </m:oMath>
      <w:r w:rsidR="00E61281" w:rsidRPr="0080793B">
        <w:rPr>
          <w:rFonts w:cstheme="minorHAnsi"/>
          <w:lang w:val="en-US"/>
        </w:rPr>
        <w:t xml:space="preserve"> </w:t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</w:r>
      <w:r w:rsidR="00E61281" w:rsidRPr="0080793B">
        <w:rPr>
          <w:rFonts w:cstheme="minorHAnsi"/>
          <w:lang w:val="en-US"/>
        </w:rPr>
        <w:tab/>
        <w:t>(1)</w:t>
      </w:r>
    </w:p>
    <w:p w14:paraId="6D121268" w14:textId="77777777" w:rsidR="00E61281" w:rsidRPr="0080793B" w:rsidRDefault="00E61281" w:rsidP="00F30FB0">
      <w:pPr>
        <w:jc w:val="both"/>
        <w:rPr>
          <w:rFonts w:cstheme="minorHAnsi"/>
          <w:lang w:val="en-US"/>
        </w:rPr>
      </w:pPr>
      <w:r w:rsidRPr="0080793B">
        <w:rPr>
          <w:rFonts w:cstheme="minorHAnsi"/>
          <w:lang w:val="en-US"/>
        </w:rPr>
        <w:lastRenderedPageBreak/>
        <w:t>Equation (1) describes the antibody level y</w:t>
      </w:r>
      <w:r w:rsidRPr="0080793B">
        <w:rPr>
          <w:rFonts w:cstheme="minorHAnsi"/>
          <w:vertAlign w:val="subscript"/>
          <w:lang w:val="en-US"/>
        </w:rPr>
        <w:t>t</w:t>
      </w:r>
      <w:r w:rsidRPr="0080793B">
        <w:rPr>
          <w:rFonts w:cstheme="minorHAnsi"/>
          <w:lang w:val="en-US"/>
        </w:rPr>
        <w:t xml:space="preserve"> at time t months after the baseline time point o as a log linear function of t with a cut point </w:t>
      </w:r>
      <w:r w:rsidRPr="0080793B">
        <w:rPr>
          <w:rFonts w:cstheme="minorHAnsi"/>
          <w:lang w:val="en-US"/>
        </w:rPr>
        <w:sym w:font="Symbol" w:char="F064"/>
      </w:r>
      <w:r w:rsidRPr="0080793B">
        <w:rPr>
          <w:rFonts w:cstheme="minorHAnsi"/>
          <w:lang w:val="en-US"/>
        </w:rPr>
        <w:t xml:space="preserve"> (set at 6 months) when the slow component starts to operate (the indicator function x</w:t>
      </w:r>
      <w:r w:rsidRPr="0080793B">
        <w:rPr>
          <w:rFonts w:cstheme="minorHAnsi"/>
          <w:vertAlign w:val="superscript"/>
          <w:lang w:val="en-US"/>
        </w:rPr>
        <w:t>+</w:t>
      </w:r>
      <w:r w:rsidRPr="0080793B">
        <w:rPr>
          <w:rFonts w:cstheme="minorHAnsi"/>
          <w:lang w:val="en-US"/>
        </w:rPr>
        <w:t xml:space="preserve"> takes on zero of x&lt;0 and is =x if x&gt;0).</w:t>
      </w:r>
    </w:p>
    <w:p w14:paraId="16810E19" w14:textId="55C562A5" w:rsidR="00E61281" w:rsidRPr="0080793B" w:rsidRDefault="00E61281" w:rsidP="00D8601A">
      <w:pPr>
        <w:jc w:val="both"/>
        <w:rPr>
          <w:rFonts w:cstheme="minorHAnsi"/>
          <w:lang w:val="en-US"/>
        </w:rPr>
      </w:pPr>
      <w:r w:rsidRPr="0080793B">
        <w:rPr>
          <w:rFonts w:cstheme="minorHAnsi"/>
          <w:lang w:val="en-US"/>
        </w:rPr>
        <w:t>Parameters ß</w:t>
      </w:r>
      <w:r w:rsidRPr="0080793B">
        <w:rPr>
          <w:rFonts w:cstheme="minorHAnsi"/>
          <w:vertAlign w:val="subscript"/>
          <w:lang w:val="en-US"/>
        </w:rPr>
        <w:t>1</w:t>
      </w:r>
      <w:r w:rsidRPr="0080793B">
        <w:rPr>
          <w:rFonts w:cstheme="minorHAnsi"/>
          <w:lang w:val="en-US"/>
        </w:rPr>
        <w:t xml:space="preserve"> and ß</w:t>
      </w:r>
      <w:r w:rsidRPr="0080793B">
        <w:rPr>
          <w:rFonts w:cstheme="minorHAnsi"/>
          <w:vertAlign w:val="subscript"/>
          <w:lang w:val="en-US"/>
        </w:rPr>
        <w:t>2</w:t>
      </w:r>
      <w:r w:rsidRPr="0080793B">
        <w:rPr>
          <w:rFonts w:cstheme="minorHAnsi"/>
          <w:lang w:val="en-US"/>
        </w:rPr>
        <w:t xml:space="preserve"> were estimated by a General Estimation Equation (GEE) model with an unstructured correlation matrix. In addition, the parameters were estimated for each participant. </w:t>
      </w:r>
    </w:p>
    <w:p w14:paraId="0AF71B5E" w14:textId="77777777" w:rsidR="00AB4A4C" w:rsidRPr="0080793B" w:rsidRDefault="00AB4A4C" w:rsidP="00F30FB0">
      <w:pPr>
        <w:rPr>
          <w:rFonts w:cstheme="minorHAnsi"/>
          <w:lang w:val="en-US"/>
        </w:rPr>
      </w:pPr>
    </w:p>
    <w:p w14:paraId="70068316" w14:textId="1396603F" w:rsidR="00E61281" w:rsidRPr="0080793B" w:rsidRDefault="007A11A7" w:rsidP="00F30FB0">
      <w:pPr>
        <w:rPr>
          <w:rFonts w:cstheme="minorHAnsi"/>
          <w:b/>
          <w:lang w:val="en-US"/>
        </w:rPr>
      </w:pPr>
      <w:r w:rsidRPr="0080793B">
        <w:rPr>
          <w:rFonts w:cstheme="minorHAnsi"/>
          <w:b/>
          <w:lang w:val="en-US"/>
        </w:rPr>
        <w:t>References</w:t>
      </w:r>
      <w:r w:rsidR="00D8601A" w:rsidRPr="0080793B">
        <w:rPr>
          <w:rFonts w:cstheme="minorHAnsi"/>
          <w:b/>
          <w:lang w:val="en-US"/>
        </w:rPr>
        <w:t>:</w:t>
      </w:r>
    </w:p>
    <w:p w14:paraId="1DEAC3DE" w14:textId="0D7C4120" w:rsidR="0080793B" w:rsidRPr="0080793B" w:rsidRDefault="00672C69" w:rsidP="0080793B">
      <w:pPr>
        <w:pStyle w:val="EndNoteBibliography"/>
        <w:numPr>
          <w:ilvl w:val="0"/>
          <w:numId w:val="3"/>
        </w:numPr>
      </w:pPr>
      <w:r w:rsidRPr="0080793B">
        <w:rPr>
          <w:rFonts w:asciiTheme="minorHAnsi" w:hAnsiTheme="minorHAnsi" w:cstheme="minorHAnsi"/>
        </w:rPr>
        <w:fldChar w:fldCharType="begin"/>
      </w:r>
      <w:r w:rsidRPr="0080793B">
        <w:rPr>
          <w:rFonts w:asciiTheme="minorHAnsi" w:hAnsiTheme="minorHAnsi" w:cstheme="minorHAnsi"/>
          <w:lang w:val="de-DE"/>
        </w:rPr>
        <w:instrText xml:space="preserve"> ADDIN EN.REFLIST </w:instrText>
      </w:r>
      <w:r w:rsidRPr="0080793B">
        <w:rPr>
          <w:rFonts w:asciiTheme="minorHAnsi" w:hAnsiTheme="minorHAnsi" w:cstheme="minorHAnsi"/>
        </w:rPr>
        <w:fldChar w:fldCharType="separate"/>
      </w:r>
      <w:r w:rsidR="0080793B" w:rsidRPr="0080793B">
        <w:rPr>
          <w:lang w:val="de-DE"/>
        </w:rPr>
        <w:t>Garner-Spitzer E, Wagner A, Paulke-Korinek M, Kollaritsch H, Heinz FX, Redlberger-Fritz M</w:t>
      </w:r>
      <w:r w:rsidR="0080793B" w:rsidRPr="0080793B">
        <w:rPr>
          <w:i/>
          <w:lang w:val="de-DE"/>
        </w:rPr>
        <w:t>, et al.</w:t>
      </w:r>
      <w:r w:rsidR="0080793B" w:rsidRPr="0080793B">
        <w:rPr>
          <w:lang w:val="de-DE"/>
        </w:rPr>
        <w:t xml:space="preserve"> </w:t>
      </w:r>
      <w:r w:rsidR="0080793B" w:rsidRPr="0080793B">
        <w:t xml:space="preserve">Tick-borne encephalitis (TBE) and hepatitis B nonresponders feature different immunologic mechanisms in response to TBE and influenza vaccination with involvement of regulatory T and B cells and IL-10. </w:t>
      </w:r>
      <w:r w:rsidR="0080793B" w:rsidRPr="0080793B">
        <w:rPr>
          <w:i/>
        </w:rPr>
        <w:t>J Immunol</w:t>
      </w:r>
      <w:r w:rsidR="0080793B" w:rsidRPr="0080793B">
        <w:t xml:space="preserve"> 2013;</w:t>
      </w:r>
      <w:r w:rsidR="0080793B" w:rsidRPr="0080793B">
        <w:rPr>
          <w:b/>
        </w:rPr>
        <w:t>191</w:t>
      </w:r>
      <w:r w:rsidR="0080793B" w:rsidRPr="0080793B">
        <w:t>(5):2426-36 doi 10.4049/jimmunol.1300293.</w:t>
      </w:r>
    </w:p>
    <w:p w14:paraId="721A9F76" w14:textId="1F3C351D" w:rsidR="00F2690F" w:rsidRPr="0080793B" w:rsidRDefault="00672C69" w:rsidP="00C00094">
      <w:pPr>
        <w:pStyle w:val="Listenabsatz"/>
        <w:numPr>
          <w:ilvl w:val="0"/>
          <w:numId w:val="3"/>
        </w:numPr>
        <w:rPr>
          <w:lang w:val="en-US"/>
        </w:rPr>
      </w:pPr>
      <w:r w:rsidRPr="0080793B">
        <w:rPr>
          <w:lang w:val="en-US"/>
        </w:rPr>
        <w:fldChar w:fldCharType="end"/>
      </w:r>
      <w:r w:rsidR="00F2690F" w:rsidRPr="0080793B">
        <w:rPr>
          <w:lang w:val="en-US"/>
        </w:rPr>
        <w:t xml:space="preserve">Van Damme P, Thoelen S, Cramm M, De Groote K, Safary A, </w:t>
      </w:r>
      <w:proofErr w:type="gramStart"/>
      <w:r w:rsidR="00F2690F" w:rsidRPr="0080793B">
        <w:rPr>
          <w:lang w:val="en-US"/>
        </w:rPr>
        <w:t>Meheus</w:t>
      </w:r>
      <w:proofErr w:type="gramEnd"/>
      <w:r w:rsidR="00F2690F" w:rsidRPr="0080793B">
        <w:rPr>
          <w:lang w:val="en-US"/>
        </w:rPr>
        <w:t xml:space="preserve"> A. Inactivated hepatitis A vaccine: reactogenicity, immunogenicity, and long-term antibody persistence. J Med Virol. 1994</w:t>
      </w:r>
      <w:proofErr w:type="gramStart"/>
      <w:r w:rsidR="00F2690F" w:rsidRPr="0080793B">
        <w:rPr>
          <w:lang w:val="en-US"/>
        </w:rPr>
        <w:t>;44</w:t>
      </w:r>
      <w:proofErr w:type="gramEnd"/>
      <w:r w:rsidR="00F2690F" w:rsidRPr="0080793B">
        <w:rPr>
          <w:lang w:val="en-US"/>
        </w:rPr>
        <w:t>(4):446-51.</w:t>
      </w:r>
    </w:p>
    <w:p w14:paraId="0C51F68E" w14:textId="77777777" w:rsidR="00F2690F" w:rsidRPr="0080793B" w:rsidRDefault="00F2690F" w:rsidP="0080793B">
      <w:pPr>
        <w:pStyle w:val="Listenabsatz"/>
        <w:numPr>
          <w:ilvl w:val="0"/>
          <w:numId w:val="3"/>
        </w:numPr>
        <w:rPr>
          <w:rFonts w:cstheme="minorHAnsi"/>
          <w:lang w:val="en-US"/>
        </w:rPr>
      </w:pPr>
      <w:r w:rsidRPr="0080793B">
        <w:rPr>
          <w:rFonts w:cstheme="minorHAnsi"/>
          <w:lang w:val="en-US"/>
        </w:rPr>
        <w:t>Theeten H, Van Herck K, Van Der Meeren O, Crasta P, Van Damme P, Hens N. Long-term antibody persistence after vaccination with a 2-dose Havrix (inactivated hepatitis A vaccine): 20 years of observed data, and long-term model-based predictions. Vaccine. 2015</w:t>
      </w:r>
      <w:proofErr w:type="gramStart"/>
      <w:r w:rsidRPr="0080793B">
        <w:rPr>
          <w:rFonts w:cstheme="minorHAnsi"/>
          <w:lang w:val="en-US"/>
        </w:rPr>
        <w:t>;33</w:t>
      </w:r>
      <w:proofErr w:type="gramEnd"/>
      <w:r w:rsidRPr="0080793B">
        <w:rPr>
          <w:rFonts w:cstheme="minorHAnsi"/>
          <w:lang w:val="en-US"/>
        </w:rPr>
        <w:t>(42):5723-5727.</w:t>
      </w:r>
    </w:p>
    <w:p w14:paraId="3F6C4FC5" w14:textId="77777777" w:rsidR="00F2690F" w:rsidRPr="0080793B" w:rsidRDefault="00F2690F" w:rsidP="0080793B">
      <w:pPr>
        <w:pStyle w:val="Listenabsatz"/>
        <w:numPr>
          <w:ilvl w:val="0"/>
          <w:numId w:val="3"/>
        </w:numPr>
        <w:rPr>
          <w:rFonts w:cstheme="minorHAnsi"/>
          <w:lang w:val="en-US"/>
        </w:rPr>
      </w:pPr>
      <w:r w:rsidRPr="0080793B">
        <w:rPr>
          <w:rFonts w:cstheme="minorHAnsi"/>
        </w:rPr>
        <w:t xml:space="preserve">Eder S, Dubischar-Kastner K, Firbas C, Jelinek T, Jilma B, Kaltenboeck A, Knappik M, Kollaritsch H, Kundi M, Paulke-Korinek M, Schuller E, Klade CS. </w:t>
      </w:r>
      <w:r w:rsidRPr="0080793B">
        <w:rPr>
          <w:rFonts w:cstheme="minorHAnsi"/>
          <w:lang w:val="en-US"/>
        </w:rPr>
        <w:t>Long term immunity following a booster dose of the inactivated Japanese Encephalitis vaccine IXIARO®, IC51. Vaccine. 2011</w:t>
      </w:r>
      <w:proofErr w:type="gramStart"/>
      <w:r w:rsidRPr="0080793B">
        <w:rPr>
          <w:rFonts w:cstheme="minorHAnsi"/>
          <w:lang w:val="en-US"/>
        </w:rPr>
        <w:t>;29</w:t>
      </w:r>
      <w:proofErr w:type="gramEnd"/>
      <w:r w:rsidRPr="0080793B">
        <w:rPr>
          <w:rFonts w:cstheme="minorHAnsi"/>
          <w:lang w:val="en-US"/>
        </w:rPr>
        <w:t>(14):2607-12.</w:t>
      </w:r>
    </w:p>
    <w:p w14:paraId="393D1C86" w14:textId="1F3BC3A8" w:rsidR="00F8188D" w:rsidRPr="0080793B" w:rsidRDefault="00F8188D" w:rsidP="00F30FB0">
      <w:pPr>
        <w:rPr>
          <w:rFonts w:cstheme="minorHAnsi"/>
          <w:lang w:val="en-US"/>
        </w:rPr>
      </w:pPr>
    </w:p>
    <w:sectPr w:rsidR="00F8188D" w:rsidRPr="0080793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947D" w14:textId="77777777" w:rsidR="00E42400" w:rsidRDefault="00E42400" w:rsidP="00EE78CB">
      <w:pPr>
        <w:spacing w:after="0" w:line="240" w:lineRule="auto"/>
      </w:pPr>
      <w:r>
        <w:separator/>
      </w:r>
    </w:p>
  </w:endnote>
  <w:endnote w:type="continuationSeparator" w:id="0">
    <w:p w14:paraId="08452DF7" w14:textId="77777777" w:rsidR="00E42400" w:rsidRDefault="00E42400" w:rsidP="00EE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46959"/>
      <w:docPartObj>
        <w:docPartGallery w:val="Page Numbers (Bottom of Page)"/>
        <w:docPartUnique/>
      </w:docPartObj>
    </w:sdtPr>
    <w:sdtEndPr/>
    <w:sdtContent>
      <w:p w14:paraId="389D32F0" w14:textId="0A17ADDD" w:rsidR="00EE78CB" w:rsidRDefault="00EE78C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CC">
          <w:rPr>
            <w:noProof/>
          </w:rPr>
          <w:t>1</w:t>
        </w:r>
        <w:r>
          <w:fldChar w:fldCharType="end"/>
        </w:r>
      </w:p>
    </w:sdtContent>
  </w:sdt>
  <w:p w14:paraId="6048F71E" w14:textId="77777777" w:rsidR="00EE78CB" w:rsidRDefault="00EE78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838B4" w14:textId="77777777" w:rsidR="00E42400" w:rsidRDefault="00E42400" w:rsidP="00EE78CB">
      <w:pPr>
        <w:spacing w:after="0" w:line="240" w:lineRule="auto"/>
      </w:pPr>
      <w:r>
        <w:separator/>
      </w:r>
    </w:p>
  </w:footnote>
  <w:footnote w:type="continuationSeparator" w:id="0">
    <w:p w14:paraId="44D08111" w14:textId="77777777" w:rsidR="00E42400" w:rsidRDefault="00E42400" w:rsidP="00EE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27D"/>
    <w:multiLevelType w:val="hybridMultilevel"/>
    <w:tmpl w:val="8B665A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3FB9"/>
    <w:multiLevelType w:val="hybridMultilevel"/>
    <w:tmpl w:val="ACF261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34111"/>
    <w:multiLevelType w:val="hybridMultilevel"/>
    <w:tmpl w:val="C79AFC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ancer Researc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5x2rfvgvtpe5efwrpptvd4r90d9zax0fdr&quot;&gt;My EndNote Library hep b&lt;record-ids&gt;&lt;item&gt;1028&lt;/item&gt;&lt;/record-ids&gt;&lt;/item&gt;&lt;/Libraries&gt;"/>
  </w:docVars>
  <w:rsids>
    <w:rsidRoot w:val="00672C69"/>
    <w:rsid w:val="00007863"/>
    <w:rsid w:val="000B2DF3"/>
    <w:rsid w:val="000D6E88"/>
    <w:rsid w:val="002106D1"/>
    <w:rsid w:val="0024135D"/>
    <w:rsid w:val="002B5254"/>
    <w:rsid w:val="002C50B4"/>
    <w:rsid w:val="002D3882"/>
    <w:rsid w:val="002E6C11"/>
    <w:rsid w:val="002F1EE1"/>
    <w:rsid w:val="00373F25"/>
    <w:rsid w:val="00382E49"/>
    <w:rsid w:val="00396AD4"/>
    <w:rsid w:val="003D5CF1"/>
    <w:rsid w:val="00420ECC"/>
    <w:rsid w:val="004422E2"/>
    <w:rsid w:val="0048035D"/>
    <w:rsid w:val="004C1CA9"/>
    <w:rsid w:val="004C758B"/>
    <w:rsid w:val="005244AB"/>
    <w:rsid w:val="00544F38"/>
    <w:rsid w:val="005512D8"/>
    <w:rsid w:val="005950C2"/>
    <w:rsid w:val="005E4796"/>
    <w:rsid w:val="00607247"/>
    <w:rsid w:val="00622BC8"/>
    <w:rsid w:val="00672C69"/>
    <w:rsid w:val="006C5B90"/>
    <w:rsid w:val="006F793D"/>
    <w:rsid w:val="00726E24"/>
    <w:rsid w:val="0073741F"/>
    <w:rsid w:val="007A11A7"/>
    <w:rsid w:val="0080793B"/>
    <w:rsid w:val="00832D9A"/>
    <w:rsid w:val="0086656E"/>
    <w:rsid w:val="008D7550"/>
    <w:rsid w:val="00923778"/>
    <w:rsid w:val="0094373A"/>
    <w:rsid w:val="009D12B2"/>
    <w:rsid w:val="009E06BB"/>
    <w:rsid w:val="00A85035"/>
    <w:rsid w:val="00AB3E2B"/>
    <w:rsid w:val="00AB4A4C"/>
    <w:rsid w:val="00B92786"/>
    <w:rsid w:val="00BC1965"/>
    <w:rsid w:val="00BD4DE5"/>
    <w:rsid w:val="00BE1CE9"/>
    <w:rsid w:val="00C00094"/>
    <w:rsid w:val="00C4291E"/>
    <w:rsid w:val="00C93889"/>
    <w:rsid w:val="00CF033A"/>
    <w:rsid w:val="00D55B0B"/>
    <w:rsid w:val="00D8601A"/>
    <w:rsid w:val="00DA4C8F"/>
    <w:rsid w:val="00E42400"/>
    <w:rsid w:val="00E61281"/>
    <w:rsid w:val="00EB4E10"/>
    <w:rsid w:val="00EE46CA"/>
    <w:rsid w:val="00EE78CB"/>
    <w:rsid w:val="00F2690F"/>
    <w:rsid w:val="00F30FB0"/>
    <w:rsid w:val="00F8188D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5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C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672C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Standard"/>
    <w:link w:val="EndNoteBibliographyTitleZchn"/>
    <w:rsid w:val="00672C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72C6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72C6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72C69"/>
    <w:rPr>
      <w:rFonts w:ascii="Calibri" w:hAnsi="Calibri" w:cs="Calibri"/>
      <w:noProof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8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55B0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D3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8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8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88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2690F"/>
    <w:pPr>
      <w:ind w:left="720"/>
      <w:contextualSpacing/>
    </w:pPr>
  </w:style>
  <w:style w:type="paragraph" w:styleId="berarbeitung">
    <w:name w:val="Revision"/>
    <w:hidden/>
    <w:uiPriority w:val="99"/>
    <w:semiHidden/>
    <w:rsid w:val="0024135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E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8CB"/>
  </w:style>
  <w:style w:type="paragraph" w:styleId="Fuzeile">
    <w:name w:val="footer"/>
    <w:basedOn w:val="Standard"/>
    <w:link w:val="FuzeileZchn"/>
    <w:uiPriority w:val="99"/>
    <w:unhideWhenUsed/>
    <w:rsid w:val="00EE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8CB"/>
  </w:style>
  <w:style w:type="table" w:styleId="Tabellenraster">
    <w:name w:val="Table Grid"/>
    <w:basedOn w:val="NormaleTabelle"/>
    <w:uiPriority w:val="59"/>
    <w:rsid w:val="00C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C938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C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672C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Standard"/>
    <w:link w:val="EndNoteBibliographyTitleZchn"/>
    <w:rsid w:val="00672C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72C6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72C6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72C69"/>
    <w:rPr>
      <w:rFonts w:ascii="Calibri" w:hAnsi="Calibri" w:cs="Calibri"/>
      <w:noProof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8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55B0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D3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8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8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88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2690F"/>
    <w:pPr>
      <w:ind w:left="720"/>
      <w:contextualSpacing/>
    </w:pPr>
  </w:style>
  <w:style w:type="paragraph" w:styleId="berarbeitung">
    <w:name w:val="Revision"/>
    <w:hidden/>
    <w:uiPriority w:val="99"/>
    <w:semiHidden/>
    <w:rsid w:val="0024135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E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8CB"/>
  </w:style>
  <w:style w:type="paragraph" w:styleId="Fuzeile">
    <w:name w:val="footer"/>
    <w:basedOn w:val="Standard"/>
    <w:link w:val="FuzeileZchn"/>
    <w:uiPriority w:val="99"/>
    <w:unhideWhenUsed/>
    <w:rsid w:val="00EE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8CB"/>
  </w:style>
  <w:style w:type="table" w:styleId="Tabellenraster">
    <w:name w:val="Table Grid"/>
    <w:basedOn w:val="NormaleTabelle"/>
    <w:uiPriority w:val="59"/>
    <w:rsid w:val="00C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C938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511-1527-44EA-B6B0-22EE3A7D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Garner-Spitzer Erika</dc:creator>
  <cp:lastModifiedBy>Garner-Spitzer Erika</cp:lastModifiedBy>
  <cp:revision>4</cp:revision>
  <cp:lastPrinted>2021-09-20T08:36:00Z</cp:lastPrinted>
  <dcterms:created xsi:type="dcterms:W3CDTF">2021-09-20T08:45:00Z</dcterms:created>
  <dcterms:modified xsi:type="dcterms:W3CDTF">2021-09-20T09:09:00Z</dcterms:modified>
</cp:coreProperties>
</file>