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56669" w14:textId="77777777" w:rsidR="00D539E0" w:rsidRPr="001235DA" w:rsidRDefault="00D539E0" w:rsidP="00D539E0">
      <w:pPr>
        <w:pStyle w:val="Titre1"/>
        <w:rPr>
          <w:lang w:val="en-US"/>
        </w:rPr>
      </w:pPr>
      <w:bookmarkStart w:id="0" w:name="_Toc71722414"/>
      <w:bookmarkStart w:id="1" w:name="_Toc71726074"/>
      <w:bookmarkStart w:id="2" w:name="_Toc71726094"/>
      <w:r>
        <w:rPr>
          <w:lang w:val="en-US"/>
        </w:rPr>
        <w:t>Supplemental material</w:t>
      </w:r>
      <w:bookmarkEnd w:id="2"/>
    </w:p>
    <w:p w14:paraId="1CF1804F" w14:textId="0092C892" w:rsidR="00FE057F" w:rsidRPr="003E23E5" w:rsidRDefault="006B550B" w:rsidP="0089406F">
      <w:pPr>
        <w:pStyle w:val="Titre1"/>
        <w:spacing w:line="480" w:lineRule="auto"/>
        <w:rPr>
          <w:sz w:val="20"/>
          <w:szCs w:val="20"/>
          <w:lang w:val="en-US"/>
        </w:rPr>
      </w:pPr>
      <w:r w:rsidRPr="003E23E5">
        <w:rPr>
          <w:sz w:val="20"/>
          <w:szCs w:val="20"/>
          <w:lang w:val="en-US"/>
        </w:rPr>
        <w:t xml:space="preserve">Title: </w:t>
      </w:r>
      <w:r w:rsidR="008B589C" w:rsidRPr="003E23E5">
        <w:rPr>
          <w:sz w:val="20"/>
          <w:szCs w:val="20"/>
          <w:lang w:val="en-US"/>
        </w:rPr>
        <w:t xml:space="preserve">Machine learning-supported interpretation of kidney graft elementary lesions in </w:t>
      </w:r>
      <w:r w:rsidR="00430CFE" w:rsidRPr="003E23E5">
        <w:rPr>
          <w:sz w:val="20"/>
          <w:szCs w:val="20"/>
          <w:lang w:val="en-US"/>
        </w:rPr>
        <w:t>combination with clinical data</w:t>
      </w:r>
      <w:bookmarkEnd w:id="0"/>
      <w:bookmarkEnd w:id="1"/>
    </w:p>
    <w:p w14:paraId="145D574B" w14:textId="7F7B8394" w:rsidR="006A612D" w:rsidRPr="007924E8" w:rsidRDefault="006A612D" w:rsidP="006B550B">
      <w:pPr>
        <w:spacing w:line="480" w:lineRule="auto"/>
        <w:jc w:val="both"/>
        <w:rPr>
          <w:sz w:val="20"/>
          <w:szCs w:val="20"/>
          <w:lang w:val="en-US"/>
        </w:rPr>
      </w:pPr>
      <w:r w:rsidRPr="007924E8">
        <w:rPr>
          <w:sz w:val="20"/>
          <w:szCs w:val="20"/>
          <w:lang w:val="en-US"/>
        </w:rPr>
        <w:t>Marc Labriffe</w:t>
      </w:r>
      <w:r w:rsidRPr="007924E8">
        <w:rPr>
          <w:sz w:val="20"/>
          <w:szCs w:val="20"/>
          <w:vertAlign w:val="superscript"/>
          <w:lang w:val="en-US"/>
        </w:rPr>
        <w:t>1,2</w:t>
      </w:r>
      <w:r w:rsidRPr="007924E8">
        <w:rPr>
          <w:sz w:val="20"/>
          <w:szCs w:val="20"/>
          <w:lang w:val="en-US"/>
        </w:rPr>
        <w:t>, Jean-Baptiste Woillard</w:t>
      </w:r>
      <w:r w:rsidRPr="007924E8">
        <w:rPr>
          <w:sz w:val="20"/>
          <w:szCs w:val="20"/>
          <w:vertAlign w:val="superscript"/>
          <w:lang w:val="en-US"/>
        </w:rPr>
        <w:t>1,2</w:t>
      </w:r>
      <w:r w:rsidRPr="007924E8">
        <w:rPr>
          <w:sz w:val="20"/>
          <w:szCs w:val="20"/>
          <w:lang w:val="en-US"/>
        </w:rPr>
        <w:t>, Wilfried Gwinner</w:t>
      </w:r>
      <w:r w:rsidRPr="007924E8">
        <w:rPr>
          <w:sz w:val="20"/>
          <w:szCs w:val="20"/>
          <w:vertAlign w:val="superscript"/>
          <w:lang w:val="en-US"/>
        </w:rPr>
        <w:t>3</w:t>
      </w:r>
      <w:r w:rsidRPr="007924E8">
        <w:rPr>
          <w:sz w:val="20"/>
          <w:szCs w:val="20"/>
          <w:lang w:val="en-US"/>
        </w:rPr>
        <w:t>, Jan-Hinrich Braesen</w:t>
      </w:r>
      <w:r w:rsidRPr="007924E8">
        <w:rPr>
          <w:sz w:val="20"/>
          <w:szCs w:val="20"/>
          <w:vertAlign w:val="superscript"/>
          <w:lang w:val="en-US"/>
        </w:rPr>
        <w:t>4</w:t>
      </w:r>
      <w:r w:rsidRPr="007924E8">
        <w:rPr>
          <w:sz w:val="20"/>
          <w:szCs w:val="20"/>
          <w:lang w:val="en-US"/>
        </w:rPr>
        <w:t>, Dany Anglicheau</w:t>
      </w:r>
      <w:r w:rsidRPr="007924E8">
        <w:rPr>
          <w:sz w:val="20"/>
          <w:szCs w:val="20"/>
          <w:vertAlign w:val="superscript"/>
          <w:lang w:val="en-US"/>
        </w:rPr>
        <w:t>5,6,7</w:t>
      </w:r>
      <w:r w:rsidRPr="007924E8">
        <w:rPr>
          <w:sz w:val="20"/>
          <w:szCs w:val="20"/>
          <w:lang w:val="en-US"/>
        </w:rPr>
        <w:t>, Marion Rabant</w:t>
      </w:r>
      <w:r w:rsidRPr="007924E8">
        <w:rPr>
          <w:sz w:val="20"/>
          <w:szCs w:val="20"/>
          <w:vertAlign w:val="superscript"/>
          <w:lang w:val="en-US"/>
        </w:rPr>
        <w:t>8</w:t>
      </w:r>
      <w:r w:rsidRPr="007924E8">
        <w:rPr>
          <w:sz w:val="20"/>
          <w:szCs w:val="20"/>
          <w:lang w:val="en-US"/>
        </w:rPr>
        <w:t>,</w:t>
      </w:r>
      <w:r w:rsidR="00641777" w:rsidRPr="007924E8">
        <w:rPr>
          <w:sz w:val="20"/>
          <w:szCs w:val="20"/>
          <w:lang w:val="en-US"/>
        </w:rPr>
        <w:t xml:space="preserve"> Priyanka Koshy</w:t>
      </w:r>
      <w:r w:rsidR="00641777" w:rsidRPr="007924E8">
        <w:rPr>
          <w:sz w:val="20"/>
          <w:szCs w:val="20"/>
          <w:vertAlign w:val="superscript"/>
          <w:lang w:val="en-US"/>
        </w:rPr>
        <w:t>9</w:t>
      </w:r>
      <w:r w:rsidR="00641777" w:rsidRPr="007924E8">
        <w:rPr>
          <w:sz w:val="20"/>
          <w:szCs w:val="20"/>
          <w:lang w:val="en-US"/>
        </w:rPr>
        <w:t>,</w:t>
      </w:r>
      <w:r w:rsidRPr="007924E8">
        <w:rPr>
          <w:sz w:val="20"/>
          <w:szCs w:val="20"/>
          <w:lang w:val="en-US"/>
        </w:rPr>
        <w:t xml:space="preserve"> Maarten Naesens</w:t>
      </w:r>
      <w:r w:rsidR="00641777" w:rsidRPr="007924E8">
        <w:rPr>
          <w:sz w:val="20"/>
          <w:szCs w:val="20"/>
          <w:vertAlign w:val="superscript"/>
          <w:lang w:val="en-US"/>
        </w:rPr>
        <w:t>10</w:t>
      </w:r>
      <w:r w:rsidRPr="007924E8">
        <w:rPr>
          <w:sz w:val="20"/>
          <w:szCs w:val="20"/>
          <w:vertAlign w:val="superscript"/>
          <w:lang w:val="en-US"/>
        </w:rPr>
        <w:t>,1</w:t>
      </w:r>
      <w:r w:rsidR="00641777" w:rsidRPr="007924E8">
        <w:rPr>
          <w:sz w:val="20"/>
          <w:szCs w:val="20"/>
          <w:vertAlign w:val="superscript"/>
          <w:lang w:val="en-US"/>
        </w:rPr>
        <w:t>1</w:t>
      </w:r>
      <w:r w:rsidRPr="007924E8">
        <w:rPr>
          <w:sz w:val="20"/>
          <w:szCs w:val="20"/>
          <w:lang w:val="en-US"/>
        </w:rPr>
        <w:t>, Pierre Marquet</w:t>
      </w:r>
      <w:r w:rsidRPr="007924E8">
        <w:rPr>
          <w:sz w:val="20"/>
          <w:szCs w:val="20"/>
          <w:vertAlign w:val="superscript"/>
          <w:lang w:val="en-US"/>
        </w:rPr>
        <w:t>1,2</w:t>
      </w:r>
    </w:p>
    <w:p w14:paraId="5BEA9C5B" w14:textId="77777777" w:rsidR="006A612D" w:rsidRPr="007924E8" w:rsidRDefault="006A612D" w:rsidP="006A612D">
      <w:pPr>
        <w:autoSpaceDE w:val="0"/>
        <w:autoSpaceDN w:val="0"/>
        <w:adjustRightInd w:val="0"/>
        <w:spacing w:after="0" w:line="480" w:lineRule="auto"/>
        <w:rPr>
          <w:rFonts w:eastAsia="Times New Roman" w:cs="Times New Roman"/>
          <w:sz w:val="20"/>
          <w:szCs w:val="20"/>
        </w:rPr>
      </w:pPr>
      <w:r w:rsidRPr="007924E8">
        <w:rPr>
          <w:rFonts w:eastAsia="Times New Roman" w:cs="Times New Roman"/>
          <w:sz w:val="20"/>
          <w:szCs w:val="20"/>
          <w:vertAlign w:val="superscript"/>
        </w:rPr>
        <w:t>1</w:t>
      </w:r>
      <w:r w:rsidRPr="007924E8">
        <w:rPr>
          <w:rFonts w:eastAsia="Times New Roman" w:cs="Times New Roman"/>
          <w:sz w:val="20"/>
          <w:szCs w:val="20"/>
        </w:rPr>
        <w:t>Pharmacology &amp; Transplantation, INSERM U1248, Université de Limoges, Limoges, France</w:t>
      </w:r>
    </w:p>
    <w:p w14:paraId="527D2D2B" w14:textId="02F1C0AB" w:rsidR="006A612D" w:rsidRPr="007924E8" w:rsidRDefault="006A612D" w:rsidP="006A612D">
      <w:pPr>
        <w:spacing w:after="0" w:line="480" w:lineRule="auto"/>
        <w:jc w:val="both"/>
        <w:rPr>
          <w:rFonts w:eastAsia="Times New Roman" w:cs="Times New Roman"/>
          <w:sz w:val="20"/>
          <w:szCs w:val="20"/>
          <w:lang w:val="en-US"/>
        </w:rPr>
      </w:pPr>
      <w:r w:rsidRPr="007924E8">
        <w:rPr>
          <w:rFonts w:eastAsia="Times New Roman" w:cs="Times New Roman"/>
          <w:sz w:val="20"/>
          <w:szCs w:val="20"/>
          <w:vertAlign w:val="superscript"/>
          <w:lang w:val="en-US"/>
        </w:rPr>
        <w:t>2</w:t>
      </w:r>
      <w:r w:rsidRPr="007924E8">
        <w:rPr>
          <w:rFonts w:eastAsia="Times New Roman" w:cs="Times New Roman"/>
          <w:sz w:val="20"/>
          <w:szCs w:val="20"/>
          <w:lang w:val="en-US"/>
        </w:rPr>
        <w:t xml:space="preserve">Department of Pharmacology, Toxicology and Pharmacovigilance, </w:t>
      </w:r>
      <w:r w:rsidR="003E23E5">
        <w:rPr>
          <w:rFonts w:eastAsia="Times New Roman" w:cs="Times New Roman"/>
          <w:sz w:val="20"/>
          <w:szCs w:val="20"/>
          <w:lang w:val="en-US"/>
        </w:rPr>
        <w:t>CHU de</w:t>
      </w:r>
      <w:r w:rsidRPr="007924E8">
        <w:rPr>
          <w:rFonts w:eastAsia="Times New Roman" w:cs="Times New Roman"/>
          <w:sz w:val="20"/>
          <w:szCs w:val="20"/>
          <w:lang w:val="en-US"/>
        </w:rPr>
        <w:t xml:space="preserve"> Limoges, Limoges, France</w:t>
      </w:r>
    </w:p>
    <w:p w14:paraId="273AA9DB" w14:textId="77777777" w:rsidR="006A612D" w:rsidRPr="007924E8" w:rsidRDefault="006A612D" w:rsidP="006A612D">
      <w:pPr>
        <w:pStyle w:val="Standard1"/>
        <w:spacing w:line="480" w:lineRule="auto"/>
        <w:rPr>
          <w:rFonts w:ascii="Times New Roman" w:hAnsi="Times New Roman" w:cs="Times New Roman"/>
          <w:sz w:val="20"/>
          <w:szCs w:val="20"/>
        </w:rPr>
      </w:pPr>
      <w:r w:rsidRPr="007924E8">
        <w:rPr>
          <w:rFonts w:ascii="Times New Roman" w:eastAsia="Times New Roman" w:hAnsi="Times New Roman" w:cs="Times New Roman"/>
          <w:sz w:val="20"/>
          <w:szCs w:val="20"/>
          <w:vertAlign w:val="superscript"/>
        </w:rPr>
        <w:t>3</w:t>
      </w:r>
      <w:r w:rsidRPr="007924E8">
        <w:rPr>
          <w:rFonts w:ascii="Times New Roman" w:hAnsi="Times New Roman" w:cs="Times New Roman"/>
          <w:sz w:val="20"/>
          <w:szCs w:val="20"/>
        </w:rPr>
        <w:t>Nephrology, Internal Medicine, Hannover Medical School, Hannover, Germany</w:t>
      </w:r>
    </w:p>
    <w:p w14:paraId="10930B3B" w14:textId="73822BEB" w:rsidR="006A612D" w:rsidRPr="007924E8" w:rsidRDefault="006A612D" w:rsidP="006A612D">
      <w:pPr>
        <w:pStyle w:val="Standard1"/>
        <w:spacing w:line="480" w:lineRule="auto"/>
        <w:rPr>
          <w:rFonts w:ascii="Times New Roman" w:hAnsi="Times New Roman" w:cs="Times New Roman"/>
          <w:sz w:val="20"/>
          <w:szCs w:val="20"/>
        </w:rPr>
      </w:pPr>
      <w:r w:rsidRPr="007924E8">
        <w:rPr>
          <w:rFonts w:ascii="Times New Roman" w:hAnsi="Times New Roman" w:cs="Times New Roman"/>
          <w:sz w:val="20"/>
          <w:szCs w:val="20"/>
          <w:vertAlign w:val="superscript"/>
        </w:rPr>
        <w:t>4</w:t>
      </w:r>
      <w:r w:rsidRPr="007924E8">
        <w:rPr>
          <w:rFonts w:ascii="Times New Roman" w:hAnsi="Times New Roman" w:cs="Times New Roman"/>
          <w:sz w:val="20"/>
          <w:szCs w:val="20"/>
        </w:rPr>
        <w:t xml:space="preserve">Institute for Pathology, </w:t>
      </w:r>
      <w:proofErr w:type="spellStart"/>
      <w:r w:rsidRPr="007924E8">
        <w:rPr>
          <w:rFonts w:ascii="Times New Roman" w:hAnsi="Times New Roman" w:cs="Times New Roman"/>
          <w:sz w:val="20"/>
          <w:szCs w:val="20"/>
        </w:rPr>
        <w:t>Nephropathology</w:t>
      </w:r>
      <w:proofErr w:type="spellEnd"/>
      <w:r w:rsidRPr="007924E8">
        <w:rPr>
          <w:rFonts w:ascii="Times New Roman" w:hAnsi="Times New Roman" w:cs="Times New Roman"/>
          <w:sz w:val="20"/>
          <w:szCs w:val="20"/>
        </w:rPr>
        <w:t xml:space="preserve"> Unit, Hannover Medical School, Germany</w:t>
      </w:r>
    </w:p>
    <w:p w14:paraId="742293A6" w14:textId="0F791B05" w:rsidR="006A612D" w:rsidRPr="007924E8" w:rsidRDefault="006A612D" w:rsidP="006A612D">
      <w:pPr>
        <w:spacing w:after="0" w:line="480" w:lineRule="auto"/>
        <w:jc w:val="both"/>
        <w:rPr>
          <w:rFonts w:eastAsia="Times New Roman" w:cs="Times New Roman"/>
          <w:sz w:val="20"/>
          <w:szCs w:val="20"/>
        </w:rPr>
      </w:pPr>
      <w:r w:rsidRPr="007924E8">
        <w:rPr>
          <w:rFonts w:eastAsia="Times New Roman" w:cs="Times New Roman"/>
          <w:sz w:val="20"/>
          <w:szCs w:val="20"/>
          <w:vertAlign w:val="superscript"/>
        </w:rPr>
        <w:t>5</w:t>
      </w:r>
      <w:r w:rsidRPr="007924E8">
        <w:rPr>
          <w:rFonts w:cs="Times New Roman"/>
          <w:sz w:val="20"/>
          <w:szCs w:val="20"/>
        </w:rPr>
        <w:t xml:space="preserve">Paris Descartes, </w:t>
      </w:r>
      <w:r w:rsidR="003E23E5">
        <w:rPr>
          <w:rFonts w:cs="Times New Roman"/>
          <w:sz w:val="20"/>
          <w:szCs w:val="20"/>
        </w:rPr>
        <w:t xml:space="preserve">Université </w:t>
      </w:r>
      <w:r w:rsidRPr="007924E8">
        <w:rPr>
          <w:rFonts w:cs="Times New Roman"/>
          <w:sz w:val="20"/>
          <w:szCs w:val="20"/>
        </w:rPr>
        <w:t>Sorbonne Paris Cité, Paris, France</w:t>
      </w:r>
    </w:p>
    <w:p w14:paraId="6D873080" w14:textId="77777777" w:rsidR="006A612D" w:rsidRPr="007924E8" w:rsidRDefault="006A612D" w:rsidP="006A612D">
      <w:pPr>
        <w:spacing w:after="0" w:line="480" w:lineRule="auto"/>
        <w:jc w:val="both"/>
        <w:rPr>
          <w:rFonts w:eastAsia="Times New Roman" w:cs="Times New Roman"/>
          <w:sz w:val="20"/>
          <w:szCs w:val="20"/>
        </w:rPr>
      </w:pPr>
      <w:r w:rsidRPr="007924E8">
        <w:rPr>
          <w:rFonts w:eastAsia="Times New Roman" w:cs="Times New Roman"/>
          <w:sz w:val="20"/>
          <w:szCs w:val="20"/>
          <w:vertAlign w:val="superscript"/>
        </w:rPr>
        <w:t>6</w:t>
      </w:r>
      <w:r w:rsidRPr="007924E8">
        <w:rPr>
          <w:rFonts w:cs="Times New Roman"/>
          <w:sz w:val="20"/>
          <w:szCs w:val="20"/>
        </w:rPr>
        <w:t>INSERM U1151, Paris, France</w:t>
      </w:r>
    </w:p>
    <w:p w14:paraId="765C9F99" w14:textId="77777777" w:rsidR="006A612D" w:rsidRPr="007924E8" w:rsidRDefault="006A612D" w:rsidP="006A612D">
      <w:pPr>
        <w:spacing w:after="0" w:line="480" w:lineRule="auto"/>
        <w:jc w:val="both"/>
        <w:rPr>
          <w:rFonts w:cs="Times New Roman"/>
          <w:sz w:val="20"/>
          <w:szCs w:val="20"/>
        </w:rPr>
      </w:pPr>
      <w:r w:rsidRPr="007924E8">
        <w:rPr>
          <w:rFonts w:eastAsia="Times New Roman" w:cs="Times New Roman"/>
          <w:sz w:val="20"/>
          <w:szCs w:val="20"/>
          <w:vertAlign w:val="superscript"/>
        </w:rPr>
        <w:t>7</w:t>
      </w:r>
      <w:r w:rsidRPr="007924E8">
        <w:rPr>
          <w:rFonts w:cs="Times New Roman"/>
          <w:sz w:val="20"/>
          <w:szCs w:val="20"/>
        </w:rPr>
        <w:t xml:space="preserve">Department of </w:t>
      </w:r>
      <w:proofErr w:type="spellStart"/>
      <w:r w:rsidRPr="007924E8">
        <w:rPr>
          <w:rFonts w:cs="Times New Roman"/>
          <w:sz w:val="20"/>
          <w:szCs w:val="20"/>
        </w:rPr>
        <w:t>Nephrology</w:t>
      </w:r>
      <w:proofErr w:type="spellEnd"/>
      <w:r w:rsidRPr="007924E8">
        <w:rPr>
          <w:rFonts w:cs="Times New Roman"/>
          <w:sz w:val="20"/>
          <w:szCs w:val="20"/>
        </w:rPr>
        <w:t xml:space="preserve"> and </w:t>
      </w:r>
      <w:proofErr w:type="spellStart"/>
      <w:r w:rsidRPr="007924E8">
        <w:rPr>
          <w:rFonts w:cs="Times New Roman"/>
          <w:sz w:val="20"/>
          <w:szCs w:val="20"/>
        </w:rPr>
        <w:t>Kidney</w:t>
      </w:r>
      <w:proofErr w:type="spellEnd"/>
      <w:r w:rsidRPr="007924E8">
        <w:rPr>
          <w:rFonts w:cs="Times New Roman"/>
          <w:sz w:val="20"/>
          <w:szCs w:val="20"/>
        </w:rPr>
        <w:t xml:space="preserve"> Transplantation, Necker Hospital, Assistance Publique-Hôpitaux de Paris, Paris, France</w:t>
      </w:r>
    </w:p>
    <w:p w14:paraId="5A63AF96" w14:textId="2B219F27" w:rsidR="006A612D" w:rsidRPr="007924E8" w:rsidRDefault="006A612D" w:rsidP="006A612D">
      <w:pPr>
        <w:spacing w:after="0" w:line="480" w:lineRule="auto"/>
        <w:jc w:val="both"/>
        <w:rPr>
          <w:rFonts w:cs="Times New Roman"/>
          <w:sz w:val="20"/>
          <w:szCs w:val="20"/>
        </w:rPr>
      </w:pPr>
      <w:r w:rsidRPr="007924E8">
        <w:rPr>
          <w:rFonts w:cs="Times New Roman"/>
          <w:sz w:val="20"/>
          <w:szCs w:val="20"/>
          <w:vertAlign w:val="superscript"/>
        </w:rPr>
        <w:t>8</w:t>
      </w:r>
      <w:r w:rsidRPr="007924E8">
        <w:rPr>
          <w:rFonts w:cs="Times New Roman"/>
          <w:sz w:val="20"/>
          <w:szCs w:val="20"/>
        </w:rPr>
        <w:t xml:space="preserve">Department of </w:t>
      </w:r>
      <w:proofErr w:type="spellStart"/>
      <w:r w:rsidRPr="007924E8">
        <w:rPr>
          <w:rFonts w:cs="Times New Roman"/>
          <w:sz w:val="20"/>
          <w:szCs w:val="20"/>
        </w:rPr>
        <w:t>Pathology</w:t>
      </w:r>
      <w:proofErr w:type="spellEnd"/>
      <w:r w:rsidRPr="007924E8">
        <w:rPr>
          <w:rFonts w:cs="Times New Roman"/>
          <w:sz w:val="20"/>
          <w:szCs w:val="20"/>
        </w:rPr>
        <w:t xml:space="preserve">, Necker Hospital, Assistance Publique-Hôpitaux de Paris, Paris, </w:t>
      </w:r>
      <w:r w:rsidR="00641777" w:rsidRPr="007924E8">
        <w:rPr>
          <w:rFonts w:cs="Times New Roman"/>
          <w:sz w:val="20"/>
          <w:szCs w:val="20"/>
        </w:rPr>
        <w:t>France</w:t>
      </w:r>
    </w:p>
    <w:p w14:paraId="57A7F6B0" w14:textId="20186D51" w:rsidR="00641777" w:rsidRPr="003E23E5" w:rsidRDefault="00641777" w:rsidP="006A612D">
      <w:pPr>
        <w:spacing w:after="0" w:line="480" w:lineRule="auto"/>
        <w:jc w:val="both"/>
        <w:rPr>
          <w:rFonts w:cs="Times New Roman"/>
          <w:sz w:val="20"/>
          <w:szCs w:val="20"/>
          <w:lang w:val="en-US"/>
        </w:rPr>
      </w:pPr>
      <w:r w:rsidRPr="003E23E5">
        <w:rPr>
          <w:rFonts w:cs="Times New Roman"/>
          <w:sz w:val="20"/>
          <w:szCs w:val="20"/>
          <w:vertAlign w:val="superscript"/>
          <w:lang w:val="en-US"/>
        </w:rPr>
        <w:t>9</w:t>
      </w:r>
      <w:r w:rsidRPr="003E23E5">
        <w:rPr>
          <w:rFonts w:cs="Times New Roman"/>
          <w:sz w:val="20"/>
          <w:szCs w:val="20"/>
          <w:lang w:val="en-US"/>
        </w:rPr>
        <w:t>Department of Pathology</w:t>
      </w:r>
      <w:r w:rsidR="003E7BC3" w:rsidRPr="003E23E5">
        <w:rPr>
          <w:rFonts w:cs="Times New Roman"/>
          <w:sz w:val="20"/>
          <w:szCs w:val="20"/>
          <w:lang w:val="en-US"/>
        </w:rPr>
        <w:t xml:space="preserve">, </w:t>
      </w:r>
      <w:r w:rsidR="003E7BC3" w:rsidRPr="007924E8">
        <w:rPr>
          <w:rFonts w:cs="Times New Roman"/>
          <w:sz w:val="20"/>
          <w:szCs w:val="20"/>
          <w:lang w:val="en-US"/>
        </w:rPr>
        <w:t>University Hospitals Leuven, Leuven, Belgium</w:t>
      </w:r>
    </w:p>
    <w:p w14:paraId="3D53E2D6" w14:textId="307B7F46" w:rsidR="006A612D" w:rsidRPr="007924E8" w:rsidRDefault="00641777" w:rsidP="006A612D">
      <w:pPr>
        <w:pStyle w:val="Standard1"/>
        <w:spacing w:line="480" w:lineRule="auto"/>
        <w:rPr>
          <w:rFonts w:ascii="Times New Roman" w:hAnsi="Times New Roman" w:cs="Times New Roman"/>
          <w:sz w:val="20"/>
          <w:szCs w:val="20"/>
        </w:rPr>
      </w:pPr>
      <w:r w:rsidRPr="007924E8">
        <w:rPr>
          <w:rFonts w:ascii="Times New Roman" w:hAnsi="Times New Roman" w:cs="Times New Roman"/>
          <w:sz w:val="20"/>
          <w:szCs w:val="20"/>
          <w:vertAlign w:val="superscript"/>
        </w:rPr>
        <w:t>10</w:t>
      </w:r>
      <w:r w:rsidR="006A612D" w:rsidRPr="007924E8">
        <w:rPr>
          <w:rFonts w:ascii="Times New Roman" w:hAnsi="Times New Roman" w:cs="Times New Roman"/>
          <w:sz w:val="20"/>
          <w:szCs w:val="20"/>
        </w:rPr>
        <w:t>Nephrology and Renal Transplantation Research Group, Department of Microbiology, Immunology and Transplantation, KU Leuven, Leuven, Belgium</w:t>
      </w:r>
    </w:p>
    <w:p w14:paraId="398B62B7" w14:textId="0F83A79D" w:rsidR="002F3E89" w:rsidRPr="007924E8" w:rsidRDefault="006A612D" w:rsidP="00EF7039">
      <w:pPr>
        <w:spacing w:after="0" w:line="480" w:lineRule="auto"/>
        <w:jc w:val="both"/>
        <w:rPr>
          <w:rFonts w:eastAsia="Times New Roman" w:cs="Times New Roman"/>
          <w:sz w:val="20"/>
          <w:szCs w:val="20"/>
          <w:lang w:val="en-US"/>
        </w:rPr>
      </w:pPr>
      <w:r w:rsidRPr="007924E8">
        <w:rPr>
          <w:rFonts w:eastAsia="Times New Roman" w:cs="Times New Roman"/>
          <w:sz w:val="20"/>
          <w:szCs w:val="20"/>
          <w:vertAlign w:val="superscript"/>
          <w:lang w:val="en-US"/>
        </w:rPr>
        <w:t>1</w:t>
      </w:r>
      <w:r w:rsidR="00641777" w:rsidRPr="007924E8">
        <w:rPr>
          <w:rFonts w:eastAsia="Times New Roman" w:cs="Times New Roman"/>
          <w:sz w:val="20"/>
          <w:szCs w:val="20"/>
          <w:vertAlign w:val="superscript"/>
          <w:lang w:val="en-US"/>
        </w:rPr>
        <w:t>1</w:t>
      </w:r>
      <w:r w:rsidRPr="007924E8">
        <w:rPr>
          <w:rFonts w:cs="Times New Roman"/>
          <w:sz w:val="20"/>
          <w:szCs w:val="20"/>
          <w:lang w:val="en-US"/>
        </w:rPr>
        <w:t>Department of Nephrology and Renal Transplantation, University Hospitals Leuven, Leuven, Belgium</w:t>
      </w:r>
    </w:p>
    <w:p w14:paraId="207F4BC3" w14:textId="77777777" w:rsidR="00D539E0" w:rsidRDefault="00D539E0" w:rsidP="003B0358">
      <w:pPr>
        <w:pStyle w:val="Titre2"/>
        <w:spacing w:line="480" w:lineRule="auto"/>
        <w:rPr>
          <w:lang w:val="en-US"/>
        </w:rPr>
      </w:pPr>
      <w:bookmarkStart w:id="3" w:name="_Toc71726095"/>
    </w:p>
    <w:p w14:paraId="3FD243E9" w14:textId="1566B6CB" w:rsidR="003008D5" w:rsidRDefault="00B42C81" w:rsidP="003B0358">
      <w:pPr>
        <w:pStyle w:val="Titre2"/>
        <w:spacing w:line="480" w:lineRule="auto"/>
        <w:rPr>
          <w:lang w:val="en-US"/>
        </w:rPr>
      </w:pPr>
      <w:r>
        <w:rPr>
          <w:lang w:val="en-US"/>
        </w:rPr>
        <w:t>Definitions of the p</w:t>
      </w:r>
      <w:r w:rsidR="00136E82">
        <w:rPr>
          <w:lang w:val="en-US"/>
        </w:rPr>
        <w:t xml:space="preserve">henotypes in the different </w:t>
      </w:r>
      <w:r w:rsidR="000655B7">
        <w:rPr>
          <w:lang w:val="en-US"/>
        </w:rPr>
        <w:t>external validation cohort</w:t>
      </w:r>
      <w:r w:rsidR="005B3CEA">
        <w:rPr>
          <w:lang w:val="en-US"/>
        </w:rPr>
        <w:t>s</w:t>
      </w:r>
      <w:bookmarkEnd w:id="3"/>
    </w:p>
    <w:p w14:paraId="2AF2E003" w14:textId="328CC8A6" w:rsidR="00136E82" w:rsidRDefault="00B42C81" w:rsidP="003B0358">
      <w:pPr>
        <w:pStyle w:val="Titre3"/>
        <w:spacing w:line="480" w:lineRule="auto"/>
        <w:rPr>
          <w:lang w:val="en-US"/>
        </w:rPr>
      </w:pPr>
      <w:bookmarkStart w:id="4" w:name="_Toc71726096"/>
      <w:r w:rsidRPr="0078553A">
        <w:rPr>
          <w:lang w:val="en-US"/>
        </w:rPr>
        <w:t>University Hospitals Leuven, Belgium</w:t>
      </w:r>
      <w:bookmarkEnd w:id="4"/>
      <w:r w:rsidRPr="0078553A">
        <w:rPr>
          <w:lang w:val="en-US"/>
        </w:rPr>
        <w:t xml:space="preserve"> </w:t>
      </w:r>
    </w:p>
    <w:p w14:paraId="3ED549E8" w14:textId="5A23A71F" w:rsidR="00320640" w:rsidRPr="0078553A" w:rsidRDefault="00320640" w:rsidP="003B0358">
      <w:pPr>
        <w:spacing w:line="480" w:lineRule="auto"/>
        <w:rPr>
          <w:sz w:val="24"/>
          <w:lang w:val="en-US"/>
        </w:rPr>
      </w:pPr>
      <w:r w:rsidRPr="0078553A">
        <w:rPr>
          <w:sz w:val="24"/>
          <w:lang w:val="en-US"/>
        </w:rPr>
        <w:t xml:space="preserve">In the Leuven cohort, </w:t>
      </w:r>
      <w:r w:rsidR="00CA49BE" w:rsidRPr="0078553A">
        <w:rPr>
          <w:sz w:val="24"/>
          <w:lang w:val="en-US"/>
        </w:rPr>
        <w:t>a non-standard immunohistochemistry stain was used on frozen sections for C4d. The</w:t>
      </w:r>
      <w:r w:rsidR="009215C1" w:rsidRPr="0078553A">
        <w:rPr>
          <w:sz w:val="24"/>
          <w:lang w:val="en-US"/>
        </w:rPr>
        <w:t xml:space="preserve"> corresponding</w:t>
      </w:r>
      <w:r w:rsidR="00CA49BE" w:rsidRPr="0078553A">
        <w:rPr>
          <w:sz w:val="24"/>
          <w:lang w:val="en-US"/>
        </w:rPr>
        <w:t xml:space="preserve"> positivity threshold </w:t>
      </w:r>
      <w:r w:rsidR="00B42C81">
        <w:rPr>
          <w:sz w:val="24"/>
          <w:lang w:val="en-US"/>
        </w:rPr>
        <w:t>was</w:t>
      </w:r>
      <w:r w:rsidR="009215C1" w:rsidRPr="0078553A">
        <w:rPr>
          <w:sz w:val="24"/>
          <w:lang w:val="en-US"/>
        </w:rPr>
        <w:t xml:space="preserve"> 2/3. </w:t>
      </w:r>
      <w:r w:rsidR="008D6C5E" w:rsidRPr="0078553A">
        <w:rPr>
          <w:sz w:val="24"/>
          <w:lang w:val="en-US"/>
        </w:rPr>
        <w:t xml:space="preserve">For the rest of the criteria, the Banff rules were </w:t>
      </w:r>
      <w:r w:rsidR="00FB30E6" w:rsidRPr="0078553A">
        <w:rPr>
          <w:sz w:val="24"/>
          <w:lang w:val="en-US"/>
        </w:rPr>
        <w:t>strictly</w:t>
      </w:r>
      <w:r w:rsidR="008D6C5E" w:rsidRPr="0078553A">
        <w:rPr>
          <w:sz w:val="24"/>
          <w:lang w:val="en-US"/>
        </w:rPr>
        <w:t xml:space="preserve"> applied. </w:t>
      </w:r>
      <w:r w:rsidR="00D36C54" w:rsidRPr="0078553A">
        <w:rPr>
          <w:sz w:val="24"/>
          <w:lang w:val="en-US"/>
        </w:rPr>
        <w:t>For example, i</w:t>
      </w:r>
      <w:r w:rsidR="008D6C5E" w:rsidRPr="0078553A">
        <w:rPr>
          <w:sz w:val="24"/>
          <w:lang w:val="en-US"/>
        </w:rPr>
        <w:t xml:space="preserve">solated v </w:t>
      </w:r>
      <w:r w:rsidR="00D36C54" w:rsidRPr="0078553A">
        <w:rPr>
          <w:sz w:val="24"/>
          <w:lang w:val="en-US"/>
        </w:rPr>
        <w:t>was</w:t>
      </w:r>
      <w:r w:rsidR="008D6C5E" w:rsidRPr="0078553A">
        <w:rPr>
          <w:sz w:val="24"/>
          <w:lang w:val="en-US"/>
        </w:rPr>
        <w:t xml:space="preserve"> considered as TCMR grade II, which </w:t>
      </w:r>
      <w:r w:rsidR="0073766D">
        <w:rPr>
          <w:sz w:val="24"/>
          <w:lang w:val="en-US"/>
        </w:rPr>
        <w:t xml:space="preserve">is still </w:t>
      </w:r>
      <w:r w:rsidR="005564D8">
        <w:rPr>
          <w:sz w:val="24"/>
          <w:lang w:val="en-US"/>
        </w:rPr>
        <w:t xml:space="preserve">under debate </w:t>
      </w:r>
      <w:r w:rsidR="0001164A">
        <w:rPr>
          <w:sz w:val="24"/>
          <w:lang w:val="en-US"/>
        </w:rPr>
        <w:t>(</w:t>
      </w:r>
      <w:proofErr w:type="spellStart"/>
      <w:r w:rsidR="0001164A" w:rsidRPr="0001164A">
        <w:rPr>
          <w:sz w:val="24"/>
          <w:lang w:val="en-US"/>
        </w:rPr>
        <w:t>Wohlfahrtova</w:t>
      </w:r>
      <w:proofErr w:type="spellEnd"/>
      <w:r w:rsidR="0001164A" w:rsidRPr="0001164A">
        <w:rPr>
          <w:sz w:val="24"/>
          <w:lang w:val="en-US"/>
        </w:rPr>
        <w:t xml:space="preserve"> </w:t>
      </w:r>
      <w:r w:rsidR="0001164A">
        <w:rPr>
          <w:sz w:val="24"/>
          <w:lang w:val="en-US"/>
        </w:rPr>
        <w:t xml:space="preserve">et al </w:t>
      </w:r>
      <w:r w:rsidR="0001164A" w:rsidRPr="0001164A">
        <w:rPr>
          <w:sz w:val="24"/>
          <w:lang w:val="en-US"/>
        </w:rPr>
        <w:t xml:space="preserve">Clin Sci (Lond) </w:t>
      </w:r>
      <w:r w:rsidR="0001164A">
        <w:rPr>
          <w:sz w:val="24"/>
          <w:lang w:val="en-US"/>
        </w:rPr>
        <w:t>2018)</w:t>
      </w:r>
      <w:r w:rsidR="00D36C54" w:rsidRPr="0078553A">
        <w:rPr>
          <w:sz w:val="24"/>
          <w:lang w:val="en-US"/>
        </w:rPr>
        <w:t>.</w:t>
      </w:r>
    </w:p>
    <w:p w14:paraId="2AD1EEF5" w14:textId="443C756C" w:rsidR="00136E82" w:rsidRDefault="00B42C81" w:rsidP="003B0358">
      <w:pPr>
        <w:pStyle w:val="Titre3"/>
        <w:spacing w:line="480" w:lineRule="auto"/>
        <w:rPr>
          <w:lang w:val="en-US"/>
        </w:rPr>
      </w:pPr>
      <w:bookmarkStart w:id="5" w:name="_Toc71726097"/>
      <w:proofErr w:type="spellStart"/>
      <w:r w:rsidRPr="0078553A">
        <w:rPr>
          <w:lang w:val="en-US"/>
        </w:rPr>
        <w:lastRenderedPageBreak/>
        <w:t>Medizinische</w:t>
      </w:r>
      <w:proofErr w:type="spellEnd"/>
      <w:r w:rsidRPr="0078553A">
        <w:rPr>
          <w:lang w:val="en-US"/>
        </w:rPr>
        <w:t xml:space="preserve"> Hochschule Hannover, Germany</w:t>
      </w:r>
      <w:bookmarkEnd w:id="5"/>
    </w:p>
    <w:p w14:paraId="0A13021A" w14:textId="05B372F1" w:rsidR="00F10EE9" w:rsidRPr="0078553A" w:rsidRDefault="002927DA" w:rsidP="003B0358">
      <w:pPr>
        <w:spacing w:line="480" w:lineRule="auto"/>
        <w:jc w:val="both"/>
        <w:rPr>
          <w:sz w:val="24"/>
          <w:lang w:val="en-US"/>
        </w:rPr>
      </w:pPr>
      <w:r w:rsidRPr="0078553A">
        <w:rPr>
          <w:sz w:val="24"/>
          <w:lang w:val="en-US"/>
        </w:rPr>
        <w:t>I</w:t>
      </w:r>
      <w:r w:rsidR="00750A02" w:rsidRPr="0078553A">
        <w:rPr>
          <w:sz w:val="24"/>
          <w:lang w:val="en-US"/>
        </w:rPr>
        <w:t>n</w:t>
      </w:r>
      <w:r w:rsidR="001F3A16" w:rsidRPr="0078553A">
        <w:rPr>
          <w:sz w:val="24"/>
          <w:lang w:val="en-US"/>
        </w:rPr>
        <w:t xml:space="preserve"> the</w:t>
      </w:r>
      <w:r w:rsidRPr="0078553A">
        <w:rPr>
          <w:sz w:val="24"/>
          <w:lang w:val="en-US"/>
        </w:rPr>
        <w:t xml:space="preserve"> Han</w:t>
      </w:r>
      <w:r w:rsidR="007C5074">
        <w:rPr>
          <w:sz w:val="24"/>
          <w:lang w:val="en-US"/>
        </w:rPr>
        <w:t>n</w:t>
      </w:r>
      <w:r w:rsidRPr="0078553A">
        <w:rPr>
          <w:sz w:val="24"/>
          <w:lang w:val="en-US"/>
        </w:rPr>
        <w:t xml:space="preserve">over </w:t>
      </w:r>
      <w:r w:rsidR="00B42C81">
        <w:rPr>
          <w:sz w:val="24"/>
          <w:lang w:val="en-US"/>
        </w:rPr>
        <w:t>cohort</w:t>
      </w:r>
      <w:r w:rsidRPr="0078553A">
        <w:rPr>
          <w:sz w:val="24"/>
          <w:lang w:val="en-US"/>
        </w:rPr>
        <w:t xml:space="preserve">, </w:t>
      </w:r>
      <w:r w:rsidR="00EF26F6">
        <w:rPr>
          <w:sz w:val="24"/>
          <w:lang w:val="en-US"/>
        </w:rPr>
        <w:t xml:space="preserve">the </w:t>
      </w:r>
      <w:r w:rsidRPr="0078553A">
        <w:rPr>
          <w:sz w:val="24"/>
          <w:lang w:val="en-US"/>
        </w:rPr>
        <w:t xml:space="preserve">TCMR </w:t>
      </w:r>
      <w:r w:rsidR="00B42C81">
        <w:rPr>
          <w:sz w:val="24"/>
          <w:lang w:val="en-US"/>
        </w:rPr>
        <w:t>diagnosis</w:t>
      </w:r>
      <w:r w:rsidR="00B42C81" w:rsidRPr="0078553A">
        <w:rPr>
          <w:sz w:val="24"/>
          <w:lang w:val="en-US"/>
        </w:rPr>
        <w:t xml:space="preserve"> </w:t>
      </w:r>
      <w:r w:rsidRPr="0078553A">
        <w:rPr>
          <w:sz w:val="24"/>
          <w:lang w:val="en-US"/>
        </w:rPr>
        <w:t xml:space="preserve">was corrected </w:t>
      </w:r>
      <w:r w:rsidR="00F10EE9" w:rsidRPr="0078553A">
        <w:rPr>
          <w:sz w:val="24"/>
          <w:lang w:val="en-US"/>
        </w:rPr>
        <w:t>when the</w:t>
      </w:r>
      <w:r w:rsidRPr="0078553A">
        <w:rPr>
          <w:sz w:val="24"/>
          <w:lang w:val="en-US"/>
        </w:rPr>
        <w:t xml:space="preserve"> sv40 staining</w:t>
      </w:r>
      <w:r w:rsidR="00F10EE9" w:rsidRPr="0078553A">
        <w:rPr>
          <w:sz w:val="24"/>
          <w:lang w:val="en-US"/>
        </w:rPr>
        <w:t xml:space="preserve"> was positive</w:t>
      </w:r>
      <w:r w:rsidRPr="0078553A">
        <w:rPr>
          <w:sz w:val="24"/>
          <w:lang w:val="en-US"/>
        </w:rPr>
        <w:t xml:space="preserve"> (to exclude</w:t>
      </w:r>
      <w:r w:rsidR="00F10EE9" w:rsidRPr="0078553A">
        <w:rPr>
          <w:sz w:val="24"/>
          <w:lang w:val="en-US"/>
        </w:rPr>
        <w:t xml:space="preserve"> false positives due to</w:t>
      </w:r>
      <w:r w:rsidRPr="0078553A">
        <w:rPr>
          <w:sz w:val="24"/>
          <w:lang w:val="en-US"/>
        </w:rPr>
        <w:t xml:space="preserve"> </w:t>
      </w:r>
      <w:bookmarkStart w:id="6" w:name="_Hlk63257652"/>
      <w:r w:rsidR="00234E96" w:rsidRPr="0078553A">
        <w:rPr>
          <w:sz w:val="24"/>
          <w:lang w:val="en-US"/>
        </w:rPr>
        <w:t>BK virus nephropathy</w:t>
      </w:r>
      <w:bookmarkEnd w:id="6"/>
      <w:r w:rsidR="00234E96" w:rsidRPr="0078553A">
        <w:rPr>
          <w:sz w:val="24"/>
          <w:lang w:val="en-US"/>
        </w:rPr>
        <w:t xml:space="preserve"> -BKVN-</w:t>
      </w:r>
      <w:r w:rsidRPr="0078553A">
        <w:rPr>
          <w:sz w:val="24"/>
          <w:lang w:val="en-US"/>
        </w:rPr>
        <w:t>).</w:t>
      </w:r>
      <w:r w:rsidR="00F10EE9" w:rsidRPr="0078553A">
        <w:rPr>
          <w:sz w:val="24"/>
          <w:lang w:val="en-US"/>
        </w:rPr>
        <w:t xml:space="preserve"> </w:t>
      </w:r>
      <w:r w:rsidR="00320640" w:rsidRPr="0078553A">
        <w:rPr>
          <w:sz w:val="24"/>
          <w:lang w:val="en-US"/>
        </w:rPr>
        <w:t>Indeed,</w:t>
      </w:r>
      <w:r w:rsidR="00F10EE9" w:rsidRPr="0078553A">
        <w:rPr>
          <w:sz w:val="24"/>
          <w:lang w:val="en-US"/>
        </w:rPr>
        <w:t xml:space="preserve"> in practice,</w:t>
      </w:r>
      <w:r w:rsidR="00707948" w:rsidRPr="0078553A">
        <w:rPr>
          <w:sz w:val="24"/>
          <w:lang w:val="en-US"/>
        </w:rPr>
        <w:t xml:space="preserve"> when BK viremia is positive, </w:t>
      </w:r>
      <w:r w:rsidR="00056A84">
        <w:rPr>
          <w:sz w:val="24"/>
          <w:lang w:val="en-US"/>
        </w:rPr>
        <w:t xml:space="preserve">pathologists </w:t>
      </w:r>
      <w:r w:rsidR="00B42C81">
        <w:rPr>
          <w:sz w:val="24"/>
          <w:lang w:val="en-US"/>
        </w:rPr>
        <w:t>systematically</w:t>
      </w:r>
      <w:r w:rsidR="00707948" w:rsidRPr="0078553A">
        <w:rPr>
          <w:sz w:val="24"/>
          <w:lang w:val="en-US"/>
        </w:rPr>
        <w:t xml:space="preserve"> </w:t>
      </w:r>
      <w:r w:rsidR="00B42C81">
        <w:rPr>
          <w:sz w:val="24"/>
          <w:lang w:val="en-US"/>
        </w:rPr>
        <w:t>test for</w:t>
      </w:r>
      <w:r w:rsidR="00707948" w:rsidRPr="0078553A">
        <w:rPr>
          <w:sz w:val="24"/>
          <w:lang w:val="en-US"/>
        </w:rPr>
        <w:t xml:space="preserve"> BKVN using SV40 staining (Hirsh et al Transplantation 2005). </w:t>
      </w:r>
      <w:r w:rsidR="00320640" w:rsidRPr="0078553A">
        <w:rPr>
          <w:sz w:val="24"/>
          <w:lang w:val="en-US"/>
        </w:rPr>
        <w:t>In this cohort, a</w:t>
      </w:r>
      <w:r w:rsidR="00707948" w:rsidRPr="0078553A">
        <w:rPr>
          <w:sz w:val="24"/>
          <w:lang w:val="en-US"/>
        </w:rPr>
        <w:t>ll the BKVN cases had positive BK viremia.</w:t>
      </w:r>
    </w:p>
    <w:p w14:paraId="25CAA909" w14:textId="49F2CF23" w:rsidR="00B42C81" w:rsidRDefault="00BC6FA2" w:rsidP="003B0358">
      <w:pPr>
        <w:pStyle w:val="Titre3"/>
        <w:spacing w:line="480" w:lineRule="auto"/>
        <w:rPr>
          <w:lang w:val="en-US"/>
        </w:rPr>
      </w:pPr>
      <w:bookmarkStart w:id="7" w:name="_Toc71726098"/>
      <w:r>
        <w:rPr>
          <w:lang w:val="en-US"/>
        </w:rPr>
        <w:t xml:space="preserve">University Hospital </w:t>
      </w:r>
      <w:r w:rsidR="00B42C81" w:rsidRPr="006B0046">
        <w:rPr>
          <w:lang w:val="en-US"/>
        </w:rPr>
        <w:t>Necker</w:t>
      </w:r>
      <w:r>
        <w:rPr>
          <w:lang w:val="en-US"/>
        </w:rPr>
        <w:t xml:space="preserve"> Paris, France</w:t>
      </w:r>
      <w:bookmarkEnd w:id="7"/>
    </w:p>
    <w:p w14:paraId="7D719481" w14:textId="51BEBBBD" w:rsidR="00020AF2" w:rsidRDefault="00020AF2" w:rsidP="003B0358">
      <w:pPr>
        <w:spacing w:line="480" w:lineRule="auto"/>
        <w:rPr>
          <w:b/>
          <w:lang w:val="en-US"/>
        </w:rPr>
      </w:pPr>
      <w:r w:rsidRPr="00020AF2">
        <w:rPr>
          <w:lang w:val="en-US"/>
        </w:rPr>
        <w:t>In the Necker Cohort, the Banff rules were strictly applied</w:t>
      </w:r>
      <w:r w:rsidR="00C24B38">
        <w:rPr>
          <w:lang w:val="en-US"/>
        </w:rPr>
        <w:t xml:space="preserve"> in most cases</w:t>
      </w:r>
      <w:r w:rsidR="00CA5007">
        <w:rPr>
          <w:lang w:val="en-US"/>
        </w:rPr>
        <w:t>, except for</w:t>
      </w:r>
      <w:r w:rsidR="00C24B38" w:rsidRPr="00C24B38">
        <w:rPr>
          <w:lang w:val="en-US"/>
        </w:rPr>
        <w:t xml:space="preserve"> adjustments </w:t>
      </w:r>
      <w:r w:rsidR="00CA5007">
        <w:rPr>
          <w:lang w:val="en-US"/>
        </w:rPr>
        <w:t>made by the clinicians in complex situations</w:t>
      </w:r>
      <w:r w:rsidR="00C24B38" w:rsidRPr="00C24B38">
        <w:rPr>
          <w:lang w:val="en-US"/>
        </w:rPr>
        <w:t>.</w:t>
      </w:r>
      <w:r w:rsidRPr="00020AF2">
        <w:rPr>
          <w:lang w:val="en-US"/>
        </w:rPr>
        <w:t xml:space="preserve"> </w:t>
      </w:r>
      <w:r w:rsidR="000869E7">
        <w:rPr>
          <w:lang w:val="en-US"/>
        </w:rPr>
        <w:t>In this center</w:t>
      </w:r>
      <w:r w:rsidR="00553025">
        <w:rPr>
          <w:lang w:val="en-US"/>
        </w:rPr>
        <w:t xml:space="preserve"> too</w:t>
      </w:r>
      <w:r w:rsidR="000869E7">
        <w:rPr>
          <w:lang w:val="en-US"/>
        </w:rPr>
        <w:t xml:space="preserve">, </w:t>
      </w:r>
      <w:r w:rsidRPr="00020AF2">
        <w:rPr>
          <w:lang w:val="en-US"/>
        </w:rPr>
        <w:t xml:space="preserve">SV40 staining </w:t>
      </w:r>
      <w:r w:rsidR="00CA5007">
        <w:rPr>
          <w:lang w:val="en-US"/>
        </w:rPr>
        <w:t>wa</w:t>
      </w:r>
      <w:r w:rsidRPr="00020AF2">
        <w:rPr>
          <w:lang w:val="en-US"/>
        </w:rPr>
        <w:t>s performed in case of concomitant BK viremia.</w:t>
      </w:r>
    </w:p>
    <w:p w14:paraId="0545B450" w14:textId="77777777" w:rsidR="00437845" w:rsidRDefault="00437845">
      <w:pPr>
        <w:rPr>
          <w:rFonts w:eastAsiaTheme="majorEastAsia" w:cstheme="majorBidi"/>
          <w:b/>
          <w:sz w:val="26"/>
          <w:szCs w:val="26"/>
          <w:lang w:val="en-US"/>
        </w:rPr>
      </w:pPr>
      <w:bookmarkStart w:id="8" w:name="_Toc71726099"/>
      <w:r>
        <w:rPr>
          <w:lang w:val="en-US"/>
        </w:rPr>
        <w:br w:type="page"/>
      </w:r>
    </w:p>
    <w:p w14:paraId="02CA756B" w14:textId="473632BF" w:rsidR="00D23E50" w:rsidRDefault="00D23E50" w:rsidP="00D23E50">
      <w:pPr>
        <w:pStyle w:val="Titre2"/>
        <w:rPr>
          <w:lang w:val="en-US"/>
        </w:rPr>
      </w:pPr>
      <w:r w:rsidRPr="00355618">
        <w:rPr>
          <w:lang w:val="en-US"/>
        </w:rPr>
        <w:t xml:space="preserve">Supplemental Table </w:t>
      </w:r>
      <w:r w:rsidRPr="002B4FFD">
        <w:rPr>
          <w:lang w:val="en-US"/>
        </w:rPr>
        <w:t xml:space="preserve">1: </w:t>
      </w:r>
      <w:r>
        <w:rPr>
          <w:lang w:val="en-US"/>
        </w:rPr>
        <w:t>Diagnostic characteristics</w:t>
      </w:r>
      <w:r w:rsidRPr="002B4FFD">
        <w:rPr>
          <w:lang w:val="en-US"/>
        </w:rPr>
        <w:t>.</w:t>
      </w:r>
      <w:bookmarkEnd w:id="8"/>
    </w:p>
    <w:p w14:paraId="240D955D" w14:textId="77777777" w:rsidR="00D539E0" w:rsidRPr="00D539E0" w:rsidRDefault="00D539E0" w:rsidP="00D539E0">
      <w:pPr>
        <w:rPr>
          <w:lang w:val="en-US"/>
        </w:rPr>
      </w:pPr>
    </w:p>
    <w:tbl>
      <w:tblPr>
        <w:tblW w:w="9634" w:type="dxa"/>
        <w:tblCellMar>
          <w:left w:w="70" w:type="dxa"/>
          <w:right w:w="70" w:type="dxa"/>
        </w:tblCellMar>
        <w:tblLook w:val="04A0" w:firstRow="1" w:lastRow="0" w:firstColumn="1" w:lastColumn="0" w:noHBand="0" w:noVBand="1"/>
      </w:tblPr>
      <w:tblGrid>
        <w:gridCol w:w="1144"/>
        <w:gridCol w:w="1366"/>
        <w:gridCol w:w="1366"/>
        <w:gridCol w:w="1451"/>
        <w:gridCol w:w="1451"/>
        <w:gridCol w:w="1366"/>
        <w:gridCol w:w="985"/>
        <w:gridCol w:w="985"/>
      </w:tblGrid>
      <w:tr w:rsidR="00D23E50" w:rsidRPr="00816F9C" w14:paraId="521FBFE1" w14:textId="77777777" w:rsidTr="007E5956">
        <w:trPr>
          <w:trHeight w:val="1450"/>
        </w:trPr>
        <w:tc>
          <w:tcPr>
            <w:tcW w:w="131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E5E225"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Variables</w:t>
            </w:r>
          </w:p>
        </w:tc>
        <w:tc>
          <w:tcPr>
            <w:tcW w:w="1366" w:type="dxa"/>
            <w:tcBorders>
              <w:top w:val="single" w:sz="4" w:space="0" w:color="auto"/>
              <w:left w:val="nil"/>
              <w:bottom w:val="single" w:sz="4" w:space="0" w:color="auto"/>
              <w:right w:val="single" w:sz="4" w:space="0" w:color="auto"/>
            </w:tcBorders>
            <w:shd w:val="clear" w:color="auto" w:fill="auto"/>
            <w:vAlign w:val="bottom"/>
            <w:hideMark/>
          </w:tcPr>
          <w:p w14:paraId="6A214AD4"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Normal (BIOMARGIN) N = 312</w:t>
            </w:r>
          </w:p>
        </w:tc>
        <w:tc>
          <w:tcPr>
            <w:tcW w:w="1366" w:type="dxa"/>
            <w:tcBorders>
              <w:top w:val="single" w:sz="4" w:space="0" w:color="auto"/>
              <w:left w:val="nil"/>
              <w:bottom w:val="single" w:sz="4" w:space="0" w:color="auto"/>
              <w:right w:val="single" w:sz="4" w:space="0" w:color="auto"/>
            </w:tcBorders>
            <w:shd w:val="clear" w:color="auto" w:fill="auto"/>
            <w:vAlign w:val="bottom"/>
            <w:hideMark/>
          </w:tcPr>
          <w:p w14:paraId="1A40995C"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ABMR (BIOMARGIN) N = 104</w:t>
            </w:r>
          </w:p>
        </w:tc>
        <w:tc>
          <w:tcPr>
            <w:tcW w:w="1451" w:type="dxa"/>
            <w:tcBorders>
              <w:top w:val="single" w:sz="4" w:space="0" w:color="auto"/>
              <w:left w:val="nil"/>
              <w:bottom w:val="single" w:sz="4" w:space="0" w:color="auto"/>
              <w:right w:val="single" w:sz="4" w:space="0" w:color="auto"/>
            </w:tcBorders>
            <w:shd w:val="clear" w:color="auto" w:fill="auto"/>
            <w:vAlign w:val="bottom"/>
            <w:hideMark/>
          </w:tcPr>
          <w:p w14:paraId="3B4818F1"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TCMR (BIOMARGIN) N = 82</w:t>
            </w:r>
          </w:p>
        </w:tc>
        <w:tc>
          <w:tcPr>
            <w:tcW w:w="1451" w:type="dxa"/>
            <w:tcBorders>
              <w:top w:val="single" w:sz="4" w:space="0" w:color="auto"/>
              <w:left w:val="nil"/>
              <w:bottom w:val="single" w:sz="4" w:space="0" w:color="auto"/>
              <w:right w:val="single" w:sz="4" w:space="0" w:color="auto"/>
            </w:tcBorders>
            <w:shd w:val="clear" w:color="auto" w:fill="auto"/>
            <w:vAlign w:val="bottom"/>
            <w:hideMark/>
          </w:tcPr>
          <w:p w14:paraId="57F1AA12"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IFTA (BIOMARGIN) N = 210</w:t>
            </w:r>
          </w:p>
        </w:tc>
        <w:tc>
          <w:tcPr>
            <w:tcW w:w="1366" w:type="dxa"/>
            <w:tcBorders>
              <w:top w:val="single" w:sz="4" w:space="0" w:color="auto"/>
              <w:left w:val="nil"/>
              <w:bottom w:val="single" w:sz="4" w:space="0" w:color="auto"/>
              <w:right w:val="single" w:sz="4" w:space="0" w:color="auto"/>
            </w:tcBorders>
            <w:shd w:val="clear" w:color="auto" w:fill="auto"/>
            <w:vAlign w:val="bottom"/>
            <w:hideMark/>
          </w:tcPr>
          <w:p w14:paraId="6D164A2E" w14:textId="77777777" w:rsidR="00D23E50" w:rsidRPr="00D23E50" w:rsidRDefault="00D23E50" w:rsidP="00D23E50">
            <w:pPr>
              <w:spacing w:after="0" w:line="240" w:lineRule="auto"/>
              <w:rPr>
                <w:rFonts w:ascii="Calibri" w:eastAsia="Times New Roman" w:hAnsi="Calibri" w:cs="Calibri"/>
                <w:color w:val="000000"/>
                <w:lang w:eastAsia="fr-FR"/>
              </w:rPr>
            </w:pPr>
            <w:proofErr w:type="spellStart"/>
            <w:r w:rsidRPr="00D23E50">
              <w:rPr>
                <w:rFonts w:ascii="Calibri" w:eastAsia="Times New Roman" w:hAnsi="Calibri" w:cs="Calibri"/>
                <w:color w:val="000000"/>
                <w:lang w:eastAsia="fr-FR"/>
              </w:rPr>
              <w:t>Missing</w:t>
            </w:r>
            <w:proofErr w:type="spellEnd"/>
            <w:r w:rsidRPr="00D23E50">
              <w:rPr>
                <w:rFonts w:ascii="Calibri" w:eastAsia="Times New Roman" w:hAnsi="Calibri" w:cs="Calibri"/>
                <w:color w:val="000000"/>
                <w:lang w:eastAsia="fr-FR"/>
              </w:rPr>
              <w:t xml:space="preserve"> data (BIOMARGIN) N = 631 (100%)</w:t>
            </w:r>
          </w:p>
        </w:tc>
        <w:tc>
          <w:tcPr>
            <w:tcW w:w="985" w:type="dxa"/>
            <w:tcBorders>
              <w:top w:val="single" w:sz="4" w:space="0" w:color="auto"/>
              <w:left w:val="nil"/>
              <w:bottom w:val="single" w:sz="4" w:space="0" w:color="auto"/>
              <w:right w:val="single" w:sz="4" w:space="0" w:color="auto"/>
            </w:tcBorders>
            <w:shd w:val="clear" w:color="auto" w:fill="auto"/>
            <w:vAlign w:val="bottom"/>
            <w:hideMark/>
          </w:tcPr>
          <w:p w14:paraId="0B28B828"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Active ABMR (ROCKET) N = 63</w:t>
            </w:r>
          </w:p>
        </w:tc>
        <w:tc>
          <w:tcPr>
            <w:tcW w:w="337" w:type="dxa"/>
            <w:tcBorders>
              <w:top w:val="single" w:sz="4" w:space="0" w:color="auto"/>
              <w:left w:val="nil"/>
              <w:bottom w:val="single" w:sz="4" w:space="0" w:color="auto"/>
              <w:right w:val="single" w:sz="4" w:space="0" w:color="auto"/>
            </w:tcBorders>
            <w:shd w:val="clear" w:color="auto" w:fill="auto"/>
            <w:vAlign w:val="bottom"/>
            <w:hideMark/>
          </w:tcPr>
          <w:p w14:paraId="342D8A4F" w14:textId="77777777" w:rsidR="00D23E50" w:rsidRPr="007E5956" w:rsidRDefault="00D23E50" w:rsidP="00D23E50">
            <w:pPr>
              <w:spacing w:after="0" w:line="240" w:lineRule="auto"/>
              <w:rPr>
                <w:rFonts w:ascii="Calibri" w:eastAsia="Times New Roman" w:hAnsi="Calibri" w:cs="Calibri"/>
                <w:color w:val="000000"/>
                <w:lang w:val="en-US" w:eastAsia="fr-FR"/>
              </w:rPr>
            </w:pPr>
            <w:r w:rsidRPr="007E5956">
              <w:rPr>
                <w:rFonts w:ascii="Calibri" w:eastAsia="Times New Roman" w:hAnsi="Calibri" w:cs="Calibri"/>
                <w:color w:val="000000"/>
                <w:lang w:val="en-US" w:eastAsia="fr-FR"/>
              </w:rPr>
              <w:t>Chronic active ABMR (ROCKET) N = 44</w:t>
            </w:r>
          </w:p>
        </w:tc>
      </w:tr>
      <w:tr w:rsidR="00D23E50" w:rsidRPr="00D23E50" w14:paraId="794E2FAE" w14:textId="77777777" w:rsidTr="007E5956">
        <w:trPr>
          <w:trHeight w:val="290"/>
        </w:trPr>
        <w:tc>
          <w:tcPr>
            <w:tcW w:w="1312" w:type="dxa"/>
            <w:tcBorders>
              <w:top w:val="nil"/>
              <w:left w:val="single" w:sz="4" w:space="0" w:color="auto"/>
              <w:bottom w:val="single" w:sz="4" w:space="0" w:color="auto"/>
              <w:right w:val="single" w:sz="4" w:space="0" w:color="auto"/>
            </w:tcBorders>
            <w:shd w:val="clear" w:color="auto" w:fill="auto"/>
            <w:vAlign w:val="bottom"/>
            <w:hideMark/>
          </w:tcPr>
          <w:p w14:paraId="27110A02" w14:textId="77777777" w:rsidR="00D23E50" w:rsidRPr="00D23E50" w:rsidRDefault="00D23E50" w:rsidP="00D23E50">
            <w:pPr>
              <w:spacing w:after="0" w:line="240" w:lineRule="auto"/>
              <w:rPr>
                <w:rFonts w:ascii="Calibri" w:eastAsia="Times New Roman" w:hAnsi="Calibri" w:cs="Calibri"/>
                <w:color w:val="000000"/>
                <w:lang w:eastAsia="fr-FR"/>
              </w:rPr>
            </w:pPr>
            <w:proofErr w:type="gramStart"/>
            <w:r w:rsidRPr="00D23E50">
              <w:rPr>
                <w:rFonts w:ascii="Calibri" w:eastAsia="Times New Roman" w:hAnsi="Calibri" w:cs="Calibri"/>
                <w:color w:val="000000"/>
                <w:lang w:eastAsia="fr-FR"/>
              </w:rPr>
              <w:t>g</w:t>
            </w:r>
            <w:proofErr w:type="gramEnd"/>
            <w:r w:rsidRPr="00D23E50">
              <w:rPr>
                <w:rFonts w:ascii="Calibri" w:eastAsia="Times New Roman" w:hAnsi="Calibri" w:cs="Calibri"/>
                <w:color w:val="000000"/>
                <w:lang w:eastAsia="fr-FR"/>
              </w:rPr>
              <w:t xml:space="preserve">, </w:t>
            </w:r>
            <w:proofErr w:type="spellStart"/>
            <w:r w:rsidRPr="00D23E50">
              <w:rPr>
                <w:rFonts w:ascii="Calibri" w:eastAsia="Times New Roman" w:hAnsi="Calibri" w:cs="Calibri"/>
                <w:color w:val="000000"/>
                <w:lang w:eastAsia="fr-FR"/>
              </w:rPr>
              <w:t>median</w:t>
            </w:r>
            <w:proofErr w:type="spellEnd"/>
            <w:r w:rsidRPr="00D23E50">
              <w:rPr>
                <w:rFonts w:ascii="Calibri" w:eastAsia="Times New Roman" w:hAnsi="Calibri" w:cs="Calibri"/>
                <w:color w:val="000000"/>
                <w:lang w:eastAsia="fr-FR"/>
              </w:rPr>
              <w:t xml:space="preserve"> (IQR)</w:t>
            </w:r>
          </w:p>
        </w:tc>
        <w:tc>
          <w:tcPr>
            <w:tcW w:w="1366" w:type="dxa"/>
            <w:tcBorders>
              <w:top w:val="nil"/>
              <w:left w:val="nil"/>
              <w:bottom w:val="single" w:sz="4" w:space="0" w:color="auto"/>
              <w:right w:val="single" w:sz="4" w:space="0" w:color="auto"/>
            </w:tcBorders>
            <w:shd w:val="clear" w:color="auto" w:fill="auto"/>
            <w:vAlign w:val="bottom"/>
            <w:hideMark/>
          </w:tcPr>
          <w:p w14:paraId="53B9BE73"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(0-0)</w:t>
            </w:r>
          </w:p>
        </w:tc>
        <w:tc>
          <w:tcPr>
            <w:tcW w:w="1366" w:type="dxa"/>
            <w:tcBorders>
              <w:top w:val="nil"/>
              <w:left w:val="nil"/>
              <w:bottom w:val="single" w:sz="4" w:space="0" w:color="auto"/>
              <w:right w:val="single" w:sz="4" w:space="0" w:color="auto"/>
            </w:tcBorders>
            <w:shd w:val="clear" w:color="auto" w:fill="auto"/>
            <w:vAlign w:val="bottom"/>
            <w:hideMark/>
          </w:tcPr>
          <w:p w14:paraId="17CC25CF"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1 (1-2)</w:t>
            </w:r>
          </w:p>
        </w:tc>
        <w:tc>
          <w:tcPr>
            <w:tcW w:w="1451" w:type="dxa"/>
            <w:tcBorders>
              <w:top w:val="nil"/>
              <w:left w:val="nil"/>
              <w:bottom w:val="single" w:sz="4" w:space="0" w:color="auto"/>
              <w:right w:val="single" w:sz="4" w:space="0" w:color="auto"/>
            </w:tcBorders>
            <w:shd w:val="clear" w:color="auto" w:fill="auto"/>
            <w:noWrap/>
            <w:vAlign w:val="bottom"/>
            <w:hideMark/>
          </w:tcPr>
          <w:p w14:paraId="0DD33C7C"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(0-1)</w:t>
            </w:r>
          </w:p>
        </w:tc>
        <w:tc>
          <w:tcPr>
            <w:tcW w:w="1451" w:type="dxa"/>
            <w:tcBorders>
              <w:top w:val="nil"/>
              <w:left w:val="nil"/>
              <w:bottom w:val="single" w:sz="4" w:space="0" w:color="auto"/>
              <w:right w:val="single" w:sz="4" w:space="0" w:color="auto"/>
            </w:tcBorders>
            <w:shd w:val="clear" w:color="auto" w:fill="auto"/>
            <w:noWrap/>
            <w:vAlign w:val="bottom"/>
            <w:hideMark/>
          </w:tcPr>
          <w:p w14:paraId="7BC4230E"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(0-0)</w:t>
            </w:r>
          </w:p>
        </w:tc>
        <w:tc>
          <w:tcPr>
            <w:tcW w:w="1366" w:type="dxa"/>
            <w:tcBorders>
              <w:top w:val="nil"/>
              <w:left w:val="nil"/>
              <w:bottom w:val="single" w:sz="4" w:space="0" w:color="auto"/>
              <w:right w:val="single" w:sz="4" w:space="0" w:color="auto"/>
            </w:tcBorders>
            <w:shd w:val="clear" w:color="auto" w:fill="auto"/>
            <w:noWrap/>
            <w:vAlign w:val="bottom"/>
            <w:hideMark/>
          </w:tcPr>
          <w:p w14:paraId="2E81D144" w14:textId="702C524F"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(0.0</w:t>
            </w:r>
            <w:r w:rsidR="005F71FE">
              <w:rPr>
                <w:rFonts w:ascii="Calibri" w:eastAsia="Times New Roman" w:hAnsi="Calibri" w:cs="Calibri"/>
                <w:color w:val="000000"/>
                <w:lang w:eastAsia="fr-FR"/>
              </w:rPr>
              <w:t>%</w:t>
            </w:r>
            <w:r w:rsidRPr="00D23E50">
              <w:rPr>
                <w:rFonts w:ascii="Calibri" w:eastAsia="Times New Roman" w:hAnsi="Calibri" w:cs="Calibri"/>
                <w:color w:val="000000"/>
                <w:lang w:eastAsia="fr-FR"/>
              </w:rPr>
              <w:t>)</w:t>
            </w:r>
          </w:p>
        </w:tc>
        <w:tc>
          <w:tcPr>
            <w:tcW w:w="985" w:type="dxa"/>
            <w:tcBorders>
              <w:top w:val="nil"/>
              <w:left w:val="nil"/>
              <w:bottom w:val="single" w:sz="4" w:space="0" w:color="auto"/>
              <w:right w:val="single" w:sz="4" w:space="0" w:color="auto"/>
            </w:tcBorders>
            <w:shd w:val="clear" w:color="auto" w:fill="auto"/>
            <w:noWrap/>
            <w:vAlign w:val="bottom"/>
            <w:hideMark/>
          </w:tcPr>
          <w:p w14:paraId="4545D6E0"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1 (1-2)</w:t>
            </w:r>
          </w:p>
        </w:tc>
        <w:tc>
          <w:tcPr>
            <w:tcW w:w="337" w:type="dxa"/>
            <w:tcBorders>
              <w:top w:val="nil"/>
              <w:left w:val="nil"/>
              <w:bottom w:val="single" w:sz="4" w:space="0" w:color="auto"/>
              <w:right w:val="single" w:sz="4" w:space="0" w:color="auto"/>
            </w:tcBorders>
            <w:shd w:val="clear" w:color="auto" w:fill="auto"/>
            <w:noWrap/>
            <w:vAlign w:val="bottom"/>
            <w:hideMark/>
          </w:tcPr>
          <w:p w14:paraId="2351198E"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2 (1-2)</w:t>
            </w:r>
          </w:p>
        </w:tc>
      </w:tr>
      <w:tr w:rsidR="00D23E50" w:rsidRPr="00D23E50" w14:paraId="2BCE7CDB" w14:textId="77777777" w:rsidTr="007E5956">
        <w:trPr>
          <w:trHeight w:val="290"/>
        </w:trPr>
        <w:tc>
          <w:tcPr>
            <w:tcW w:w="1312" w:type="dxa"/>
            <w:tcBorders>
              <w:top w:val="nil"/>
              <w:left w:val="single" w:sz="4" w:space="0" w:color="auto"/>
              <w:bottom w:val="single" w:sz="4" w:space="0" w:color="auto"/>
              <w:right w:val="single" w:sz="4" w:space="0" w:color="auto"/>
            </w:tcBorders>
            <w:shd w:val="clear" w:color="auto" w:fill="auto"/>
            <w:vAlign w:val="bottom"/>
            <w:hideMark/>
          </w:tcPr>
          <w:p w14:paraId="478810E9" w14:textId="77777777" w:rsidR="00D23E50" w:rsidRPr="00D23E50" w:rsidRDefault="00D23E50" w:rsidP="00D23E50">
            <w:pPr>
              <w:spacing w:after="0" w:line="240" w:lineRule="auto"/>
              <w:rPr>
                <w:rFonts w:ascii="Calibri" w:eastAsia="Times New Roman" w:hAnsi="Calibri" w:cs="Calibri"/>
                <w:color w:val="000000"/>
                <w:lang w:eastAsia="fr-FR"/>
              </w:rPr>
            </w:pPr>
            <w:proofErr w:type="spellStart"/>
            <w:proofErr w:type="gramStart"/>
            <w:r w:rsidRPr="00D23E50">
              <w:rPr>
                <w:rFonts w:ascii="Calibri" w:eastAsia="Times New Roman" w:hAnsi="Calibri" w:cs="Calibri"/>
                <w:color w:val="000000"/>
                <w:lang w:eastAsia="fr-FR"/>
              </w:rPr>
              <w:t>ptc</w:t>
            </w:r>
            <w:proofErr w:type="spellEnd"/>
            <w:proofErr w:type="gramEnd"/>
            <w:r w:rsidRPr="00D23E50">
              <w:rPr>
                <w:rFonts w:ascii="Calibri" w:eastAsia="Times New Roman" w:hAnsi="Calibri" w:cs="Calibri"/>
                <w:color w:val="000000"/>
                <w:lang w:eastAsia="fr-FR"/>
              </w:rPr>
              <w:t xml:space="preserve">, </w:t>
            </w:r>
            <w:proofErr w:type="spellStart"/>
            <w:r w:rsidRPr="00D23E50">
              <w:rPr>
                <w:rFonts w:ascii="Calibri" w:eastAsia="Times New Roman" w:hAnsi="Calibri" w:cs="Calibri"/>
                <w:color w:val="000000"/>
                <w:lang w:eastAsia="fr-FR"/>
              </w:rPr>
              <w:t>median</w:t>
            </w:r>
            <w:proofErr w:type="spellEnd"/>
            <w:r w:rsidRPr="00D23E50">
              <w:rPr>
                <w:rFonts w:ascii="Calibri" w:eastAsia="Times New Roman" w:hAnsi="Calibri" w:cs="Calibri"/>
                <w:color w:val="000000"/>
                <w:lang w:eastAsia="fr-FR"/>
              </w:rPr>
              <w:t xml:space="preserve"> (IQR)</w:t>
            </w:r>
          </w:p>
        </w:tc>
        <w:tc>
          <w:tcPr>
            <w:tcW w:w="1366" w:type="dxa"/>
            <w:tcBorders>
              <w:top w:val="nil"/>
              <w:left w:val="nil"/>
              <w:bottom w:val="single" w:sz="4" w:space="0" w:color="auto"/>
              <w:right w:val="single" w:sz="4" w:space="0" w:color="auto"/>
            </w:tcBorders>
            <w:shd w:val="clear" w:color="auto" w:fill="auto"/>
            <w:vAlign w:val="bottom"/>
            <w:hideMark/>
          </w:tcPr>
          <w:p w14:paraId="49FD874C"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(0-0)</w:t>
            </w:r>
          </w:p>
        </w:tc>
        <w:tc>
          <w:tcPr>
            <w:tcW w:w="1366" w:type="dxa"/>
            <w:tcBorders>
              <w:top w:val="nil"/>
              <w:left w:val="nil"/>
              <w:bottom w:val="single" w:sz="4" w:space="0" w:color="auto"/>
              <w:right w:val="single" w:sz="4" w:space="0" w:color="auto"/>
            </w:tcBorders>
            <w:shd w:val="clear" w:color="auto" w:fill="auto"/>
            <w:vAlign w:val="bottom"/>
            <w:hideMark/>
          </w:tcPr>
          <w:p w14:paraId="1E3C417C"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2 (1-2)</w:t>
            </w:r>
          </w:p>
        </w:tc>
        <w:tc>
          <w:tcPr>
            <w:tcW w:w="1451" w:type="dxa"/>
            <w:tcBorders>
              <w:top w:val="nil"/>
              <w:left w:val="nil"/>
              <w:bottom w:val="single" w:sz="4" w:space="0" w:color="auto"/>
              <w:right w:val="single" w:sz="4" w:space="0" w:color="auto"/>
            </w:tcBorders>
            <w:shd w:val="clear" w:color="auto" w:fill="auto"/>
            <w:noWrap/>
            <w:vAlign w:val="bottom"/>
            <w:hideMark/>
          </w:tcPr>
          <w:p w14:paraId="08A8E17B"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(0-1)</w:t>
            </w:r>
          </w:p>
        </w:tc>
        <w:tc>
          <w:tcPr>
            <w:tcW w:w="1451" w:type="dxa"/>
            <w:tcBorders>
              <w:top w:val="nil"/>
              <w:left w:val="nil"/>
              <w:bottom w:val="single" w:sz="4" w:space="0" w:color="auto"/>
              <w:right w:val="single" w:sz="4" w:space="0" w:color="auto"/>
            </w:tcBorders>
            <w:shd w:val="clear" w:color="auto" w:fill="auto"/>
            <w:noWrap/>
            <w:vAlign w:val="bottom"/>
            <w:hideMark/>
          </w:tcPr>
          <w:p w14:paraId="51DEDE56"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(0-0)</w:t>
            </w:r>
          </w:p>
        </w:tc>
        <w:tc>
          <w:tcPr>
            <w:tcW w:w="1366" w:type="dxa"/>
            <w:tcBorders>
              <w:top w:val="nil"/>
              <w:left w:val="nil"/>
              <w:bottom w:val="single" w:sz="4" w:space="0" w:color="auto"/>
              <w:right w:val="single" w:sz="4" w:space="0" w:color="auto"/>
            </w:tcBorders>
            <w:shd w:val="clear" w:color="auto" w:fill="auto"/>
            <w:noWrap/>
            <w:vAlign w:val="bottom"/>
            <w:hideMark/>
          </w:tcPr>
          <w:p w14:paraId="6E045AFD" w14:textId="6F5EA0E6"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1 (0.2</w:t>
            </w:r>
            <w:r w:rsidR="005F71FE">
              <w:rPr>
                <w:rFonts w:ascii="Calibri" w:eastAsia="Times New Roman" w:hAnsi="Calibri" w:cs="Calibri"/>
                <w:color w:val="000000"/>
                <w:lang w:eastAsia="fr-FR"/>
              </w:rPr>
              <w:t>%</w:t>
            </w:r>
            <w:r w:rsidRPr="00D23E50">
              <w:rPr>
                <w:rFonts w:ascii="Calibri" w:eastAsia="Times New Roman" w:hAnsi="Calibri" w:cs="Calibri"/>
                <w:color w:val="000000"/>
                <w:lang w:eastAsia="fr-FR"/>
              </w:rPr>
              <w:t>)</w:t>
            </w:r>
          </w:p>
        </w:tc>
        <w:tc>
          <w:tcPr>
            <w:tcW w:w="985" w:type="dxa"/>
            <w:tcBorders>
              <w:top w:val="nil"/>
              <w:left w:val="nil"/>
              <w:bottom w:val="single" w:sz="4" w:space="0" w:color="auto"/>
              <w:right w:val="single" w:sz="4" w:space="0" w:color="auto"/>
            </w:tcBorders>
            <w:shd w:val="clear" w:color="auto" w:fill="auto"/>
            <w:noWrap/>
            <w:vAlign w:val="bottom"/>
            <w:hideMark/>
          </w:tcPr>
          <w:p w14:paraId="38237C45"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2 (1-2)</w:t>
            </w:r>
          </w:p>
        </w:tc>
        <w:tc>
          <w:tcPr>
            <w:tcW w:w="337" w:type="dxa"/>
            <w:tcBorders>
              <w:top w:val="nil"/>
              <w:left w:val="nil"/>
              <w:bottom w:val="single" w:sz="4" w:space="0" w:color="auto"/>
              <w:right w:val="single" w:sz="4" w:space="0" w:color="auto"/>
            </w:tcBorders>
            <w:shd w:val="clear" w:color="auto" w:fill="auto"/>
            <w:noWrap/>
            <w:vAlign w:val="bottom"/>
            <w:hideMark/>
          </w:tcPr>
          <w:p w14:paraId="44632D52"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1 (1-2)</w:t>
            </w:r>
          </w:p>
        </w:tc>
      </w:tr>
      <w:tr w:rsidR="00D23E50" w:rsidRPr="00D23E50" w14:paraId="442F2CB7" w14:textId="77777777" w:rsidTr="007E5956">
        <w:trPr>
          <w:trHeight w:val="290"/>
        </w:trPr>
        <w:tc>
          <w:tcPr>
            <w:tcW w:w="1312" w:type="dxa"/>
            <w:tcBorders>
              <w:top w:val="nil"/>
              <w:left w:val="single" w:sz="4" w:space="0" w:color="auto"/>
              <w:bottom w:val="single" w:sz="4" w:space="0" w:color="auto"/>
              <w:right w:val="single" w:sz="4" w:space="0" w:color="auto"/>
            </w:tcBorders>
            <w:shd w:val="clear" w:color="auto" w:fill="auto"/>
            <w:vAlign w:val="bottom"/>
            <w:hideMark/>
          </w:tcPr>
          <w:p w14:paraId="2B989DC6" w14:textId="77777777" w:rsidR="00D23E50" w:rsidRPr="00D23E50" w:rsidRDefault="00D23E50" w:rsidP="00D23E50">
            <w:pPr>
              <w:spacing w:after="0" w:line="240" w:lineRule="auto"/>
              <w:rPr>
                <w:rFonts w:ascii="Calibri" w:eastAsia="Times New Roman" w:hAnsi="Calibri" w:cs="Calibri"/>
                <w:color w:val="000000"/>
                <w:lang w:eastAsia="fr-FR"/>
              </w:rPr>
            </w:pPr>
            <w:proofErr w:type="gramStart"/>
            <w:r w:rsidRPr="00D23E50">
              <w:rPr>
                <w:rFonts w:ascii="Calibri" w:eastAsia="Times New Roman" w:hAnsi="Calibri" w:cs="Calibri"/>
                <w:color w:val="000000"/>
                <w:lang w:eastAsia="fr-FR"/>
              </w:rPr>
              <w:t>v</w:t>
            </w:r>
            <w:proofErr w:type="gramEnd"/>
            <w:r w:rsidRPr="00D23E50">
              <w:rPr>
                <w:rFonts w:ascii="Calibri" w:eastAsia="Times New Roman" w:hAnsi="Calibri" w:cs="Calibri"/>
                <w:color w:val="000000"/>
                <w:lang w:eastAsia="fr-FR"/>
              </w:rPr>
              <w:t xml:space="preserve">, </w:t>
            </w:r>
            <w:proofErr w:type="spellStart"/>
            <w:r w:rsidRPr="00D23E50">
              <w:rPr>
                <w:rFonts w:ascii="Calibri" w:eastAsia="Times New Roman" w:hAnsi="Calibri" w:cs="Calibri"/>
                <w:color w:val="000000"/>
                <w:lang w:eastAsia="fr-FR"/>
              </w:rPr>
              <w:t>median</w:t>
            </w:r>
            <w:proofErr w:type="spellEnd"/>
            <w:r w:rsidRPr="00D23E50">
              <w:rPr>
                <w:rFonts w:ascii="Calibri" w:eastAsia="Times New Roman" w:hAnsi="Calibri" w:cs="Calibri"/>
                <w:color w:val="000000"/>
                <w:lang w:eastAsia="fr-FR"/>
              </w:rPr>
              <w:t xml:space="preserve"> (IQR)</w:t>
            </w:r>
          </w:p>
        </w:tc>
        <w:tc>
          <w:tcPr>
            <w:tcW w:w="1366" w:type="dxa"/>
            <w:tcBorders>
              <w:top w:val="nil"/>
              <w:left w:val="nil"/>
              <w:bottom w:val="single" w:sz="4" w:space="0" w:color="auto"/>
              <w:right w:val="single" w:sz="4" w:space="0" w:color="auto"/>
            </w:tcBorders>
            <w:shd w:val="clear" w:color="auto" w:fill="auto"/>
            <w:vAlign w:val="bottom"/>
            <w:hideMark/>
          </w:tcPr>
          <w:p w14:paraId="18E981F5"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(0-0)</w:t>
            </w:r>
          </w:p>
        </w:tc>
        <w:tc>
          <w:tcPr>
            <w:tcW w:w="1366" w:type="dxa"/>
            <w:tcBorders>
              <w:top w:val="nil"/>
              <w:left w:val="nil"/>
              <w:bottom w:val="single" w:sz="4" w:space="0" w:color="auto"/>
              <w:right w:val="single" w:sz="4" w:space="0" w:color="auto"/>
            </w:tcBorders>
            <w:shd w:val="clear" w:color="auto" w:fill="auto"/>
            <w:vAlign w:val="bottom"/>
            <w:hideMark/>
          </w:tcPr>
          <w:p w14:paraId="512B635A"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(0-0)</w:t>
            </w:r>
          </w:p>
        </w:tc>
        <w:tc>
          <w:tcPr>
            <w:tcW w:w="1451" w:type="dxa"/>
            <w:tcBorders>
              <w:top w:val="nil"/>
              <w:left w:val="nil"/>
              <w:bottom w:val="single" w:sz="4" w:space="0" w:color="auto"/>
              <w:right w:val="single" w:sz="4" w:space="0" w:color="auto"/>
            </w:tcBorders>
            <w:shd w:val="clear" w:color="auto" w:fill="auto"/>
            <w:noWrap/>
            <w:vAlign w:val="bottom"/>
            <w:hideMark/>
          </w:tcPr>
          <w:p w14:paraId="088F5B40"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(0-0)</w:t>
            </w:r>
          </w:p>
        </w:tc>
        <w:tc>
          <w:tcPr>
            <w:tcW w:w="1451" w:type="dxa"/>
            <w:tcBorders>
              <w:top w:val="nil"/>
              <w:left w:val="nil"/>
              <w:bottom w:val="single" w:sz="4" w:space="0" w:color="auto"/>
              <w:right w:val="single" w:sz="4" w:space="0" w:color="auto"/>
            </w:tcBorders>
            <w:shd w:val="clear" w:color="auto" w:fill="auto"/>
            <w:noWrap/>
            <w:vAlign w:val="bottom"/>
            <w:hideMark/>
          </w:tcPr>
          <w:p w14:paraId="7EAC5AC5"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(0-0)</w:t>
            </w:r>
          </w:p>
        </w:tc>
        <w:tc>
          <w:tcPr>
            <w:tcW w:w="1366" w:type="dxa"/>
            <w:tcBorders>
              <w:top w:val="nil"/>
              <w:left w:val="nil"/>
              <w:bottom w:val="single" w:sz="4" w:space="0" w:color="auto"/>
              <w:right w:val="single" w:sz="4" w:space="0" w:color="auto"/>
            </w:tcBorders>
            <w:shd w:val="clear" w:color="auto" w:fill="auto"/>
            <w:noWrap/>
            <w:vAlign w:val="bottom"/>
            <w:hideMark/>
          </w:tcPr>
          <w:p w14:paraId="3523446F" w14:textId="1C4F8FAB"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21 (3.3</w:t>
            </w:r>
            <w:r w:rsidR="005F71FE">
              <w:rPr>
                <w:rFonts w:ascii="Calibri" w:eastAsia="Times New Roman" w:hAnsi="Calibri" w:cs="Calibri"/>
                <w:color w:val="000000"/>
                <w:lang w:eastAsia="fr-FR"/>
              </w:rPr>
              <w:t>%</w:t>
            </w:r>
            <w:r w:rsidRPr="00D23E50">
              <w:rPr>
                <w:rFonts w:ascii="Calibri" w:eastAsia="Times New Roman" w:hAnsi="Calibri" w:cs="Calibri"/>
                <w:color w:val="000000"/>
                <w:lang w:eastAsia="fr-FR"/>
              </w:rPr>
              <w:t>)</w:t>
            </w:r>
          </w:p>
        </w:tc>
        <w:tc>
          <w:tcPr>
            <w:tcW w:w="985" w:type="dxa"/>
            <w:tcBorders>
              <w:top w:val="nil"/>
              <w:left w:val="nil"/>
              <w:bottom w:val="single" w:sz="4" w:space="0" w:color="auto"/>
              <w:right w:val="single" w:sz="4" w:space="0" w:color="auto"/>
            </w:tcBorders>
            <w:shd w:val="clear" w:color="auto" w:fill="auto"/>
            <w:noWrap/>
            <w:vAlign w:val="bottom"/>
            <w:hideMark/>
          </w:tcPr>
          <w:p w14:paraId="25051C62"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(0-0)</w:t>
            </w:r>
          </w:p>
        </w:tc>
        <w:tc>
          <w:tcPr>
            <w:tcW w:w="337" w:type="dxa"/>
            <w:tcBorders>
              <w:top w:val="nil"/>
              <w:left w:val="nil"/>
              <w:bottom w:val="single" w:sz="4" w:space="0" w:color="auto"/>
              <w:right w:val="single" w:sz="4" w:space="0" w:color="auto"/>
            </w:tcBorders>
            <w:shd w:val="clear" w:color="auto" w:fill="auto"/>
            <w:noWrap/>
            <w:vAlign w:val="bottom"/>
            <w:hideMark/>
          </w:tcPr>
          <w:p w14:paraId="501EAF12"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(0-0)</w:t>
            </w:r>
          </w:p>
        </w:tc>
      </w:tr>
      <w:tr w:rsidR="00D23E50" w:rsidRPr="00D23E50" w14:paraId="5D816BA9" w14:textId="77777777" w:rsidTr="007E5956">
        <w:trPr>
          <w:trHeight w:val="290"/>
        </w:trPr>
        <w:tc>
          <w:tcPr>
            <w:tcW w:w="1312" w:type="dxa"/>
            <w:tcBorders>
              <w:top w:val="nil"/>
              <w:left w:val="single" w:sz="4" w:space="0" w:color="auto"/>
              <w:bottom w:val="single" w:sz="4" w:space="0" w:color="auto"/>
              <w:right w:val="single" w:sz="4" w:space="0" w:color="auto"/>
            </w:tcBorders>
            <w:shd w:val="clear" w:color="auto" w:fill="auto"/>
            <w:vAlign w:val="bottom"/>
            <w:hideMark/>
          </w:tcPr>
          <w:p w14:paraId="60D346E3"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 xml:space="preserve">C4d, </w:t>
            </w:r>
            <w:proofErr w:type="spellStart"/>
            <w:r w:rsidRPr="00D23E50">
              <w:rPr>
                <w:rFonts w:ascii="Calibri" w:eastAsia="Times New Roman" w:hAnsi="Calibri" w:cs="Calibri"/>
                <w:color w:val="000000"/>
                <w:lang w:eastAsia="fr-FR"/>
              </w:rPr>
              <w:t>median</w:t>
            </w:r>
            <w:proofErr w:type="spellEnd"/>
            <w:r w:rsidRPr="00D23E50">
              <w:rPr>
                <w:rFonts w:ascii="Calibri" w:eastAsia="Times New Roman" w:hAnsi="Calibri" w:cs="Calibri"/>
                <w:color w:val="000000"/>
                <w:lang w:eastAsia="fr-FR"/>
              </w:rPr>
              <w:t xml:space="preserve"> (IQR)</w:t>
            </w:r>
          </w:p>
        </w:tc>
        <w:tc>
          <w:tcPr>
            <w:tcW w:w="1366" w:type="dxa"/>
            <w:tcBorders>
              <w:top w:val="nil"/>
              <w:left w:val="nil"/>
              <w:bottom w:val="single" w:sz="4" w:space="0" w:color="auto"/>
              <w:right w:val="single" w:sz="4" w:space="0" w:color="auto"/>
            </w:tcBorders>
            <w:shd w:val="clear" w:color="auto" w:fill="auto"/>
            <w:vAlign w:val="bottom"/>
            <w:hideMark/>
          </w:tcPr>
          <w:p w14:paraId="24536D93"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(0-0)</w:t>
            </w:r>
          </w:p>
        </w:tc>
        <w:tc>
          <w:tcPr>
            <w:tcW w:w="1366" w:type="dxa"/>
            <w:tcBorders>
              <w:top w:val="nil"/>
              <w:left w:val="nil"/>
              <w:bottom w:val="single" w:sz="4" w:space="0" w:color="auto"/>
              <w:right w:val="single" w:sz="4" w:space="0" w:color="auto"/>
            </w:tcBorders>
            <w:shd w:val="clear" w:color="auto" w:fill="auto"/>
            <w:vAlign w:val="bottom"/>
            <w:hideMark/>
          </w:tcPr>
          <w:p w14:paraId="2F9F6497"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(0-2)</w:t>
            </w:r>
          </w:p>
        </w:tc>
        <w:tc>
          <w:tcPr>
            <w:tcW w:w="1451" w:type="dxa"/>
            <w:tcBorders>
              <w:top w:val="nil"/>
              <w:left w:val="nil"/>
              <w:bottom w:val="single" w:sz="4" w:space="0" w:color="auto"/>
              <w:right w:val="single" w:sz="4" w:space="0" w:color="auto"/>
            </w:tcBorders>
            <w:shd w:val="clear" w:color="auto" w:fill="auto"/>
            <w:noWrap/>
            <w:vAlign w:val="bottom"/>
            <w:hideMark/>
          </w:tcPr>
          <w:p w14:paraId="10E2B393"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(0-0)</w:t>
            </w:r>
          </w:p>
        </w:tc>
        <w:tc>
          <w:tcPr>
            <w:tcW w:w="1451" w:type="dxa"/>
            <w:tcBorders>
              <w:top w:val="nil"/>
              <w:left w:val="nil"/>
              <w:bottom w:val="single" w:sz="4" w:space="0" w:color="auto"/>
              <w:right w:val="single" w:sz="4" w:space="0" w:color="auto"/>
            </w:tcBorders>
            <w:shd w:val="clear" w:color="auto" w:fill="auto"/>
            <w:noWrap/>
            <w:vAlign w:val="bottom"/>
            <w:hideMark/>
          </w:tcPr>
          <w:p w14:paraId="640FC326"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(0-0)</w:t>
            </w:r>
          </w:p>
        </w:tc>
        <w:tc>
          <w:tcPr>
            <w:tcW w:w="1366" w:type="dxa"/>
            <w:tcBorders>
              <w:top w:val="nil"/>
              <w:left w:val="nil"/>
              <w:bottom w:val="single" w:sz="4" w:space="0" w:color="auto"/>
              <w:right w:val="single" w:sz="4" w:space="0" w:color="auto"/>
            </w:tcBorders>
            <w:shd w:val="clear" w:color="auto" w:fill="auto"/>
            <w:noWrap/>
            <w:vAlign w:val="bottom"/>
            <w:hideMark/>
          </w:tcPr>
          <w:p w14:paraId="4BBE8436" w14:textId="33474D31"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21 (3.3</w:t>
            </w:r>
            <w:r w:rsidR="005F71FE">
              <w:rPr>
                <w:rFonts w:ascii="Calibri" w:eastAsia="Times New Roman" w:hAnsi="Calibri" w:cs="Calibri"/>
                <w:color w:val="000000"/>
                <w:lang w:eastAsia="fr-FR"/>
              </w:rPr>
              <w:t>%</w:t>
            </w:r>
            <w:r w:rsidRPr="00D23E50">
              <w:rPr>
                <w:rFonts w:ascii="Calibri" w:eastAsia="Times New Roman" w:hAnsi="Calibri" w:cs="Calibri"/>
                <w:color w:val="000000"/>
                <w:lang w:eastAsia="fr-FR"/>
              </w:rPr>
              <w:t>)</w:t>
            </w:r>
          </w:p>
        </w:tc>
        <w:tc>
          <w:tcPr>
            <w:tcW w:w="985" w:type="dxa"/>
            <w:tcBorders>
              <w:top w:val="nil"/>
              <w:left w:val="nil"/>
              <w:bottom w:val="single" w:sz="4" w:space="0" w:color="auto"/>
              <w:right w:val="single" w:sz="4" w:space="0" w:color="auto"/>
            </w:tcBorders>
            <w:shd w:val="clear" w:color="auto" w:fill="auto"/>
            <w:noWrap/>
            <w:vAlign w:val="bottom"/>
            <w:hideMark/>
          </w:tcPr>
          <w:p w14:paraId="66E2EBAC"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(0-2)</w:t>
            </w:r>
          </w:p>
        </w:tc>
        <w:tc>
          <w:tcPr>
            <w:tcW w:w="337" w:type="dxa"/>
            <w:tcBorders>
              <w:top w:val="nil"/>
              <w:left w:val="nil"/>
              <w:bottom w:val="single" w:sz="4" w:space="0" w:color="auto"/>
              <w:right w:val="single" w:sz="4" w:space="0" w:color="auto"/>
            </w:tcBorders>
            <w:shd w:val="clear" w:color="auto" w:fill="auto"/>
            <w:noWrap/>
            <w:vAlign w:val="bottom"/>
            <w:hideMark/>
          </w:tcPr>
          <w:p w14:paraId="2A782071"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(0-1)</w:t>
            </w:r>
          </w:p>
        </w:tc>
      </w:tr>
      <w:tr w:rsidR="00D23E50" w:rsidRPr="00D23E50" w14:paraId="148CBC81" w14:textId="77777777" w:rsidTr="007E5956">
        <w:trPr>
          <w:trHeight w:val="290"/>
        </w:trPr>
        <w:tc>
          <w:tcPr>
            <w:tcW w:w="1312" w:type="dxa"/>
            <w:tcBorders>
              <w:top w:val="nil"/>
              <w:left w:val="single" w:sz="4" w:space="0" w:color="auto"/>
              <w:bottom w:val="single" w:sz="4" w:space="0" w:color="auto"/>
              <w:right w:val="single" w:sz="4" w:space="0" w:color="auto"/>
            </w:tcBorders>
            <w:shd w:val="clear" w:color="auto" w:fill="auto"/>
            <w:vAlign w:val="bottom"/>
            <w:hideMark/>
          </w:tcPr>
          <w:p w14:paraId="490C1FB7"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 xml:space="preserve">DSA </w:t>
            </w:r>
            <w:proofErr w:type="spellStart"/>
            <w:r w:rsidRPr="00D23E50">
              <w:rPr>
                <w:rFonts w:ascii="Calibri" w:eastAsia="Times New Roman" w:hAnsi="Calibri" w:cs="Calibri"/>
                <w:color w:val="000000"/>
                <w:lang w:eastAsia="fr-FR"/>
              </w:rPr>
              <w:t>positivity</w:t>
            </w:r>
            <w:proofErr w:type="spellEnd"/>
            <w:r w:rsidRPr="00D23E50">
              <w:rPr>
                <w:rFonts w:ascii="Calibri" w:eastAsia="Times New Roman" w:hAnsi="Calibri" w:cs="Calibri"/>
                <w:color w:val="000000"/>
                <w:lang w:eastAsia="fr-FR"/>
              </w:rPr>
              <w:t xml:space="preserve"> (%)</w:t>
            </w:r>
          </w:p>
        </w:tc>
        <w:tc>
          <w:tcPr>
            <w:tcW w:w="1366" w:type="dxa"/>
            <w:tcBorders>
              <w:top w:val="nil"/>
              <w:left w:val="nil"/>
              <w:bottom w:val="single" w:sz="4" w:space="0" w:color="auto"/>
              <w:right w:val="single" w:sz="4" w:space="0" w:color="auto"/>
            </w:tcBorders>
            <w:shd w:val="clear" w:color="auto" w:fill="auto"/>
            <w:vAlign w:val="bottom"/>
            <w:hideMark/>
          </w:tcPr>
          <w:p w14:paraId="712989D7"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39 (13.2)</w:t>
            </w:r>
          </w:p>
        </w:tc>
        <w:tc>
          <w:tcPr>
            <w:tcW w:w="1366" w:type="dxa"/>
            <w:tcBorders>
              <w:top w:val="nil"/>
              <w:left w:val="nil"/>
              <w:bottom w:val="single" w:sz="4" w:space="0" w:color="auto"/>
              <w:right w:val="single" w:sz="4" w:space="0" w:color="auto"/>
            </w:tcBorders>
            <w:shd w:val="clear" w:color="auto" w:fill="auto"/>
            <w:vAlign w:val="bottom"/>
            <w:hideMark/>
          </w:tcPr>
          <w:p w14:paraId="6199FF8E"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56 (54.9)</w:t>
            </w:r>
          </w:p>
        </w:tc>
        <w:tc>
          <w:tcPr>
            <w:tcW w:w="1451" w:type="dxa"/>
            <w:tcBorders>
              <w:top w:val="nil"/>
              <w:left w:val="nil"/>
              <w:bottom w:val="single" w:sz="4" w:space="0" w:color="auto"/>
              <w:right w:val="single" w:sz="4" w:space="0" w:color="auto"/>
            </w:tcBorders>
            <w:shd w:val="clear" w:color="auto" w:fill="auto"/>
            <w:noWrap/>
            <w:vAlign w:val="bottom"/>
            <w:hideMark/>
          </w:tcPr>
          <w:p w14:paraId="6BEDCD90"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30 (37)</w:t>
            </w:r>
          </w:p>
        </w:tc>
        <w:tc>
          <w:tcPr>
            <w:tcW w:w="1451" w:type="dxa"/>
            <w:tcBorders>
              <w:top w:val="nil"/>
              <w:left w:val="nil"/>
              <w:bottom w:val="single" w:sz="4" w:space="0" w:color="auto"/>
              <w:right w:val="single" w:sz="4" w:space="0" w:color="auto"/>
            </w:tcBorders>
            <w:shd w:val="clear" w:color="auto" w:fill="auto"/>
            <w:noWrap/>
            <w:vAlign w:val="bottom"/>
            <w:hideMark/>
          </w:tcPr>
          <w:p w14:paraId="1CF40B7F"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33 (16.4)</w:t>
            </w:r>
          </w:p>
        </w:tc>
        <w:tc>
          <w:tcPr>
            <w:tcW w:w="1366" w:type="dxa"/>
            <w:tcBorders>
              <w:top w:val="nil"/>
              <w:left w:val="nil"/>
              <w:bottom w:val="single" w:sz="4" w:space="0" w:color="auto"/>
              <w:right w:val="single" w:sz="4" w:space="0" w:color="auto"/>
            </w:tcBorders>
            <w:shd w:val="clear" w:color="auto" w:fill="auto"/>
            <w:noWrap/>
            <w:vAlign w:val="bottom"/>
            <w:hideMark/>
          </w:tcPr>
          <w:p w14:paraId="5969B61E" w14:textId="516921DF"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27 (4.3</w:t>
            </w:r>
            <w:r w:rsidR="005F71FE">
              <w:rPr>
                <w:rFonts w:ascii="Calibri" w:eastAsia="Times New Roman" w:hAnsi="Calibri" w:cs="Calibri"/>
                <w:color w:val="000000"/>
                <w:lang w:eastAsia="fr-FR"/>
              </w:rPr>
              <w:t>%</w:t>
            </w:r>
            <w:r w:rsidRPr="00D23E50">
              <w:rPr>
                <w:rFonts w:ascii="Calibri" w:eastAsia="Times New Roman" w:hAnsi="Calibri" w:cs="Calibri"/>
                <w:color w:val="000000"/>
                <w:lang w:eastAsia="fr-FR"/>
              </w:rPr>
              <w:t>)</w:t>
            </w:r>
          </w:p>
        </w:tc>
        <w:tc>
          <w:tcPr>
            <w:tcW w:w="985" w:type="dxa"/>
            <w:tcBorders>
              <w:top w:val="nil"/>
              <w:left w:val="nil"/>
              <w:bottom w:val="single" w:sz="4" w:space="0" w:color="auto"/>
              <w:right w:val="single" w:sz="4" w:space="0" w:color="auto"/>
            </w:tcBorders>
            <w:shd w:val="clear" w:color="auto" w:fill="auto"/>
            <w:noWrap/>
            <w:vAlign w:val="bottom"/>
            <w:hideMark/>
          </w:tcPr>
          <w:p w14:paraId="477C7277"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35 (55.6)</w:t>
            </w:r>
          </w:p>
        </w:tc>
        <w:tc>
          <w:tcPr>
            <w:tcW w:w="337" w:type="dxa"/>
            <w:tcBorders>
              <w:top w:val="nil"/>
              <w:left w:val="nil"/>
              <w:bottom w:val="single" w:sz="4" w:space="0" w:color="auto"/>
              <w:right w:val="single" w:sz="4" w:space="0" w:color="auto"/>
            </w:tcBorders>
            <w:shd w:val="clear" w:color="auto" w:fill="auto"/>
            <w:noWrap/>
            <w:vAlign w:val="bottom"/>
            <w:hideMark/>
          </w:tcPr>
          <w:p w14:paraId="0C4029B5"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21 (47.7)</w:t>
            </w:r>
          </w:p>
        </w:tc>
      </w:tr>
      <w:tr w:rsidR="00D23E50" w:rsidRPr="00D23E50" w14:paraId="701A58E4" w14:textId="77777777" w:rsidTr="007E5956">
        <w:trPr>
          <w:trHeight w:val="290"/>
        </w:trPr>
        <w:tc>
          <w:tcPr>
            <w:tcW w:w="1312" w:type="dxa"/>
            <w:tcBorders>
              <w:top w:val="nil"/>
              <w:left w:val="single" w:sz="4" w:space="0" w:color="auto"/>
              <w:bottom w:val="single" w:sz="4" w:space="0" w:color="auto"/>
              <w:right w:val="single" w:sz="4" w:space="0" w:color="auto"/>
            </w:tcBorders>
            <w:shd w:val="clear" w:color="auto" w:fill="auto"/>
            <w:vAlign w:val="bottom"/>
            <w:hideMark/>
          </w:tcPr>
          <w:p w14:paraId="762859BB" w14:textId="77777777" w:rsidR="00D23E50" w:rsidRPr="00D23E50" w:rsidRDefault="00D23E50" w:rsidP="00D23E50">
            <w:pPr>
              <w:spacing w:after="0" w:line="240" w:lineRule="auto"/>
              <w:rPr>
                <w:rFonts w:ascii="Calibri" w:eastAsia="Times New Roman" w:hAnsi="Calibri" w:cs="Calibri"/>
                <w:color w:val="000000"/>
                <w:lang w:eastAsia="fr-FR"/>
              </w:rPr>
            </w:pPr>
            <w:proofErr w:type="gramStart"/>
            <w:r w:rsidRPr="00D23E50">
              <w:rPr>
                <w:rFonts w:ascii="Calibri" w:eastAsia="Times New Roman" w:hAnsi="Calibri" w:cs="Calibri"/>
                <w:color w:val="000000"/>
                <w:lang w:eastAsia="fr-FR"/>
              </w:rPr>
              <w:t>cg</w:t>
            </w:r>
            <w:proofErr w:type="gramEnd"/>
            <w:r w:rsidRPr="00D23E50">
              <w:rPr>
                <w:rFonts w:ascii="Calibri" w:eastAsia="Times New Roman" w:hAnsi="Calibri" w:cs="Calibri"/>
                <w:color w:val="000000"/>
                <w:lang w:eastAsia="fr-FR"/>
              </w:rPr>
              <w:t xml:space="preserve">, </w:t>
            </w:r>
            <w:proofErr w:type="spellStart"/>
            <w:r w:rsidRPr="00D23E50">
              <w:rPr>
                <w:rFonts w:ascii="Calibri" w:eastAsia="Times New Roman" w:hAnsi="Calibri" w:cs="Calibri"/>
                <w:color w:val="000000"/>
                <w:lang w:eastAsia="fr-FR"/>
              </w:rPr>
              <w:t>median</w:t>
            </w:r>
            <w:proofErr w:type="spellEnd"/>
            <w:r w:rsidRPr="00D23E50">
              <w:rPr>
                <w:rFonts w:ascii="Calibri" w:eastAsia="Times New Roman" w:hAnsi="Calibri" w:cs="Calibri"/>
                <w:color w:val="000000"/>
                <w:lang w:eastAsia="fr-FR"/>
              </w:rPr>
              <w:t xml:space="preserve"> (IQR)</w:t>
            </w:r>
          </w:p>
        </w:tc>
        <w:tc>
          <w:tcPr>
            <w:tcW w:w="1366" w:type="dxa"/>
            <w:tcBorders>
              <w:top w:val="nil"/>
              <w:left w:val="nil"/>
              <w:bottom w:val="single" w:sz="4" w:space="0" w:color="auto"/>
              <w:right w:val="single" w:sz="4" w:space="0" w:color="auto"/>
            </w:tcBorders>
            <w:shd w:val="clear" w:color="auto" w:fill="auto"/>
            <w:vAlign w:val="bottom"/>
            <w:hideMark/>
          </w:tcPr>
          <w:p w14:paraId="050755F8"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(0-0)</w:t>
            </w:r>
          </w:p>
        </w:tc>
        <w:tc>
          <w:tcPr>
            <w:tcW w:w="1366" w:type="dxa"/>
            <w:tcBorders>
              <w:top w:val="nil"/>
              <w:left w:val="nil"/>
              <w:bottom w:val="single" w:sz="4" w:space="0" w:color="auto"/>
              <w:right w:val="single" w:sz="4" w:space="0" w:color="auto"/>
            </w:tcBorders>
            <w:shd w:val="clear" w:color="auto" w:fill="auto"/>
            <w:vAlign w:val="bottom"/>
            <w:hideMark/>
          </w:tcPr>
          <w:p w14:paraId="0579C877"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(0-2)</w:t>
            </w:r>
          </w:p>
        </w:tc>
        <w:tc>
          <w:tcPr>
            <w:tcW w:w="1451" w:type="dxa"/>
            <w:tcBorders>
              <w:top w:val="nil"/>
              <w:left w:val="nil"/>
              <w:bottom w:val="single" w:sz="4" w:space="0" w:color="auto"/>
              <w:right w:val="single" w:sz="4" w:space="0" w:color="auto"/>
            </w:tcBorders>
            <w:shd w:val="clear" w:color="auto" w:fill="auto"/>
            <w:noWrap/>
            <w:vAlign w:val="bottom"/>
            <w:hideMark/>
          </w:tcPr>
          <w:p w14:paraId="2C0C27A4"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(0-0)</w:t>
            </w:r>
          </w:p>
        </w:tc>
        <w:tc>
          <w:tcPr>
            <w:tcW w:w="1451" w:type="dxa"/>
            <w:tcBorders>
              <w:top w:val="nil"/>
              <w:left w:val="nil"/>
              <w:bottom w:val="single" w:sz="4" w:space="0" w:color="auto"/>
              <w:right w:val="single" w:sz="4" w:space="0" w:color="auto"/>
            </w:tcBorders>
            <w:shd w:val="clear" w:color="auto" w:fill="auto"/>
            <w:noWrap/>
            <w:vAlign w:val="bottom"/>
            <w:hideMark/>
          </w:tcPr>
          <w:p w14:paraId="69599112"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(0-0)</w:t>
            </w:r>
          </w:p>
        </w:tc>
        <w:tc>
          <w:tcPr>
            <w:tcW w:w="1366" w:type="dxa"/>
            <w:tcBorders>
              <w:top w:val="nil"/>
              <w:left w:val="nil"/>
              <w:bottom w:val="single" w:sz="4" w:space="0" w:color="auto"/>
              <w:right w:val="single" w:sz="4" w:space="0" w:color="auto"/>
            </w:tcBorders>
            <w:shd w:val="clear" w:color="auto" w:fill="auto"/>
            <w:noWrap/>
            <w:vAlign w:val="bottom"/>
            <w:hideMark/>
          </w:tcPr>
          <w:p w14:paraId="2C1F5F38" w14:textId="49455661"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6 (1.0</w:t>
            </w:r>
            <w:r w:rsidR="005F71FE">
              <w:rPr>
                <w:rFonts w:ascii="Calibri" w:eastAsia="Times New Roman" w:hAnsi="Calibri" w:cs="Calibri"/>
                <w:color w:val="000000"/>
                <w:lang w:eastAsia="fr-FR"/>
              </w:rPr>
              <w:t>%</w:t>
            </w:r>
            <w:r w:rsidRPr="00D23E50">
              <w:rPr>
                <w:rFonts w:ascii="Calibri" w:eastAsia="Times New Roman" w:hAnsi="Calibri" w:cs="Calibri"/>
                <w:color w:val="000000"/>
                <w:lang w:eastAsia="fr-FR"/>
              </w:rPr>
              <w:t>)</w:t>
            </w:r>
          </w:p>
        </w:tc>
        <w:tc>
          <w:tcPr>
            <w:tcW w:w="985" w:type="dxa"/>
            <w:tcBorders>
              <w:top w:val="nil"/>
              <w:left w:val="nil"/>
              <w:bottom w:val="single" w:sz="4" w:space="0" w:color="auto"/>
              <w:right w:val="single" w:sz="4" w:space="0" w:color="auto"/>
            </w:tcBorders>
            <w:shd w:val="clear" w:color="auto" w:fill="auto"/>
            <w:noWrap/>
            <w:vAlign w:val="bottom"/>
            <w:hideMark/>
          </w:tcPr>
          <w:p w14:paraId="4A94AE9A"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(0-0)</w:t>
            </w:r>
          </w:p>
        </w:tc>
        <w:tc>
          <w:tcPr>
            <w:tcW w:w="337" w:type="dxa"/>
            <w:tcBorders>
              <w:top w:val="nil"/>
              <w:left w:val="nil"/>
              <w:bottom w:val="single" w:sz="4" w:space="0" w:color="auto"/>
              <w:right w:val="single" w:sz="4" w:space="0" w:color="auto"/>
            </w:tcBorders>
            <w:shd w:val="clear" w:color="auto" w:fill="auto"/>
            <w:noWrap/>
            <w:vAlign w:val="bottom"/>
            <w:hideMark/>
          </w:tcPr>
          <w:p w14:paraId="44FB19D2"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3 (2-3)</w:t>
            </w:r>
          </w:p>
        </w:tc>
      </w:tr>
      <w:tr w:rsidR="00D23E50" w:rsidRPr="00D23E50" w14:paraId="1B478577" w14:textId="77777777" w:rsidTr="007E5956">
        <w:trPr>
          <w:trHeight w:val="290"/>
        </w:trPr>
        <w:tc>
          <w:tcPr>
            <w:tcW w:w="1312" w:type="dxa"/>
            <w:tcBorders>
              <w:top w:val="nil"/>
              <w:left w:val="single" w:sz="4" w:space="0" w:color="auto"/>
              <w:bottom w:val="single" w:sz="4" w:space="0" w:color="auto"/>
              <w:right w:val="single" w:sz="4" w:space="0" w:color="auto"/>
            </w:tcBorders>
            <w:shd w:val="clear" w:color="auto" w:fill="auto"/>
            <w:vAlign w:val="bottom"/>
            <w:hideMark/>
          </w:tcPr>
          <w:p w14:paraId="3DD1073C" w14:textId="77777777" w:rsidR="00D23E50" w:rsidRPr="00D23E50" w:rsidRDefault="00D23E50" w:rsidP="00D23E50">
            <w:pPr>
              <w:spacing w:after="0" w:line="240" w:lineRule="auto"/>
              <w:rPr>
                <w:rFonts w:ascii="Calibri" w:eastAsia="Times New Roman" w:hAnsi="Calibri" w:cs="Calibri"/>
                <w:color w:val="000000"/>
                <w:lang w:eastAsia="fr-FR"/>
              </w:rPr>
            </w:pPr>
            <w:proofErr w:type="gramStart"/>
            <w:r w:rsidRPr="00D23E50">
              <w:rPr>
                <w:rFonts w:ascii="Calibri" w:eastAsia="Times New Roman" w:hAnsi="Calibri" w:cs="Calibri"/>
                <w:color w:val="000000"/>
                <w:lang w:eastAsia="fr-FR"/>
              </w:rPr>
              <w:t>i</w:t>
            </w:r>
            <w:proofErr w:type="gramEnd"/>
            <w:r w:rsidRPr="00D23E50">
              <w:rPr>
                <w:rFonts w:ascii="Calibri" w:eastAsia="Times New Roman" w:hAnsi="Calibri" w:cs="Calibri"/>
                <w:color w:val="000000"/>
                <w:lang w:eastAsia="fr-FR"/>
              </w:rPr>
              <w:t xml:space="preserve">, </w:t>
            </w:r>
            <w:proofErr w:type="spellStart"/>
            <w:r w:rsidRPr="00D23E50">
              <w:rPr>
                <w:rFonts w:ascii="Calibri" w:eastAsia="Times New Roman" w:hAnsi="Calibri" w:cs="Calibri"/>
                <w:color w:val="000000"/>
                <w:lang w:eastAsia="fr-FR"/>
              </w:rPr>
              <w:t>median</w:t>
            </w:r>
            <w:proofErr w:type="spellEnd"/>
            <w:r w:rsidRPr="00D23E50">
              <w:rPr>
                <w:rFonts w:ascii="Calibri" w:eastAsia="Times New Roman" w:hAnsi="Calibri" w:cs="Calibri"/>
                <w:color w:val="000000"/>
                <w:lang w:eastAsia="fr-FR"/>
              </w:rPr>
              <w:t xml:space="preserve"> (IQR)</w:t>
            </w:r>
          </w:p>
        </w:tc>
        <w:tc>
          <w:tcPr>
            <w:tcW w:w="1366" w:type="dxa"/>
            <w:tcBorders>
              <w:top w:val="nil"/>
              <w:left w:val="nil"/>
              <w:bottom w:val="single" w:sz="4" w:space="0" w:color="auto"/>
              <w:right w:val="single" w:sz="4" w:space="0" w:color="auto"/>
            </w:tcBorders>
            <w:shd w:val="clear" w:color="auto" w:fill="auto"/>
            <w:vAlign w:val="bottom"/>
            <w:hideMark/>
          </w:tcPr>
          <w:p w14:paraId="170F4B90"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(0-0)</w:t>
            </w:r>
          </w:p>
        </w:tc>
        <w:tc>
          <w:tcPr>
            <w:tcW w:w="1366" w:type="dxa"/>
            <w:tcBorders>
              <w:top w:val="nil"/>
              <w:left w:val="nil"/>
              <w:bottom w:val="single" w:sz="4" w:space="0" w:color="auto"/>
              <w:right w:val="single" w:sz="4" w:space="0" w:color="auto"/>
            </w:tcBorders>
            <w:shd w:val="clear" w:color="auto" w:fill="auto"/>
            <w:vAlign w:val="bottom"/>
            <w:hideMark/>
          </w:tcPr>
          <w:p w14:paraId="40D280B8"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(0-0)</w:t>
            </w:r>
          </w:p>
        </w:tc>
        <w:tc>
          <w:tcPr>
            <w:tcW w:w="1451" w:type="dxa"/>
            <w:tcBorders>
              <w:top w:val="nil"/>
              <w:left w:val="nil"/>
              <w:bottom w:val="single" w:sz="4" w:space="0" w:color="auto"/>
              <w:right w:val="single" w:sz="4" w:space="0" w:color="auto"/>
            </w:tcBorders>
            <w:shd w:val="clear" w:color="auto" w:fill="auto"/>
            <w:noWrap/>
            <w:vAlign w:val="bottom"/>
            <w:hideMark/>
          </w:tcPr>
          <w:p w14:paraId="66A0EF87"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1 (0-2)</w:t>
            </w:r>
          </w:p>
        </w:tc>
        <w:tc>
          <w:tcPr>
            <w:tcW w:w="1451" w:type="dxa"/>
            <w:tcBorders>
              <w:top w:val="nil"/>
              <w:left w:val="nil"/>
              <w:bottom w:val="single" w:sz="4" w:space="0" w:color="auto"/>
              <w:right w:val="single" w:sz="4" w:space="0" w:color="auto"/>
            </w:tcBorders>
            <w:shd w:val="clear" w:color="auto" w:fill="auto"/>
            <w:noWrap/>
            <w:vAlign w:val="bottom"/>
            <w:hideMark/>
          </w:tcPr>
          <w:p w14:paraId="47120255"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(0-0)</w:t>
            </w:r>
          </w:p>
        </w:tc>
        <w:tc>
          <w:tcPr>
            <w:tcW w:w="1366" w:type="dxa"/>
            <w:tcBorders>
              <w:top w:val="nil"/>
              <w:left w:val="nil"/>
              <w:bottom w:val="single" w:sz="4" w:space="0" w:color="auto"/>
              <w:right w:val="single" w:sz="4" w:space="0" w:color="auto"/>
            </w:tcBorders>
            <w:shd w:val="clear" w:color="auto" w:fill="auto"/>
            <w:noWrap/>
            <w:vAlign w:val="bottom"/>
            <w:hideMark/>
          </w:tcPr>
          <w:p w14:paraId="18F04D20" w14:textId="040FB670"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1 (0.2</w:t>
            </w:r>
            <w:r w:rsidR="005F71FE">
              <w:rPr>
                <w:rFonts w:ascii="Calibri" w:eastAsia="Times New Roman" w:hAnsi="Calibri" w:cs="Calibri"/>
                <w:color w:val="000000"/>
                <w:lang w:eastAsia="fr-FR"/>
              </w:rPr>
              <w:t>%</w:t>
            </w:r>
            <w:r w:rsidRPr="00D23E50">
              <w:rPr>
                <w:rFonts w:ascii="Calibri" w:eastAsia="Times New Roman" w:hAnsi="Calibri" w:cs="Calibri"/>
                <w:color w:val="000000"/>
                <w:lang w:eastAsia="fr-FR"/>
              </w:rPr>
              <w:t>)</w:t>
            </w:r>
          </w:p>
        </w:tc>
        <w:tc>
          <w:tcPr>
            <w:tcW w:w="985" w:type="dxa"/>
            <w:tcBorders>
              <w:top w:val="nil"/>
              <w:left w:val="nil"/>
              <w:bottom w:val="single" w:sz="4" w:space="0" w:color="auto"/>
              <w:right w:val="single" w:sz="4" w:space="0" w:color="auto"/>
            </w:tcBorders>
            <w:shd w:val="clear" w:color="auto" w:fill="auto"/>
            <w:noWrap/>
            <w:vAlign w:val="bottom"/>
            <w:hideMark/>
          </w:tcPr>
          <w:p w14:paraId="55CB7AB9"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(0-1)</w:t>
            </w:r>
          </w:p>
        </w:tc>
        <w:tc>
          <w:tcPr>
            <w:tcW w:w="337" w:type="dxa"/>
            <w:tcBorders>
              <w:top w:val="nil"/>
              <w:left w:val="nil"/>
              <w:bottom w:val="single" w:sz="4" w:space="0" w:color="auto"/>
              <w:right w:val="single" w:sz="4" w:space="0" w:color="auto"/>
            </w:tcBorders>
            <w:shd w:val="clear" w:color="auto" w:fill="auto"/>
            <w:noWrap/>
            <w:vAlign w:val="bottom"/>
            <w:hideMark/>
          </w:tcPr>
          <w:p w14:paraId="7A2FEA96"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(0-0)</w:t>
            </w:r>
          </w:p>
        </w:tc>
      </w:tr>
      <w:tr w:rsidR="00D23E50" w:rsidRPr="00D23E50" w14:paraId="21109E1F" w14:textId="77777777" w:rsidTr="007E5956">
        <w:trPr>
          <w:trHeight w:val="290"/>
        </w:trPr>
        <w:tc>
          <w:tcPr>
            <w:tcW w:w="1312" w:type="dxa"/>
            <w:tcBorders>
              <w:top w:val="nil"/>
              <w:left w:val="single" w:sz="4" w:space="0" w:color="auto"/>
              <w:bottom w:val="single" w:sz="4" w:space="0" w:color="auto"/>
              <w:right w:val="single" w:sz="4" w:space="0" w:color="auto"/>
            </w:tcBorders>
            <w:shd w:val="clear" w:color="auto" w:fill="auto"/>
            <w:vAlign w:val="bottom"/>
            <w:hideMark/>
          </w:tcPr>
          <w:p w14:paraId="21D7DB35" w14:textId="77777777" w:rsidR="00D23E50" w:rsidRPr="00D23E50" w:rsidRDefault="00D23E50" w:rsidP="00D23E50">
            <w:pPr>
              <w:spacing w:after="0" w:line="240" w:lineRule="auto"/>
              <w:rPr>
                <w:rFonts w:ascii="Calibri" w:eastAsia="Times New Roman" w:hAnsi="Calibri" w:cs="Calibri"/>
                <w:color w:val="000000"/>
                <w:lang w:eastAsia="fr-FR"/>
              </w:rPr>
            </w:pPr>
            <w:proofErr w:type="gramStart"/>
            <w:r w:rsidRPr="00D23E50">
              <w:rPr>
                <w:rFonts w:ascii="Calibri" w:eastAsia="Times New Roman" w:hAnsi="Calibri" w:cs="Calibri"/>
                <w:color w:val="000000"/>
                <w:lang w:eastAsia="fr-FR"/>
              </w:rPr>
              <w:t>t</w:t>
            </w:r>
            <w:proofErr w:type="gramEnd"/>
            <w:r w:rsidRPr="00D23E50">
              <w:rPr>
                <w:rFonts w:ascii="Calibri" w:eastAsia="Times New Roman" w:hAnsi="Calibri" w:cs="Calibri"/>
                <w:color w:val="000000"/>
                <w:lang w:eastAsia="fr-FR"/>
              </w:rPr>
              <w:t xml:space="preserve">, </w:t>
            </w:r>
            <w:proofErr w:type="spellStart"/>
            <w:r w:rsidRPr="00D23E50">
              <w:rPr>
                <w:rFonts w:ascii="Calibri" w:eastAsia="Times New Roman" w:hAnsi="Calibri" w:cs="Calibri"/>
                <w:color w:val="000000"/>
                <w:lang w:eastAsia="fr-FR"/>
              </w:rPr>
              <w:t>median</w:t>
            </w:r>
            <w:proofErr w:type="spellEnd"/>
            <w:r w:rsidRPr="00D23E50">
              <w:rPr>
                <w:rFonts w:ascii="Calibri" w:eastAsia="Times New Roman" w:hAnsi="Calibri" w:cs="Calibri"/>
                <w:color w:val="000000"/>
                <w:lang w:eastAsia="fr-FR"/>
              </w:rPr>
              <w:t xml:space="preserve"> (IQR)</w:t>
            </w:r>
          </w:p>
        </w:tc>
        <w:tc>
          <w:tcPr>
            <w:tcW w:w="1366" w:type="dxa"/>
            <w:tcBorders>
              <w:top w:val="nil"/>
              <w:left w:val="nil"/>
              <w:bottom w:val="single" w:sz="4" w:space="0" w:color="auto"/>
              <w:right w:val="single" w:sz="4" w:space="0" w:color="auto"/>
            </w:tcBorders>
            <w:shd w:val="clear" w:color="auto" w:fill="auto"/>
            <w:vAlign w:val="bottom"/>
            <w:hideMark/>
          </w:tcPr>
          <w:p w14:paraId="710143D6"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(0-0)</w:t>
            </w:r>
          </w:p>
        </w:tc>
        <w:tc>
          <w:tcPr>
            <w:tcW w:w="1366" w:type="dxa"/>
            <w:tcBorders>
              <w:top w:val="nil"/>
              <w:left w:val="nil"/>
              <w:bottom w:val="single" w:sz="4" w:space="0" w:color="auto"/>
              <w:right w:val="single" w:sz="4" w:space="0" w:color="auto"/>
            </w:tcBorders>
            <w:shd w:val="clear" w:color="auto" w:fill="auto"/>
            <w:vAlign w:val="bottom"/>
            <w:hideMark/>
          </w:tcPr>
          <w:p w14:paraId="589462CD"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(0-1)</w:t>
            </w:r>
          </w:p>
        </w:tc>
        <w:tc>
          <w:tcPr>
            <w:tcW w:w="1451" w:type="dxa"/>
            <w:tcBorders>
              <w:top w:val="nil"/>
              <w:left w:val="nil"/>
              <w:bottom w:val="single" w:sz="4" w:space="0" w:color="auto"/>
              <w:right w:val="single" w:sz="4" w:space="0" w:color="auto"/>
            </w:tcBorders>
            <w:shd w:val="clear" w:color="auto" w:fill="auto"/>
            <w:noWrap/>
            <w:vAlign w:val="bottom"/>
            <w:hideMark/>
          </w:tcPr>
          <w:p w14:paraId="4F9F2844"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1 (1-2)</w:t>
            </w:r>
          </w:p>
        </w:tc>
        <w:tc>
          <w:tcPr>
            <w:tcW w:w="1451" w:type="dxa"/>
            <w:tcBorders>
              <w:top w:val="nil"/>
              <w:left w:val="nil"/>
              <w:bottom w:val="single" w:sz="4" w:space="0" w:color="auto"/>
              <w:right w:val="single" w:sz="4" w:space="0" w:color="auto"/>
            </w:tcBorders>
            <w:shd w:val="clear" w:color="auto" w:fill="auto"/>
            <w:noWrap/>
            <w:vAlign w:val="bottom"/>
            <w:hideMark/>
          </w:tcPr>
          <w:p w14:paraId="27D891B8"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(0-0)</w:t>
            </w:r>
          </w:p>
        </w:tc>
        <w:tc>
          <w:tcPr>
            <w:tcW w:w="1366" w:type="dxa"/>
            <w:tcBorders>
              <w:top w:val="nil"/>
              <w:left w:val="nil"/>
              <w:bottom w:val="single" w:sz="4" w:space="0" w:color="auto"/>
              <w:right w:val="single" w:sz="4" w:space="0" w:color="auto"/>
            </w:tcBorders>
            <w:shd w:val="clear" w:color="auto" w:fill="auto"/>
            <w:noWrap/>
            <w:vAlign w:val="bottom"/>
            <w:hideMark/>
          </w:tcPr>
          <w:p w14:paraId="3A5B1197" w14:textId="69D68914"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1 (0.2</w:t>
            </w:r>
            <w:r w:rsidR="005F71FE">
              <w:rPr>
                <w:rFonts w:ascii="Calibri" w:eastAsia="Times New Roman" w:hAnsi="Calibri" w:cs="Calibri"/>
                <w:color w:val="000000"/>
                <w:lang w:eastAsia="fr-FR"/>
              </w:rPr>
              <w:t>%</w:t>
            </w:r>
            <w:r w:rsidRPr="00D23E50">
              <w:rPr>
                <w:rFonts w:ascii="Calibri" w:eastAsia="Times New Roman" w:hAnsi="Calibri" w:cs="Calibri"/>
                <w:color w:val="000000"/>
                <w:lang w:eastAsia="fr-FR"/>
              </w:rPr>
              <w:t>)</w:t>
            </w:r>
          </w:p>
        </w:tc>
        <w:tc>
          <w:tcPr>
            <w:tcW w:w="985" w:type="dxa"/>
            <w:tcBorders>
              <w:top w:val="nil"/>
              <w:left w:val="nil"/>
              <w:bottom w:val="single" w:sz="4" w:space="0" w:color="auto"/>
              <w:right w:val="single" w:sz="4" w:space="0" w:color="auto"/>
            </w:tcBorders>
            <w:shd w:val="clear" w:color="auto" w:fill="auto"/>
            <w:noWrap/>
            <w:vAlign w:val="bottom"/>
            <w:hideMark/>
          </w:tcPr>
          <w:p w14:paraId="52BEAE36"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(0-1)</w:t>
            </w:r>
          </w:p>
        </w:tc>
        <w:tc>
          <w:tcPr>
            <w:tcW w:w="337" w:type="dxa"/>
            <w:tcBorders>
              <w:top w:val="nil"/>
              <w:left w:val="nil"/>
              <w:bottom w:val="single" w:sz="4" w:space="0" w:color="auto"/>
              <w:right w:val="single" w:sz="4" w:space="0" w:color="auto"/>
            </w:tcBorders>
            <w:shd w:val="clear" w:color="auto" w:fill="auto"/>
            <w:noWrap/>
            <w:vAlign w:val="bottom"/>
            <w:hideMark/>
          </w:tcPr>
          <w:p w14:paraId="782E3E15"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(0-1)</w:t>
            </w:r>
          </w:p>
        </w:tc>
      </w:tr>
      <w:tr w:rsidR="00D23E50" w:rsidRPr="00D23E50" w14:paraId="496298A0" w14:textId="77777777" w:rsidTr="007E5956">
        <w:trPr>
          <w:trHeight w:val="290"/>
        </w:trPr>
        <w:tc>
          <w:tcPr>
            <w:tcW w:w="1312" w:type="dxa"/>
            <w:tcBorders>
              <w:top w:val="nil"/>
              <w:left w:val="single" w:sz="4" w:space="0" w:color="auto"/>
              <w:bottom w:val="single" w:sz="4" w:space="0" w:color="auto"/>
              <w:right w:val="single" w:sz="4" w:space="0" w:color="auto"/>
            </w:tcBorders>
            <w:shd w:val="clear" w:color="auto" w:fill="auto"/>
            <w:vAlign w:val="bottom"/>
            <w:hideMark/>
          </w:tcPr>
          <w:p w14:paraId="158ED3B8" w14:textId="77777777" w:rsidR="00D23E50" w:rsidRPr="00D23E50" w:rsidRDefault="00D23E50" w:rsidP="00D23E50">
            <w:pPr>
              <w:spacing w:after="0" w:line="240" w:lineRule="auto"/>
              <w:rPr>
                <w:rFonts w:ascii="Calibri" w:eastAsia="Times New Roman" w:hAnsi="Calibri" w:cs="Calibri"/>
                <w:color w:val="000000"/>
                <w:lang w:eastAsia="fr-FR"/>
              </w:rPr>
            </w:pPr>
            <w:proofErr w:type="gramStart"/>
            <w:r w:rsidRPr="00D23E50">
              <w:rPr>
                <w:rFonts w:ascii="Calibri" w:eastAsia="Times New Roman" w:hAnsi="Calibri" w:cs="Calibri"/>
                <w:color w:val="000000"/>
                <w:lang w:eastAsia="fr-FR"/>
              </w:rPr>
              <w:t>ti</w:t>
            </w:r>
            <w:proofErr w:type="gramEnd"/>
            <w:r w:rsidRPr="00D23E50">
              <w:rPr>
                <w:rFonts w:ascii="Calibri" w:eastAsia="Times New Roman" w:hAnsi="Calibri" w:cs="Calibri"/>
                <w:color w:val="000000"/>
                <w:lang w:eastAsia="fr-FR"/>
              </w:rPr>
              <w:t xml:space="preserve">, </w:t>
            </w:r>
            <w:proofErr w:type="spellStart"/>
            <w:r w:rsidRPr="00D23E50">
              <w:rPr>
                <w:rFonts w:ascii="Calibri" w:eastAsia="Times New Roman" w:hAnsi="Calibri" w:cs="Calibri"/>
                <w:color w:val="000000"/>
                <w:lang w:eastAsia="fr-FR"/>
              </w:rPr>
              <w:t>median</w:t>
            </w:r>
            <w:proofErr w:type="spellEnd"/>
            <w:r w:rsidRPr="00D23E50">
              <w:rPr>
                <w:rFonts w:ascii="Calibri" w:eastAsia="Times New Roman" w:hAnsi="Calibri" w:cs="Calibri"/>
                <w:color w:val="000000"/>
                <w:lang w:eastAsia="fr-FR"/>
              </w:rPr>
              <w:t xml:space="preserve"> (IQR)</w:t>
            </w:r>
          </w:p>
        </w:tc>
        <w:tc>
          <w:tcPr>
            <w:tcW w:w="1366" w:type="dxa"/>
            <w:tcBorders>
              <w:top w:val="nil"/>
              <w:left w:val="nil"/>
              <w:bottom w:val="single" w:sz="4" w:space="0" w:color="auto"/>
              <w:right w:val="single" w:sz="4" w:space="0" w:color="auto"/>
            </w:tcBorders>
            <w:shd w:val="clear" w:color="auto" w:fill="auto"/>
            <w:vAlign w:val="bottom"/>
            <w:hideMark/>
          </w:tcPr>
          <w:p w14:paraId="235D061F"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(0-0)</w:t>
            </w:r>
          </w:p>
        </w:tc>
        <w:tc>
          <w:tcPr>
            <w:tcW w:w="1366" w:type="dxa"/>
            <w:tcBorders>
              <w:top w:val="nil"/>
              <w:left w:val="nil"/>
              <w:bottom w:val="single" w:sz="4" w:space="0" w:color="auto"/>
              <w:right w:val="single" w:sz="4" w:space="0" w:color="auto"/>
            </w:tcBorders>
            <w:shd w:val="clear" w:color="auto" w:fill="auto"/>
            <w:vAlign w:val="bottom"/>
            <w:hideMark/>
          </w:tcPr>
          <w:p w14:paraId="42C0A9A7"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(0-1)</w:t>
            </w:r>
          </w:p>
        </w:tc>
        <w:tc>
          <w:tcPr>
            <w:tcW w:w="1451" w:type="dxa"/>
            <w:tcBorders>
              <w:top w:val="nil"/>
              <w:left w:val="nil"/>
              <w:bottom w:val="single" w:sz="4" w:space="0" w:color="auto"/>
              <w:right w:val="single" w:sz="4" w:space="0" w:color="auto"/>
            </w:tcBorders>
            <w:shd w:val="clear" w:color="auto" w:fill="auto"/>
            <w:noWrap/>
            <w:vAlign w:val="bottom"/>
            <w:hideMark/>
          </w:tcPr>
          <w:p w14:paraId="74395610"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1 (1-3)</w:t>
            </w:r>
          </w:p>
        </w:tc>
        <w:tc>
          <w:tcPr>
            <w:tcW w:w="1451" w:type="dxa"/>
            <w:tcBorders>
              <w:top w:val="nil"/>
              <w:left w:val="nil"/>
              <w:bottom w:val="single" w:sz="4" w:space="0" w:color="auto"/>
              <w:right w:val="single" w:sz="4" w:space="0" w:color="auto"/>
            </w:tcBorders>
            <w:shd w:val="clear" w:color="auto" w:fill="auto"/>
            <w:noWrap/>
            <w:vAlign w:val="bottom"/>
            <w:hideMark/>
          </w:tcPr>
          <w:p w14:paraId="56A7A151"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(0-1)</w:t>
            </w:r>
          </w:p>
        </w:tc>
        <w:tc>
          <w:tcPr>
            <w:tcW w:w="1366" w:type="dxa"/>
            <w:tcBorders>
              <w:top w:val="nil"/>
              <w:left w:val="nil"/>
              <w:bottom w:val="single" w:sz="4" w:space="0" w:color="auto"/>
              <w:right w:val="single" w:sz="4" w:space="0" w:color="auto"/>
            </w:tcBorders>
            <w:shd w:val="clear" w:color="auto" w:fill="auto"/>
            <w:noWrap/>
            <w:vAlign w:val="bottom"/>
            <w:hideMark/>
          </w:tcPr>
          <w:p w14:paraId="77E483DA" w14:textId="6655AC6A"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9 (1.4</w:t>
            </w:r>
            <w:r w:rsidR="005F71FE">
              <w:rPr>
                <w:rFonts w:ascii="Calibri" w:eastAsia="Times New Roman" w:hAnsi="Calibri" w:cs="Calibri"/>
                <w:color w:val="000000"/>
                <w:lang w:eastAsia="fr-FR"/>
              </w:rPr>
              <w:t>%</w:t>
            </w:r>
            <w:r w:rsidRPr="00D23E50">
              <w:rPr>
                <w:rFonts w:ascii="Calibri" w:eastAsia="Times New Roman" w:hAnsi="Calibri" w:cs="Calibri"/>
                <w:color w:val="000000"/>
                <w:lang w:eastAsia="fr-FR"/>
              </w:rPr>
              <w:t>)</w:t>
            </w:r>
          </w:p>
        </w:tc>
        <w:tc>
          <w:tcPr>
            <w:tcW w:w="985" w:type="dxa"/>
            <w:tcBorders>
              <w:top w:val="nil"/>
              <w:left w:val="nil"/>
              <w:bottom w:val="single" w:sz="4" w:space="0" w:color="auto"/>
              <w:right w:val="single" w:sz="4" w:space="0" w:color="auto"/>
            </w:tcBorders>
            <w:shd w:val="clear" w:color="auto" w:fill="auto"/>
            <w:noWrap/>
            <w:vAlign w:val="bottom"/>
            <w:hideMark/>
          </w:tcPr>
          <w:p w14:paraId="14A343D3"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(0-1)</w:t>
            </w:r>
          </w:p>
        </w:tc>
        <w:tc>
          <w:tcPr>
            <w:tcW w:w="337" w:type="dxa"/>
            <w:tcBorders>
              <w:top w:val="nil"/>
              <w:left w:val="nil"/>
              <w:bottom w:val="single" w:sz="4" w:space="0" w:color="auto"/>
              <w:right w:val="single" w:sz="4" w:space="0" w:color="auto"/>
            </w:tcBorders>
            <w:shd w:val="clear" w:color="auto" w:fill="auto"/>
            <w:noWrap/>
            <w:vAlign w:val="bottom"/>
            <w:hideMark/>
          </w:tcPr>
          <w:p w14:paraId="566DB26B"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(0-1)</w:t>
            </w:r>
          </w:p>
        </w:tc>
      </w:tr>
      <w:tr w:rsidR="00D23E50" w:rsidRPr="00D23E50" w14:paraId="66A1F900" w14:textId="77777777" w:rsidTr="007E5956">
        <w:trPr>
          <w:trHeight w:val="290"/>
        </w:trPr>
        <w:tc>
          <w:tcPr>
            <w:tcW w:w="1312" w:type="dxa"/>
            <w:tcBorders>
              <w:top w:val="nil"/>
              <w:left w:val="single" w:sz="4" w:space="0" w:color="auto"/>
              <w:bottom w:val="single" w:sz="4" w:space="0" w:color="auto"/>
              <w:right w:val="single" w:sz="4" w:space="0" w:color="auto"/>
            </w:tcBorders>
            <w:shd w:val="clear" w:color="auto" w:fill="auto"/>
            <w:vAlign w:val="bottom"/>
            <w:hideMark/>
          </w:tcPr>
          <w:p w14:paraId="6685FF39" w14:textId="77777777" w:rsidR="00D23E50" w:rsidRPr="00D23E50" w:rsidRDefault="00D23E50" w:rsidP="00D23E50">
            <w:pPr>
              <w:spacing w:after="0" w:line="240" w:lineRule="auto"/>
              <w:rPr>
                <w:rFonts w:ascii="Calibri" w:eastAsia="Times New Roman" w:hAnsi="Calibri" w:cs="Calibri"/>
                <w:color w:val="000000"/>
                <w:lang w:eastAsia="fr-FR"/>
              </w:rPr>
            </w:pPr>
            <w:proofErr w:type="gramStart"/>
            <w:r w:rsidRPr="00D23E50">
              <w:rPr>
                <w:rFonts w:ascii="Calibri" w:eastAsia="Times New Roman" w:hAnsi="Calibri" w:cs="Calibri"/>
                <w:color w:val="000000"/>
                <w:lang w:eastAsia="fr-FR"/>
              </w:rPr>
              <w:t>ct</w:t>
            </w:r>
            <w:proofErr w:type="gramEnd"/>
            <w:r w:rsidRPr="00D23E50">
              <w:rPr>
                <w:rFonts w:ascii="Calibri" w:eastAsia="Times New Roman" w:hAnsi="Calibri" w:cs="Calibri"/>
                <w:color w:val="000000"/>
                <w:lang w:eastAsia="fr-FR"/>
              </w:rPr>
              <w:t xml:space="preserve">, </w:t>
            </w:r>
            <w:proofErr w:type="spellStart"/>
            <w:r w:rsidRPr="00D23E50">
              <w:rPr>
                <w:rFonts w:ascii="Calibri" w:eastAsia="Times New Roman" w:hAnsi="Calibri" w:cs="Calibri"/>
                <w:color w:val="000000"/>
                <w:lang w:eastAsia="fr-FR"/>
              </w:rPr>
              <w:t>median</w:t>
            </w:r>
            <w:proofErr w:type="spellEnd"/>
            <w:r w:rsidRPr="00D23E50">
              <w:rPr>
                <w:rFonts w:ascii="Calibri" w:eastAsia="Times New Roman" w:hAnsi="Calibri" w:cs="Calibri"/>
                <w:color w:val="000000"/>
                <w:lang w:eastAsia="fr-FR"/>
              </w:rPr>
              <w:t xml:space="preserve"> (IQR)</w:t>
            </w:r>
          </w:p>
        </w:tc>
        <w:tc>
          <w:tcPr>
            <w:tcW w:w="1366" w:type="dxa"/>
            <w:tcBorders>
              <w:top w:val="nil"/>
              <w:left w:val="nil"/>
              <w:bottom w:val="single" w:sz="4" w:space="0" w:color="auto"/>
              <w:right w:val="single" w:sz="4" w:space="0" w:color="auto"/>
            </w:tcBorders>
            <w:shd w:val="clear" w:color="auto" w:fill="auto"/>
            <w:vAlign w:val="bottom"/>
            <w:hideMark/>
          </w:tcPr>
          <w:p w14:paraId="3D9D2A63"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(0-1)</w:t>
            </w:r>
          </w:p>
        </w:tc>
        <w:tc>
          <w:tcPr>
            <w:tcW w:w="1366" w:type="dxa"/>
            <w:tcBorders>
              <w:top w:val="nil"/>
              <w:left w:val="nil"/>
              <w:bottom w:val="single" w:sz="4" w:space="0" w:color="auto"/>
              <w:right w:val="single" w:sz="4" w:space="0" w:color="auto"/>
            </w:tcBorders>
            <w:shd w:val="clear" w:color="auto" w:fill="auto"/>
            <w:vAlign w:val="bottom"/>
            <w:hideMark/>
          </w:tcPr>
          <w:p w14:paraId="516FFB65"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1 (0-2)</w:t>
            </w:r>
          </w:p>
        </w:tc>
        <w:tc>
          <w:tcPr>
            <w:tcW w:w="1451" w:type="dxa"/>
            <w:tcBorders>
              <w:top w:val="nil"/>
              <w:left w:val="nil"/>
              <w:bottom w:val="single" w:sz="4" w:space="0" w:color="auto"/>
              <w:right w:val="single" w:sz="4" w:space="0" w:color="auto"/>
            </w:tcBorders>
            <w:shd w:val="clear" w:color="auto" w:fill="auto"/>
            <w:noWrap/>
            <w:vAlign w:val="bottom"/>
            <w:hideMark/>
          </w:tcPr>
          <w:p w14:paraId="500C2CF4"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1 (0-2)</w:t>
            </w:r>
          </w:p>
        </w:tc>
        <w:tc>
          <w:tcPr>
            <w:tcW w:w="1451" w:type="dxa"/>
            <w:tcBorders>
              <w:top w:val="nil"/>
              <w:left w:val="nil"/>
              <w:bottom w:val="single" w:sz="4" w:space="0" w:color="auto"/>
              <w:right w:val="single" w:sz="4" w:space="0" w:color="auto"/>
            </w:tcBorders>
            <w:shd w:val="clear" w:color="auto" w:fill="auto"/>
            <w:noWrap/>
            <w:vAlign w:val="bottom"/>
            <w:hideMark/>
          </w:tcPr>
          <w:p w14:paraId="7E256F9E"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2 (2-3)</w:t>
            </w:r>
          </w:p>
        </w:tc>
        <w:tc>
          <w:tcPr>
            <w:tcW w:w="1366" w:type="dxa"/>
            <w:tcBorders>
              <w:top w:val="nil"/>
              <w:left w:val="nil"/>
              <w:bottom w:val="single" w:sz="4" w:space="0" w:color="auto"/>
              <w:right w:val="single" w:sz="4" w:space="0" w:color="auto"/>
            </w:tcBorders>
            <w:shd w:val="clear" w:color="auto" w:fill="auto"/>
            <w:noWrap/>
            <w:vAlign w:val="bottom"/>
            <w:hideMark/>
          </w:tcPr>
          <w:p w14:paraId="7D37FE93" w14:textId="7FC44AC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1 (0.2</w:t>
            </w:r>
            <w:r w:rsidR="005F71FE">
              <w:rPr>
                <w:rFonts w:ascii="Calibri" w:eastAsia="Times New Roman" w:hAnsi="Calibri" w:cs="Calibri"/>
                <w:color w:val="000000"/>
                <w:lang w:eastAsia="fr-FR"/>
              </w:rPr>
              <w:t>%</w:t>
            </w:r>
            <w:r w:rsidRPr="00D23E50">
              <w:rPr>
                <w:rFonts w:ascii="Calibri" w:eastAsia="Times New Roman" w:hAnsi="Calibri" w:cs="Calibri"/>
                <w:color w:val="000000"/>
                <w:lang w:eastAsia="fr-FR"/>
              </w:rPr>
              <w:t>)</w:t>
            </w:r>
          </w:p>
        </w:tc>
        <w:tc>
          <w:tcPr>
            <w:tcW w:w="985" w:type="dxa"/>
            <w:tcBorders>
              <w:top w:val="nil"/>
              <w:left w:val="nil"/>
              <w:bottom w:val="single" w:sz="4" w:space="0" w:color="auto"/>
              <w:right w:val="single" w:sz="4" w:space="0" w:color="auto"/>
            </w:tcBorders>
            <w:shd w:val="clear" w:color="auto" w:fill="auto"/>
            <w:noWrap/>
            <w:vAlign w:val="bottom"/>
            <w:hideMark/>
          </w:tcPr>
          <w:p w14:paraId="682E491B"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(0-1)</w:t>
            </w:r>
          </w:p>
        </w:tc>
        <w:tc>
          <w:tcPr>
            <w:tcW w:w="337" w:type="dxa"/>
            <w:tcBorders>
              <w:top w:val="nil"/>
              <w:left w:val="nil"/>
              <w:bottom w:val="single" w:sz="4" w:space="0" w:color="auto"/>
              <w:right w:val="single" w:sz="4" w:space="0" w:color="auto"/>
            </w:tcBorders>
            <w:shd w:val="clear" w:color="auto" w:fill="auto"/>
            <w:noWrap/>
            <w:vAlign w:val="bottom"/>
            <w:hideMark/>
          </w:tcPr>
          <w:p w14:paraId="52B78CD0"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2 (1-3)</w:t>
            </w:r>
          </w:p>
        </w:tc>
      </w:tr>
      <w:tr w:rsidR="00D23E50" w:rsidRPr="00D23E50" w14:paraId="4161D476" w14:textId="77777777" w:rsidTr="007E5956">
        <w:trPr>
          <w:trHeight w:val="290"/>
        </w:trPr>
        <w:tc>
          <w:tcPr>
            <w:tcW w:w="1312" w:type="dxa"/>
            <w:tcBorders>
              <w:top w:val="nil"/>
              <w:left w:val="single" w:sz="4" w:space="0" w:color="auto"/>
              <w:bottom w:val="single" w:sz="4" w:space="0" w:color="auto"/>
              <w:right w:val="single" w:sz="4" w:space="0" w:color="auto"/>
            </w:tcBorders>
            <w:shd w:val="clear" w:color="auto" w:fill="auto"/>
            <w:vAlign w:val="bottom"/>
            <w:hideMark/>
          </w:tcPr>
          <w:p w14:paraId="6EDA755A" w14:textId="77777777" w:rsidR="00D23E50" w:rsidRPr="00D23E50" w:rsidRDefault="00D23E50" w:rsidP="00D23E50">
            <w:pPr>
              <w:spacing w:after="0" w:line="240" w:lineRule="auto"/>
              <w:rPr>
                <w:rFonts w:ascii="Calibri" w:eastAsia="Times New Roman" w:hAnsi="Calibri" w:cs="Calibri"/>
                <w:color w:val="000000"/>
                <w:lang w:eastAsia="fr-FR"/>
              </w:rPr>
            </w:pPr>
            <w:proofErr w:type="gramStart"/>
            <w:r w:rsidRPr="00D23E50">
              <w:rPr>
                <w:rFonts w:ascii="Calibri" w:eastAsia="Times New Roman" w:hAnsi="Calibri" w:cs="Calibri"/>
                <w:color w:val="000000"/>
                <w:lang w:eastAsia="fr-FR"/>
              </w:rPr>
              <w:t>ci</w:t>
            </w:r>
            <w:proofErr w:type="gramEnd"/>
            <w:r w:rsidRPr="00D23E50">
              <w:rPr>
                <w:rFonts w:ascii="Calibri" w:eastAsia="Times New Roman" w:hAnsi="Calibri" w:cs="Calibri"/>
                <w:color w:val="000000"/>
                <w:lang w:eastAsia="fr-FR"/>
              </w:rPr>
              <w:t xml:space="preserve">, </w:t>
            </w:r>
            <w:proofErr w:type="spellStart"/>
            <w:r w:rsidRPr="00D23E50">
              <w:rPr>
                <w:rFonts w:ascii="Calibri" w:eastAsia="Times New Roman" w:hAnsi="Calibri" w:cs="Calibri"/>
                <w:color w:val="000000"/>
                <w:lang w:eastAsia="fr-FR"/>
              </w:rPr>
              <w:t>median</w:t>
            </w:r>
            <w:proofErr w:type="spellEnd"/>
            <w:r w:rsidRPr="00D23E50">
              <w:rPr>
                <w:rFonts w:ascii="Calibri" w:eastAsia="Times New Roman" w:hAnsi="Calibri" w:cs="Calibri"/>
                <w:color w:val="000000"/>
                <w:lang w:eastAsia="fr-FR"/>
              </w:rPr>
              <w:t xml:space="preserve"> (IQR)</w:t>
            </w:r>
          </w:p>
        </w:tc>
        <w:tc>
          <w:tcPr>
            <w:tcW w:w="1366" w:type="dxa"/>
            <w:tcBorders>
              <w:top w:val="nil"/>
              <w:left w:val="nil"/>
              <w:bottom w:val="single" w:sz="4" w:space="0" w:color="auto"/>
              <w:right w:val="single" w:sz="4" w:space="0" w:color="auto"/>
            </w:tcBorders>
            <w:shd w:val="clear" w:color="auto" w:fill="auto"/>
            <w:vAlign w:val="bottom"/>
            <w:hideMark/>
          </w:tcPr>
          <w:p w14:paraId="4DD4DD4E"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(0-1)</w:t>
            </w:r>
          </w:p>
        </w:tc>
        <w:tc>
          <w:tcPr>
            <w:tcW w:w="1366" w:type="dxa"/>
            <w:tcBorders>
              <w:top w:val="nil"/>
              <w:left w:val="nil"/>
              <w:bottom w:val="single" w:sz="4" w:space="0" w:color="auto"/>
              <w:right w:val="single" w:sz="4" w:space="0" w:color="auto"/>
            </w:tcBorders>
            <w:shd w:val="clear" w:color="auto" w:fill="auto"/>
            <w:vAlign w:val="bottom"/>
            <w:hideMark/>
          </w:tcPr>
          <w:p w14:paraId="7A3ACA7B"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1 (0-2)</w:t>
            </w:r>
          </w:p>
        </w:tc>
        <w:tc>
          <w:tcPr>
            <w:tcW w:w="1451" w:type="dxa"/>
            <w:tcBorders>
              <w:top w:val="nil"/>
              <w:left w:val="nil"/>
              <w:bottom w:val="single" w:sz="4" w:space="0" w:color="auto"/>
              <w:right w:val="single" w:sz="4" w:space="0" w:color="auto"/>
            </w:tcBorders>
            <w:shd w:val="clear" w:color="auto" w:fill="auto"/>
            <w:noWrap/>
            <w:vAlign w:val="bottom"/>
            <w:hideMark/>
          </w:tcPr>
          <w:p w14:paraId="3C76C606"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1 (0-2)</w:t>
            </w:r>
          </w:p>
        </w:tc>
        <w:tc>
          <w:tcPr>
            <w:tcW w:w="1451" w:type="dxa"/>
            <w:tcBorders>
              <w:top w:val="nil"/>
              <w:left w:val="nil"/>
              <w:bottom w:val="single" w:sz="4" w:space="0" w:color="auto"/>
              <w:right w:val="single" w:sz="4" w:space="0" w:color="auto"/>
            </w:tcBorders>
            <w:shd w:val="clear" w:color="auto" w:fill="auto"/>
            <w:noWrap/>
            <w:vAlign w:val="bottom"/>
            <w:hideMark/>
          </w:tcPr>
          <w:p w14:paraId="3397990A"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2 (2-3)</w:t>
            </w:r>
          </w:p>
        </w:tc>
        <w:tc>
          <w:tcPr>
            <w:tcW w:w="1366" w:type="dxa"/>
            <w:tcBorders>
              <w:top w:val="nil"/>
              <w:left w:val="nil"/>
              <w:bottom w:val="single" w:sz="4" w:space="0" w:color="auto"/>
              <w:right w:val="single" w:sz="4" w:space="0" w:color="auto"/>
            </w:tcBorders>
            <w:shd w:val="clear" w:color="auto" w:fill="auto"/>
            <w:noWrap/>
            <w:vAlign w:val="bottom"/>
            <w:hideMark/>
          </w:tcPr>
          <w:p w14:paraId="59D6EBB3" w14:textId="2875A031"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1 (0.2</w:t>
            </w:r>
            <w:r w:rsidR="005F71FE">
              <w:rPr>
                <w:rFonts w:ascii="Calibri" w:eastAsia="Times New Roman" w:hAnsi="Calibri" w:cs="Calibri"/>
                <w:color w:val="000000"/>
                <w:lang w:eastAsia="fr-FR"/>
              </w:rPr>
              <w:t>%</w:t>
            </w:r>
            <w:r w:rsidRPr="00D23E50">
              <w:rPr>
                <w:rFonts w:ascii="Calibri" w:eastAsia="Times New Roman" w:hAnsi="Calibri" w:cs="Calibri"/>
                <w:color w:val="000000"/>
                <w:lang w:eastAsia="fr-FR"/>
              </w:rPr>
              <w:t>)</w:t>
            </w:r>
          </w:p>
        </w:tc>
        <w:tc>
          <w:tcPr>
            <w:tcW w:w="985" w:type="dxa"/>
            <w:tcBorders>
              <w:top w:val="nil"/>
              <w:left w:val="nil"/>
              <w:bottom w:val="single" w:sz="4" w:space="0" w:color="auto"/>
              <w:right w:val="single" w:sz="4" w:space="0" w:color="auto"/>
            </w:tcBorders>
            <w:shd w:val="clear" w:color="auto" w:fill="auto"/>
            <w:noWrap/>
            <w:vAlign w:val="bottom"/>
            <w:hideMark/>
          </w:tcPr>
          <w:p w14:paraId="251D0E6A"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(0-2)</w:t>
            </w:r>
          </w:p>
        </w:tc>
        <w:tc>
          <w:tcPr>
            <w:tcW w:w="337" w:type="dxa"/>
            <w:tcBorders>
              <w:top w:val="nil"/>
              <w:left w:val="nil"/>
              <w:bottom w:val="single" w:sz="4" w:space="0" w:color="auto"/>
              <w:right w:val="single" w:sz="4" w:space="0" w:color="auto"/>
            </w:tcBorders>
            <w:shd w:val="clear" w:color="auto" w:fill="auto"/>
            <w:noWrap/>
            <w:vAlign w:val="bottom"/>
            <w:hideMark/>
          </w:tcPr>
          <w:p w14:paraId="66BED0EC"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2 (1-3)</w:t>
            </w:r>
          </w:p>
        </w:tc>
      </w:tr>
      <w:tr w:rsidR="00D23E50" w:rsidRPr="00D23E50" w14:paraId="3D9A7139" w14:textId="77777777" w:rsidTr="007E5956">
        <w:trPr>
          <w:trHeight w:val="290"/>
        </w:trPr>
        <w:tc>
          <w:tcPr>
            <w:tcW w:w="1312" w:type="dxa"/>
            <w:tcBorders>
              <w:top w:val="nil"/>
              <w:left w:val="single" w:sz="4" w:space="0" w:color="auto"/>
              <w:bottom w:val="single" w:sz="4" w:space="0" w:color="auto"/>
              <w:right w:val="single" w:sz="4" w:space="0" w:color="auto"/>
            </w:tcBorders>
            <w:shd w:val="clear" w:color="auto" w:fill="auto"/>
            <w:vAlign w:val="bottom"/>
            <w:hideMark/>
          </w:tcPr>
          <w:p w14:paraId="61208DD4" w14:textId="77777777" w:rsidR="00D23E50" w:rsidRPr="00D23E50" w:rsidRDefault="00D23E50" w:rsidP="00D23E50">
            <w:pPr>
              <w:spacing w:after="0" w:line="240" w:lineRule="auto"/>
              <w:rPr>
                <w:rFonts w:ascii="Calibri" w:eastAsia="Times New Roman" w:hAnsi="Calibri" w:cs="Calibri"/>
                <w:color w:val="000000"/>
                <w:lang w:eastAsia="fr-FR"/>
              </w:rPr>
            </w:pPr>
            <w:proofErr w:type="gramStart"/>
            <w:r w:rsidRPr="00D23E50">
              <w:rPr>
                <w:rFonts w:ascii="Calibri" w:eastAsia="Times New Roman" w:hAnsi="Calibri" w:cs="Calibri"/>
                <w:color w:val="000000"/>
                <w:lang w:eastAsia="fr-FR"/>
              </w:rPr>
              <w:t>ah</w:t>
            </w:r>
            <w:proofErr w:type="gramEnd"/>
            <w:r w:rsidRPr="00D23E50">
              <w:rPr>
                <w:rFonts w:ascii="Calibri" w:eastAsia="Times New Roman" w:hAnsi="Calibri" w:cs="Calibri"/>
                <w:color w:val="000000"/>
                <w:lang w:eastAsia="fr-FR"/>
              </w:rPr>
              <w:t xml:space="preserve">, </w:t>
            </w:r>
            <w:proofErr w:type="spellStart"/>
            <w:r w:rsidRPr="00D23E50">
              <w:rPr>
                <w:rFonts w:ascii="Calibri" w:eastAsia="Times New Roman" w:hAnsi="Calibri" w:cs="Calibri"/>
                <w:color w:val="000000"/>
                <w:lang w:eastAsia="fr-FR"/>
              </w:rPr>
              <w:t>median</w:t>
            </w:r>
            <w:proofErr w:type="spellEnd"/>
            <w:r w:rsidRPr="00D23E50">
              <w:rPr>
                <w:rFonts w:ascii="Calibri" w:eastAsia="Times New Roman" w:hAnsi="Calibri" w:cs="Calibri"/>
                <w:color w:val="000000"/>
                <w:lang w:eastAsia="fr-FR"/>
              </w:rPr>
              <w:t xml:space="preserve"> (IQR)</w:t>
            </w:r>
          </w:p>
        </w:tc>
        <w:tc>
          <w:tcPr>
            <w:tcW w:w="1366" w:type="dxa"/>
            <w:tcBorders>
              <w:top w:val="nil"/>
              <w:left w:val="nil"/>
              <w:bottom w:val="single" w:sz="4" w:space="0" w:color="auto"/>
              <w:right w:val="single" w:sz="4" w:space="0" w:color="auto"/>
            </w:tcBorders>
            <w:shd w:val="clear" w:color="auto" w:fill="auto"/>
            <w:vAlign w:val="bottom"/>
            <w:hideMark/>
          </w:tcPr>
          <w:p w14:paraId="38EDEB7D"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(0-1)</w:t>
            </w:r>
          </w:p>
        </w:tc>
        <w:tc>
          <w:tcPr>
            <w:tcW w:w="1366" w:type="dxa"/>
            <w:tcBorders>
              <w:top w:val="nil"/>
              <w:left w:val="nil"/>
              <w:bottom w:val="single" w:sz="4" w:space="0" w:color="auto"/>
              <w:right w:val="single" w:sz="4" w:space="0" w:color="auto"/>
            </w:tcBorders>
            <w:shd w:val="clear" w:color="auto" w:fill="auto"/>
            <w:vAlign w:val="bottom"/>
            <w:hideMark/>
          </w:tcPr>
          <w:p w14:paraId="1A6FDC5A"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1 (0-3)</w:t>
            </w:r>
          </w:p>
        </w:tc>
        <w:tc>
          <w:tcPr>
            <w:tcW w:w="1451" w:type="dxa"/>
            <w:tcBorders>
              <w:top w:val="nil"/>
              <w:left w:val="nil"/>
              <w:bottom w:val="single" w:sz="4" w:space="0" w:color="auto"/>
              <w:right w:val="single" w:sz="4" w:space="0" w:color="auto"/>
            </w:tcBorders>
            <w:shd w:val="clear" w:color="auto" w:fill="auto"/>
            <w:noWrap/>
            <w:vAlign w:val="bottom"/>
            <w:hideMark/>
          </w:tcPr>
          <w:p w14:paraId="5065162D"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(0-1)</w:t>
            </w:r>
          </w:p>
        </w:tc>
        <w:tc>
          <w:tcPr>
            <w:tcW w:w="1451" w:type="dxa"/>
            <w:tcBorders>
              <w:top w:val="nil"/>
              <w:left w:val="nil"/>
              <w:bottom w:val="single" w:sz="4" w:space="0" w:color="auto"/>
              <w:right w:val="single" w:sz="4" w:space="0" w:color="auto"/>
            </w:tcBorders>
            <w:shd w:val="clear" w:color="auto" w:fill="auto"/>
            <w:noWrap/>
            <w:vAlign w:val="bottom"/>
            <w:hideMark/>
          </w:tcPr>
          <w:p w14:paraId="5110A000"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1 (0-2)</w:t>
            </w:r>
          </w:p>
        </w:tc>
        <w:tc>
          <w:tcPr>
            <w:tcW w:w="1366" w:type="dxa"/>
            <w:tcBorders>
              <w:top w:val="nil"/>
              <w:left w:val="nil"/>
              <w:bottom w:val="single" w:sz="4" w:space="0" w:color="auto"/>
              <w:right w:val="single" w:sz="4" w:space="0" w:color="auto"/>
            </w:tcBorders>
            <w:shd w:val="clear" w:color="auto" w:fill="auto"/>
            <w:noWrap/>
            <w:vAlign w:val="bottom"/>
            <w:hideMark/>
          </w:tcPr>
          <w:p w14:paraId="05D7102C" w14:textId="438F40DB"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9 (1.4</w:t>
            </w:r>
            <w:r w:rsidR="005F71FE">
              <w:rPr>
                <w:rFonts w:ascii="Calibri" w:eastAsia="Times New Roman" w:hAnsi="Calibri" w:cs="Calibri"/>
                <w:color w:val="000000"/>
                <w:lang w:eastAsia="fr-FR"/>
              </w:rPr>
              <w:t>%</w:t>
            </w:r>
            <w:r w:rsidRPr="00D23E50">
              <w:rPr>
                <w:rFonts w:ascii="Calibri" w:eastAsia="Times New Roman" w:hAnsi="Calibri" w:cs="Calibri"/>
                <w:color w:val="000000"/>
                <w:lang w:eastAsia="fr-FR"/>
              </w:rPr>
              <w:t>)</w:t>
            </w:r>
          </w:p>
        </w:tc>
        <w:tc>
          <w:tcPr>
            <w:tcW w:w="985" w:type="dxa"/>
            <w:tcBorders>
              <w:top w:val="nil"/>
              <w:left w:val="nil"/>
              <w:bottom w:val="single" w:sz="4" w:space="0" w:color="auto"/>
              <w:right w:val="single" w:sz="4" w:space="0" w:color="auto"/>
            </w:tcBorders>
            <w:shd w:val="clear" w:color="auto" w:fill="auto"/>
            <w:noWrap/>
            <w:vAlign w:val="bottom"/>
            <w:hideMark/>
          </w:tcPr>
          <w:p w14:paraId="2694183D"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(0-1)</w:t>
            </w:r>
          </w:p>
        </w:tc>
        <w:tc>
          <w:tcPr>
            <w:tcW w:w="337" w:type="dxa"/>
            <w:tcBorders>
              <w:top w:val="nil"/>
              <w:left w:val="nil"/>
              <w:bottom w:val="single" w:sz="4" w:space="0" w:color="auto"/>
              <w:right w:val="single" w:sz="4" w:space="0" w:color="auto"/>
            </w:tcBorders>
            <w:shd w:val="clear" w:color="auto" w:fill="auto"/>
            <w:noWrap/>
            <w:vAlign w:val="bottom"/>
            <w:hideMark/>
          </w:tcPr>
          <w:p w14:paraId="1A72B51A"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2 (1-3)</w:t>
            </w:r>
          </w:p>
        </w:tc>
      </w:tr>
      <w:tr w:rsidR="00D23E50" w:rsidRPr="00D23E50" w14:paraId="5209C4E9" w14:textId="77777777" w:rsidTr="007E5956">
        <w:trPr>
          <w:trHeight w:val="290"/>
        </w:trPr>
        <w:tc>
          <w:tcPr>
            <w:tcW w:w="1312" w:type="dxa"/>
            <w:tcBorders>
              <w:top w:val="nil"/>
              <w:left w:val="single" w:sz="4" w:space="0" w:color="auto"/>
              <w:bottom w:val="single" w:sz="4" w:space="0" w:color="auto"/>
              <w:right w:val="single" w:sz="4" w:space="0" w:color="auto"/>
            </w:tcBorders>
            <w:shd w:val="clear" w:color="auto" w:fill="auto"/>
            <w:vAlign w:val="bottom"/>
            <w:hideMark/>
          </w:tcPr>
          <w:p w14:paraId="68F67C2F" w14:textId="77777777" w:rsidR="00D23E50" w:rsidRPr="00D23E50" w:rsidRDefault="00D23E50" w:rsidP="00D23E50">
            <w:pPr>
              <w:spacing w:after="0" w:line="240" w:lineRule="auto"/>
              <w:rPr>
                <w:rFonts w:ascii="Calibri" w:eastAsia="Times New Roman" w:hAnsi="Calibri" w:cs="Calibri"/>
                <w:color w:val="000000"/>
                <w:lang w:eastAsia="fr-FR"/>
              </w:rPr>
            </w:pPr>
            <w:proofErr w:type="gramStart"/>
            <w:r w:rsidRPr="00D23E50">
              <w:rPr>
                <w:rFonts w:ascii="Calibri" w:eastAsia="Times New Roman" w:hAnsi="Calibri" w:cs="Calibri"/>
                <w:color w:val="000000"/>
                <w:lang w:eastAsia="fr-FR"/>
              </w:rPr>
              <w:t>cv</w:t>
            </w:r>
            <w:proofErr w:type="gramEnd"/>
            <w:r w:rsidRPr="00D23E50">
              <w:rPr>
                <w:rFonts w:ascii="Calibri" w:eastAsia="Times New Roman" w:hAnsi="Calibri" w:cs="Calibri"/>
                <w:color w:val="000000"/>
                <w:lang w:eastAsia="fr-FR"/>
              </w:rPr>
              <w:t xml:space="preserve">, </w:t>
            </w:r>
            <w:proofErr w:type="spellStart"/>
            <w:r w:rsidRPr="00D23E50">
              <w:rPr>
                <w:rFonts w:ascii="Calibri" w:eastAsia="Times New Roman" w:hAnsi="Calibri" w:cs="Calibri"/>
                <w:color w:val="000000"/>
                <w:lang w:eastAsia="fr-FR"/>
              </w:rPr>
              <w:t>median</w:t>
            </w:r>
            <w:proofErr w:type="spellEnd"/>
            <w:r w:rsidRPr="00D23E50">
              <w:rPr>
                <w:rFonts w:ascii="Calibri" w:eastAsia="Times New Roman" w:hAnsi="Calibri" w:cs="Calibri"/>
                <w:color w:val="000000"/>
                <w:lang w:eastAsia="fr-FR"/>
              </w:rPr>
              <w:t xml:space="preserve"> (IQR)</w:t>
            </w:r>
          </w:p>
        </w:tc>
        <w:tc>
          <w:tcPr>
            <w:tcW w:w="1366" w:type="dxa"/>
            <w:tcBorders>
              <w:top w:val="nil"/>
              <w:left w:val="nil"/>
              <w:bottom w:val="single" w:sz="4" w:space="0" w:color="auto"/>
              <w:right w:val="single" w:sz="4" w:space="0" w:color="auto"/>
            </w:tcBorders>
            <w:shd w:val="clear" w:color="auto" w:fill="auto"/>
            <w:vAlign w:val="bottom"/>
            <w:hideMark/>
          </w:tcPr>
          <w:p w14:paraId="5307072B"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(0-1)</w:t>
            </w:r>
          </w:p>
        </w:tc>
        <w:tc>
          <w:tcPr>
            <w:tcW w:w="1366" w:type="dxa"/>
            <w:tcBorders>
              <w:top w:val="nil"/>
              <w:left w:val="nil"/>
              <w:bottom w:val="single" w:sz="4" w:space="0" w:color="auto"/>
              <w:right w:val="single" w:sz="4" w:space="0" w:color="auto"/>
            </w:tcBorders>
            <w:shd w:val="clear" w:color="auto" w:fill="auto"/>
            <w:vAlign w:val="bottom"/>
            <w:hideMark/>
          </w:tcPr>
          <w:p w14:paraId="4FAACC45"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1 (0-3)</w:t>
            </w:r>
          </w:p>
        </w:tc>
        <w:tc>
          <w:tcPr>
            <w:tcW w:w="1451" w:type="dxa"/>
            <w:tcBorders>
              <w:top w:val="nil"/>
              <w:left w:val="nil"/>
              <w:bottom w:val="single" w:sz="4" w:space="0" w:color="auto"/>
              <w:right w:val="single" w:sz="4" w:space="0" w:color="auto"/>
            </w:tcBorders>
            <w:shd w:val="clear" w:color="auto" w:fill="auto"/>
            <w:noWrap/>
            <w:vAlign w:val="bottom"/>
            <w:hideMark/>
          </w:tcPr>
          <w:p w14:paraId="666B5020"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1 (0-2)</w:t>
            </w:r>
          </w:p>
        </w:tc>
        <w:tc>
          <w:tcPr>
            <w:tcW w:w="1451" w:type="dxa"/>
            <w:tcBorders>
              <w:top w:val="nil"/>
              <w:left w:val="nil"/>
              <w:bottom w:val="single" w:sz="4" w:space="0" w:color="auto"/>
              <w:right w:val="single" w:sz="4" w:space="0" w:color="auto"/>
            </w:tcBorders>
            <w:shd w:val="clear" w:color="auto" w:fill="auto"/>
            <w:noWrap/>
            <w:vAlign w:val="bottom"/>
            <w:hideMark/>
          </w:tcPr>
          <w:p w14:paraId="3DEDCC64"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2 (1-2)</w:t>
            </w:r>
          </w:p>
        </w:tc>
        <w:tc>
          <w:tcPr>
            <w:tcW w:w="1366" w:type="dxa"/>
            <w:tcBorders>
              <w:top w:val="nil"/>
              <w:left w:val="nil"/>
              <w:bottom w:val="single" w:sz="4" w:space="0" w:color="auto"/>
              <w:right w:val="single" w:sz="4" w:space="0" w:color="auto"/>
            </w:tcBorders>
            <w:shd w:val="clear" w:color="auto" w:fill="auto"/>
            <w:noWrap/>
            <w:vAlign w:val="bottom"/>
            <w:hideMark/>
          </w:tcPr>
          <w:p w14:paraId="66C70054" w14:textId="69B7EF3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33 (5.2</w:t>
            </w:r>
            <w:r w:rsidR="005F71FE">
              <w:rPr>
                <w:rFonts w:ascii="Calibri" w:eastAsia="Times New Roman" w:hAnsi="Calibri" w:cs="Calibri"/>
                <w:color w:val="000000"/>
                <w:lang w:eastAsia="fr-FR"/>
              </w:rPr>
              <w:t>%</w:t>
            </w:r>
            <w:r w:rsidRPr="00D23E50">
              <w:rPr>
                <w:rFonts w:ascii="Calibri" w:eastAsia="Times New Roman" w:hAnsi="Calibri" w:cs="Calibri"/>
                <w:color w:val="000000"/>
                <w:lang w:eastAsia="fr-FR"/>
              </w:rPr>
              <w:t>)</w:t>
            </w:r>
          </w:p>
        </w:tc>
        <w:tc>
          <w:tcPr>
            <w:tcW w:w="985" w:type="dxa"/>
            <w:tcBorders>
              <w:top w:val="nil"/>
              <w:left w:val="nil"/>
              <w:bottom w:val="single" w:sz="4" w:space="0" w:color="auto"/>
              <w:right w:val="single" w:sz="4" w:space="0" w:color="auto"/>
            </w:tcBorders>
            <w:shd w:val="clear" w:color="auto" w:fill="auto"/>
            <w:noWrap/>
            <w:vAlign w:val="bottom"/>
            <w:hideMark/>
          </w:tcPr>
          <w:p w14:paraId="7B6474D9"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(0-2)</w:t>
            </w:r>
          </w:p>
        </w:tc>
        <w:tc>
          <w:tcPr>
            <w:tcW w:w="337" w:type="dxa"/>
            <w:tcBorders>
              <w:top w:val="nil"/>
              <w:left w:val="nil"/>
              <w:bottom w:val="single" w:sz="4" w:space="0" w:color="auto"/>
              <w:right w:val="single" w:sz="4" w:space="0" w:color="auto"/>
            </w:tcBorders>
            <w:shd w:val="clear" w:color="auto" w:fill="auto"/>
            <w:noWrap/>
            <w:vAlign w:val="bottom"/>
            <w:hideMark/>
          </w:tcPr>
          <w:p w14:paraId="57E39CF8"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2 (1-3)</w:t>
            </w:r>
          </w:p>
        </w:tc>
      </w:tr>
      <w:tr w:rsidR="00D23E50" w:rsidRPr="00D23E50" w14:paraId="6F3BC97D" w14:textId="77777777" w:rsidTr="007E5956">
        <w:trPr>
          <w:trHeight w:val="580"/>
        </w:trPr>
        <w:tc>
          <w:tcPr>
            <w:tcW w:w="1312" w:type="dxa"/>
            <w:tcBorders>
              <w:top w:val="nil"/>
              <w:left w:val="single" w:sz="4" w:space="0" w:color="auto"/>
              <w:bottom w:val="single" w:sz="4" w:space="0" w:color="auto"/>
              <w:right w:val="single" w:sz="4" w:space="0" w:color="auto"/>
            </w:tcBorders>
            <w:shd w:val="clear" w:color="auto" w:fill="auto"/>
            <w:vAlign w:val="bottom"/>
            <w:hideMark/>
          </w:tcPr>
          <w:p w14:paraId="5BD41149" w14:textId="77777777" w:rsidR="00D23E50" w:rsidRPr="007E5956" w:rsidRDefault="00D23E50" w:rsidP="00D23E50">
            <w:pPr>
              <w:spacing w:after="0" w:line="240" w:lineRule="auto"/>
              <w:rPr>
                <w:rFonts w:ascii="Calibri" w:eastAsia="Times New Roman" w:hAnsi="Calibri" w:cs="Calibri"/>
                <w:color w:val="000000"/>
                <w:lang w:val="en-US" w:eastAsia="fr-FR"/>
              </w:rPr>
            </w:pPr>
            <w:r w:rsidRPr="007E5956">
              <w:rPr>
                <w:rFonts w:ascii="Calibri" w:eastAsia="Times New Roman" w:hAnsi="Calibri" w:cs="Calibri"/>
                <w:color w:val="000000"/>
                <w:lang w:val="en-US" w:eastAsia="fr-FR"/>
              </w:rPr>
              <w:t>Serum creatinine (µmol/L), median (IQR)</w:t>
            </w:r>
          </w:p>
        </w:tc>
        <w:tc>
          <w:tcPr>
            <w:tcW w:w="1366" w:type="dxa"/>
            <w:tcBorders>
              <w:top w:val="nil"/>
              <w:left w:val="nil"/>
              <w:bottom w:val="single" w:sz="4" w:space="0" w:color="auto"/>
              <w:right w:val="single" w:sz="4" w:space="0" w:color="auto"/>
            </w:tcBorders>
            <w:shd w:val="clear" w:color="auto" w:fill="auto"/>
            <w:vAlign w:val="bottom"/>
            <w:hideMark/>
          </w:tcPr>
          <w:p w14:paraId="71A7F3E9"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138 (110-169)</w:t>
            </w:r>
          </w:p>
        </w:tc>
        <w:tc>
          <w:tcPr>
            <w:tcW w:w="1366" w:type="dxa"/>
            <w:tcBorders>
              <w:top w:val="nil"/>
              <w:left w:val="nil"/>
              <w:bottom w:val="single" w:sz="4" w:space="0" w:color="auto"/>
              <w:right w:val="single" w:sz="4" w:space="0" w:color="auto"/>
            </w:tcBorders>
            <w:shd w:val="clear" w:color="auto" w:fill="auto"/>
            <w:vAlign w:val="bottom"/>
            <w:hideMark/>
          </w:tcPr>
          <w:p w14:paraId="53451C0B"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188 (149-240)</w:t>
            </w:r>
          </w:p>
        </w:tc>
        <w:tc>
          <w:tcPr>
            <w:tcW w:w="1451" w:type="dxa"/>
            <w:tcBorders>
              <w:top w:val="nil"/>
              <w:left w:val="nil"/>
              <w:bottom w:val="single" w:sz="4" w:space="0" w:color="auto"/>
              <w:right w:val="single" w:sz="4" w:space="0" w:color="auto"/>
            </w:tcBorders>
            <w:shd w:val="clear" w:color="auto" w:fill="auto"/>
            <w:noWrap/>
            <w:vAlign w:val="bottom"/>
            <w:hideMark/>
          </w:tcPr>
          <w:p w14:paraId="1D51A924"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185 (131-254)</w:t>
            </w:r>
          </w:p>
        </w:tc>
        <w:tc>
          <w:tcPr>
            <w:tcW w:w="1451" w:type="dxa"/>
            <w:tcBorders>
              <w:top w:val="nil"/>
              <w:left w:val="nil"/>
              <w:bottom w:val="single" w:sz="4" w:space="0" w:color="auto"/>
              <w:right w:val="single" w:sz="4" w:space="0" w:color="auto"/>
            </w:tcBorders>
            <w:shd w:val="clear" w:color="auto" w:fill="auto"/>
            <w:noWrap/>
            <w:vAlign w:val="bottom"/>
            <w:hideMark/>
          </w:tcPr>
          <w:p w14:paraId="60D28711"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169 (133-229)</w:t>
            </w:r>
          </w:p>
        </w:tc>
        <w:tc>
          <w:tcPr>
            <w:tcW w:w="1366" w:type="dxa"/>
            <w:tcBorders>
              <w:top w:val="nil"/>
              <w:left w:val="nil"/>
              <w:bottom w:val="single" w:sz="4" w:space="0" w:color="auto"/>
              <w:right w:val="single" w:sz="4" w:space="0" w:color="auto"/>
            </w:tcBorders>
            <w:shd w:val="clear" w:color="auto" w:fill="auto"/>
            <w:noWrap/>
            <w:vAlign w:val="bottom"/>
            <w:hideMark/>
          </w:tcPr>
          <w:p w14:paraId="079491D6" w14:textId="50611321"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(0.0</w:t>
            </w:r>
            <w:r w:rsidR="005F71FE">
              <w:rPr>
                <w:rFonts w:ascii="Calibri" w:eastAsia="Times New Roman" w:hAnsi="Calibri" w:cs="Calibri"/>
                <w:color w:val="000000"/>
                <w:lang w:eastAsia="fr-FR"/>
              </w:rPr>
              <w:t>%</w:t>
            </w:r>
            <w:r w:rsidRPr="00D23E50">
              <w:rPr>
                <w:rFonts w:ascii="Calibri" w:eastAsia="Times New Roman" w:hAnsi="Calibri" w:cs="Calibri"/>
                <w:color w:val="000000"/>
                <w:lang w:eastAsia="fr-FR"/>
              </w:rPr>
              <w:t>)</w:t>
            </w:r>
          </w:p>
        </w:tc>
        <w:tc>
          <w:tcPr>
            <w:tcW w:w="985" w:type="dxa"/>
            <w:tcBorders>
              <w:top w:val="nil"/>
              <w:left w:val="nil"/>
              <w:bottom w:val="single" w:sz="4" w:space="0" w:color="auto"/>
              <w:right w:val="single" w:sz="4" w:space="0" w:color="auto"/>
            </w:tcBorders>
            <w:shd w:val="clear" w:color="auto" w:fill="auto"/>
            <w:noWrap/>
            <w:vAlign w:val="bottom"/>
            <w:hideMark/>
          </w:tcPr>
          <w:p w14:paraId="69AB7F7A"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183 (127-237)</w:t>
            </w:r>
          </w:p>
        </w:tc>
        <w:tc>
          <w:tcPr>
            <w:tcW w:w="337" w:type="dxa"/>
            <w:tcBorders>
              <w:top w:val="nil"/>
              <w:left w:val="nil"/>
              <w:bottom w:val="single" w:sz="4" w:space="0" w:color="auto"/>
              <w:right w:val="single" w:sz="4" w:space="0" w:color="auto"/>
            </w:tcBorders>
            <w:shd w:val="clear" w:color="auto" w:fill="auto"/>
            <w:noWrap/>
            <w:vAlign w:val="bottom"/>
            <w:hideMark/>
          </w:tcPr>
          <w:p w14:paraId="7346691F"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198 (156-254)</w:t>
            </w:r>
          </w:p>
        </w:tc>
      </w:tr>
      <w:tr w:rsidR="00D23E50" w:rsidRPr="00D23E50" w14:paraId="21CD38E2" w14:textId="77777777" w:rsidTr="007E5956">
        <w:trPr>
          <w:trHeight w:val="580"/>
        </w:trPr>
        <w:tc>
          <w:tcPr>
            <w:tcW w:w="1312" w:type="dxa"/>
            <w:tcBorders>
              <w:top w:val="nil"/>
              <w:left w:val="single" w:sz="4" w:space="0" w:color="auto"/>
              <w:bottom w:val="single" w:sz="4" w:space="0" w:color="auto"/>
              <w:right w:val="single" w:sz="4" w:space="0" w:color="auto"/>
            </w:tcBorders>
            <w:shd w:val="clear" w:color="auto" w:fill="auto"/>
            <w:vAlign w:val="bottom"/>
            <w:hideMark/>
          </w:tcPr>
          <w:p w14:paraId="63ADAABB" w14:textId="77777777" w:rsidR="00D23E50" w:rsidRPr="007E5956" w:rsidRDefault="00D23E50" w:rsidP="00D23E50">
            <w:pPr>
              <w:spacing w:after="0" w:line="240" w:lineRule="auto"/>
              <w:rPr>
                <w:rFonts w:ascii="Calibri" w:eastAsia="Times New Roman" w:hAnsi="Calibri" w:cs="Calibri"/>
                <w:color w:val="000000"/>
                <w:lang w:val="en-US" w:eastAsia="fr-FR"/>
              </w:rPr>
            </w:pPr>
            <w:r w:rsidRPr="007E5956">
              <w:rPr>
                <w:rFonts w:ascii="Calibri" w:eastAsia="Times New Roman" w:hAnsi="Calibri" w:cs="Calibri"/>
                <w:color w:val="000000"/>
                <w:lang w:val="en-US" w:eastAsia="fr-FR"/>
              </w:rPr>
              <w:t>Proteinuria (g/L), median (IQR)</w:t>
            </w:r>
          </w:p>
        </w:tc>
        <w:tc>
          <w:tcPr>
            <w:tcW w:w="1366" w:type="dxa"/>
            <w:tcBorders>
              <w:top w:val="nil"/>
              <w:left w:val="nil"/>
              <w:bottom w:val="single" w:sz="4" w:space="0" w:color="auto"/>
              <w:right w:val="single" w:sz="4" w:space="0" w:color="auto"/>
            </w:tcBorders>
            <w:shd w:val="clear" w:color="auto" w:fill="auto"/>
            <w:vAlign w:val="bottom"/>
            <w:hideMark/>
          </w:tcPr>
          <w:p w14:paraId="187BBE8C"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0.09 (0.07-0.15)</w:t>
            </w:r>
          </w:p>
        </w:tc>
        <w:tc>
          <w:tcPr>
            <w:tcW w:w="1366" w:type="dxa"/>
            <w:tcBorders>
              <w:top w:val="nil"/>
              <w:left w:val="nil"/>
              <w:bottom w:val="single" w:sz="4" w:space="0" w:color="auto"/>
              <w:right w:val="single" w:sz="4" w:space="0" w:color="auto"/>
            </w:tcBorders>
            <w:shd w:val="clear" w:color="auto" w:fill="auto"/>
            <w:vAlign w:val="bottom"/>
            <w:hideMark/>
          </w:tcPr>
          <w:p w14:paraId="5E49C8F0"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0.30 (0.07-1.13)</w:t>
            </w:r>
          </w:p>
        </w:tc>
        <w:tc>
          <w:tcPr>
            <w:tcW w:w="1451" w:type="dxa"/>
            <w:tcBorders>
              <w:top w:val="nil"/>
              <w:left w:val="nil"/>
              <w:bottom w:val="single" w:sz="4" w:space="0" w:color="auto"/>
              <w:right w:val="single" w:sz="4" w:space="0" w:color="auto"/>
            </w:tcBorders>
            <w:shd w:val="clear" w:color="auto" w:fill="auto"/>
            <w:noWrap/>
            <w:vAlign w:val="bottom"/>
            <w:hideMark/>
          </w:tcPr>
          <w:p w14:paraId="4FAE9559"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0.11 (0.07-0.32)</w:t>
            </w:r>
          </w:p>
        </w:tc>
        <w:tc>
          <w:tcPr>
            <w:tcW w:w="1451" w:type="dxa"/>
            <w:tcBorders>
              <w:top w:val="nil"/>
              <w:left w:val="nil"/>
              <w:bottom w:val="single" w:sz="4" w:space="0" w:color="auto"/>
              <w:right w:val="single" w:sz="4" w:space="0" w:color="auto"/>
            </w:tcBorders>
            <w:shd w:val="clear" w:color="auto" w:fill="auto"/>
            <w:noWrap/>
            <w:vAlign w:val="bottom"/>
            <w:hideMark/>
          </w:tcPr>
          <w:p w14:paraId="77A46254"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0.11 (0.07-0.30)</w:t>
            </w:r>
          </w:p>
        </w:tc>
        <w:tc>
          <w:tcPr>
            <w:tcW w:w="1366" w:type="dxa"/>
            <w:tcBorders>
              <w:top w:val="nil"/>
              <w:left w:val="nil"/>
              <w:bottom w:val="single" w:sz="4" w:space="0" w:color="auto"/>
              <w:right w:val="single" w:sz="4" w:space="0" w:color="auto"/>
            </w:tcBorders>
            <w:shd w:val="clear" w:color="auto" w:fill="auto"/>
            <w:noWrap/>
            <w:vAlign w:val="bottom"/>
            <w:hideMark/>
          </w:tcPr>
          <w:p w14:paraId="785D190A" w14:textId="3727C662"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(0.0</w:t>
            </w:r>
            <w:r w:rsidR="005F71FE">
              <w:rPr>
                <w:rFonts w:ascii="Calibri" w:eastAsia="Times New Roman" w:hAnsi="Calibri" w:cs="Calibri"/>
                <w:color w:val="000000"/>
                <w:lang w:eastAsia="fr-FR"/>
              </w:rPr>
              <w:t>%</w:t>
            </w:r>
            <w:r w:rsidRPr="00D23E50">
              <w:rPr>
                <w:rFonts w:ascii="Calibri" w:eastAsia="Times New Roman" w:hAnsi="Calibri" w:cs="Calibri"/>
                <w:color w:val="000000"/>
                <w:lang w:eastAsia="fr-FR"/>
              </w:rPr>
              <w:t>)</w:t>
            </w:r>
          </w:p>
        </w:tc>
        <w:tc>
          <w:tcPr>
            <w:tcW w:w="985" w:type="dxa"/>
            <w:tcBorders>
              <w:top w:val="nil"/>
              <w:left w:val="nil"/>
              <w:bottom w:val="single" w:sz="4" w:space="0" w:color="auto"/>
              <w:right w:val="single" w:sz="4" w:space="0" w:color="auto"/>
            </w:tcBorders>
            <w:shd w:val="clear" w:color="auto" w:fill="auto"/>
            <w:noWrap/>
            <w:vAlign w:val="bottom"/>
            <w:hideMark/>
          </w:tcPr>
          <w:p w14:paraId="26967D76"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0.13 (0.07-0.51)</w:t>
            </w:r>
          </w:p>
        </w:tc>
        <w:tc>
          <w:tcPr>
            <w:tcW w:w="337" w:type="dxa"/>
            <w:tcBorders>
              <w:top w:val="nil"/>
              <w:left w:val="nil"/>
              <w:bottom w:val="single" w:sz="4" w:space="0" w:color="auto"/>
              <w:right w:val="single" w:sz="4" w:space="0" w:color="auto"/>
            </w:tcBorders>
            <w:shd w:val="clear" w:color="auto" w:fill="auto"/>
            <w:noWrap/>
            <w:vAlign w:val="bottom"/>
            <w:hideMark/>
          </w:tcPr>
          <w:p w14:paraId="7657CFD6"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1.19 (0.25-2.29)</w:t>
            </w:r>
          </w:p>
        </w:tc>
      </w:tr>
      <w:tr w:rsidR="00D23E50" w:rsidRPr="00D23E50" w14:paraId="44F9322C" w14:textId="77777777" w:rsidTr="007E5956">
        <w:trPr>
          <w:trHeight w:val="580"/>
        </w:trPr>
        <w:tc>
          <w:tcPr>
            <w:tcW w:w="1312" w:type="dxa"/>
            <w:tcBorders>
              <w:top w:val="nil"/>
              <w:left w:val="single" w:sz="4" w:space="0" w:color="auto"/>
              <w:bottom w:val="single" w:sz="4" w:space="0" w:color="auto"/>
              <w:right w:val="single" w:sz="4" w:space="0" w:color="auto"/>
            </w:tcBorders>
            <w:shd w:val="clear" w:color="auto" w:fill="auto"/>
            <w:vAlign w:val="bottom"/>
            <w:hideMark/>
          </w:tcPr>
          <w:p w14:paraId="590BFE8E" w14:textId="77777777" w:rsidR="00D23E50" w:rsidRPr="007E5956" w:rsidRDefault="00D23E50" w:rsidP="00D23E50">
            <w:pPr>
              <w:spacing w:after="0" w:line="240" w:lineRule="auto"/>
              <w:rPr>
                <w:rFonts w:ascii="Calibri" w:eastAsia="Times New Roman" w:hAnsi="Calibri" w:cs="Calibri"/>
                <w:color w:val="000000"/>
                <w:lang w:val="en-US" w:eastAsia="fr-FR"/>
              </w:rPr>
            </w:pPr>
            <w:r w:rsidRPr="007E5956">
              <w:rPr>
                <w:rFonts w:ascii="Calibri" w:eastAsia="Times New Roman" w:hAnsi="Calibri" w:cs="Calibri"/>
                <w:color w:val="000000"/>
                <w:lang w:val="en-US" w:eastAsia="fr-FR"/>
              </w:rPr>
              <w:t>Time after transplant (</w:t>
            </w:r>
            <w:proofErr w:type="spellStart"/>
            <w:r w:rsidRPr="007E5956">
              <w:rPr>
                <w:rFonts w:ascii="Calibri" w:eastAsia="Times New Roman" w:hAnsi="Calibri" w:cs="Calibri"/>
                <w:color w:val="000000"/>
                <w:lang w:val="en-US" w:eastAsia="fr-FR"/>
              </w:rPr>
              <w:t>mo</w:t>
            </w:r>
            <w:proofErr w:type="spellEnd"/>
            <w:r w:rsidRPr="007E5956">
              <w:rPr>
                <w:rFonts w:ascii="Calibri" w:eastAsia="Times New Roman" w:hAnsi="Calibri" w:cs="Calibri"/>
                <w:color w:val="000000"/>
                <w:lang w:val="en-US" w:eastAsia="fr-FR"/>
              </w:rPr>
              <w:t>), median (IQR)</w:t>
            </w:r>
          </w:p>
        </w:tc>
        <w:tc>
          <w:tcPr>
            <w:tcW w:w="1366" w:type="dxa"/>
            <w:tcBorders>
              <w:top w:val="nil"/>
              <w:left w:val="nil"/>
              <w:bottom w:val="single" w:sz="4" w:space="0" w:color="auto"/>
              <w:right w:val="single" w:sz="4" w:space="0" w:color="auto"/>
            </w:tcBorders>
            <w:shd w:val="clear" w:color="auto" w:fill="auto"/>
            <w:vAlign w:val="bottom"/>
            <w:hideMark/>
          </w:tcPr>
          <w:p w14:paraId="3C31803A"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3 (3-12)</w:t>
            </w:r>
          </w:p>
        </w:tc>
        <w:tc>
          <w:tcPr>
            <w:tcW w:w="1366" w:type="dxa"/>
            <w:tcBorders>
              <w:top w:val="nil"/>
              <w:left w:val="nil"/>
              <w:bottom w:val="single" w:sz="4" w:space="0" w:color="auto"/>
              <w:right w:val="single" w:sz="4" w:space="0" w:color="auto"/>
            </w:tcBorders>
            <w:shd w:val="clear" w:color="auto" w:fill="auto"/>
            <w:vAlign w:val="bottom"/>
            <w:hideMark/>
          </w:tcPr>
          <w:p w14:paraId="52110776"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32(5-120)</w:t>
            </w:r>
          </w:p>
        </w:tc>
        <w:tc>
          <w:tcPr>
            <w:tcW w:w="1451" w:type="dxa"/>
            <w:tcBorders>
              <w:top w:val="nil"/>
              <w:left w:val="nil"/>
              <w:bottom w:val="single" w:sz="4" w:space="0" w:color="auto"/>
              <w:right w:val="single" w:sz="4" w:space="0" w:color="auto"/>
            </w:tcBorders>
            <w:shd w:val="clear" w:color="auto" w:fill="auto"/>
            <w:noWrap/>
            <w:vAlign w:val="bottom"/>
            <w:hideMark/>
          </w:tcPr>
          <w:p w14:paraId="72582443"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12 (3-53)</w:t>
            </w:r>
          </w:p>
        </w:tc>
        <w:tc>
          <w:tcPr>
            <w:tcW w:w="1451" w:type="dxa"/>
            <w:tcBorders>
              <w:top w:val="nil"/>
              <w:left w:val="nil"/>
              <w:bottom w:val="single" w:sz="4" w:space="0" w:color="auto"/>
              <w:right w:val="single" w:sz="4" w:space="0" w:color="auto"/>
            </w:tcBorders>
            <w:shd w:val="clear" w:color="auto" w:fill="auto"/>
            <w:noWrap/>
            <w:vAlign w:val="bottom"/>
            <w:hideMark/>
          </w:tcPr>
          <w:p w14:paraId="3A741BD8"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24 (12-60)</w:t>
            </w:r>
          </w:p>
        </w:tc>
        <w:tc>
          <w:tcPr>
            <w:tcW w:w="1366" w:type="dxa"/>
            <w:tcBorders>
              <w:top w:val="nil"/>
              <w:left w:val="nil"/>
              <w:bottom w:val="single" w:sz="4" w:space="0" w:color="auto"/>
              <w:right w:val="single" w:sz="4" w:space="0" w:color="auto"/>
            </w:tcBorders>
            <w:shd w:val="clear" w:color="auto" w:fill="auto"/>
            <w:noWrap/>
            <w:vAlign w:val="bottom"/>
            <w:hideMark/>
          </w:tcPr>
          <w:p w14:paraId="135D10E7" w14:textId="0BF27EF0"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0 (0.0</w:t>
            </w:r>
            <w:r w:rsidR="005F71FE">
              <w:rPr>
                <w:rFonts w:ascii="Calibri" w:eastAsia="Times New Roman" w:hAnsi="Calibri" w:cs="Calibri"/>
                <w:color w:val="000000"/>
                <w:lang w:eastAsia="fr-FR"/>
              </w:rPr>
              <w:t>%</w:t>
            </w:r>
            <w:r w:rsidRPr="00D23E50">
              <w:rPr>
                <w:rFonts w:ascii="Calibri" w:eastAsia="Times New Roman" w:hAnsi="Calibri" w:cs="Calibri"/>
                <w:color w:val="000000"/>
                <w:lang w:eastAsia="fr-FR"/>
              </w:rPr>
              <w:t>)</w:t>
            </w:r>
          </w:p>
        </w:tc>
        <w:tc>
          <w:tcPr>
            <w:tcW w:w="985" w:type="dxa"/>
            <w:tcBorders>
              <w:top w:val="nil"/>
              <w:left w:val="nil"/>
              <w:bottom w:val="single" w:sz="4" w:space="0" w:color="auto"/>
              <w:right w:val="single" w:sz="4" w:space="0" w:color="auto"/>
            </w:tcBorders>
            <w:shd w:val="clear" w:color="auto" w:fill="auto"/>
            <w:noWrap/>
            <w:vAlign w:val="bottom"/>
            <w:hideMark/>
          </w:tcPr>
          <w:p w14:paraId="745E22D1"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11 (3-25)</w:t>
            </w:r>
          </w:p>
        </w:tc>
        <w:tc>
          <w:tcPr>
            <w:tcW w:w="337" w:type="dxa"/>
            <w:tcBorders>
              <w:top w:val="nil"/>
              <w:left w:val="nil"/>
              <w:bottom w:val="single" w:sz="4" w:space="0" w:color="auto"/>
              <w:right w:val="single" w:sz="4" w:space="0" w:color="auto"/>
            </w:tcBorders>
            <w:shd w:val="clear" w:color="auto" w:fill="auto"/>
            <w:noWrap/>
            <w:vAlign w:val="bottom"/>
            <w:hideMark/>
          </w:tcPr>
          <w:p w14:paraId="5A6A8EE8" w14:textId="77777777" w:rsidR="00D23E50" w:rsidRPr="00D23E50" w:rsidRDefault="00D23E50" w:rsidP="00D23E50">
            <w:pPr>
              <w:spacing w:after="0" w:line="240" w:lineRule="auto"/>
              <w:rPr>
                <w:rFonts w:ascii="Calibri" w:eastAsia="Times New Roman" w:hAnsi="Calibri" w:cs="Calibri"/>
                <w:color w:val="000000"/>
                <w:lang w:eastAsia="fr-FR"/>
              </w:rPr>
            </w:pPr>
            <w:r w:rsidRPr="00D23E50">
              <w:rPr>
                <w:rFonts w:ascii="Calibri" w:eastAsia="Times New Roman" w:hAnsi="Calibri" w:cs="Calibri"/>
                <w:color w:val="000000"/>
                <w:lang w:eastAsia="fr-FR"/>
              </w:rPr>
              <w:t>125 (47-186)</w:t>
            </w:r>
          </w:p>
        </w:tc>
      </w:tr>
    </w:tbl>
    <w:p w14:paraId="70306EB4" w14:textId="24EF0DCF" w:rsidR="00792065" w:rsidRPr="006E5E5D" w:rsidRDefault="00792065" w:rsidP="003B0358">
      <w:pPr>
        <w:spacing w:line="480" w:lineRule="auto"/>
        <w:jc w:val="both"/>
        <w:rPr>
          <w:i/>
          <w:sz w:val="24"/>
          <w:szCs w:val="24"/>
          <w:lang w:val="en-US"/>
        </w:rPr>
      </w:pPr>
      <w:r w:rsidRPr="006E5E5D">
        <w:rPr>
          <w:rFonts w:cs="Times New Roman"/>
          <w:i/>
          <w:sz w:val="24"/>
          <w:szCs w:val="24"/>
          <w:lang w:val="en-US"/>
        </w:rPr>
        <w:t xml:space="preserve">Abbreviations: </w:t>
      </w:r>
      <w:r w:rsidRPr="006E5E5D">
        <w:rPr>
          <w:i/>
          <w:sz w:val="24"/>
          <w:szCs w:val="24"/>
          <w:lang w:val="en-US"/>
        </w:rPr>
        <w:t xml:space="preserve">ABMR, active antibody‐mediated rejection; ah, arteriolar hyalinosis criterion; c4d, linear C4d staining in </w:t>
      </w:r>
      <w:proofErr w:type="spellStart"/>
      <w:r w:rsidRPr="006E5E5D">
        <w:rPr>
          <w:i/>
          <w:sz w:val="24"/>
          <w:szCs w:val="24"/>
          <w:lang w:val="en-US"/>
        </w:rPr>
        <w:t>ptc</w:t>
      </w:r>
      <w:proofErr w:type="spellEnd"/>
      <w:r w:rsidRPr="006E5E5D">
        <w:rPr>
          <w:i/>
          <w:sz w:val="24"/>
          <w:szCs w:val="24"/>
          <w:lang w:val="en-US"/>
        </w:rPr>
        <w:t xml:space="preserve"> or medullary vasa recta criterion; cg, chronic transplant glomerulopathy criterion; ci, interstitial fibrosis in cortex criterion; </w:t>
      </w:r>
      <w:proofErr w:type="spellStart"/>
      <w:r w:rsidRPr="006E5E5D">
        <w:rPr>
          <w:i/>
          <w:sz w:val="24"/>
          <w:szCs w:val="24"/>
          <w:lang w:val="en-US"/>
        </w:rPr>
        <w:t>ct</w:t>
      </w:r>
      <w:proofErr w:type="spellEnd"/>
      <w:r w:rsidRPr="006E5E5D">
        <w:rPr>
          <w:i/>
          <w:sz w:val="24"/>
          <w:szCs w:val="24"/>
          <w:lang w:val="en-US"/>
        </w:rPr>
        <w:t>, tubular atrophy in cortex criterion; cv, arterial intimal fibrosis criterion (</w:t>
      </w:r>
      <w:proofErr w:type="spellStart"/>
      <w:r w:rsidRPr="006E5E5D">
        <w:rPr>
          <w:i/>
          <w:sz w:val="24"/>
          <w:szCs w:val="24"/>
          <w:lang w:val="en-US"/>
        </w:rPr>
        <w:t>fibrointimal</w:t>
      </w:r>
      <w:proofErr w:type="spellEnd"/>
      <w:r w:rsidRPr="006E5E5D">
        <w:rPr>
          <w:i/>
          <w:sz w:val="24"/>
          <w:szCs w:val="24"/>
          <w:lang w:val="en-US"/>
        </w:rPr>
        <w:t xml:space="preserve"> thickening); DSA, donor-specific antibodies; g, glomerulitis criterion; </w:t>
      </w:r>
      <w:proofErr w:type="spellStart"/>
      <w:r w:rsidRPr="006E5E5D">
        <w:rPr>
          <w:i/>
          <w:sz w:val="24"/>
          <w:szCs w:val="24"/>
          <w:lang w:val="en-US"/>
        </w:rPr>
        <w:t>i</w:t>
      </w:r>
      <w:proofErr w:type="spellEnd"/>
      <w:r w:rsidRPr="006E5E5D">
        <w:rPr>
          <w:i/>
          <w:sz w:val="24"/>
          <w:szCs w:val="24"/>
          <w:lang w:val="en-US"/>
        </w:rPr>
        <w:t xml:space="preserve">, inflammation in non‐scarred cortex criterion; IFTA, interstitial fibrosis/tubular atrophy grade II; IQR, interquartile range; </w:t>
      </w:r>
      <w:r w:rsidR="006E5E5D" w:rsidRPr="006E5E5D">
        <w:rPr>
          <w:i/>
          <w:sz w:val="24"/>
          <w:szCs w:val="24"/>
          <w:lang w:val="en-US"/>
        </w:rPr>
        <w:t xml:space="preserve">Normal, refers to cases with no graft alterations; </w:t>
      </w:r>
      <w:proofErr w:type="spellStart"/>
      <w:r w:rsidRPr="006E5E5D">
        <w:rPr>
          <w:i/>
          <w:sz w:val="24"/>
          <w:szCs w:val="24"/>
          <w:lang w:val="en-US"/>
        </w:rPr>
        <w:t>ptc</w:t>
      </w:r>
      <w:proofErr w:type="spellEnd"/>
      <w:r w:rsidRPr="006E5E5D">
        <w:rPr>
          <w:i/>
          <w:sz w:val="24"/>
          <w:szCs w:val="24"/>
          <w:lang w:val="en-US"/>
        </w:rPr>
        <w:t xml:space="preserve">, peritubular </w:t>
      </w:r>
      <w:proofErr w:type="spellStart"/>
      <w:r w:rsidRPr="006E5E5D">
        <w:rPr>
          <w:i/>
          <w:sz w:val="24"/>
          <w:szCs w:val="24"/>
          <w:lang w:val="en-US"/>
        </w:rPr>
        <w:t>capillaritis</w:t>
      </w:r>
      <w:proofErr w:type="spellEnd"/>
      <w:r w:rsidRPr="006E5E5D">
        <w:rPr>
          <w:i/>
          <w:sz w:val="24"/>
          <w:szCs w:val="24"/>
          <w:lang w:val="en-US"/>
        </w:rPr>
        <w:t xml:space="preserve"> criterion; t, </w:t>
      </w:r>
      <w:proofErr w:type="spellStart"/>
      <w:r w:rsidRPr="006E5E5D">
        <w:rPr>
          <w:i/>
          <w:sz w:val="24"/>
          <w:szCs w:val="24"/>
          <w:lang w:val="en-US"/>
        </w:rPr>
        <w:t>tubulitis</w:t>
      </w:r>
      <w:proofErr w:type="spellEnd"/>
      <w:r w:rsidRPr="006E5E5D">
        <w:rPr>
          <w:i/>
          <w:sz w:val="24"/>
          <w:szCs w:val="24"/>
          <w:lang w:val="en-US"/>
        </w:rPr>
        <w:t xml:space="preserve"> in cortical tubules within non‐scarred cortex criterion; </w:t>
      </w:r>
      <w:r w:rsidR="006E5E5D" w:rsidRPr="006E5E5D">
        <w:rPr>
          <w:i/>
          <w:sz w:val="24"/>
          <w:szCs w:val="24"/>
          <w:lang w:val="en-US"/>
        </w:rPr>
        <w:t xml:space="preserve">TCMR, T cell-mediated rejection; </w:t>
      </w:r>
      <w:proofErr w:type="spellStart"/>
      <w:r w:rsidRPr="006E5E5D">
        <w:rPr>
          <w:i/>
          <w:sz w:val="24"/>
          <w:szCs w:val="24"/>
          <w:lang w:val="en-US"/>
        </w:rPr>
        <w:t>ti</w:t>
      </w:r>
      <w:proofErr w:type="spellEnd"/>
      <w:r w:rsidRPr="006E5E5D">
        <w:rPr>
          <w:i/>
          <w:sz w:val="24"/>
          <w:szCs w:val="24"/>
          <w:lang w:val="en-US"/>
        </w:rPr>
        <w:t>, total cortical inflammation criterion</w:t>
      </w:r>
      <w:r w:rsidR="00485353">
        <w:rPr>
          <w:i/>
          <w:sz w:val="24"/>
          <w:szCs w:val="24"/>
          <w:lang w:val="en-US"/>
        </w:rPr>
        <w:t xml:space="preserve">; v, </w:t>
      </w:r>
      <w:r w:rsidR="0080440B" w:rsidRPr="0080440B">
        <w:rPr>
          <w:i/>
          <w:sz w:val="24"/>
          <w:szCs w:val="24"/>
          <w:lang w:val="en-US"/>
        </w:rPr>
        <w:t>endarteritis (intimal arteritis</w:t>
      </w:r>
      <w:r w:rsidR="0080440B">
        <w:rPr>
          <w:i/>
          <w:sz w:val="24"/>
          <w:szCs w:val="24"/>
          <w:lang w:val="en-US"/>
        </w:rPr>
        <w:t>)</w:t>
      </w:r>
      <w:r w:rsidRPr="006E5E5D">
        <w:rPr>
          <w:i/>
          <w:sz w:val="24"/>
          <w:szCs w:val="24"/>
          <w:lang w:val="en-US"/>
        </w:rPr>
        <w:t>.</w:t>
      </w:r>
    </w:p>
    <w:p w14:paraId="33918FA2" w14:textId="77777777" w:rsidR="00430052" w:rsidRDefault="00430052">
      <w:pPr>
        <w:rPr>
          <w:rFonts w:eastAsiaTheme="majorEastAsia" w:cs="Times New Roman"/>
          <w:b/>
          <w:sz w:val="26"/>
          <w:szCs w:val="26"/>
          <w:lang w:val="en-US"/>
        </w:rPr>
      </w:pPr>
      <w:bookmarkStart w:id="9" w:name="_Toc71726100"/>
      <w:r>
        <w:rPr>
          <w:rFonts w:cs="Times New Roman"/>
          <w:lang w:val="en-US"/>
        </w:rPr>
        <w:br w:type="page"/>
      </w:r>
    </w:p>
    <w:p w14:paraId="1717A1A8" w14:textId="08D429F8" w:rsidR="0064069F" w:rsidRDefault="00B42C81" w:rsidP="0064069F">
      <w:pPr>
        <w:pStyle w:val="Titre2"/>
        <w:rPr>
          <w:rFonts w:cs="Times New Roman"/>
          <w:lang w:val="en-US"/>
        </w:rPr>
      </w:pPr>
      <w:r w:rsidRPr="00355618">
        <w:rPr>
          <w:rFonts w:cs="Times New Roman"/>
          <w:lang w:val="en-US"/>
        </w:rPr>
        <w:t xml:space="preserve">Supplemental </w:t>
      </w:r>
      <w:r w:rsidR="0064069F" w:rsidRPr="00355618">
        <w:rPr>
          <w:rFonts w:cs="Times New Roman"/>
          <w:lang w:val="en-US"/>
        </w:rPr>
        <w:t xml:space="preserve">Table </w:t>
      </w:r>
      <w:r w:rsidR="00D23E50">
        <w:rPr>
          <w:rFonts w:cs="Times New Roman"/>
          <w:lang w:val="en-US"/>
        </w:rPr>
        <w:t>2</w:t>
      </w:r>
      <w:r w:rsidRPr="002B4FFD">
        <w:rPr>
          <w:rFonts w:cs="Times New Roman"/>
          <w:lang w:val="en-US"/>
        </w:rPr>
        <w:t xml:space="preserve">: </w:t>
      </w:r>
      <w:proofErr w:type="spellStart"/>
      <w:r w:rsidR="0064069F" w:rsidRPr="002B4FFD">
        <w:rPr>
          <w:rFonts w:cs="Times New Roman"/>
          <w:lang w:val="en-US"/>
        </w:rPr>
        <w:t>XGBoost</w:t>
      </w:r>
      <w:proofErr w:type="spellEnd"/>
      <w:r w:rsidR="0064069F" w:rsidRPr="002B4FFD">
        <w:rPr>
          <w:rFonts w:cs="Times New Roman"/>
          <w:lang w:val="en-US"/>
        </w:rPr>
        <w:t xml:space="preserve"> hyperparameters.</w:t>
      </w:r>
      <w:bookmarkEnd w:id="9"/>
    </w:p>
    <w:p w14:paraId="4E5AB72E" w14:textId="77777777" w:rsidR="00437845" w:rsidRPr="00437845" w:rsidRDefault="00437845" w:rsidP="00437845">
      <w:pPr>
        <w:rPr>
          <w:lang w:val="en-US"/>
        </w:rPr>
      </w:pPr>
    </w:p>
    <w:tbl>
      <w:tblPr>
        <w:tblW w:w="8217" w:type="dxa"/>
        <w:tblCellMar>
          <w:left w:w="70" w:type="dxa"/>
          <w:right w:w="70" w:type="dxa"/>
        </w:tblCellMar>
        <w:tblLook w:val="04A0" w:firstRow="1" w:lastRow="0" w:firstColumn="1" w:lastColumn="0" w:noHBand="0" w:noVBand="1"/>
      </w:tblPr>
      <w:tblGrid>
        <w:gridCol w:w="1856"/>
        <w:gridCol w:w="1586"/>
        <w:gridCol w:w="821"/>
        <w:gridCol w:w="710"/>
        <w:gridCol w:w="3314"/>
      </w:tblGrid>
      <w:tr w:rsidR="00700022" w:rsidRPr="00B42C81" w14:paraId="16BA50DD" w14:textId="77777777" w:rsidTr="0078553A">
        <w:trPr>
          <w:trHeight w:val="290"/>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7E1BA" w14:textId="77777777" w:rsidR="00700022" w:rsidRPr="002B4FFD" w:rsidRDefault="00700022" w:rsidP="00700022">
            <w:pPr>
              <w:spacing w:after="0" w:line="240" w:lineRule="auto"/>
              <w:rPr>
                <w:rFonts w:eastAsia="Times New Roman" w:cs="Times New Roman"/>
                <w:sz w:val="24"/>
                <w:lang w:val="en-US" w:eastAsia="fr-FR"/>
              </w:rPr>
            </w:pPr>
            <w:r w:rsidRPr="002B4FFD">
              <w:rPr>
                <w:rFonts w:eastAsia="Times New Roman" w:cs="Times New Roman"/>
                <w:sz w:val="24"/>
                <w:lang w:val="en-US" w:eastAsia="fr-FR"/>
              </w:rPr>
              <w:t> </w:t>
            </w:r>
          </w:p>
        </w:tc>
        <w:tc>
          <w:tcPr>
            <w:tcW w:w="6361" w:type="dxa"/>
            <w:gridSpan w:val="4"/>
            <w:tcBorders>
              <w:top w:val="single" w:sz="4" w:space="0" w:color="auto"/>
              <w:left w:val="nil"/>
              <w:bottom w:val="single" w:sz="4" w:space="0" w:color="auto"/>
              <w:right w:val="single" w:sz="4" w:space="0" w:color="auto"/>
            </w:tcBorders>
            <w:shd w:val="clear" w:color="auto" w:fill="auto"/>
            <w:noWrap/>
            <w:vAlign w:val="bottom"/>
            <w:hideMark/>
          </w:tcPr>
          <w:p w14:paraId="4FEB737D" w14:textId="77777777" w:rsidR="00700022" w:rsidRPr="002B4FFD" w:rsidRDefault="00700022" w:rsidP="00700022">
            <w:pPr>
              <w:spacing w:after="0" w:line="240" w:lineRule="auto"/>
              <w:jc w:val="center"/>
              <w:rPr>
                <w:rFonts w:eastAsia="Times New Roman" w:cs="Times New Roman"/>
                <w:sz w:val="24"/>
                <w:lang w:eastAsia="fr-FR"/>
              </w:rPr>
            </w:pPr>
            <w:r w:rsidRPr="002B4FFD">
              <w:rPr>
                <w:rFonts w:eastAsia="Times New Roman" w:cs="Times New Roman"/>
                <w:sz w:val="24"/>
                <w:lang w:eastAsia="fr-FR"/>
              </w:rPr>
              <w:t>Model</w:t>
            </w:r>
          </w:p>
        </w:tc>
      </w:tr>
      <w:tr w:rsidR="00700022" w:rsidRPr="00522162" w14:paraId="27EAD2E4" w14:textId="77777777" w:rsidTr="0078553A">
        <w:trPr>
          <w:trHeight w:val="290"/>
        </w:trPr>
        <w:tc>
          <w:tcPr>
            <w:tcW w:w="1856" w:type="dxa"/>
            <w:tcBorders>
              <w:top w:val="nil"/>
              <w:left w:val="single" w:sz="4" w:space="0" w:color="auto"/>
              <w:bottom w:val="single" w:sz="4" w:space="0" w:color="auto"/>
              <w:right w:val="single" w:sz="4" w:space="0" w:color="auto"/>
            </w:tcBorders>
            <w:shd w:val="clear" w:color="auto" w:fill="auto"/>
            <w:noWrap/>
            <w:vAlign w:val="bottom"/>
            <w:hideMark/>
          </w:tcPr>
          <w:p w14:paraId="04BCE895" w14:textId="77777777" w:rsidR="00700022" w:rsidRPr="002B4FFD" w:rsidRDefault="00700022" w:rsidP="00700022">
            <w:pPr>
              <w:spacing w:after="0" w:line="240" w:lineRule="auto"/>
              <w:rPr>
                <w:rFonts w:eastAsia="Times New Roman" w:cs="Times New Roman"/>
                <w:sz w:val="24"/>
                <w:lang w:eastAsia="fr-FR"/>
              </w:rPr>
            </w:pPr>
            <w:proofErr w:type="spellStart"/>
            <w:r w:rsidRPr="002B4FFD">
              <w:rPr>
                <w:rFonts w:eastAsia="Times New Roman" w:cs="Times New Roman"/>
                <w:sz w:val="24"/>
                <w:lang w:eastAsia="fr-FR"/>
              </w:rPr>
              <w:t>Hyperparameters</w:t>
            </w:r>
            <w:proofErr w:type="spellEnd"/>
          </w:p>
        </w:tc>
        <w:tc>
          <w:tcPr>
            <w:tcW w:w="1586" w:type="dxa"/>
            <w:tcBorders>
              <w:top w:val="nil"/>
              <w:left w:val="nil"/>
              <w:bottom w:val="single" w:sz="4" w:space="0" w:color="auto"/>
              <w:right w:val="single" w:sz="4" w:space="0" w:color="auto"/>
            </w:tcBorders>
            <w:shd w:val="clear" w:color="auto" w:fill="auto"/>
            <w:noWrap/>
            <w:vAlign w:val="bottom"/>
            <w:hideMark/>
          </w:tcPr>
          <w:p w14:paraId="5E335BBE" w14:textId="77777777" w:rsidR="00700022" w:rsidRPr="002B4FFD" w:rsidRDefault="00700022" w:rsidP="0078553A">
            <w:pPr>
              <w:spacing w:after="0" w:line="240" w:lineRule="auto"/>
              <w:jc w:val="center"/>
              <w:rPr>
                <w:rFonts w:eastAsia="Times New Roman" w:cs="Times New Roman"/>
                <w:sz w:val="24"/>
                <w:lang w:eastAsia="fr-FR"/>
              </w:rPr>
            </w:pPr>
            <w:r w:rsidRPr="002B4FFD">
              <w:rPr>
                <w:rFonts w:eastAsia="Times New Roman" w:cs="Times New Roman"/>
                <w:sz w:val="24"/>
                <w:lang w:eastAsia="fr-FR"/>
              </w:rPr>
              <w:t>Active ABMR</w:t>
            </w:r>
          </w:p>
        </w:tc>
        <w:tc>
          <w:tcPr>
            <w:tcW w:w="751" w:type="dxa"/>
            <w:tcBorders>
              <w:top w:val="nil"/>
              <w:left w:val="nil"/>
              <w:bottom w:val="single" w:sz="4" w:space="0" w:color="auto"/>
              <w:right w:val="single" w:sz="4" w:space="0" w:color="auto"/>
            </w:tcBorders>
            <w:shd w:val="clear" w:color="auto" w:fill="auto"/>
            <w:noWrap/>
            <w:vAlign w:val="bottom"/>
            <w:hideMark/>
          </w:tcPr>
          <w:p w14:paraId="73536A07" w14:textId="77777777" w:rsidR="00700022" w:rsidRPr="002B4FFD" w:rsidRDefault="00700022" w:rsidP="0078553A">
            <w:pPr>
              <w:spacing w:after="0" w:line="240" w:lineRule="auto"/>
              <w:jc w:val="center"/>
              <w:rPr>
                <w:rFonts w:eastAsia="Times New Roman" w:cs="Times New Roman"/>
                <w:sz w:val="24"/>
                <w:lang w:eastAsia="fr-FR"/>
              </w:rPr>
            </w:pPr>
            <w:r w:rsidRPr="002B4FFD">
              <w:rPr>
                <w:rFonts w:eastAsia="Times New Roman" w:cs="Times New Roman"/>
                <w:sz w:val="24"/>
                <w:lang w:eastAsia="fr-FR"/>
              </w:rPr>
              <w:t>TCMR</w:t>
            </w:r>
          </w:p>
        </w:tc>
        <w:tc>
          <w:tcPr>
            <w:tcW w:w="710" w:type="dxa"/>
            <w:tcBorders>
              <w:top w:val="nil"/>
              <w:left w:val="nil"/>
              <w:bottom w:val="single" w:sz="4" w:space="0" w:color="auto"/>
              <w:right w:val="single" w:sz="4" w:space="0" w:color="auto"/>
            </w:tcBorders>
            <w:shd w:val="clear" w:color="auto" w:fill="auto"/>
            <w:noWrap/>
            <w:vAlign w:val="bottom"/>
            <w:hideMark/>
          </w:tcPr>
          <w:p w14:paraId="62177EDC" w14:textId="77777777" w:rsidR="00700022" w:rsidRPr="002B4FFD" w:rsidRDefault="00700022" w:rsidP="0078553A">
            <w:pPr>
              <w:spacing w:after="0" w:line="240" w:lineRule="auto"/>
              <w:jc w:val="center"/>
              <w:rPr>
                <w:rFonts w:eastAsia="Times New Roman" w:cs="Times New Roman"/>
                <w:sz w:val="24"/>
                <w:lang w:eastAsia="fr-FR"/>
              </w:rPr>
            </w:pPr>
            <w:r w:rsidRPr="002B4FFD">
              <w:rPr>
                <w:rFonts w:eastAsia="Times New Roman" w:cs="Times New Roman"/>
                <w:sz w:val="24"/>
                <w:lang w:eastAsia="fr-FR"/>
              </w:rPr>
              <w:t>IFTA</w:t>
            </w:r>
          </w:p>
        </w:tc>
        <w:tc>
          <w:tcPr>
            <w:tcW w:w="3314" w:type="dxa"/>
            <w:tcBorders>
              <w:top w:val="nil"/>
              <w:left w:val="nil"/>
              <w:bottom w:val="single" w:sz="4" w:space="0" w:color="auto"/>
              <w:right w:val="single" w:sz="4" w:space="0" w:color="auto"/>
            </w:tcBorders>
            <w:shd w:val="clear" w:color="auto" w:fill="auto"/>
            <w:noWrap/>
            <w:vAlign w:val="bottom"/>
            <w:hideMark/>
          </w:tcPr>
          <w:p w14:paraId="3A6AA28D" w14:textId="0F911856" w:rsidR="00700022" w:rsidRPr="002B4FFD" w:rsidRDefault="00700022" w:rsidP="0078553A">
            <w:pPr>
              <w:spacing w:after="0" w:line="240" w:lineRule="auto"/>
              <w:jc w:val="center"/>
              <w:rPr>
                <w:rFonts w:eastAsia="Times New Roman" w:cs="Times New Roman"/>
                <w:sz w:val="24"/>
                <w:lang w:val="en-US" w:eastAsia="fr-FR"/>
              </w:rPr>
            </w:pPr>
            <w:r w:rsidRPr="002B4FFD">
              <w:rPr>
                <w:rFonts w:eastAsia="Times New Roman" w:cs="Times New Roman"/>
                <w:sz w:val="24"/>
                <w:lang w:val="en-US" w:eastAsia="fr-FR"/>
              </w:rPr>
              <w:t>ABMR active/chronic</w:t>
            </w:r>
            <w:r w:rsidR="00AD687F" w:rsidRPr="002B4FFD">
              <w:rPr>
                <w:rFonts w:eastAsia="Times New Roman" w:cs="Times New Roman"/>
                <w:sz w:val="24"/>
                <w:lang w:val="en-US" w:eastAsia="fr-FR"/>
              </w:rPr>
              <w:t xml:space="preserve"> active</w:t>
            </w:r>
          </w:p>
        </w:tc>
      </w:tr>
      <w:tr w:rsidR="00700022" w:rsidRPr="00B42C81" w14:paraId="5ED51254" w14:textId="77777777" w:rsidTr="0078553A">
        <w:trPr>
          <w:trHeight w:val="290"/>
        </w:trPr>
        <w:tc>
          <w:tcPr>
            <w:tcW w:w="1856" w:type="dxa"/>
            <w:tcBorders>
              <w:top w:val="nil"/>
              <w:left w:val="single" w:sz="4" w:space="0" w:color="auto"/>
              <w:bottom w:val="single" w:sz="4" w:space="0" w:color="auto"/>
              <w:right w:val="single" w:sz="4" w:space="0" w:color="auto"/>
            </w:tcBorders>
            <w:shd w:val="clear" w:color="auto" w:fill="auto"/>
            <w:noWrap/>
            <w:vAlign w:val="bottom"/>
            <w:hideMark/>
          </w:tcPr>
          <w:p w14:paraId="76A93C3B" w14:textId="77777777" w:rsidR="00700022" w:rsidRPr="002B4FFD" w:rsidRDefault="00700022" w:rsidP="00700022">
            <w:pPr>
              <w:spacing w:after="0" w:line="240" w:lineRule="auto"/>
              <w:rPr>
                <w:rFonts w:eastAsia="Times New Roman" w:cs="Times New Roman"/>
                <w:sz w:val="24"/>
                <w:lang w:eastAsia="fr-FR"/>
              </w:rPr>
            </w:pPr>
            <w:proofErr w:type="spellStart"/>
            <w:proofErr w:type="gramStart"/>
            <w:r w:rsidRPr="002B4FFD">
              <w:rPr>
                <w:rFonts w:eastAsia="Times New Roman" w:cs="Times New Roman"/>
                <w:sz w:val="24"/>
                <w:lang w:eastAsia="fr-FR"/>
              </w:rPr>
              <w:t>mtry</w:t>
            </w:r>
            <w:proofErr w:type="spellEnd"/>
            <w:proofErr w:type="gramEnd"/>
          </w:p>
        </w:tc>
        <w:tc>
          <w:tcPr>
            <w:tcW w:w="1586" w:type="dxa"/>
            <w:tcBorders>
              <w:top w:val="nil"/>
              <w:left w:val="nil"/>
              <w:bottom w:val="single" w:sz="4" w:space="0" w:color="auto"/>
              <w:right w:val="single" w:sz="4" w:space="0" w:color="auto"/>
            </w:tcBorders>
            <w:shd w:val="clear" w:color="auto" w:fill="auto"/>
            <w:noWrap/>
            <w:vAlign w:val="bottom"/>
            <w:hideMark/>
          </w:tcPr>
          <w:p w14:paraId="5578A79B" w14:textId="77777777" w:rsidR="00700022" w:rsidRPr="002B4FFD" w:rsidRDefault="00700022" w:rsidP="0078553A">
            <w:pPr>
              <w:spacing w:after="0" w:line="240" w:lineRule="auto"/>
              <w:jc w:val="center"/>
              <w:rPr>
                <w:rFonts w:eastAsia="Times New Roman" w:cs="Times New Roman"/>
                <w:sz w:val="24"/>
                <w:lang w:eastAsia="fr-FR"/>
              </w:rPr>
            </w:pPr>
            <w:r w:rsidRPr="002B4FFD">
              <w:rPr>
                <w:rFonts w:eastAsia="Times New Roman" w:cs="Times New Roman"/>
                <w:sz w:val="24"/>
                <w:lang w:eastAsia="fr-FR"/>
              </w:rPr>
              <w:t>2</w:t>
            </w:r>
          </w:p>
        </w:tc>
        <w:tc>
          <w:tcPr>
            <w:tcW w:w="751" w:type="dxa"/>
            <w:tcBorders>
              <w:top w:val="nil"/>
              <w:left w:val="nil"/>
              <w:bottom w:val="single" w:sz="4" w:space="0" w:color="auto"/>
              <w:right w:val="single" w:sz="4" w:space="0" w:color="auto"/>
            </w:tcBorders>
            <w:shd w:val="clear" w:color="auto" w:fill="auto"/>
            <w:noWrap/>
            <w:vAlign w:val="bottom"/>
            <w:hideMark/>
          </w:tcPr>
          <w:p w14:paraId="10C2CF09" w14:textId="77777777" w:rsidR="00700022" w:rsidRPr="002B4FFD" w:rsidRDefault="00700022" w:rsidP="0078553A">
            <w:pPr>
              <w:spacing w:after="0" w:line="240" w:lineRule="auto"/>
              <w:jc w:val="center"/>
              <w:rPr>
                <w:rFonts w:eastAsia="Times New Roman" w:cs="Times New Roman"/>
                <w:sz w:val="24"/>
                <w:lang w:eastAsia="fr-FR"/>
              </w:rPr>
            </w:pPr>
            <w:r w:rsidRPr="002B4FFD">
              <w:rPr>
                <w:rFonts w:eastAsia="Times New Roman" w:cs="Times New Roman"/>
                <w:sz w:val="24"/>
                <w:lang w:eastAsia="fr-FR"/>
              </w:rPr>
              <w:t>20</w:t>
            </w:r>
          </w:p>
        </w:tc>
        <w:tc>
          <w:tcPr>
            <w:tcW w:w="710" w:type="dxa"/>
            <w:tcBorders>
              <w:top w:val="nil"/>
              <w:left w:val="nil"/>
              <w:bottom w:val="single" w:sz="4" w:space="0" w:color="auto"/>
              <w:right w:val="single" w:sz="4" w:space="0" w:color="auto"/>
            </w:tcBorders>
            <w:shd w:val="clear" w:color="auto" w:fill="auto"/>
            <w:noWrap/>
            <w:vAlign w:val="bottom"/>
            <w:hideMark/>
          </w:tcPr>
          <w:p w14:paraId="1C8D4B10" w14:textId="77777777" w:rsidR="00700022" w:rsidRPr="002B4FFD" w:rsidRDefault="00700022" w:rsidP="0078553A">
            <w:pPr>
              <w:spacing w:after="0" w:line="240" w:lineRule="auto"/>
              <w:jc w:val="center"/>
              <w:rPr>
                <w:rFonts w:eastAsia="Times New Roman" w:cs="Times New Roman"/>
                <w:sz w:val="24"/>
                <w:lang w:eastAsia="fr-FR"/>
              </w:rPr>
            </w:pPr>
            <w:r w:rsidRPr="002B4FFD">
              <w:rPr>
                <w:rFonts w:eastAsia="Times New Roman" w:cs="Times New Roman"/>
                <w:sz w:val="24"/>
                <w:lang w:eastAsia="fr-FR"/>
              </w:rPr>
              <w:t>15</w:t>
            </w:r>
          </w:p>
        </w:tc>
        <w:tc>
          <w:tcPr>
            <w:tcW w:w="3314" w:type="dxa"/>
            <w:tcBorders>
              <w:top w:val="nil"/>
              <w:left w:val="nil"/>
              <w:bottom w:val="single" w:sz="4" w:space="0" w:color="auto"/>
              <w:right w:val="single" w:sz="4" w:space="0" w:color="auto"/>
            </w:tcBorders>
            <w:shd w:val="clear" w:color="auto" w:fill="auto"/>
            <w:noWrap/>
            <w:vAlign w:val="bottom"/>
            <w:hideMark/>
          </w:tcPr>
          <w:p w14:paraId="73856087" w14:textId="4C5F5623" w:rsidR="00700022" w:rsidRPr="002B4FFD" w:rsidRDefault="00700022" w:rsidP="0078553A">
            <w:pPr>
              <w:spacing w:after="0" w:line="240" w:lineRule="auto"/>
              <w:jc w:val="center"/>
              <w:rPr>
                <w:rFonts w:eastAsia="Times New Roman" w:cs="Times New Roman"/>
                <w:sz w:val="24"/>
                <w:lang w:eastAsia="fr-FR"/>
              </w:rPr>
            </w:pPr>
            <w:r w:rsidRPr="002B4FFD">
              <w:rPr>
                <w:rFonts w:eastAsia="Times New Roman" w:cs="Times New Roman"/>
                <w:sz w:val="24"/>
                <w:lang w:eastAsia="fr-FR"/>
              </w:rPr>
              <w:t>1</w:t>
            </w:r>
            <w:r w:rsidR="00E35768">
              <w:rPr>
                <w:rFonts w:eastAsia="Times New Roman" w:cs="Times New Roman"/>
                <w:sz w:val="24"/>
                <w:lang w:eastAsia="fr-FR"/>
              </w:rPr>
              <w:t>3</w:t>
            </w:r>
          </w:p>
        </w:tc>
      </w:tr>
      <w:tr w:rsidR="00700022" w:rsidRPr="00B42C81" w14:paraId="2821F8E9" w14:textId="77777777" w:rsidTr="0078553A">
        <w:trPr>
          <w:trHeight w:val="290"/>
        </w:trPr>
        <w:tc>
          <w:tcPr>
            <w:tcW w:w="1856" w:type="dxa"/>
            <w:tcBorders>
              <w:top w:val="nil"/>
              <w:left w:val="single" w:sz="4" w:space="0" w:color="auto"/>
              <w:bottom w:val="single" w:sz="4" w:space="0" w:color="auto"/>
              <w:right w:val="single" w:sz="4" w:space="0" w:color="auto"/>
            </w:tcBorders>
            <w:shd w:val="clear" w:color="auto" w:fill="auto"/>
            <w:noWrap/>
            <w:vAlign w:val="bottom"/>
            <w:hideMark/>
          </w:tcPr>
          <w:p w14:paraId="2F2D00F3" w14:textId="77777777" w:rsidR="00700022" w:rsidRPr="002B4FFD" w:rsidRDefault="00700022" w:rsidP="00700022">
            <w:pPr>
              <w:spacing w:after="0" w:line="240" w:lineRule="auto"/>
              <w:rPr>
                <w:rFonts w:eastAsia="Times New Roman" w:cs="Times New Roman"/>
                <w:sz w:val="24"/>
                <w:lang w:eastAsia="fr-FR"/>
              </w:rPr>
            </w:pPr>
            <w:proofErr w:type="spellStart"/>
            <w:r w:rsidRPr="002B4FFD">
              <w:rPr>
                <w:rFonts w:eastAsia="Times New Roman" w:cs="Times New Roman"/>
                <w:sz w:val="24"/>
                <w:lang w:eastAsia="fr-FR"/>
              </w:rPr>
              <w:t>Trees</w:t>
            </w:r>
            <w:proofErr w:type="spellEnd"/>
          </w:p>
        </w:tc>
        <w:tc>
          <w:tcPr>
            <w:tcW w:w="1586" w:type="dxa"/>
            <w:tcBorders>
              <w:top w:val="nil"/>
              <w:left w:val="nil"/>
              <w:bottom w:val="single" w:sz="4" w:space="0" w:color="auto"/>
              <w:right w:val="single" w:sz="4" w:space="0" w:color="auto"/>
            </w:tcBorders>
            <w:shd w:val="clear" w:color="auto" w:fill="auto"/>
            <w:noWrap/>
            <w:vAlign w:val="bottom"/>
            <w:hideMark/>
          </w:tcPr>
          <w:p w14:paraId="6C8A3B59" w14:textId="77777777" w:rsidR="00700022" w:rsidRPr="002B4FFD" w:rsidRDefault="00700022" w:rsidP="0078553A">
            <w:pPr>
              <w:spacing w:after="0" w:line="240" w:lineRule="auto"/>
              <w:jc w:val="center"/>
              <w:rPr>
                <w:rFonts w:eastAsia="Times New Roman" w:cs="Times New Roman"/>
                <w:sz w:val="24"/>
                <w:lang w:eastAsia="fr-FR"/>
              </w:rPr>
            </w:pPr>
            <w:r w:rsidRPr="002B4FFD">
              <w:rPr>
                <w:rFonts w:eastAsia="Times New Roman" w:cs="Times New Roman"/>
                <w:sz w:val="24"/>
                <w:lang w:eastAsia="fr-FR"/>
              </w:rPr>
              <w:t>1000</w:t>
            </w:r>
          </w:p>
        </w:tc>
        <w:tc>
          <w:tcPr>
            <w:tcW w:w="751" w:type="dxa"/>
            <w:tcBorders>
              <w:top w:val="nil"/>
              <w:left w:val="nil"/>
              <w:bottom w:val="single" w:sz="4" w:space="0" w:color="auto"/>
              <w:right w:val="single" w:sz="4" w:space="0" w:color="auto"/>
            </w:tcBorders>
            <w:shd w:val="clear" w:color="auto" w:fill="auto"/>
            <w:noWrap/>
            <w:vAlign w:val="bottom"/>
            <w:hideMark/>
          </w:tcPr>
          <w:p w14:paraId="0E13B3B4" w14:textId="77777777" w:rsidR="00700022" w:rsidRPr="002B4FFD" w:rsidRDefault="00700022" w:rsidP="0078553A">
            <w:pPr>
              <w:spacing w:after="0" w:line="240" w:lineRule="auto"/>
              <w:jc w:val="center"/>
              <w:rPr>
                <w:rFonts w:eastAsia="Times New Roman" w:cs="Times New Roman"/>
                <w:sz w:val="24"/>
                <w:lang w:eastAsia="fr-FR"/>
              </w:rPr>
            </w:pPr>
            <w:r w:rsidRPr="002B4FFD">
              <w:rPr>
                <w:rFonts w:eastAsia="Times New Roman" w:cs="Times New Roman"/>
                <w:sz w:val="24"/>
                <w:lang w:eastAsia="fr-FR"/>
              </w:rPr>
              <w:t>1000</w:t>
            </w:r>
          </w:p>
        </w:tc>
        <w:tc>
          <w:tcPr>
            <w:tcW w:w="710" w:type="dxa"/>
            <w:tcBorders>
              <w:top w:val="nil"/>
              <w:left w:val="nil"/>
              <w:bottom w:val="single" w:sz="4" w:space="0" w:color="auto"/>
              <w:right w:val="single" w:sz="4" w:space="0" w:color="auto"/>
            </w:tcBorders>
            <w:shd w:val="clear" w:color="auto" w:fill="auto"/>
            <w:noWrap/>
            <w:vAlign w:val="bottom"/>
            <w:hideMark/>
          </w:tcPr>
          <w:p w14:paraId="24E1C94C" w14:textId="77777777" w:rsidR="00700022" w:rsidRPr="002B4FFD" w:rsidRDefault="00700022" w:rsidP="0078553A">
            <w:pPr>
              <w:spacing w:after="0" w:line="240" w:lineRule="auto"/>
              <w:jc w:val="center"/>
              <w:rPr>
                <w:rFonts w:eastAsia="Times New Roman" w:cs="Times New Roman"/>
                <w:sz w:val="24"/>
                <w:lang w:eastAsia="fr-FR"/>
              </w:rPr>
            </w:pPr>
            <w:r w:rsidRPr="002B4FFD">
              <w:rPr>
                <w:rFonts w:eastAsia="Times New Roman" w:cs="Times New Roman"/>
                <w:sz w:val="24"/>
                <w:lang w:eastAsia="fr-FR"/>
              </w:rPr>
              <w:t>1000</w:t>
            </w:r>
          </w:p>
        </w:tc>
        <w:tc>
          <w:tcPr>
            <w:tcW w:w="3314" w:type="dxa"/>
            <w:tcBorders>
              <w:top w:val="nil"/>
              <w:left w:val="nil"/>
              <w:bottom w:val="single" w:sz="4" w:space="0" w:color="auto"/>
              <w:right w:val="single" w:sz="4" w:space="0" w:color="auto"/>
            </w:tcBorders>
            <w:shd w:val="clear" w:color="auto" w:fill="auto"/>
            <w:noWrap/>
            <w:vAlign w:val="bottom"/>
            <w:hideMark/>
          </w:tcPr>
          <w:p w14:paraId="04F43856" w14:textId="77777777" w:rsidR="00700022" w:rsidRPr="002B4FFD" w:rsidRDefault="00700022" w:rsidP="0078553A">
            <w:pPr>
              <w:spacing w:after="0" w:line="240" w:lineRule="auto"/>
              <w:jc w:val="center"/>
              <w:rPr>
                <w:rFonts w:eastAsia="Times New Roman" w:cs="Times New Roman"/>
                <w:sz w:val="24"/>
                <w:lang w:eastAsia="fr-FR"/>
              </w:rPr>
            </w:pPr>
            <w:r w:rsidRPr="002B4FFD">
              <w:rPr>
                <w:rFonts w:eastAsia="Times New Roman" w:cs="Times New Roman"/>
                <w:sz w:val="24"/>
                <w:lang w:eastAsia="fr-FR"/>
              </w:rPr>
              <w:t>1000</w:t>
            </w:r>
          </w:p>
        </w:tc>
      </w:tr>
      <w:tr w:rsidR="00700022" w:rsidRPr="00B42C81" w14:paraId="31B6ED39" w14:textId="77777777" w:rsidTr="0078553A">
        <w:trPr>
          <w:trHeight w:val="290"/>
        </w:trPr>
        <w:tc>
          <w:tcPr>
            <w:tcW w:w="1856" w:type="dxa"/>
            <w:tcBorders>
              <w:top w:val="nil"/>
              <w:left w:val="single" w:sz="4" w:space="0" w:color="auto"/>
              <w:bottom w:val="single" w:sz="4" w:space="0" w:color="auto"/>
              <w:right w:val="single" w:sz="4" w:space="0" w:color="auto"/>
            </w:tcBorders>
            <w:shd w:val="clear" w:color="auto" w:fill="auto"/>
            <w:noWrap/>
            <w:vAlign w:val="bottom"/>
            <w:hideMark/>
          </w:tcPr>
          <w:p w14:paraId="3A56C8EE" w14:textId="77777777" w:rsidR="00700022" w:rsidRPr="002B4FFD" w:rsidRDefault="00700022" w:rsidP="00700022">
            <w:pPr>
              <w:spacing w:after="0" w:line="240" w:lineRule="auto"/>
              <w:rPr>
                <w:rFonts w:eastAsia="Times New Roman" w:cs="Times New Roman"/>
                <w:sz w:val="24"/>
                <w:lang w:eastAsia="fr-FR"/>
              </w:rPr>
            </w:pPr>
            <w:proofErr w:type="spellStart"/>
            <w:proofErr w:type="gramStart"/>
            <w:r w:rsidRPr="002B4FFD">
              <w:rPr>
                <w:rFonts w:eastAsia="Times New Roman" w:cs="Times New Roman"/>
                <w:sz w:val="24"/>
                <w:lang w:eastAsia="fr-FR"/>
              </w:rPr>
              <w:t>min</w:t>
            </w:r>
            <w:proofErr w:type="gramEnd"/>
            <w:r w:rsidRPr="002B4FFD">
              <w:rPr>
                <w:rFonts w:eastAsia="Times New Roman" w:cs="Times New Roman"/>
                <w:sz w:val="24"/>
                <w:lang w:eastAsia="fr-FR"/>
              </w:rPr>
              <w:t>_n</w:t>
            </w:r>
            <w:proofErr w:type="spellEnd"/>
          </w:p>
        </w:tc>
        <w:tc>
          <w:tcPr>
            <w:tcW w:w="1586" w:type="dxa"/>
            <w:tcBorders>
              <w:top w:val="nil"/>
              <w:left w:val="nil"/>
              <w:bottom w:val="single" w:sz="4" w:space="0" w:color="auto"/>
              <w:right w:val="single" w:sz="4" w:space="0" w:color="auto"/>
            </w:tcBorders>
            <w:shd w:val="clear" w:color="auto" w:fill="auto"/>
            <w:noWrap/>
            <w:vAlign w:val="bottom"/>
            <w:hideMark/>
          </w:tcPr>
          <w:p w14:paraId="2E671479" w14:textId="77777777" w:rsidR="00700022" w:rsidRPr="002B4FFD" w:rsidRDefault="00700022" w:rsidP="0078553A">
            <w:pPr>
              <w:spacing w:after="0" w:line="240" w:lineRule="auto"/>
              <w:jc w:val="center"/>
              <w:rPr>
                <w:rFonts w:eastAsia="Times New Roman" w:cs="Times New Roman"/>
                <w:sz w:val="24"/>
                <w:lang w:eastAsia="fr-FR"/>
              </w:rPr>
            </w:pPr>
            <w:r w:rsidRPr="002B4FFD">
              <w:rPr>
                <w:rFonts w:eastAsia="Times New Roman" w:cs="Times New Roman"/>
                <w:sz w:val="24"/>
                <w:lang w:eastAsia="fr-FR"/>
              </w:rPr>
              <w:t>2</w:t>
            </w:r>
          </w:p>
        </w:tc>
        <w:tc>
          <w:tcPr>
            <w:tcW w:w="751" w:type="dxa"/>
            <w:tcBorders>
              <w:top w:val="nil"/>
              <w:left w:val="nil"/>
              <w:bottom w:val="single" w:sz="4" w:space="0" w:color="auto"/>
              <w:right w:val="single" w:sz="4" w:space="0" w:color="auto"/>
            </w:tcBorders>
            <w:shd w:val="clear" w:color="auto" w:fill="auto"/>
            <w:noWrap/>
            <w:vAlign w:val="bottom"/>
            <w:hideMark/>
          </w:tcPr>
          <w:p w14:paraId="438940C5" w14:textId="77777777" w:rsidR="00700022" w:rsidRPr="002B4FFD" w:rsidRDefault="00700022" w:rsidP="0078553A">
            <w:pPr>
              <w:spacing w:after="0" w:line="240" w:lineRule="auto"/>
              <w:jc w:val="center"/>
              <w:rPr>
                <w:rFonts w:eastAsia="Times New Roman" w:cs="Times New Roman"/>
                <w:sz w:val="24"/>
                <w:lang w:eastAsia="fr-FR"/>
              </w:rPr>
            </w:pPr>
            <w:r w:rsidRPr="002B4FFD">
              <w:rPr>
                <w:rFonts w:eastAsia="Times New Roman" w:cs="Times New Roman"/>
                <w:sz w:val="24"/>
                <w:lang w:eastAsia="fr-FR"/>
              </w:rPr>
              <w:t>6</w:t>
            </w:r>
          </w:p>
        </w:tc>
        <w:tc>
          <w:tcPr>
            <w:tcW w:w="710" w:type="dxa"/>
            <w:tcBorders>
              <w:top w:val="nil"/>
              <w:left w:val="nil"/>
              <w:bottom w:val="single" w:sz="4" w:space="0" w:color="auto"/>
              <w:right w:val="single" w:sz="4" w:space="0" w:color="auto"/>
            </w:tcBorders>
            <w:shd w:val="clear" w:color="auto" w:fill="auto"/>
            <w:noWrap/>
            <w:vAlign w:val="bottom"/>
            <w:hideMark/>
          </w:tcPr>
          <w:p w14:paraId="0386A51B" w14:textId="77777777" w:rsidR="00700022" w:rsidRPr="002B4FFD" w:rsidRDefault="00700022" w:rsidP="0078553A">
            <w:pPr>
              <w:spacing w:after="0" w:line="240" w:lineRule="auto"/>
              <w:jc w:val="center"/>
              <w:rPr>
                <w:rFonts w:eastAsia="Times New Roman" w:cs="Times New Roman"/>
                <w:sz w:val="24"/>
                <w:lang w:eastAsia="fr-FR"/>
              </w:rPr>
            </w:pPr>
            <w:r w:rsidRPr="002B4FFD">
              <w:rPr>
                <w:rFonts w:eastAsia="Times New Roman" w:cs="Times New Roman"/>
                <w:sz w:val="24"/>
                <w:lang w:eastAsia="fr-FR"/>
              </w:rPr>
              <w:t>4</w:t>
            </w:r>
          </w:p>
        </w:tc>
        <w:tc>
          <w:tcPr>
            <w:tcW w:w="3314" w:type="dxa"/>
            <w:tcBorders>
              <w:top w:val="nil"/>
              <w:left w:val="nil"/>
              <w:bottom w:val="single" w:sz="4" w:space="0" w:color="auto"/>
              <w:right w:val="single" w:sz="4" w:space="0" w:color="auto"/>
            </w:tcBorders>
            <w:shd w:val="clear" w:color="auto" w:fill="auto"/>
            <w:noWrap/>
            <w:vAlign w:val="bottom"/>
            <w:hideMark/>
          </w:tcPr>
          <w:p w14:paraId="5F78A09F" w14:textId="77777777" w:rsidR="00700022" w:rsidRPr="002B4FFD" w:rsidRDefault="00700022" w:rsidP="0078553A">
            <w:pPr>
              <w:spacing w:after="0" w:line="240" w:lineRule="auto"/>
              <w:jc w:val="center"/>
              <w:rPr>
                <w:rFonts w:eastAsia="Times New Roman" w:cs="Times New Roman"/>
                <w:sz w:val="24"/>
                <w:lang w:eastAsia="fr-FR"/>
              </w:rPr>
            </w:pPr>
            <w:r w:rsidRPr="002B4FFD">
              <w:rPr>
                <w:rFonts w:eastAsia="Times New Roman" w:cs="Times New Roman"/>
                <w:sz w:val="24"/>
                <w:lang w:eastAsia="fr-FR"/>
              </w:rPr>
              <w:t>2</w:t>
            </w:r>
          </w:p>
        </w:tc>
      </w:tr>
      <w:tr w:rsidR="00700022" w:rsidRPr="00B42C81" w14:paraId="7AF0FD76" w14:textId="77777777" w:rsidTr="0078553A">
        <w:trPr>
          <w:trHeight w:val="290"/>
        </w:trPr>
        <w:tc>
          <w:tcPr>
            <w:tcW w:w="1856" w:type="dxa"/>
            <w:tcBorders>
              <w:top w:val="nil"/>
              <w:left w:val="single" w:sz="4" w:space="0" w:color="auto"/>
              <w:bottom w:val="single" w:sz="4" w:space="0" w:color="auto"/>
              <w:right w:val="single" w:sz="4" w:space="0" w:color="auto"/>
            </w:tcBorders>
            <w:shd w:val="clear" w:color="auto" w:fill="auto"/>
            <w:noWrap/>
            <w:vAlign w:val="bottom"/>
            <w:hideMark/>
          </w:tcPr>
          <w:p w14:paraId="51B7680A" w14:textId="77777777" w:rsidR="00700022" w:rsidRPr="002B4FFD" w:rsidRDefault="00700022" w:rsidP="00700022">
            <w:pPr>
              <w:spacing w:after="0" w:line="240" w:lineRule="auto"/>
              <w:rPr>
                <w:rFonts w:eastAsia="Times New Roman" w:cs="Times New Roman"/>
                <w:sz w:val="24"/>
                <w:lang w:eastAsia="fr-FR"/>
              </w:rPr>
            </w:pPr>
            <w:proofErr w:type="spellStart"/>
            <w:r w:rsidRPr="002B4FFD">
              <w:rPr>
                <w:rFonts w:eastAsia="Times New Roman" w:cs="Times New Roman"/>
                <w:sz w:val="24"/>
                <w:lang w:eastAsia="fr-FR"/>
              </w:rPr>
              <w:t>Tree</w:t>
            </w:r>
            <w:proofErr w:type="spellEnd"/>
            <w:r w:rsidRPr="002B4FFD">
              <w:rPr>
                <w:rFonts w:eastAsia="Times New Roman" w:cs="Times New Roman"/>
                <w:sz w:val="24"/>
                <w:lang w:eastAsia="fr-FR"/>
              </w:rPr>
              <w:t xml:space="preserve"> </w:t>
            </w:r>
            <w:proofErr w:type="spellStart"/>
            <w:r w:rsidRPr="002B4FFD">
              <w:rPr>
                <w:rFonts w:eastAsia="Times New Roman" w:cs="Times New Roman"/>
                <w:sz w:val="24"/>
                <w:lang w:eastAsia="fr-FR"/>
              </w:rPr>
              <w:t>depth</w:t>
            </w:r>
            <w:proofErr w:type="spellEnd"/>
          </w:p>
        </w:tc>
        <w:tc>
          <w:tcPr>
            <w:tcW w:w="1586" w:type="dxa"/>
            <w:tcBorders>
              <w:top w:val="nil"/>
              <w:left w:val="nil"/>
              <w:bottom w:val="single" w:sz="4" w:space="0" w:color="auto"/>
              <w:right w:val="single" w:sz="4" w:space="0" w:color="auto"/>
            </w:tcBorders>
            <w:shd w:val="clear" w:color="auto" w:fill="auto"/>
            <w:noWrap/>
            <w:vAlign w:val="bottom"/>
            <w:hideMark/>
          </w:tcPr>
          <w:p w14:paraId="041F3AA7" w14:textId="77777777" w:rsidR="00700022" w:rsidRPr="002B4FFD" w:rsidRDefault="00700022" w:rsidP="0078553A">
            <w:pPr>
              <w:spacing w:after="0" w:line="240" w:lineRule="auto"/>
              <w:jc w:val="center"/>
              <w:rPr>
                <w:rFonts w:eastAsia="Times New Roman" w:cs="Times New Roman"/>
                <w:sz w:val="24"/>
                <w:lang w:eastAsia="fr-FR"/>
              </w:rPr>
            </w:pPr>
            <w:r w:rsidRPr="002B4FFD">
              <w:rPr>
                <w:rFonts w:eastAsia="Times New Roman" w:cs="Times New Roman"/>
                <w:sz w:val="24"/>
                <w:lang w:eastAsia="fr-FR"/>
              </w:rPr>
              <w:t>3</w:t>
            </w:r>
          </w:p>
        </w:tc>
        <w:tc>
          <w:tcPr>
            <w:tcW w:w="751" w:type="dxa"/>
            <w:tcBorders>
              <w:top w:val="nil"/>
              <w:left w:val="nil"/>
              <w:bottom w:val="single" w:sz="4" w:space="0" w:color="auto"/>
              <w:right w:val="single" w:sz="4" w:space="0" w:color="auto"/>
            </w:tcBorders>
            <w:shd w:val="clear" w:color="auto" w:fill="auto"/>
            <w:noWrap/>
            <w:vAlign w:val="bottom"/>
            <w:hideMark/>
          </w:tcPr>
          <w:p w14:paraId="3D19C52D" w14:textId="77777777" w:rsidR="00700022" w:rsidRPr="002B4FFD" w:rsidRDefault="00700022" w:rsidP="0078553A">
            <w:pPr>
              <w:spacing w:after="0" w:line="240" w:lineRule="auto"/>
              <w:jc w:val="center"/>
              <w:rPr>
                <w:rFonts w:eastAsia="Times New Roman" w:cs="Times New Roman"/>
                <w:sz w:val="24"/>
                <w:lang w:eastAsia="fr-FR"/>
              </w:rPr>
            </w:pPr>
            <w:r w:rsidRPr="002B4FFD">
              <w:rPr>
                <w:rFonts w:eastAsia="Times New Roman" w:cs="Times New Roman"/>
                <w:sz w:val="24"/>
                <w:lang w:eastAsia="fr-FR"/>
              </w:rPr>
              <w:t>9</w:t>
            </w:r>
          </w:p>
        </w:tc>
        <w:tc>
          <w:tcPr>
            <w:tcW w:w="710" w:type="dxa"/>
            <w:tcBorders>
              <w:top w:val="nil"/>
              <w:left w:val="nil"/>
              <w:bottom w:val="single" w:sz="4" w:space="0" w:color="auto"/>
              <w:right w:val="single" w:sz="4" w:space="0" w:color="auto"/>
            </w:tcBorders>
            <w:shd w:val="clear" w:color="auto" w:fill="auto"/>
            <w:noWrap/>
            <w:vAlign w:val="bottom"/>
            <w:hideMark/>
          </w:tcPr>
          <w:p w14:paraId="20AE2525" w14:textId="77777777" w:rsidR="00700022" w:rsidRPr="002B4FFD" w:rsidRDefault="00700022" w:rsidP="0078553A">
            <w:pPr>
              <w:spacing w:after="0" w:line="240" w:lineRule="auto"/>
              <w:jc w:val="center"/>
              <w:rPr>
                <w:rFonts w:eastAsia="Times New Roman" w:cs="Times New Roman"/>
                <w:sz w:val="24"/>
                <w:lang w:eastAsia="fr-FR"/>
              </w:rPr>
            </w:pPr>
            <w:r w:rsidRPr="002B4FFD">
              <w:rPr>
                <w:rFonts w:eastAsia="Times New Roman" w:cs="Times New Roman"/>
                <w:sz w:val="24"/>
                <w:lang w:eastAsia="fr-FR"/>
              </w:rPr>
              <w:t>4</w:t>
            </w:r>
          </w:p>
        </w:tc>
        <w:tc>
          <w:tcPr>
            <w:tcW w:w="3314" w:type="dxa"/>
            <w:tcBorders>
              <w:top w:val="nil"/>
              <w:left w:val="nil"/>
              <w:bottom w:val="single" w:sz="4" w:space="0" w:color="auto"/>
              <w:right w:val="single" w:sz="4" w:space="0" w:color="auto"/>
            </w:tcBorders>
            <w:shd w:val="clear" w:color="auto" w:fill="auto"/>
            <w:noWrap/>
            <w:vAlign w:val="bottom"/>
            <w:hideMark/>
          </w:tcPr>
          <w:p w14:paraId="53D3AF18" w14:textId="224A2685" w:rsidR="00700022" w:rsidRPr="002B4FFD" w:rsidRDefault="00E35768" w:rsidP="0078553A">
            <w:pPr>
              <w:spacing w:after="0" w:line="240" w:lineRule="auto"/>
              <w:jc w:val="center"/>
              <w:rPr>
                <w:rFonts w:eastAsia="Times New Roman" w:cs="Times New Roman"/>
                <w:sz w:val="24"/>
                <w:lang w:eastAsia="fr-FR"/>
              </w:rPr>
            </w:pPr>
            <w:r>
              <w:rPr>
                <w:rFonts w:eastAsia="Times New Roman" w:cs="Times New Roman"/>
                <w:sz w:val="24"/>
                <w:lang w:eastAsia="fr-FR"/>
              </w:rPr>
              <w:t>2</w:t>
            </w:r>
          </w:p>
        </w:tc>
      </w:tr>
      <w:tr w:rsidR="00700022" w:rsidRPr="00B42C81" w14:paraId="79AF4122" w14:textId="77777777" w:rsidTr="0078553A">
        <w:trPr>
          <w:trHeight w:val="290"/>
        </w:trPr>
        <w:tc>
          <w:tcPr>
            <w:tcW w:w="1856" w:type="dxa"/>
            <w:tcBorders>
              <w:top w:val="nil"/>
              <w:left w:val="single" w:sz="4" w:space="0" w:color="auto"/>
              <w:bottom w:val="single" w:sz="4" w:space="0" w:color="auto"/>
              <w:right w:val="single" w:sz="4" w:space="0" w:color="auto"/>
            </w:tcBorders>
            <w:shd w:val="clear" w:color="auto" w:fill="auto"/>
            <w:noWrap/>
            <w:vAlign w:val="bottom"/>
            <w:hideMark/>
          </w:tcPr>
          <w:p w14:paraId="0A389E98" w14:textId="77777777" w:rsidR="00700022" w:rsidRPr="002B4FFD" w:rsidRDefault="00700022" w:rsidP="00700022">
            <w:pPr>
              <w:spacing w:after="0" w:line="240" w:lineRule="auto"/>
              <w:rPr>
                <w:rFonts w:eastAsia="Times New Roman" w:cs="Times New Roman"/>
                <w:sz w:val="24"/>
                <w:lang w:eastAsia="fr-FR"/>
              </w:rPr>
            </w:pPr>
            <w:r w:rsidRPr="002B4FFD">
              <w:rPr>
                <w:rFonts w:eastAsia="Times New Roman" w:cs="Times New Roman"/>
                <w:sz w:val="24"/>
                <w:lang w:eastAsia="fr-FR"/>
              </w:rPr>
              <w:t>Learning rate</w:t>
            </w:r>
          </w:p>
        </w:tc>
        <w:tc>
          <w:tcPr>
            <w:tcW w:w="1586" w:type="dxa"/>
            <w:tcBorders>
              <w:top w:val="nil"/>
              <w:left w:val="nil"/>
              <w:bottom w:val="single" w:sz="4" w:space="0" w:color="auto"/>
              <w:right w:val="single" w:sz="4" w:space="0" w:color="auto"/>
            </w:tcBorders>
            <w:shd w:val="clear" w:color="auto" w:fill="auto"/>
            <w:noWrap/>
            <w:vAlign w:val="bottom"/>
            <w:hideMark/>
          </w:tcPr>
          <w:p w14:paraId="3928D11C" w14:textId="77777777" w:rsidR="00700022" w:rsidRPr="002B4FFD" w:rsidRDefault="00700022" w:rsidP="0078553A">
            <w:pPr>
              <w:spacing w:after="0" w:line="240" w:lineRule="auto"/>
              <w:jc w:val="center"/>
              <w:rPr>
                <w:rFonts w:eastAsia="Times New Roman" w:cs="Times New Roman"/>
                <w:sz w:val="24"/>
                <w:lang w:eastAsia="fr-FR"/>
              </w:rPr>
            </w:pPr>
            <w:r w:rsidRPr="002B4FFD">
              <w:rPr>
                <w:rFonts w:eastAsia="Times New Roman" w:cs="Times New Roman"/>
                <w:sz w:val="24"/>
                <w:lang w:eastAsia="fr-FR"/>
              </w:rPr>
              <w:t>0.024</w:t>
            </w:r>
          </w:p>
        </w:tc>
        <w:tc>
          <w:tcPr>
            <w:tcW w:w="751" w:type="dxa"/>
            <w:tcBorders>
              <w:top w:val="nil"/>
              <w:left w:val="nil"/>
              <w:bottom w:val="single" w:sz="4" w:space="0" w:color="auto"/>
              <w:right w:val="single" w:sz="4" w:space="0" w:color="auto"/>
            </w:tcBorders>
            <w:shd w:val="clear" w:color="auto" w:fill="auto"/>
            <w:noWrap/>
            <w:vAlign w:val="bottom"/>
            <w:hideMark/>
          </w:tcPr>
          <w:p w14:paraId="6DEAF93C" w14:textId="77777777" w:rsidR="00700022" w:rsidRPr="002B4FFD" w:rsidRDefault="00700022" w:rsidP="0078553A">
            <w:pPr>
              <w:spacing w:after="0" w:line="240" w:lineRule="auto"/>
              <w:jc w:val="center"/>
              <w:rPr>
                <w:rFonts w:eastAsia="Times New Roman" w:cs="Times New Roman"/>
                <w:sz w:val="24"/>
                <w:lang w:eastAsia="fr-FR"/>
              </w:rPr>
            </w:pPr>
            <w:r w:rsidRPr="002B4FFD">
              <w:rPr>
                <w:rFonts w:eastAsia="Times New Roman" w:cs="Times New Roman"/>
                <w:sz w:val="24"/>
                <w:lang w:eastAsia="fr-FR"/>
              </w:rPr>
              <w:t>0.015</w:t>
            </w:r>
          </w:p>
        </w:tc>
        <w:tc>
          <w:tcPr>
            <w:tcW w:w="710" w:type="dxa"/>
            <w:tcBorders>
              <w:top w:val="nil"/>
              <w:left w:val="nil"/>
              <w:bottom w:val="single" w:sz="4" w:space="0" w:color="auto"/>
              <w:right w:val="single" w:sz="4" w:space="0" w:color="auto"/>
            </w:tcBorders>
            <w:shd w:val="clear" w:color="auto" w:fill="auto"/>
            <w:noWrap/>
            <w:vAlign w:val="bottom"/>
            <w:hideMark/>
          </w:tcPr>
          <w:p w14:paraId="6A68595F" w14:textId="77777777" w:rsidR="00700022" w:rsidRPr="002B4FFD" w:rsidRDefault="00700022" w:rsidP="0078553A">
            <w:pPr>
              <w:spacing w:after="0" w:line="240" w:lineRule="auto"/>
              <w:jc w:val="center"/>
              <w:rPr>
                <w:rFonts w:eastAsia="Times New Roman" w:cs="Times New Roman"/>
                <w:sz w:val="24"/>
                <w:lang w:eastAsia="fr-FR"/>
              </w:rPr>
            </w:pPr>
            <w:r w:rsidRPr="002B4FFD">
              <w:rPr>
                <w:rFonts w:eastAsia="Times New Roman" w:cs="Times New Roman"/>
                <w:sz w:val="24"/>
                <w:lang w:eastAsia="fr-FR"/>
              </w:rPr>
              <w:t>0.014</w:t>
            </w:r>
          </w:p>
        </w:tc>
        <w:tc>
          <w:tcPr>
            <w:tcW w:w="3314" w:type="dxa"/>
            <w:tcBorders>
              <w:top w:val="nil"/>
              <w:left w:val="nil"/>
              <w:bottom w:val="single" w:sz="4" w:space="0" w:color="auto"/>
              <w:right w:val="single" w:sz="4" w:space="0" w:color="auto"/>
            </w:tcBorders>
            <w:shd w:val="clear" w:color="auto" w:fill="auto"/>
            <w:noWrap/>
            <w:vAlign w:val="bottom"/>
            <w:hideMark/>
          </w:tcPr>
          <w:p w14:paraId="403984FA" w14:textId="5602EFF3" w:rsidR="00700022" w:rsidRPr="002B4FFD" w:rsidRDefault="00700022" w:rsidP="0078553A">
            <w:pPr>
              <w:spacing w:after="0" w:line="240" w:lineRule="auto"/>
              <w:jc w:val="center"/>
              <w:rPr>
                <w:rFonts w:eastAsia="Times New Roman" w:cs="Times New Roman"/>
                <w:sz w:val="24"/>
                <w:lang w:eastAsia="fr-FR"/>
              </w:rPr>
            </w:pPr>
            <w:r w:rsidRPr="002B4FFD">
              <w:rPr>
                <w:rFonts w:eastAsia="Times New Roman" w:cs="Times New Roman"/>
                <w:sz w:val="24"/>
                <w:lang w:eastAsia="fr-FR"/>
              </w:rPr>
              <w:t>0.01</w:t>
            </w:r>
            <w:r w:rsidR="00E35768">
              <w:rPr>
                <w:rFonts w:eastAsia="Times New Roman" w:cs="Times New Roman"/>
                <w:sz w:val="24"/>
                <w:lang w:eastAsia="fr-FR"/>
              </w:rPr>
              <w:t>7</w:t>
            </w:r>
          </w:p>
        </w:tc>
      </w:tr>
    </w:tbl>
    <w:p w14:paraId="5B060136" w14:textId="0684A38A" w:rsidR="0057252F" w:rsidRDefault="0057252F" w:rsidP="003B0358">
      <w:pPr>
        <w:spacing w:line="480" w:lineRule="auto"/>
        <w:jc w:val="both"/>
        <w:rPr>
          <w:rFonts w:cs="Times New Roman"/>
          <w:i/>
          <w:sz w:val="24"/>
          <w:lang w:val="en-US"/>
        </w:rPr>
      </w:pPr>
      <w:r w:rsidRPr="002B4FFD">
        <w:rPr>
          <w:rFonts w:cs="Times New Roman"/>
          <w:i/>
          <w:sz w:val="24"/>
          <w:lang w:val="en-US"/>
        </w:rPr>
        <w:t xml:space="preserve">Abbreviations: </w:t>
      </w:r>
      <w:r w:rsidR="00407A96" w:rsidRPr="002B4FFD">
        <w:rPr>
          <w:rFonts w:cs="Times New Roman"/>
          <w:i/>
          <w:sz w:val="24"/>
          <w:lang w:val="en-US"/>
        </w:rPr>
        <w:t xml:space="preserve">Learning rate, </w:t>
      </w:r>
      <w:r w:rsidR="00870AFC" w:rsidRPr="002B4FFD">
        <w:rPr>
          <w:rFonts w:cs="Times New Roman"/>
          <w:i/>
          <w:sz w:val="24"/>
          <w:lang w:val="en-US"/>
        </w:rPr>
        <w:t>rate at which the boosting algorithm adapts from iteration-to-iteration</w:t>
      </w:r>
      <w:r w:rsidR="00407A96" w:rsidRPr="002B4FFD">
        <w:rPr>
          <w:rFonts w:cs="Times New Roman"/>
          <w:i/>
          <w:sz w:val="24"/>
          <w:lang w:val="en-US"/>
        </w:rPr>
        <w:t xml:space="preserve">; </w:t>
      </w:r>
      <w:proofErr w:type="spellStart"/>
      <w:r w:rsidR="00C72948" w:rsidRPr="002B4FFD">
        <w:rPr>
          <w:rFonts w:cs="Times New Roman"/>
          <w:i/>
          <w:sz w:val="24"/>
          <w:lang w:val="en-US"/>
        </w:rPr>
        <w:t>min_n</w:t>
      </w:r>
      <w:proofErr w:type="spellEnd"/>
      <w:r w:rsidR="00C72948" w:rsidRPr="002B4FFD">
        <w:rPr>
          <w:rFonts w:cs="Times New Roman"/>
          <w:i/>
          <w:sz w:val="24"/>
          <w:lang w:val="en-US"/>
        </w:rPr>
        <w:t xml:space="preserve">, minimum number of data points in a node that are required for the node to be split further; </w:t>
      </w:r>
      <w:proofErr w:type="spellStart"/>
      <w:r w:rsidRPr="002B4FFD">
        <w:rPr>
          <w:rFonts w:cs="Times New Roman"/>
          <w:i/>
          <w:sz w:val="24"/>
          <w:lang w:val="en-US"/>
        </w:rPr>
        <w:t>mtry</w:t>
      </w:r>
      <w:proofErr w:type="spellEnd"/>
      <w:r w:rsidRPr="002B4FFD">
        <w:rPr>
          <w:rFonts w:cs="Times New Roman"/>
          <w:i/>
          <w:sz w:val="24"/>
          <w:lang w:val="en-US"/>
        </w:rPr>
        <w:t>, number of predictors that will be randomly sampled at each split when creating the tree models;</w:t>
      </w:r>
      <w:r w:rsidR="00407A96" w:rsidRPr="002B4FFD">
        <w:rPr>
          <w:rFonts w:cs="Times New Roman"/>
          <w:i/>
          <w:sz w:val="24"/>
          <w:lang w:val="en-US"/>
        </w:rPr>
        <w:t xml:space="preserve"> Tree depth, maximum depth of the tree (</w:t>
      </w:r>
      <w:r w:rsidR="00D122DC" w:rsidRPr="002B4FFD">
        <w:rPr>
          <w:rFonts w:cs="Times New Roman"/>
          <w:i/>
          <w:sz w:val="24"/>
          <w:lang w:val="en-US"/>
        </w:rPr>
        <w:t>i.e.,</w:t>
      </w:r>
      <w:r w:rsidR="00407A96" w:rsidRPr="002B4FFD">
        <w:rPr>
          <w:rFonts w:cs="Times New Roman"/>
          <w:i/>
          <w:sz w:val="24"/>
          <w:lang w:val="en-US"/>
        </w:rPr>
        <w:t xml:space="preserve"> number of splits);</w:t>
      </w:r>
      <w:r w:rsidRPr="002B4FFD">
        <w:rPr>
          <w:rFonts w:cs="Times New Roman"/>
          <w:i/>
          <w:sz w:val="24"/>
          <w:lang w:val="en-US"/>
        </w:rPr>
        <w:t xml:space="preserve"> </w:t>
      </w:r>
      <w:r w:rsidR="00AB61EB" w:rsidRPr="002B4FFD">
        <w:rPr>
          <w:rFonts w:cs="Times New Roman"/>
          <w:i/>
          <w:sz w:val="24"/>
          <w:lang w:val="en-US"/>
        </w:rPr>
        <w:t>Trees, number of trees contained in the boosted ensemble (</w:t>
      </w:r>
      <w:r w:rsidR="000339DF" w:rsidRPr="002B4FFD">
        <w:rPr>
          <w:rFonts w:cs="Times New Roman"/>
          <w:i/>
          <w:sz w:val="24"/>
          <w:lang w:val="en-US"/>
        </w:rPr>
        <w:t>i.e.,</w:t>
      </w:r>
      <w:r w:rsidR="00AB61EB" w:rsidRPr="002B4FFD">
        <w:rPr>
          <w:rFonts w:cs="Times New Roman"/>
          <w:i/>
          <w:sz w:val="24"/>
          <w:lang w:val="en-US"/>
        </w:rPr>
        <w:t xml:space="preserve"> number of boosting iterations)</w:t>
      </w:r>
      <w:r w:rsidR="00407A96" w:rsidRPr="002B4FFD">
        <w:rPr>
          <w:rFonts w:cs="Times New Roman"/>
          <w:i/>
          <w:sz w:val="24"/>
          <w:lang w:val="en-US"/>
        </w:rPr>
        <w:t>.</w:t>
      </w:r>
    </w:p>
    <w:p w14:paraId="484329AD" w14:textId="77777777" w:rsidR="00F26693" w:rsidRDefault="00F26693">
      <w:pPr>
        <w:rPr>
          <w:rFonts w:eastAsiaTheme="majorEastAsia" w:cstheme="majorBidi"/>
          <w:b/>
          <w:sz w:val="26"/>
          <w:szCs w:val="26"/>
          <w:lang w:val="en-US"/>
        </w:rPr>
      </w:pPr>
      <w:r>
        <w:rPr>
          <w:lang w:val="en-US"/>
        </w:rPr>
        <w:br w:type="page"/>
      </w:r>
    </w:p>
    <w:p w14:paraId="7EB9C912" w14:textId="77777777" w:rsidR="009B7DFB" w:rsidRDefault="009B7DFB" w:rsidP="00FE3FB8">
      <w:pPr>
        <w:pStyle w:val="Titre2"/>
        <w:rPr>
          <w:lang w:val="en-US"/>
        </w:rPr>
        <w:sectPr w:rsidR="009B7DFB" w:rsidSect="006B7124">
          <w:footerReference w:type="even" r:id="rId8"/>
          <w:footerReference w:type="default" r:id="rId9"/>
          <w:pgSz w:w="11906" w:h="16838"/>
          <w:pgMar w:top="1417" w:right="1417" w:bottom="1417" w:left="1417" w:header="708" w:footer="708" w:gutter="0"/>
          <w:cols w:space="708"/>
          <w:docGrid w:linePitch="360"/>
        </w:sectPr>
      </w:pPr>
    </w:p>
    <w:p w14:paraId="2982ABDE" w14:textId="5E231C41" w:rsidR="00FE3FB8" w:rsidRDefault="00FE3FB8" w:rsidP="00FE3FB8">
      <w:pPr>
        <w:pStyle w:val="Titre2"/>
        <w:rPr>
          <w:lang w:val="en-US"/>
        </w:rPr>
      </w:pPr>
      <w:bookmarkStart w:id="10" w:name="_Toc71726101"/>
      <w:r>
        <w:rPr>
          <w:lang w:val="en-US"/>
        </w:rPr>
        <w:t xml:space="preserve">Supplemental Table </w:t>
      </w:r>
      <w:r w:rsidR="00D23E50">
        <w:rPr>
          <w:lang w:val="en-US"/>
        </w:rPr>
        <w:t>3</w:t>
      </w:r>
      <w:r>
        <w:rPr>
          <w:lang w:val="en-US"/>
        </w:rPr>
        <w:t xml:space="preserve">: </w:t>
      </w:r>
      <w:r w:rsidR="00CB55FF" w:rsidRPr="00DB4F4B">
        <w:rPr>
          <w:lang w:val="en-US"/>
        </w:rPr>
        <w:t>Machine-learning</w:t>
      </w:r>
      <w:r w:rsidR="002A4E74" w:rsidRPr="00DB4F4B">
        <w:rPr>
          <w:lang w:val="en-US"/>
        </w:rPr>
        <w:t xml:space="preserve"> analysis of the 6 c</w:t>
      </w:r>
      <w:r w:rsidRPr="00DB4F4B">
        <w:rPr>
          <w:lang w:val="en-US"/>
        </w:rPr>
        <w:t>ase</w:t>
      </w:r>
      <w:r w:rsidR="002A4E74" w:rsidRPr="00DB4F4B">
        <w:rPr>
          <w:lang w:val="en-US"/>
        </w:rPr>
        <w:t>-based scenario</w:t>
      </w:r>
      <w:r w:rsidRPr="00DB4F4B">
        <w:rPr>
          <w:lang w:val="en-US"/>
        </w:rPr>
        <w:t xml:space="preserve">s </w:t>
      </w:r>
      <w:r w:rsidR="002A4E74" w:rsidRPr="00DB4F4B">
        <w:rPr>
          <w:lang w:val="en-US"/>
        </w:rPr>
        <w:t>used by</w:t>
      </w:r>
      <w:r w:rsidRPr="00DB4F4B">
        <w:rPr>
          <w:lang w:val="en-US"/>
        </w:rPr>
        <w:t xml:space="preserve"> Schinstock et al. </w:t>
      </w:r>
      <w:r w:rsidR="002A4E74" w:rsidRPr="00DB4F4B">
        <w:rPr>
          <w:lang w:val="en-US"/>
        </w:rPr>
        <w:t xml:space="preserve">for their </w:t>
      </w:r>
      <w:r w:rsidR="001F003F">
        <w:rPr>
          <w:lang w:val="en-US"/>
        </w:rPr>
        <w:t xml:space="preserve">international </w:t>
      </w:r>
      <w:r w:rsidR="002A4E74" w:rsidRPr="00DB4F4B">
        <w:rPr>
          <w:lang w:val="en-US"/>
        </w:rPr>
        <w:t>survey among clinicians and renal pathologists</w:t>
      </w:r>
      <w:r w:rsidR="00DB4F4B">
        <w:rPr>
          <w:lang w:val="en-US"/>
        </w:rPr>
        <w:t>.</w:t>
      </w:r>
      <w:bookmarkEnd w:id="10"/>
    </w:p>
    <w:p w14:paraId="03FFD67D" w14:textId="77777777" w:rsidR="00437845" w:rsidRPr="00437845" w:rsidRDefault="00437845" w:rsidP="00437845">
      <w:pPr>
        <w:rPr>
          <w:lang w:val="en-US"/>
        </w:rPr>
      </w:pPr>
    </w:p>
    <w:tbl>
      <w:tblPr>
        <w:tblW w:w="13992" w:type="dxa"/>
        <w:tblCellMar>
          <w:left w:w="70" w:type="dxa"/>
          <w:right w:w="70" w:type="dxa"/>
        </w:tblCellMar>
        <w:tblLook w:val="04A0" w:firstRow="1" w:lastRow="0" w:firstColumn="1" w:lastColumn="0" w:noHBand="0" w:noVBand="1"/>
      </w:tblPr>
      <w:tblGrid>
        <w:gridCol w:w="411"/>
        <w:gridCol w:w="407"/>
        <w:gridCol w:w="357"/>
        <w:gridCol w:w="351"/>
        <w:gridCol w:w="354"/>
        <w:gridCol w:w="354"/>
        <w:gridCol w:w="379"/>
        <w:gridCol w:w="248"/>
        <w:gridCol w:w="247"/>
        <w:gridCol w:w="354"/>
        <w:gridCol w:w="354"/>
        <w:gridCol w:w="354"/>
        <w:gridCol w:w="354"/>
        <w:gridCol w:w="354"/>
        <w:gridCol w:w="966"/>
        <w:gridCol w:w="800"/>
        <w:gridCol w:w="1018"/>
        <w:gridCol w:w="1318"/>
        <w:gridCol w:w="505"/>
        <w:gridCol w:w="743"/>
        <w:gridCol w:w="590"/>
        <w:gridCol w:w="743"/>
        <w:gridCol w:w="489"/>
        <w:gridCol w:w="743"/>
        <w:gridCol w:w="456"/>
        <w:gridCol w:w="743"/>
      </w:tblGrid>
      <w:tr w:rsidR="00CB55FF" w:rsidRPr="00DB4F4B" w14:paraId="36FE7F37" w14:textId="77777777" w:rsidTr="00CB55FF">
        <w:trPr>
          <w:trHeight w:val="290"/>
        </w:trPr>
        <w:tc>
          <w:tcPr>
            <w:tcW w:w="8980" w:type="dxa"/>
            <w:gridSpan w:val="18"/>
            <w:tcBorders>
              <w:top w:val="single" w:sz="4" w:space="0" w:color="auto"/>
              <w:left w:val="single" w:sz="4" w:space="0" w:color="auto"/>
              <w:bottom w:val="single" w:sz="4" w:space="0" w:color="auto"/>
              <w:right w:val="single" w:sz="4" w:space="0" w:color="auto"/>
            </w:tcBorders>
            <w:shd w:val="clear" w:color="auto" w:fill="auto"/>
            <w:noWrap/>
            <w:vAlign w:val="bottom"/>
          </w:tcPr>
          <w:p w14:paraId="454E9890" w14:textId="2E2BDD77" w:rsidR="00CB55FF" w:rsidRPr="00DB4F4B" w:rsidRDefault="00CB55FF" w:rsidP="00CB55FF">
            <w:pPr>
              <w:spacing w:after="0" w:line="240" w:lineRule="auto"/>
              <w:jc w:val="center"/>
              <w:rPr>
                <w:rFonts w:ascii="Calibri" w:eastAsia="Times New Roman" w:hAnsi="Calibri" w:cs="Calibri"/>
                <w:color w:val="000000"/>
                <w:sz w:val="14"/>
                <w:szCs w:val="14"/>
                <w:highlight w:val="yellow"/>
                <w:lang w:val="en-US" w:eastAsia="fr-FR"/>
              </w:rPr>
            </w:pPr>
            <w:r w:rsidRPr="00DB4F4B">
              <w:rPr>
                <w:rFonts w:ascii="Calibri" w:eastAsia="Times New Roman" w:hAnsi="Calibri" w:cs="Calibri"/>
                <w:b/>
                <w:bCs/>
                <w:color w:val="000000"/>
                <w:sz w:val="20"/>
                <w:szCs w:val="20"/>
                <w:lang w:val="en-US" w:eastAsia="fr-FR"/>
              </w:rPr>
              <w:t>Case-based scenarios</w:t>
            </w:r>
          </w:p>
        </w:tc>
        <w:tc>
          <w:tcPr>
            <w:tcW w:w="5012" w:type="dxa"/>
            <w:gridSpan w:val="8"/>
            <w:tcBorders>
              <w:top w:val="single" w:sz="4" w:space="0" w:color="auto"/>
              <w:left w:val="nil"/>
              <w:bottom w:val="single" w:sz="4" w:space="0" w:color="auto"/>
              <w:right w:val="single" w:sz="4" w:space="0" w:color="auto"/>
            </w:tcBorders>
            <w:shd w:val="clear" w:color="auto" w:fill="auto"/>
            <w:noWrap/>
            <w:vAlign w:val="bottom"/>
          </w:tcPr>
          <w:p w14:paraId="795E7013" w14:textId="581113A8" w:rsidR="00CB55FF" w:rsidRPr="00DB4F4B" w:rsidRDefault="00CB55FF"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b/>
                <w:bCs/>
                <w:color w:val="000000"/>
                <w:sz w:val="20"/>
                <w:szCs w:val="20"/>
                <w:lang w:val="en-US" w:eastAsia="fr-FR"/>
              </w:rPr>
              <w:t>Machine-learning interpretation</w:t>
            </w:r>
          </w:p>
        </w:tc>
      </w:tr>
      <w:tr w:rsidR="001F003F" w:rsidRPr="00DB4F4B" w14:paraId="0772E8F8" w14:textId="77777777" w:rsidTr="00CB55FF">
        <w:trPr>
          <w:trHeight w:val="290"/>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867EB" w14:textId="3A76D740"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 xml:space="preserve">Case </w:t>
            </w:r>
            <w:r w:rsidR="00CB55FF" w:rsidRPr="00DB4F4B">
              <w:rPr>
                <w:rFonts w:ascii="Calibri" w:eastAsia="Times New Roman" w:hAnsi="Calibri" w:cs="Calibri"/>
                <w:color w:val="000000"/>
                <w:sz w:val="14"/>
                <w:szCs w:val="14"/>
                <w:lang w:val="en-US" w:eastAsia="fr-FR"/>
              </w:rPr>
              <w:t>#</w:t>
            </w:r>
          </w:p>
        </w:tc>
        <w:tc>
          <w:tcPr>
            <w:tcW w:w="407" w:type="dxa"/>
            <w:tcBorders>
              <w:top w:val="single" w:sz="4" w:space="0" w:color="auto"/>
              <w:left w:val="nil"/>
              <w:bottom w:val="single" w:sz="4" w:space="0" w:color="auto"/>
              <w:right w:val="single" w:sz="4" w:space="0" w:color="auto"/>
            </w:tcBorders>
            <w:shd w:val="clear" w:color="auto" w:fill="auto"/>
            <w:noWrap/>
            <w:vAlign w:val="bottom"/>
            <w:hideMark/>
          </w:tcPr>
          <w:p w14:paraId="7ED78BCB"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g</w:t>
            </w:r>
          </w:p>
        </w:tc>
        <w:tc>
          <w:tcPr>
            <w:tcW w:w="357" w:type="dxa"/>
            <w:tcBorders>
              <w:top w:val="single" w:sz="4" w:space="0" w:color="auto"/>
              <w:left w:val="nil"/>
              <w:bottom w:val="single" w:sz="4" w:space="0" w:color="auto"/>
              <w:right w:val="single" w:sz="4" w:space="0" w:color="auto"/>
            </w:tcBorders>
            <w:shd w:val="clear" w:color="auto" w:fill="auto"/>
            <w:noWrap/>
            <w:vAlign w:val="bottom"/>
            <w:hideMark/>
          </w:tcPr>
          <w:p w14:paraId="2E1ADA77"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proofErr w:type="spellStart"/>
            <w:r w:rsidRPr="00DB4F4B">
              <w:rPr>
                <w:rFonts w:ascii="Calibri" w:eastAsia="Times New Roman" w:hAnsi="Calibri" w:cs="Calibri"/>
                <w:color w:val="000000"/>
                <w:sz w:val="14"/>
                <w:szCs w:val="14"/>
                <w:lang w:val="en-US" w:eastAsia="fr-FR"/>
              </w:rPr>
              <w:t>ptc</w:t>
            </w:r>
            <w:proofErr w:type="spellEnd"/>
          </w:p>
        </w:tc>
        <w:tc>
          <w:tcPr>
            <w:tcW w:w="351" w:type="dxa"/>
            <w:tcBorders>
              <w:top w:val="single" w:sz="4" w:space="0" w:color="auto"/>
              <w:left w:val="nil"/>
              <w:bottom w:val="single" w:sz="4" w:space="0" w:color="auto"/>
              <w:right w:val="single" w:sz="4" w:space="0" w:color="auto"/>
            </w:tcBorders>
            <w:shd w:val="clear" w:color="auto" w:fill="auto"/>
            <w:noWrap/>
            <w:vAlign w:val="bottom"/>
            <w:hideMark/>
          </w:tcPr>
          <w:p w14:paraId="573BDA7A"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c4d</w:t>
            </w:r>
          </w:p>
        </w:tc>
        <w:tc>
          <w:tcPr>
            <w:tcW w:w="354" w:type="dxa"/>
            <w:tcBorders>
              <w:top w:val="single" w:sz="4" w:space="0" w:color="auto"/>
              <w:left w:val="nil"/>
              <w:bottom w:val="single" w:sz="4" w:space="0" w:color="auto"/>
              <w:right w:val="single" w:sz="4" w:space="0" w:color="auto"/>
            </w:tcBorders>
            <w:shd w:val="clear" w:color="auto" w:fill="auto"/>
            <w:noWrap/>
            <w:vAlign w:val="bottom"/>
            <w:hideMark/>
          </w:tcPr>
          <w:p w14:paraId="2E394C98"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cg</w:t>
            </w:r>
          </w:p>
        </w:tc>
        <w:tc>
          <w:tcPr>
            <w:tcW w:w="354" w:type="dxa"/>
            <w:tcBorders>
              <w:top w:val="single" w:sz="4" w:space="0" w:color="auto"/>
              <w:left w:val="nil"/>
              <w:bottom w:val="single" w:sz="4" w:space="0" w:color="auto"/>
              <w:right w:val="single" w:sz="4" w:space="0" w:color="auto"/>
            </w:tcBorders>
            <w:shd w:val="clear" w:color="auto" w:fill="auto"/>
            <w:noWrap/>
            <w:vAlign w:val="bottom"/>
            <w:hideMark/>
          </w:tcPr>
          <w:p w14:paraId="673C27A0"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v</w:t>
            </w:r>
          </w:p>
        </w:tc>
        <w:tc>
          <w:tcPr>
            <w:tcW w:w="379" w:type="dxa"/>
            <w:tcBorders>
              <w:top w:val="single" w:sz="4" w:space="0" w:color="auto"/>
              <w:left w:val="nil"/>
              <w:bottom w:val="single" w:sz="4" w:space="0" w:color="auto"/>
              <w:right w:val="single" w:sz="4" w:space="0" w:color="auto"/>
            </w:tcBorders>
            <w:shd w:val="clear" w:color="auto" w:fill="auto"/>
            <w:noWrap/>
            <w:vAlign w:val="bottom"/>
            <w:hideMark/>
          </w:tcPr>
          <w:p w14:paraId="09C91F1D"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DSA</w:t>
            </w:r>
          </w:p>
        </w:tc>
        <w:tc>
          <w:tcPr>
            <w:tcW w:w="248" w:type="dxa"/>
            <w:tcBorders>
              <w:top w:val="single" w:sz="4" w:space="0" w:color="auto"/>
              <w:left w:val="nil"/>
              <w:bottom w:val="single" w:sz="4" w:space="0" w:color="auto"/>
              <w:right w:val="single" w:sz="4" w:space="0" w:color="auto"/>
            </w:tcBorders>
            <w:shd w:val="clear" w:color="auto" w:fill="auto"/>
            <w:noWrap/>
            <w:vAlign w:val="bottom"/>
            <w:hideMark/>
          </w:tcPr>
          <w:p w14:paraId="03BB43ED"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proofErr w:type="spellStart"/>
            <w:r w:rsidRPr="00DB4F4B">
              <w:rPr>
                <w:rFonts w:ascii="Calibri" w:eastAsia="Times New Roman" w:hAnsi="Calibri" w:cs="Calibri"/>
                <w:color w:val="000000"/>
                <w:sz w:val="14"/>
                <w:szCs w:val="14"/>
                <w:lang w:val="en-US" w:eastAsia="fr-FR"/>
              </w:rPr>
              <w:t>i</w:t>
            </w:r>
            <w:proofErr w:type="spellEnd"/>
          </w:p>
        </w:tc>
        <w:tc>
          <w:tcPr>
            <w:tcW w:w="247" w:type="dxa"/>
            <w:tcBorders>
              <w:top w:val="single" w:sz="4" w:space="0" w:color="auto"/>
              <w:left w:val="nil"/>
              <w:bottom w:val="single" w:sz="4" w:space="0" w:color="auto"/>
              <w:right w:val="single" w:sz="4" w:space="0" w:color="auto"/>
            </w:tcBorders>
            <w:shd w:val="clear" w:color="auto" w:fill="auto"/>
            <w:noWrap/>
            <w:vAlign w:val="bottom"/>
            <w:hideMark/>
          </w:tcPr>
          <w:p w14:paraId="42298AE7"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t</w:t>
            </w:r>
          </w:p>
        </w:tc>
        <w:tc>
          <w:tcPr>
            <w:tcW w:w="354" w:type="dxa"/>
            <w:tcBorders>
              <w:top w:val="single" w:sz="4" w:space="0" w:color="auto"/>
              <w:left w:val="nil"/>
              <w:bottom w:val="single" w:sz="4" w:space="0" w:color="auto"/>
              <w:right w:val="single" w:sz="4" w:space="0" w:color="auto"/>
            </w:tcBorders>
            <w:shd w:val="clear" w:color="auto" w:fill="auto"/>
            <w:noWrap/>
            <w:vAlign w:val="bottom"/>
            <w:hideMark/>
          </w:tcPr>
          <w:p w14:paraId="4EC29569"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proofErr w:type="spellStart"/>
            <w:r w:rsidRPr="00DB4F4B">
              <w:rPr>
                <w:rFonts w:ascii="Calibri" w:eastAsia="Times New Roman" w:hAnsi="Calibri" w:cs="Calibri"/>
                <w:color w:val="000000"/>
                <w:sz w:val="14"/>
                <w:szCs w:val="14"/>
                <w:lang w:val="en-US" w:eastAsia="fr-FR"/>
              </w:rPr>
              <w:t>ti</w:t>
            </w:r>
            <w:proofErr w:type="spellEnd"/>
          </w:p>
        </w:tc>
        <w:tc>
          <w:tcPr>
            <w:tcW w:w="354" w:type="dxa"/>
            <w:tcBorders>
              <w:top w:val="single" w:sz="4" w:space="0" w:color="auto"/>
              <w:left w:val="nil"/>
              <w:bottom w:val="single" w:sz="4" w:space="0" w:color="auto"/>
              <w:right w:val="single" w:sz="4" w:space="0" w:color="auto"/>
            </w:tcBorders>
            <w:shd w:val="clear" w:color="auto" w:fill="auto"/>
            <w:noWrap/>
            <w:vAlign w:val="bottom"/>
            <w:hideMark/>
          </w:tcPr>
          <w:p w14:paraId="19EAC0A7"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proofErr w:type="spellStart"/>
            <w:r w:rsidRPr="00DB4F4B">
              <w:rPr>
                <w:rFonts w:ascii="Calibri" w:eastAsia="Times New Roman" w:hAnsi="Calibri" w:cs="Calibri"/>
                <w:color w:val="000000"/>
                <w:sz w:val="14"/>
                <w:szCs w:val="14"/>
                <w:lang w:val="en-US" w:eastAsia="fr-FR"/>
              </w:rPr>
              <w:t>ct</w:t>
            </w:r>
            <w:proofErr w:type="spellEnd"/>
          </w:p>
        </w:tc>
        <w:tc>
          <w:tcPr>
            <w:tcW w:w="354" w:type="dxa"/>
            <w:tcBorders>
              <w:top w:val="single" w:sz="4" w:space="0" w:color="auto"/>
              <w:left w:val="nil"/>
              <w:bottom w:val="single" w:sz="4" w:space="0" w:color="auto"/>
              <w:right w:val="single" w:sz="4" w:space="0" w:color="auto"/>
            </w:tcBorders>
            <w:shd w:val="clear" w:color="auto" w:fill="auto"/>
            <w:noWrap/>
            <w:vAlign w:val="bottom"/>
            <w:hideMark/>
          </w:tcPr>
          <w:p w14:paraId="5DED8289"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ci</w:t>
            </w:r>
          </w:p>
        </w:tc>
        <w:tc>
          <w:tcPr>
            <w:tcW w:w="354" w:type="dxa"/>
            <w:tcBorders>
              <w:top w:val="single" w:sz="4" w:space="0" w:color="auto"/>
              <w:left w:val="nil"/>
              <w:bottom w:val="single" w:sz="4" w:space="0" w:color="auto"/>
              <w:right w:val="single" w:sz="4" w:space="0" w:color="auto"/>
            </w:tcBorders>
            <w:shd w:val="clear" w:color="auto" w:fill="auto"/>
            <w:noWrap/>
            <w:vAlign w:val="bottom"/>
            <w:hideMark/>
          </w:tcPr>
          <w:p w14:paraId="7BB5A0A0"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ah</w:t>
            </w:r>
          </w:p>
        </w:tc>
        <w:tc>
          <w:tcPr>
            <w:tcW w:w="354" w:type="dxa"/>
            <w:tcBorders>
              <w:top w:val="single" w:sz="4" w:space="0" w:color="auto"/>
              <w:left w:val="nil"/>
              <w:bottom w:val="single" w:sz="4" w:space="0" w:color="auto"/>
              <w:right w:val="single" w:sz="4" w:space="0" w:color="auto"/>
            </w:tcBorders>
            <w:shd w:val="clear" w:color="auto" w:fill="auto"/>
            <w:noWrap/>
            <w:vAlign w:val="bottom"/>
            <w:hideMark/>
          </w:tcPr>
          <w:p w14:paraId="01E018AF"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cv</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14:paraId="0D1F9D1C" w14:textId="2C3A3775" w:rsidR="009B7DFB" w:rsidRPr="00DB4F4B" w:rsidRDefault="001F003F" w:rsidP="00CB55FF">
            <w:pPr>
              <w:spacing w:after="0" w:line="240" w:lineRule="auto"/>
              <w:jc w:val="center"/>
              <w:rPr>
                <w:rFonts w:ascii="Calibri" w:eastAsia="Times New Roman" w:hAnsi="Calibri" w:cs="Calibri"/>
                <w:color w:val="000000"/>
                <w:sz w:val="14"/>
                <w:szCs w:val="14"/>
                <w:lang w:val="en-US" w:eastAsia="fr-FR"/>
              </w:rPr>
            </w:pPr>
            <w:r>
              <w:rPr>
                <w:rFonts w:ascii="Calibri" w:eastAsia="Times New Roman" w:hAnsi="Calibri" w:cs="Calibri"/>
                <w:color w:val="000000"/>
                <w:sz w:val="14"/>
                <w:szCs w:val="14"/>
                <w:lang w:val="en-US" w:eastAsia="fr-FR"/>
              </w:rPr>
              <w:t>Serum c</w:t>
            </w:r>
            <w:r w:rsidR="009B7DFB" w:rsidRPr="00DB4F4B">
              <w:rPr>
                <w:rFonts w:ascii="Calibri" w:eastAsia="Times New Roman" w:hAnsi="Calibri" w:cs="Calibri"/>
                <w:color w:val="000000"/>
                <w:sz w:val="14"/>
                <w:szCs w:val="14"/>
                <w:lang w:val="en-US" w:eastAsia="fr-FR"/>
              </w:rPr>
              <w:t>reatinine (µmol/L)</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10DB031C"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Proteinuria</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14:paraId="3D12FBAA" w14:textId="77777777" w:rsidR="009B7DFB" w:rsidRPr="009B7DFB" w:rsidRDefault="009B7DFB" w:rsidP="00CB55FF">
            <w:pPr>
              <w:spacing w:after="0" w:line="240" w:lineRule="auto"/>
              <w:jc w:val="center"/>
              <w:rPr>
                <w:rFonts w:ascii="Calibri" w:eastAsia="Times New Roman" w:hAnsi="Calibri" w:cs="Calibri"/>
                <w:color w:val="000000"/>
                <w:sz w:val="14"/>
                <w:szCs w:val="14"/>
                <w:lang w:val="en-US" w:eastAsia="fr-FR"/>
              </w:rPr>
            </w:pPr>
            <w:r w:rsidRPr="009B7DFB">
              <w:rPr>
                <w:rFonts w:ascii="Calibri" w:eastAsia="Times New Roman" w:hAnsi="Calibri" w:cs="Calibri"/>
                <w:color w:val="000000"/>
                <w:sz w:val="14"/>
                <w:szCs w:val="14"/>
                <w:lang w:val="en-US" w:eastAsia="fr-FR"/>
              </w:rPr>
              <w:t>Time between transplantation and biopsy (months)</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14:paraId="1C4D83B0" w14:textId="002D52A2"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Reference di</w:t>
            </w:r>
            <w:r w:rsidR="00790A3D" w:rsidRPr="00DB4F4B">
              <w:rPr>
                <w:rFonts w:ascii="Calibri" w:eastAsia="Times New Roman" w:hAnsi="Calibri" w:cs="Calibri"/>
                <w:color w:val="000000"/>
                <w:sz w:val="14"/>
                <w:szCs w:val="14"/>
                <w:lang w:val="en-US" w:eastAsia="fr-FR"/>
              </w:rPr>
              <w:t>a</w:t>
            </w:r>
            <w:r w:rsidRPr="00DB4F4B">
              <w:rPr>
                <w:rFonts w:ascii="Calibri" w:eastAsia="Times New Roman" w:hAnsi="Calibri" w:cs="Calibri"/>
                <w:color w:val="000000"/>
                <w:sz w:val="14"/>
                <w:szCs w:val="14"/>
                <w:lang w:val="en-US" w:eastAsia="fr-FR"/>
              </w:rPr>
              <w:t>gnosis</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64C1A757"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ABMR score</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743D9B7B" w14:textId="6AAA3F01"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 xml:space="preserve">Active ABMR </w:t>
            </w:r>
            <w:r w:rsidR="00CB55FF" w:rsidRPr="00DB4F4B">
              <w:rPr>
                <w:rFonts w:ascii="Calibri" w:eastAsia="Times New Roman" w:hAnsi="Calibri" w:cs="Calibri"/>
                <w:color w:val="000000"/>
                <w:sz w:val="14"/>
                <w:szCs w:val="14"/>
                <w:lang w:val="en-US" w:eastAsia="fr-FR"/>
              </w:rPr>
              <w:t>prediction</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14:paraId="7A82A694"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Chronic active ABMR score</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013D875C"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Chronic active ABMR prediction</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14:paraId="307E972F"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TCMR score</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037AB9D9"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TCMR prediction</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14:paraId="16387BA9"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IFTA score</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0FECB89C"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IFTA prediction</w:t>
            </w:r>
          </w:p>
        </w:tc>
      </w:tr>
      <w:tr w:rsidR="001F003F" w:rsidRPr="00DB4F4B" w14:paraId="5FF0141D" w14:textId="77777777" w:rsidTr="00CB55FF">
        <w:trPr>
          <w:trHeight w:val="290"/>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5E6014F9"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1</w:t>
            </w:r>
          </w:p>
        </w:tc>
        <w:tc>
          <w:tcPr>
            <w:tcW w:w="407" w:type="dxa"/>
            <w:tcBorders>
              <w:top w:val="nil"/>
              <w:left w:val="nil"/>
              <w:bottom w:val="single" w:sz="4" w:space="0" w:color="auto"/>
              <w:right w:val="single" w:sz="4" w:space="0" w:color="auto"/>
            </w:tcBorders>
            <w:shd w:val="clear" w:color="auto" w:fill="auto"/>
            <w:noWrap/>
            <w:vAlign w:val="bottom"/>
            <w:hideMark/>
          </w:tcPr>
          <w:p w14:paraId="2711705C"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2</w:t>
            </w:r>
          </w:p>
        </w:tc>
        <w:tc>
          <w:tcPr>
            <w:tcW w:w="357" w:type="dxa"/>
            <w:tcBorders>
              <w:top w:val="nil"/>
              <w:left w:val="nil"/>
              <w:bottom w:val="single" w:sz="4" w:space="0" w:color="auto"/>
              <w:right w:val="single" w:sz="4" w:space="0" w:color="auto"/>
            </w:tcBorders>
            <w:shd w:val="clear" w:color="auto" w:fill="auto"/>
            <w:noWrap/>
            <w:vAlign w:val="bottom"/>
            <w:hideMark/>
          </w:tcPr>
          <w:p w14:paraId="631037C3"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1</w:t>
            </w:r>
          </w:p>
        </w:tc>
        <w:tc>
          <w:tcPr>
            <w:tcW w:w="351" w:type="dxa"/>
            <w:tcBorders>
              <w:top w:val="nil"/>
              <w:left w:val="nil"/>
              <w:bottom w:val="single" w:sz="4" w:space="0" w:color="auto"/>
              <w:right w:val="single" w:sz="4" w:space="0" w:color="auto"/>
            </w:tcBorders>
            <w:shd w:val="clear" w:color="auto" w:fill="auto"/>
            <w:noWrap/>
            <w:vAlign w:val="bottom"/>
            <w:hideMark/>
          </w:tcPr>
          <w:p w14:paraId="0038127A"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1</w:t>
            </w:r>
          </w:p>
        </w:tc>
        <w:tc>
          <w:tcPr>
            <w:tcW w:w="354" w:type="dxa"/>
            <w:tcBorders>
              <w:top w:val="nil"/>
              <w:left w:val="nil"/>
              <w:bottom w:val="single" w:sz="4" w:space="0" w:color="auto"/>
              <w:right w:val="single" w:sz="4" w:space="0" w:color="auto"/>
            </w:tcBorders>
            <w:shd w:val="clear" w:color="auto" w:fill="auto"/>
            <w:noWrap/>
            <w:vAlign w:val="bottom"/>
            <w:hideMark/>
          </w:tcPr>
          <w:p w14:paraId="0229959C"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1</w:t>
            </w:r>
          </w:p>
        </w:tc>
        <w:tc>
          <w:tcPr>
            <w:tcW w:w="354" w:type="dxa"/>
            <w:tcBorders>
              <w:top w:val="nil"/>
              <w:left w:val="nil"/>
              <w:bottom w:val="single" w:sz="4" w:space="0" w:color="auto"/>
              <w:right w:val="single" w:sz="4" w:space="0" w:color="auto"/>
            </w:tcBorders>
            <w:shd w:val="clear" w:color="auto" w:fill="auto"/>
            <w:noWrap/>
            <w:vAlign w:val="bottom"/>
            <w:hideMark/>
          </w:tcPr>
          <w:p w14:paraId="105D3980"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379" w:type="dxa"/>
            <w:tcBorders>
              <w:top w:val="nil"/>
              <w:left w:val="nil"/>
              <w:bottom w:val="single" w:sz="4" w:space="0" w:color="auto"/>
              <w:right w:val="single" w:sz="4" w:space="0" w:color="auto"/>
            </w:tcBorders>
            <w:shd w:val="clear" w:color="auto" w:fill="auto"/>
            <w:noWrap/>
            <w:vAlign w:val="bottom"/>
            <w:hideMark/>
          </w:tcPr>
          <w:p w14:paraId="63738B59"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1</w:t>
            </w:r>
          </w:p>
        </w:tc>
        <w:tc>
          <w:tcPr>
            <w:tcW w:w="248" w:type="dxa"/>
            <w:tcBorders>
              <w:top w:val="nil"/>
              <w:left w:val="nil"/>
              <w:bottom w:val="single" w:sz="4" w:space="0" w:color="auto"/>
              <w:right w:val="single" w:sz="4" w:space="0" w:color="auto"/>
            </w:tcBorders>
            <w:shd w:val="clear" w:color="auto" w:fill="auto"/>
            <w:noWrap/>
            <w:vAlign w:val="bottom"/>
            <w:hideMark/>
          </w:tcPr>
          <w:p w14:paraId="62B5C78F"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w:t>
            </w:r>
          </w:p>
        </w:tc>
        <w:tc>
          <w:tcPr>
            <w:tcW w:w="247" w:type="dxa"/>
            <w:tcBorders>
              <w:top w:val="nil"/>
              <w:left w:val="nil"/>
              <w:bottom w:val="single" w:sz="4" w:space="0" w:color="auto"/>
              <w:right w:val="single" w:sz="4" w:space="0" w:color="auto"/>
            </w:tcBorders>
            <w:shd w:val="clear" w:color="auto" w:fill="auto"/>
            <w:noWrap/>
            <w:vAlign w:val="bottom"/>
            <w:hideMark/>
          </w:tcPr>
          <w:p w14:paraId="72B5A298"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w:t>
            </w:r>
          </w:p>
        </w:tc>
        <w:tc>
          <w:tcPr>
            <w:tcW w:w="354" w:type="dxa"/>
            <w:tcBorders>
              <w:top w:val="nil"/>
              <w:left w:val="nil"/>
              <w:bottom w:val="single" w:sz="4" w:space="0" w:color="auto"/>
              <w:right w:val="single" w:sz="4" w:space="0" w:color="auto"/>
            </w:tcBorders>
            <w:shd w:val="clear" w:color="auto" w:fill="auto"/>
            <w:noWrap/>
            <w:vAlign w:val="bottom"/>
            <w:hideMark/>
          </w:tcPr>
          <w:p w14:paraId="3D2BA5C4"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354" w:type="dxa"/>
            <w:tcBorders>
              <w:top w:val="nil"/>
              <w:left w:val="nil"/>
              <w:bottom w:val="single" w:sz="4" w:space="0" w:color="auto"/>
              <w:right w:val="single" w:sz="4" w:space="0" w:color="auto"/>
            </w:tcBorders>
            <w:shd w:val="clear" w:color="auto" w:fill="auto"/>
            <w:noWrap/>
            <w:vAlign w:val="bottom"/>
            <w:hideMark/>
          </w:tcPr>
          <w:p w14:paraId="4E83367B"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w:t>
            </w:r>
          </w:p>
        </w:tc>
        <w:tc>
          <w:tcPr>
            <w:tcW w:w="354" w:type="dxa"/>
            <w:tcBorders>
              <w:top w:val="nil"/>
              <w:left w:val="nil"/>
              <w:bottom w:val="single" w:sz="4" w:space="0" w:color="auto"/>
              <w:right w:val="single" w:sz="4" w:space="0" w:color="auto"/>
            </w:tcBorders>
            <w:shd w:val="clear" w:color="auto" w:fill="auto"/>
            <w:noWrap/>
            <w:vAlign w:val="bottom"/>
            <w:hideMark/>
          </w:tcPr>
          <w:p w14:paraId="1ACDE434"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w:t>
            </w:r>
          </w:p>
        </w:tc>
        <w:tc>
          <w:tcPr>
            <w:tcW w:w="354" w:type="dxa"/>
            <w:tcBorders>
              <w:top w:val="nil"/>
              <w:left w:val="nil"/>
              <w:bottom w:val="single" w:sz="4" w:space="0" w:color="auto"/>
              <w:right w:val="single" w:sz="4" w:space="0" w:color="auto"/>
            </w:tcBorders>
            <w:shd w:val="clear" w:color="auto" w:fill="auto"/>
            <w:noWrap/>
            <w:vAlign w:val="bottom"/>
            <w:hideMark/>
          </w:tcPr>
          <w:p w14:paraId="67B8585C"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354" w:type="dxa"/>
            <w:tcBorders>
              <w:top w:val="nil"/>
              <w:left w:val="nil"/>
              <w:bottom w:val="single" w:sz="4" w:space="0" w:color="auto"/>
              <w:right w:val="single" w:sz="4" w:space="0" w:color="auto"/>
            </w:tcBorders>
            <w:shd w:val="clear" w:color="auto" w:fill="auto"/>
            <w:noWrap/>
            <w:vAlign w:val="bottom"/>
            <w:hideMark/>
          </w:tcPr>
          <w:p w14:paraId="2622A77A"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966" w:type="dxa"/>
            <w:tcBorders>
              <w:top w:val="nil"/>
              <w:left w:val="nil"/>
              <w:bottom w:val="single" w:sz="4" w:space="0" w:color="auto"/>
              <w:right w:val="single" w:sz="4" w:space="0" w:color="auto"/>
            </w:tcBorders>
            <w:shd w:val="clear" w:color="auto" w:fill="auto"/>
            <w:noWrap/>
            <w:vAlign w:val="bottom"/>
            <w:hideMark/>
          </w:tcPr>
          <w:p w14:paraId="1A7FB5EF"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194.52</w:t>
            </w:r>
          </w:p>
        </w:tc>
        <w:tc>
          <w:tcPr>
            <w:tcW w:w="800" w:type="dxa"/>
            <w:tcBorders>
              <w:top w:val="nil"/>
              <w:left w:val="nil"/>
              <w:bottom w:val="single" w:sz="4" w:space="0" w:color="auto"/>
              <w:right w:val="single" w:sz="4" w:space="0" w:color="auto"/>
            </w:tcBorders>
            <w:shd w:val="clear" w:color="auto" w:fill="auto"/>
            <w:noWrap/>
            <w:vAlign w:val="bottom"/>
            <w:hideMark/>
          </w:tcPr>
          <w:p w14:paraId="307357A9"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1018" w:type="dxa"/>
            <w:tcBorders>
              <w:top w:val="nil"/>
              <w:left w:val="nil"/>
              <w:bottom w:val="single" w:sz="4" w:space="0" w:color="auto"/>
              <w:right w:val="single" w:sz="4" w:space="0" w:color="auto"/>
            </w:tcBorders>
            <w:shd w:val="clear" w:color="auto" w:fill="auto"/>
            <w:noWrap/>
            <w:vAlign w:val="bottom"/>
            <w:hideMark/>
          </w:tcPr>
          <w:p w14:paraId="53F6ACF5"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48</w:t>
            </w:r>
          </w:p>
        </w:tc>
        <w:tc>
          <w:tcPr>
            <w:tcW w:w="1318" w:type="dxa"/>
            <w:tcBorders>
              <w:top w:val="nil"/>
              <w:left w:val="nil"/>
              <w:bottom w:val="single" w:sz="4" w:space="0" w:color="auto"/>
              <w:right w:val="single" w:sz="4" w:space="0" w:color="auto"/>
            </w:tcBorders>
            <w:shd w:val="clear" w:color="auto" w:fill="auto"/>
            <w:noWrap/>
            <w:vAlign w:val="bottom"/>
            <w:hideMark/>
          </w:tcPr>
          <w:p w14:paraId="3956268B"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Chronic active ABMR</w:t>
            </w:r>
          </w:p>
        </w:tc>
        <w:tc>
          <w:tcPr>
            <w:tcW w:w="505" w:type="dxa"/>
            <w:tcBorders>
              <w:top w:val="nil"/>
              <w:left w:val="nil"/>
              <w:bottom w:val="single" w:sz="4" w:space="0" w:color="auto"/>
              <w:right w:val="single" w:sz="4" w:space="0" w:color="auto"/>
            </w:tcBorders>
            <w:shd w:val="clear" w:color="auto" w:fill="auto"/>
            <w:noWrap/>
            <w:vAlign w:val="bottom"/>
            <w:hideMark/>
          </w:tcPr>
          <w:p w14:paraId="39117FC8"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0.99</w:t>
            </w:r>
          </w:p>
        </w:tc>
        <w:tc>
          <w:tcPr>
            <w:tcW w:w="743" w:type="dxa"/>
            <w:tcBorders>
              <w:top w:val="nil"/>
              <w:left w:val="nil"/>
              <w:bottom w:val="single" w:sz="4" w:space="0" w:color="auto"/>
              <w:right w:val="single" w:sz="4" w:space="0" w:color="auto"/>
            </w:tcBorders>
            <w:shd w:val="clear" w:color="auto" w:fill="auto"/>
            <w:noWrap/>
            <w:vAlign w:val="bottom"/>
            <w:hideMark/>
          </w:tcPr>
          <w:p w14:paraId="6F5FFAF6"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positive</w:t>
            </w:r>
          </w:p>
        </w:tc>
        <w:tc>
          <w:tcPr>
            <w:tcW w:w="590" w:type="dxa"/>
            <w:tcBorders>
              <w:top w:val="nil"/>
              <w:left w:val="nil"/>
              <w:bottom w:val="single" w:sz="4" w:space="0" w:color="auto"/>
              <w:right w:val="single" w:sz="4" w:space="0" w:color="auto"/>
            </w:tcBorders>
            <w:shd w:val="clear" w:color="auto" w:fill="auto"/>
            <w:noWrap/>
            <w:vAlign w:val="bottom"/>
            <w:hideMark/>
          </w:tcPr>
          <w:p w14:paraId="502BB15E"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0.84</w:t>
            </w:r>
          </w:p>
        </w:tc>
        <w:tc>
          <w:tcPr>
            <w:tcW w:w="743" w:type="dxa"/>
            <w:tcBorders>
              <w:top w:val="nil"/>
              <w:left w:val="nil"/>
              <w:bottom w:val="single" w:sz="4" w:space="0" w:color="auto"/>
              <w:right w:val="single" w:sz="4" w:space="0" w:color="auto"/>
            </w:tcBorders>
            <w:shd w:val="clear" w:color="auto" w:fill="auto"/>
            <w:noWrap/>
            <w:vAlign w:val="bottom"/>
            <w:hideMark/>
          </w:tcPr>
          <w:p w14:paraId="374042AF" w14:textId="222BED46"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pos</w:t>
            </w:r>
            <w:r w:rsidR="00CB55FF" w:rsidRPr="00DB4F4B">
              <w:rPr>
                <w:rFonts w:ascii="Calibri" w:eastAsia="Times New Roman" w:hAnsi="Calibri" w:cs="Calibri"/>
                <w:color w:val="000000"/>
                <w:sz w:val="14"/>
                <w:szCs w:val="14"/>
                <w:lang w:val="en-US" w:eastAsia="fr-FR"/>
              </w:rPr>
              <w:t>i</w:t>
            </w:r>
            <w:r w:rsidRPr="00DB4F4B">
              <w:rPr>
                <w:rFonts w:ascii="Calibri" w:eastAsia="Times New Roman" w:hAnsi="Calibri" w:cs="Calibri"/>
                <w:color w:val="000000"/>
                <w:sz w:val="14"/>
                <w:szCs w:val="14"/>
                <w:lang w:val="en-US" w:eastAsia="fr-FR"/>
              </w:rPr>
              <w:t>tive</w:t>
            </w:r>
          </w:p>
        </w:tc>
        <w:tc>
          <w:tcPr>
            <w:tcW w:w="489" w:type="dxa"/>
            <w:tcBorders>
              <w:top w:val="nil"/>
              <w:left w:val="nil"/>
              <w:bottom w:val="single" w:sz="4" w:space="0" w:color="auto"/>
              <w:right w:val="single" w:sz="4" w:space="0" w:color="auto"/>
            </w:tcBorders>
            <w:shd w:val="clear" w:color="auto" w:fill="auto"/>
            <w:noWrap/>
            <w:vAlign w:val="bottom"/>
            <w:hideMark/>
          </w:tcPr>
          <w:p w14:paraId="374AFDC1"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0.01</w:t>
            </w:r>
          </w:p>
        </w:tc>
        <w:tc>
          <w:tcPr>
            <w:tcW w:w="743" w:type="dxa"/>
            <w:tcBorders>
              <w:top w:val="nil"/>
              <w:left w:val="nil"/>
              <w:bottom w:val="single" w:sz="4" w:space="0" w:color="auto"/>
              <w:right w:val="single" w:sz="4" w:space="0" w:color="auto"/>
            </w:tcBorders>
            <w:shd w:val="clear" w:color="auto" w:fill="auto"/>
            <w:noWrap/>
            <w:vAlign w:val="bottom"/>
            <w:hideMark/>
          </w:tcPr>
          <w:p w14:paraId="52F5A835"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negative</w:t>
            </w:r>
          </w:p>
        </w:tc>
        <w:tc>
          <w:tcPr>
            <w:tcW w:w="456" w:type="dxa"/>
            <w:tcBorders>
              <w:top w:val="nil"/>
              <w:left w:val="nil"/>
              <w:bottom w:val="single" w:sz="4" w:space="0" w:color="auto"/>
              <w:right w:val="single" w:sz="4" w:space="0" w:color="auto"/>
            </w:tcBorders>
            <w:shd w:val="clear" w:color="auto" w:fill="auto"/>
            <w:noWrap/>
            <w:vAlign w:val="bottom"/>
            <w:hideMark/>
          </w:tcPr>
          <w:p w14:paraId="3542E3F4"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0.00</w:t>
            </w:r>
          </w:p>
        </w:tc>
        <w:tc>
          <w:tcPr>
            <w:tcW w:w="743" w:type="dxa"/>
            <w:tcBorders>
              <w:top w:val="nil"/>
              <w:left w:val="nil"/>
              <w:bottom w:val="single" w:sz="4" w:space="0" w:color="auto"/>
              <w:right w:val="single" w:sz="4" w:space="0" w:color="auto"/>
            </w:tcBorders>
            <w:shd w:val="clear" w:color="auto" w:fill="auto"/>
            <w:noWrap/>
            <w:vAlign w:val="bottom"/>
            <w:hideMark/>
          </w:tcPr>
          <w:p w14:paraId="622FD44A"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negative</w:t>
            </w:r>
          </w:p>
        </w:tc>
      </w:tr>
      <w:tr w:rsidR="001F003F" w:rsidRPr="00DB4F4B" w14:paraId="7CC13419" w14:textId="77777777" w:rsidTr="00CB55FF">
        <w:trPr>
          <w:trHeight w:val="290"/>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184098B2"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2</w:t>
            </w:r>
          </w:p>
        </w:tc>
        <w:tc>
          <w:tcPr>
            <w:tcW w:w="407" w:type="dxa"/>
            <w:tcBorders>
              <w:top w:val="nil"/>
              <w:left w:val="nil"/>
              <w:bottom w:val="single" w:sz="4" w:space="0" w:color="auto"/>
              <w:right w:val="single" w:sz="4" w:space="0" w:color="auto"/>
            </w:tcBorders>
            <w:shd w:val="clear" w:color="auto" w:fill="auto"/>
            <w:noWrap/>
            <w:vAlign w:val="bottom"/>
            <w:hideMark/>
          </w:tcPr>
          <w:p w14:paraId="012E9752"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1</w:t>
            </w:r>
          </w:p>
        </w:tc>
        <w:tc>
          <w:tcPr>
            <w:tcW w:w="357" w:type="dxa"/>
            <w:tcBorders>
              <w:top w:val="nil"/>
              <w:left w:val="nil"/>
              <w:bottom w:val="single" w:sz="4" w:space="0" w:color="auto"/>
              <w:right w:val="single" w:sz="4" w:space="0" w:color="auto"/>
            </w:tcBorders>
            <w:shd w:val="clear" w:color="auto" w:fill="auto"/>
            <w:noWrap/>
            <w:vAlign w:val="bottom"/>
            <w:hideMark/>
          </w:tcPr>
          <w:p w14:paraId="736FD02B"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2</w:t>
            </w:r>
          </w:p>
        </w:tc>
        <w:tc>
          <w:tcPr>
            <w:tcW w:w="351" w:type="dxa"/>
            <w:tcBorders>
              <w:top w:val="nil"/>
              <w:left w:val="nil"/>
              <w:bottom w:val="single" w:sz="4" w:space="0" w:color="auto"/>
              <w:right w:val="single" w:sz="4" w:space="0" w:color="auto"/>
            </w:tcBorders>
            <w:shd w:val="clear" w:color="auto" w:fill="auto"/>
            <w:noWrap/>
            <w:vAlign w:val="bottom"/>
            <w:hideMark/>
          </w:tcPr>
          <w:p w14:paraId="23920858"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w:t>
            </w:r>
          </w:p>
        </w:tc>
        <w:tc>
          <w:tcPr>
            <w:tcW w:w="354" w:type="dxa"/>
            <w:tcBorders>
              <w:top w:val="nil"/>
              <w:left w:val="nil"/>
              <w:bottom w:val="single" w:sz="4" w:space="0" w:color="auto"/>
              <w:right w:val="single" w:sz="4" w:space="0" w:color="auto"/>
            </w:tcBorders>
            <w:shd w:val="clear" w:color="auto" w:fill="auto"/>
            <w:noWrap/>
            <w:vAlign w:val="bottom"/>
            <w:hideMark/>
          </w:tcPr>
          <w:p w14:paraId="3456ED9D"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354" w:type="dxa"/>
            <w:tcBorders>
              <w:top w:val="nil"/>
              <w:left w:val="nil"/>
              <w:bottom w:val="single" w:sz="4" w:space="0" w:color="auto"/>
              <w:right w:val="single" w:sz="4" w:space="0" w:color="auto"/>
            </w:tcBorders>
            <w:shd w:val="clear" w:color="auto" w:fill="auto"/>
            <w:noWrap/>
            <w:vAlign w:val="bottom"/>
            <w:hideMark/>
          </w:tcPr>
          <w:p w14:paraId="05E66B1E"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379" w:type="dxa"/>
            <w:tcBorders>
              <w:top w:val="nil"/>
              <w:left w:val="nil"/>
              <w:bottom w:val="single" w:sz="4" w:space="0" w:color="auto"/>
              <w:right w:val="single" w:sz="4" w:space="0" w:color="auto"/>
            </w:tcBorders>
            <w:shd w:val="clear" w:color="auto" w:fill="auto"/>
            <w:noWrap/>
            <w:vAlign w:val="bottom"/>
            <w:hideMark/>
          </w:tcPr>
          <w:p w14:paraId="73A81185"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1</w:t>
            </w:r>
          </w:p>
        </w:tc>
        <w:tc>
          <w:tcPr>
            <w:tcW w:w="248" w:type="dxa"/>
            <w:tcBorders>
              <w:top w:val="nil"/>
              <w:left w:val="nil"/>
              <w:bottom w:val="single" w:sz="4" w:space="0" w:color="auto"/>
              <w:right w:val="single" w:sz="4" w:space="0" w:color="auto"/>
            </w:tcBorders>
            <w:shd w:val="clear" w:color="auto" w:fill="auto"/>
            <w:noWrap/>
            <w:vAlign w:val="bottom"/>
            <w:hideMark/>
          </w:tcPr>
          <w:p w14:paraId="11B5214B"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w:t>
            </w:r>
          </w:p>
        </w:tc>
        <w:tc>
          <w:tcPr>
            <w:tcW w:w="247" w:type="dxa"/>
            <w:tcBorders>
              <w:top w:val="nil"/>
              <w:left w:val="nil"/>
              <w:bottom w:val="single" w:sz="4" w:space="0" w:color="auto"/>
              <w:right w:val="single" w:sz="4" w:space="0" w:color="auto"/>
            </w:tcBorders>
            <w:shd w:val="clear" w:color="auto" w:fill="auto"/>
            <w:noWrap/>
            <w:vAlign w:val="bottom"/>
            <w:hideMark/>
          </w:tcPr>
          <w:p w14:paraId="6CCAE507"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w:t>
            </w:r>
          </w:p>
        </w:tc>
        <w:tc>
          <w:tcPr>
            <w:tcW w:w="354" w:type="dxa"/>
            <w:tcBorders>
              <w:top w:val="nil"/>
              <w:left w:val="nil"/>
              <w:bottom w:val="single" w:sz="4" w:space="0" w:color="auto"/>
              <w:right w:val="single" w:sz="4" w:space="0" w:color="auto"/>
            </w:tcBorders>
            <w:shd w:val="clear" w:color="auto" w:fill="auto"/>
            <w:noWrap/>
            <w:vAlign w:val="bottom"/>
            <w:hideMark/>
          </w:tcPr>
          <w:p w14:paraId="3EC132E2"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354" w:type="dxa"/>
            <w:tcBorders>
              <w:top w:val="nil"/>
              <w:left w:val="nil"/>
              <w:bottom w:val="single" w:sz="4" w:space="0" w:color="auto"/>
              <w:right w:val="single" w:sz="4" w:space="0" w:color="auto"/>
            </w:tcBorders>
            <w:shd w:val="clear" w:color="auto" w:fill="auto"/>
            <w:noWrap/>
            <w:vAlign w:val="bottom"/>
            <w:hideMark/>
          </w:tcPr>
          <w:p w14:paraId="14C9CCF7"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w:t>
            </w:r>
          </w:p>
        </w:tc>
        <w:tc>
          <w:tcPr>
            <w:tcW w:w="354" w:type="dxa"/>
            <w:tcBorders>
              <w:top w:val="nil"/>
              <w:left w:val="nil"/>
              <w:bottom w:val="single" w:sz="4" w:space="0" w:color="auto"/>
              <w:right w:val="single" w:sz="4" w:space="0" w:color="auto"/>
            </w:tcBorders>
            <w:shd w:val="clear" w:color="auto" w:fill="auto"/>
            <w:noWrap/>
            <w:vAlign w:val="bottom"/>
            <w:hideMark/>
          </w:tcPr>
          <w:p w14:paraId="1CC8D070"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354" w:type="dxa"/>
            <w:tcBorders>
              <w:top w:val="nil"/>
              <w:left w:val="nil"/>
              <w:bottom w:val="single" w:sz="4" w:space="0" w:color="auto"/>
              <w:right w:val="single" w:sz="4" w:space="0" w:color="auto"/>
            </w:tcBorders>
            <w:shd w:val="clear" w:color="auto" w:fill="auto"/>
            <w:noWrap/>
            <w:vAlign w:val="bottom"/>
            <w:hideMark/>
          </w:tcPr>
          <w:p w14:paraId="5EF10EB6"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354" w:type="dxa"/>
            <w:tcBorders>
              <w:top w:val="nil"/>
              <w:left w:val="nil"/>
              <w:bottom w:val="single" w:sz="4" w:space="0" w:color="auto"/>
              <w:right w:val="single" w:sz="4" w:space="0" w:color="auto"/>
            </w:tcBorders>
            <w:shd w:val="clear" w:color="auto" w:fill="auto"/>
            <w:noWrap/>
            <w:vAlign w:val="bottom"/>
            <w:hideMark/>
          </w:tcPr>
          <w:p w14:paraId="60CE3488"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966" w:type="dxa"/>
            <w:tcBorders>
              <w:top w:val="nil"/>
              <w:left w:val="nil"/>
              <w:bottom w:val="single" w:sz="4" w:space="0" w:color="auto"/>
              <w:right w:val="single" w:sz="4" w:space="0" w:color="auto"/>
            </w:tcBorders>
            <w:shd w:val="clear" w:color="auto" w:fill="auto"/>
            <w:noWrap/>
            <w:vAlign w:val="bottom"/>
            <w:hideMark/>
          </w:tcPr>
          <w:p w14:paraId="61C22C22"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123.79</w:t>
            </w:r>
          </w:p>
        </w:tc>
        <w:tc>
          <w:tcPr>
            <w:tcW w:w="800" w:type="dxa"/>
            <w:tcBorders>
              <w:top w:val="nil"/>
              <w:left w:val="nil"/>
              <w:bottom w:val="single" w:sz="4" w:space="0" w:color="auto"/>
              <w:right w:val="single" w:sz="4" w:space="0" w:color="auto"/>
            </w:tcBorders>
            <w:shd w:val="clear" w:color="auto" w:fill="auto"/>
            <w:noWrap/>
            <w:vAlign w:val="bottom"/>
            <w:hideMark/>
          </w:tcPr>
          <w:p w14:paraId="7123EF50"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1018" w:type="dxa"/>
            <w:tcBorders>
              <w:top w:val="nil"/>
              <w:left w:val="nil"/>
              <w:bottom w:val="single" w:sz="4" w:space="0" w:color="auto"/>
              <w:right w:val="single" w:sz="4" w:space="0" w:color="auto"/>
            </w:tcBorders>
            <w:shd w:val="clear" w:color="auto" w:fill="auto"/>
            <w:noWrap/>
            <w:vAlign w:val="bottom"/>
            <w:hideMark/>
          </w:tcPr>
          <w:p w14:paraId="0AA0BD89"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36</w:t>
            </w:r>
          </w:p>
        </w:tc>
        <w:tc>
          <w:tcPr>
            <w:tcW w:w="1318" w:type="dxa"/>
            <w:tcBorders>
              <w:top w:val="nil"/>
              <w:left w:val="nil"/>
              <w:bottom w:val="single" w:sz="4" w:space="0" w:color="auto"/>
              <w:right w:val="single" w:sz="4" w:space="0" w:color="auto"/>
            </w:tcBorders>
            <w:shd w:val="clear" w:color="auto" w:fill="auto"/>
            <w:noWrap/>
            <w:vAlign w:val="bottom"/>
            <w:hideMark/>
          </w:tcPr>
          <w:p w14:paraId="5393F2C8"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Acute/active ABMR</w:t>
            </w:r>
          </w:p>
        </w:tc>
        <w:tc>
          <w:tcPr>
            <w:tcW w:w="505" w:type="dxa"/>
            <w:tcBorders>
              <w:top w:val="nil"/>
              <w:left w:val="nil"/>
              <w:bottom w:val="single" w:sz="4" w:space="0" w:color="auto"/>
              <w:right w:val="single" w:sz="4" w:space="0" w:color="auto"/>
            </w:tcBorders>
            <w:shd w:val="clear" w:color="auto" w:fill="auto"/>
            <w:noWrap/>
            <w:vAlign w:val="bottom"/>
            <w:hideMark/>
          </w:tcPr>
          <w:p w14:paraId="6DD5BD78"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0.98</w:t>
            </w:r>
          </w:p>
        </w:tc>
        <w:tc>
          <w:tcPr>
            <w:tcW w:w="743" w:type="dxa"/>
            <w:tcBorders>
              <w:top w:val="nil"/>
              <w:left w:val="nil"/>
              <w:bottom w:val="single" w:sz="4" w:space="0" w:color="auto"/>
              <w:right w:val="single" w:sz="4" w:space="0" w:color="auto"/>
            </w:tcBorders>
            <w:shd w:val="clear" w:color="auto" w:fill="auto"/>
            <w:noWrap/>
            <w:vAlign w:val="bottom"/>
            <w:hideMark/>
          </w:tcPr>
          <w:p w14:paraId="3BD28421"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positive</w:t>
            </w:r>
          </w:p>
        </w:tc>
        <w:tc>
          <w:tcPr>
            <w:tcW w:w="590" w:type="dxa"/>
            <w:tcBorders>
              <w:top w:val="nil"/>
              <w:left w:val="nil"/>
              <w:bottom w:val="single" w:sz="4" w:space="0" w:color="auto"/>
              <w:right w:val="single" w:sz="4" w:space="0" w:color="auto"/>
            </w:tcBorders>
            <w:shd w:val="clear" w:color="auto" w:fill="auto"/>
            <w:noWrap/>
            <w:vAlign w:val="bottom"/>
            <w:hideMark/>
          </w:tcPr>
          <w:p w14:paraId="1623B03F"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0.04</w:t>
            </w:r>
          </w:p>
        </w:tc>
        <w:tc>
          <w:tcPr>
            <w:tcW w:w="743" w:type="dxa"/>
            <w:tcBorders>
              <w:top w:val="nil"/>
              <w:left w:val="nil"/>
              <w:bottom w:val="single" w:sz="4" w:space="0" w:color="auto"/>
              <w:right w:val="single" w:sz="4" w:space="0" w:color="auto"/>
            </w:tcBorders>
            <w:shd w:val="clear" w:color="auto" w:fill="auto"/>
            <w:noWrap/>
            <w:vAlign w:val="bottom"/>
            <w:hideMark/>
          </w:tcPr>
          <w:p w14:paraId="722D1496"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negative</w:t>
            </w:r>
          </w:p>
        </w:tc>
        <w:tc>
          <w:tcPr>
            <w:tcW w:w="489" w:type="dxa"/>
            <w:tcBorders>
              <w:top w:val="nil"/>
              <w:left w:val="nil"/>
              <w:bottom w:val="single" w:sz="4" w:space="0" w:color="auto"/>
              <w:right w:val="single" w:sz="4" w:space="0" w:color="auto"/>
            </w:tcBorders>
            <w:shd w:val="clear" w:color="auto" w:fill="auto"/>
            <w:noWrap/>
            <w:vAlign w:val="bottom"/>
            <w:hideMark/>
          </w:tcPr>
          <w:p w14:paraId="467BA512"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0.02</w:t>
            </w:r>
          </w:p>
        </w:tc>
        <w:tc>
          <w:tcPr>
            <w:tcW w:w="743" w:type="dxa"/>
            <w:tcBorders>
              <w:top w:val="nil"/>
              <w:left w:val="nil"/>
              <w:bottom w:val="single" w:sz="4" w:space="0" w:color="auto"/>
              <w:right w:val="single" w:sz="4" w:space="0" w:color="auto"/>
            </w:tcBorders>
            <w:shd w:val="clear" w:color="auto" w:fill="auto"/>
            <w:noWrap/>
            <w:vAlign w:val="bottom"/>
            <w:hideMark/>
          </w:tcPr>
          <w:p w14:paraId="107870A5"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negative</w:t>
            </w:r>
          </w:p>
        </w:tc>
        <w:tc>
          <w:tcPr>
            <w:tcW w:w="456" w:type="dxa"/>
            <w:tcBorders>
              <w:top w:val="nil"/>
              <w:left w:val="nil"/>
              <w:bottom w:val="single" w:sz="4" w:space="0" w:color="auto"/>
              <w:right w:val="single" w:sz="4" w:space="0" w:color="auto"/>
            </w:tcBorders>
            <w:shd w:val="clear" w:color="auto" w:fill="auto"/>
            <w:noWrap/>
            <w:vAlign w:val="bottom"/>
            <w:hideMark/>
          </w:tcPr>
          <w:p w14:paraId="778619E4"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0.01</w:t>
            </w:r>
          </w:p>
        </w:tc>
        <w:tc>
          <w:tcPr>
            <w:tcW w:w="743" w:type="dxa"/>
            <w:tcBorders>
              <w:top w:val="nil"/>
              <w:left w:val="nil"/>
              <w:bottom w:val="single" w:sz="4" w:space="0" w:color="auto"/>
              <w:right w:val="single" w:sz="4" w:space="0" w:color="auto"/>
            </w:tcBorders>
            <w:shd w:val="clear" w:color="auto" w:fill="auto"/>
            <w:noWrap/>
            <w:vAlign w:val="bottom"/>
            <w:hideMark/>
          </w:tcPr>
          <w:p w14:paraId="6E9C499E"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negative</w:t>
            </w:r>
          </w:p>
        </w:tc>
      </w:tr>
      <w:tr w:rsidR="001F003F" w:rsidRPr="00DB4F4B" w14:paraId="594E6DF8" w14:textId="77777777" w:rsidTr="00CB55FF">
        <w:trPr>
          <w:trHeight w:val="290"/>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1AF88D1C"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3</w:t>
            </w:r>
          </w:p>
        </w:tc>
        <w:tc>
          <w:tcPr>
            <w:tcW w:w="407" w:type="dxa"/>
            <w:tcBorders>
              <w:top w:val="nil"/>
              <w:left w:val="nil"/>
              <w:bottom w:val="single" w:sz="4" w:space="0" w:color="auto"/>
              <w:right w:val="single" w:sz="4" w:space="0" w:color="auto"/>
            </w:tcBorders>
            <w:shd w:val="clear" w:color="auto" w:fill="auto"/>
            <w:noWrap/>
            <w:vAlign w:val="bottom"/>
            <w:hideMark/>
          </w:tcPr>
          <w:p w14:paraId="4C4A1F8C"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1</w:t>
            </w:r>
          </w:p>
        </w:tc>
        <w:tc>
          <w:tcPr>
            <w:tcW w:w="357" w:type="dxa"/>
            <w:tcBorders>
              <w:top w:val="nil"/>
              <w:left w:val="nil"/>
              <w:bottom w:val="single" w:sz="4" w:space="0" w:color="auto"/>
              <w:right w:val="single" w:sz="4" w:space="0" w:color="auto"/>
            </w:tcBorders>
            <w:shd w:val="clear" w:color="auto" w:fill="auto"/>
            <w:noWrap/>
            <w:vAlign w:val="bottom"/>
            <w:hideMark/>
          </w:tcPr>
          <w:p w14:paraId="52A9166C"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2</w:t>
            </w:r>
          </w:p>
        </w:tc>
        <w:tc>
          <w:tcPr>
            <w:tcW w:w="351" w:type="dxa"/>
            <w:tcBorders>
              <w:top w:val="nil"/>
              <w:left w:val="nil"/>
              <w:bottom w:val="single" w:sz="4" w:space="0" w:color="auto"/>
              <w:right w:val="single" w:sz="4" w:space="0" w:color="auto"/>
            </w:tcBorders>
            <w:shd w:val="clear" w:color="auto" w:fill="auto"/>
            <w:noWrap/>
            <w:vAlign w:val="bottom"/>
            <w:hideMark/>
          </w:tcPr>
          <w:p w14:paraId="3BCE21E6"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w:t>
            </w:r>
          </w:p>
        </w:tc>
        <w:tc>
          <w:tcPr>
            <w:tcW w:w="354" w:type="dxa"/>
            <w:tcBorders>
              <w:top w:val="nil"/>
              <w:left w:val="nil"/>
              <w:bottom w:val="single" w:sz="4" w:space="0" w:color="auto"/>
              <w:right w:val="single" w:sz="4" w:space="0" w:color="auto"/>
            </w:tcBorders>
            <w:shd w:val="clear" w:color="auto" w:fill="auto"/>
            <w:noWrap/>
            <w:vAlign w:val="bottom"/>
            <w:hideMark/>
          </w:tcPr>
          <w:p w14:paraId="6DF74746"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1</w:t>
            </w:r>
          </w:p>
        </w:tc>
        <w:tc>
          <w:tcPr>
            <w:tcW w:w="354" w:type="dxa"/>
            <w:tcBorders>
              <w:top w:val="nil"/>
              <w:left w:val="nil"/>
              <w:bottom w:val="single" w:sz="4" w:space="0" w:color="auto"/>
              <w:right w:val="single" w:sz="4" w:space="0" w:color="auto"/>
            </w:tcBorders>
            <w:shd w:val="clear" w:color="auto" w:fill="auto"/>
            <w:noWrap/>
            <w:vAlign w:val="bottom"/>
            <w:hideMark/>
          </w:tcPr>
          <w:p w14:paraId="427636A6"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379" w:type="dxa"/>
            <w:tcBorders>
              <w:top w:val="nil"/>
              <w:left w:val="nil"/>
              <w:bottom w:val="single" w:sz="4" w:space="0" w:color="auto"/>
              <w:right w:val="single" w:sz="4" w:space="0" w:color="auto"/>
            </w:tcBorders>
            <w:shd w:val="clear" w:color="auto" w:fill="auto"/>
            <w:noWrap/>
            <w:vAlign w:val="bottom"/>
            <w:hideMark/>
          </w:tcPr>
          <w:p w14:paraId="4C1B5FA3"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1</w:t>
            </w:r>
          </w:p>
        </w:tc>
        <w:tc>
          <w:tcPr>
            <w:tcW w:w="248" w:type="dxa"/>
            <w:tcBorders>
              <w:top w:val="nil"/>
              <w:left w:val="nil"/>
              <w:bottom w:val="single" w:sz="4" w:space="0" w:color="auto"/>
              <w:right w:val="single" w:sz="4" w:space="0" w:color="auto"/>
            </w:tcBorders>
            <w:shd w:val="clear" w:color="auto" w:fill="auto"/>
            <w:noWrap/>
            <w:vAlign w:val="bottom"/>
            <w:hideMark/>
          </w:tcPr>
          <w:p w14:paraId="5130C82E"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w:t>
            </w:r>
          </w:p>
        </w:tc>
        <w:tc>
          <w:tcPr>
            <w:tcW w:w="247" w:type="dxa"/>
            <w:tcBorders>
              <w:top w:val="nil"/>
              <w:left w:val="nil"/>
              <w:bottom w:val="single" w:sz="4" w:space="0" w:color="auto"/>
              <w:right w:val="single" w:sz="4" w:space="0" w:color="auto"/>
            </w:tcBorders>
            <w:shd w:val="clear" w:color="auto" w:fill="auto"/>
            <w:noWrap/>
            <w:vAlign w:val="bottom"/>
            <w:hideMark/>
          </w:tcPr>
          <w:p w14:paraId="577C6FFD"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w:t>
            </w:r>
          </w:p>
        </w:tc>
        <w:tc>
          <w:tcPr>
            <w:tcW w:w="354" w:type="dxa"/>
            <w:tcBorders>
              <w:top w:val="nil"/>
              <w:left w:val="nil"/>
              <w:bottom w:val="single" w:sz="4" w:space="0" w:color="auto"/>
              <w:right w:val="single" w:sz="4" w:space="0" w:color="auto"/>
            </w:tcBorders>
            <w:shd w:val="clear" w:color="auto" w:fill="auto"/>
            <w:noWrap/>
            <w:vAlign w:val="bottom"/>
            <w:hideMark/>
          </w:tcPr>
          <w:p w14:paraId="5BE13099"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354" w:type="dxa"/>
            <w:tcBorders>
              <w:top w:val="nil"/>
              <w:left w:val="nil"/>
              <w:bottom w:val="single" w:sz="4" w:space="0" w:color="auto"/>
              <w:right w:val="single" w:sz="4" w:space="0" w:color="auto"/>
            </w:tcBorders>
            <w:shd w:val="clear" w:color="auto" w:fill="auto"/>
            <w:noWrap/>
            <w:vAlign w:val="bottom"/>
            <w:hideMark/>
          </w:tcPr>
          <w:p w14:paraId="691248CD"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w:t>
            </w:r>
          </w:p>
        </w:tc>
        <w:tc>
          <w:tcPr>
            <w:tcW w:w="354" w:type="dxa"/>
            <w:tcBorders>
              <w:top w:val="nil"/>
              <w:left w:val="nil"/>
              <w:bottom w:val="single" w:sz="4" w:space="0" w:color="auto"/>
              <w:right w:val="single" w:sz="4" w:space="0" w:color="auto"/>
            </w:tcBorders>
            <w:shd w:val="clear" w:color="auto" w:fill="auto"/>
            <w:noWrap/>
            <w:vAlign w:val="bottom"/>
            <w:hideMark/>
          </w:tcPr>
          <w:p w14:paraId="7D7FDDE6"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w:t>
            </w:r>
          </w:p>
        </w:tc>
        <w:tc>
          <w:tcPr>
            <w:tcW w:w="354" w:type="dxa"/>
            <w:tcBorders>
              <w:top w:val="nil"/>
              <w:left w:val="nil"/>
              <w:bottom w:val="single" w:sz="4" w:space="0" w:color="auto"/>
              <w:right w:val="single" w:sz="4" w:space="0" w:color="auto"/>
            </w:tcBorders>
            <w:shd w:val="clear" w:color="auto" w:fill="auto"/>
            <w:noWrap/>
            <w:vAlign w:val="bottom"/>
            <w:hideMark/>
          </w:tcPr>
          <w:p w14:paraId="2D70C34E"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354" w:type="dxa"/>
            <w:tcBorders>
              <w:top w:val="nil"/>
              <w:left w:val="nil"/>
              <w:bottom w:val="single" w:sz="4" w:space="0" w:color="auto"/>
              <w:right w:val="single" w:sz="4" w:space="0" w:color="auto"/>
            </w:tcBorders>
            <w:shd w:val="clear" w:color="auto" w:fill="auto"/>
            <w:noWrap/>
            <w:vAlign w:val="bottom"/>
            <w:hideMark/>
          </w:tcPr>
          <w:p w14:paraId="5A015FD3"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966" w:type="dxa"/>
            <w:tcBorders>
              <w:top w:val="nil"/>
              <w:left w:val="nil"/>
              <w:bottom w:val="single" w:sz="4" w:space="0" w:color="auto"/>
              <w:right w:val="single" w:sz="4" w:space="0" w:color="auto"/>
            </w:tcBorders>
            <w:shd w:val="clear" w:color="auto" w:fill="auto"/>
            <w:noWrap/>
            <w:vAlign w:val="bottom"/>
            <w:hideMark/>
          </w:tcPr>
          <w:p w14:paraId="01C60F5A"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194.52</w:t>
            </w:r>
          </w:p>
        </w:tc>
        <w:tc>
          <w:tcPr>
            <w:tcW w:w="800" w:type="dxa"/>
            <w:tcBorders>
              <w:top w:val="nil"/>
              <w:left w:val="nil"/>
              <w:bottom w:val="single" w:sz="4" w:space="0" w:color="auto"/>
              <w:right w:val="single" w:sz="4" w:space="0" w:color="auto"/>
            </w:tcBorders>
            <w:shd w:val="clear" w:color="auto" w:fill="auto"/>
            <w:noWrap/>
            <w:vAlign w:val="bottom"/>
            <w:hideMark/>
          </w:tcPr>
          <w:p w14:paraId="2647A02D"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1018" w:type="dxa"/>
            <w:tcBorders>
              <w:top w:val="nil"/>
              <w:left w:val="nil"/>
              <w:bottom w:val="single" w:sz="4" w:space="0" w:color="auto"/>
              <w:right w:val="single" w:sz="4" w:space="0" w:color="auto"/>
            </w:tcBorders>
            <w:shd w:val="clear" w:color="auto" w:fill="auto"/>
            <w:noWrap/>
            <w:vAlign w:val="bottom"/>
            <w:hideMark/>
          </w:tcPr>
          <w:p w14:paraId="24D8A5D5"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120</w:t>
            </w:r>
          </w:p>
        </w:tc>
        <w:tc>
          <w:tcPr>
            <w:tcW w:w="1318" w:type="dxa"/>
            <w:tcBorders>
              <w:top w:val="nil"/>
              <w:left w:val="nil"/>
              <w:bottom w:val="single" w:sz="4" w:space="0" w:color="auto"/>
              <w:right w:val="single" w:sz="4" w:space="0" w:color="auto"/>
            </w:tcBorders>
            <w:shd w:val="clear" w:color="auto" w:fill="auto"/>
            <w:noWrap/>
            <w:vAlign w:val="bottom"/>
            <w:hideMark/>
          </w:tcPr>
          <w:p w14:paraId="265EB1CD"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Chronic active ABMR</w:t>
            </w:r>
          </w:p>
        </w:tc>
        <w:tc>
          <w:tcPr>
            <w:tcW w:w="505" w:type="dxa"/>
            <w:tcBorders>
              <w:top w:val="nil"/>
              <w:left w:val="nil"/>
              <w:bottom w:val="single" w:sz="4" w:space="0" w:color="auto"/>
              <w:right w:val="single" w:sz="4" w:space="0" w:color="auto"/>
            </w:tcBorders>
            <w:shd w:val="clear" w:color="auto" w:fill="auto"/>
            <w:noWrap/>
            <w:vAlign w:val="bottom"/>
            <w:hideMark/>
          </w:tcPr>
          <w:p w14:paraId="19D7BBA6"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1.00</w:t>
            </w:r>
          </w:p>
        </w:tc>
        <w:tc>
          <w:tcPr>
            <w:tcW w:w="743" w:type="dxa"/>
            <w:tcBorders>
              <w:top w:val="nil"/>
              <w:left w:val="nil"/>
              <w:bottom w:val="single" w:sz="4" w:space="0" w:color="auto"/>
              <w:right w:val="single" w:sz="4" w:space="0" w:color="auto"/>
            </w:tcBorders>
            <w:shd w:val="clear" w:color="auto" w:fill="auto"/>
            <w:noWrap/>
            <w:vAlign w:val="bottom"/>
            <w:hideMark/>
          </w:tcPr>
          <w:p w14:paraId="04468F4C"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positive</w:t>
            </w:r>
          </w:p>
        </w:tc>
        <w:tc>
          <w:tcPr>
            <w:tcW w:w="590" w:type="dxa"/>
            <w:tcBorders>
              <w:top w:val="nil"/>
              <w:left w:val="nil"/>
              <w:bottom w:val="single" w:sz="4" w:space="0" w:color="auto"/>
              <w:right w:val="single" w:sz="4" w:space="0" w:color="auto"/>
            </w:tcBorders>
            <w:shd w:val="clear" w:color="auto" w:fill="auto"/>
            <w:noWrap/>
            <w:vAlign w:val="bottom"/>
            <w:hideMark/>
          </w:tcPr>
          <w:p w14:paraId="21F40EBC"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0.85</w:t>
            </w:r>
          </w:p>
        </w:tc>
        <w:tc>
          <w:tcPr>
            <w:tcW w:w="743" w:type="dxa"/>
            <w:tcBorders>
              <w:top w:val="nil"/>
              <w:left w:val="nil"/>
              <w:bottom w:val="single" w:sz="4" w:space="0" w:color="auto"/>
              <w:right w:val="single" w:sz="4" w:space="0" w:color="auto"/>
            </w:tcBorders>
            <w:shd w:val="clear" w:color="auto" w:fill="auto"/>
            <w:noWrap/>
            <w:vAlign w:val="bottom"/>
            <w:hideMark/>
          </w:tcPr>
          <w:p w14:paraId="2AE5F7A6"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positive</w:t>
            </w:r>
          </w:p>
        </w:tc>
        <w:tc>
          <w:tcPr>
            <w:tcW w:w="489" w:type="dxa"/>
            <w:tcBorders>
              <w:top w:val="nil"/>
              <w:left w:val="nil"/>
              <w:bottom w:val="single" w:sz="4" w:space="0" w:color="auto"/>
              <w:right w:val="single" w:sz="4" w:space="0" w:color="auto"/>
            </w:tcBorders>
            <w:shd w:val="clear" w:color="auto" w:fill="auto"/>
            <w:noWrap/>
            <w:vAlign w:val="bottom"/>
            <w:hideMark/>
          </w:tcPr>
          <w:p w14:paraId="535A5B5E"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0.01</w:t>
            </w:r>
          </w:p>
        </w:tc>
        <w:tc>
          <w:tcPr>
            <w:tcW w:w="743" w:type="dxa"/>
            <w:tcBorders>
              <w:top w:val="nil"/>
              <w:left w:val="nil"/>
              <w:bottom w:val="single" w:sz="4" w:space="0" w:color="auto"/>
              <w:right w:val="single" w:sz="4" w:space="0" w:color="auto"/>
            </w:tcBorders>
            <w:shd w:val="clear" w:color="auto" w:fill="auto"/>
            <w:noWrap/>
            <w:vAlign w:val="bottom"/>
            <w:hideMark/>
          </w:tcPr>
          <w:p w14:paraId="4C700A9A"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negative</w:t>
            </w:r>
          </w:p>
        </w:tc>
        <w:tc>
          <w:tcPr>
            <w:tcW w:w="456" w:type="dxa"/>
            <w:tcBorders>
              <w:top w:val="nil"/>
              <w:left w:val="nil"/>
              <w:bottom w:val="single" w:sz="4" w:space="0" w:color="auto"/>
              <w:right w:val="single" w:sz="4" w:space="0" w:color="auto"/>
            </w:tcBorders>
            <w:shd w:val="clear" w:color="auto" w:fill="auto"/>
            <w:noWrap/>
            <w:vAlign w:val="bottom"/>
            <w:hideMark/>
          </w:tcPr>
          <w:p w14:paraId="01538D8A"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0.00</w:t>
            </w:r>
          </w:p>
        </w:tc>
        <w:tc>
          <w:tcPr>
            <w:tcW w:w="743" w:type="dxa"/>
            <w:tcBorders>
              <w:top w:val="nil"/>
              <w:left w:val="nil"/>
              <w:bottom w:val="single" w:sz="4" w:space="0" w:color="auto"/>
              <w:right w:val="single" w:sz="4" w:space="0" w:color="auto"/>
            </w:tcBorders>
            <w:shd w:val="clear" w:color="auto" w:fill="auto"/>
            <w:noWrap/>
            <w:vAlign w:val="bottom"/>
            <w:hideMark/>
          </w:tcPr>
          <w:p w14:paraId="7D69A791"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negative</w:t>
            </w:r>
          </w:p>
        </w:tc>
      </w:tr>
      <w:tr w:rsidR="001F003F" w:rsidRPr="00DB4F4B" w14:paraId="6ECD7E13" w14:textId="77777777" w:rsidTr="00CB55FF">
        <w:trPr>
          <w:trHeight w:val="290"/>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30DDB80F"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4</w:t>
            </w:r>
          </w:p>
        </w:tc>
        <w:tc>
          <w:tcPr>
            <w:tcW w:w="407" w:type="dxa"/>
            <w:tcBorders>
              <w:top w:val="nil"/>
              <w:left w:val="nil"/>
              <w:bottom w:val="single" w:sz="4" w:space="0" w:color="auto"/>
              <w:right w:val="single" w:sz="4" w:space="0" w:color="auto"/>
            </w:tcBorders>
            <w:shd w:val="clear" w:color="auto" w:fill="auto"/>
            <w:noWrap/>
            <w:vAlign w:val="bottom"/>
            <w:hideMark/>
          </w:tcPr>
          <w:p w14:paraId="44EADFAE"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2</w:t>
            </w:r>
          </w:p>
        </w:tc>
        <w:tc>
          <w:tcPr>
            <w:tcW w:w="357" w:type="dxa"/>
            <w:tcBorders>
              <w:top w:val="nil"/>
              <w:left w:val="nil"/>
              <w:bottom w:val="single" w:sz="4" w:space="0" w:color="auto"/>
              <w:right w:val="single" w:sz="4" w:space="0" w:color="auto"/>
            </w:tcBorders>
            <w:shd w:val="clear" w:color="auto" w:fill="auto"/>
            <w:noWrap/>
            <w:vAlign w:val="bottom"/>
            <w:hideMark/>
          </w:tcPr>
          <w:p w14:paraId="0193F3F3"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2</w:t>
            </w:r>
          </w:p>
        </w:tc>
        <w:tc>
          <w:tcPr>
            <w:tcW w:w="351" w:type="dxa"/>
            <w:tcBorders>
              <w:top w:val="nil"/>
              <w:left w:val="nil"/>
              <w:bottom w:val="single" w:sz="4" w:space="0" w:color="auto"/>
              <w:right w:val="single" w:sz="4" w:space="0" w:color="auto"/>
            </w:tcBorders>
            <w:shd w:val="clear" w:color="auto" w:fill="auto"/>
            <w:noWrap/>
            <w:vAlign w:val="bottom"/>
            <w:hideMark/>
          </w:tcPr>
          <w:p w14:paraId="24026DAC"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w:t>
            </w:r>
          </w:p>
        </w:tc>
        <w:tc>
          <w:tcPr>
            <w:tcW w:w="354" w:type="dxa"/>
            <w:tcBorders>
              <w:top w:val="nil"/>
              <w:left w:val="nil"/>
              <w:bottom w:val="single" w:sz="4" w:space="0" w:color="auto"/>
              <w:right w:val="single" w:sz="4" w:space="0" w:color="auto"/>
            </w:tcBorders>
            <w:shd w:val="clear" w:color="auto" w:fill="auto"/>
            <w:noWrap/>
            <w:vAlign w:val="bottom"/>
            <w:hideMark/>
          </w:tcPr>
          <w:p w14:paraId="0C362266"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354" w:type="dxa"/>
            <w:tcBorders>
              <w:top w:val="nil"/>
              <w:left w:val="nil"/>
              <w:bottom w:val="single" w:sz="4" w:space="0" w:color="auto"/>
              <w:right w:val="single" w:sz="4" w:space="0" w:color="auto"/>
            </w:tcBorders>
            <w:shd w:val="clear" w:color="auto" w:fill="auto"/>
            <w:noWrap/>
            <w:vAlign w:val="bottom"/>
            <w:hideMark/>
          </w:tcPr>
          <w:p w14:paraId="13D269E7"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379" w:type="dxa"/>
            <w:tcBorders>
              <w:top w:val="nil"/>
              <w:left w:val="nil"/>
              <w:bottom w:val="single" w:sz="4" w:space="0" w:color="auto"/>
              <w:right w:val="single" w:sz="4" w:space="0" w:color="auto"/>
            </w:tcBorders>
            <w:shd w:val="clear" w:color="auto" w:fill="auto"/>
            <w:noWrap/>
            <w:vAlign w:val="bottom"/>
            <w:hideMark/>
          </w:tcPr>
          <w:p w14:paraId="0A357FA7"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w:t>
            </w:r>
          </w:p>
        </w:tc>
        <w:tc>
          <w:tcPr>
            <w:tcW w:w="248" w:type="dxa"/>
            <w:tcBorders>
              <w:top w:val="nil"/>
              <w:left w:val="nil"/>
              <w:bottom w:val="single" w:sz="4" w:space="0" w:color="auto"/>
              <w:right w:val="single" w:sz="4" w:space="0" w:color="auto"/>
            </w:tcBorders>
            <w:shd w:val="clear" w:color="auto" w:fill="auto"/>
            <w:noWrap/>
            <w:vAlign w:val="bottom"/>
            <w:hideMark/>
          </w:tcPr>
          <w:p w14:paraId="416ED264"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w:t>
            </w:r>
          </w:p>
        </w:tc>
        <w:tc>
          <w:tcPr>
            <w:tcW w:w="247" w:type="dxa"/>
            <w:tcBorders>
              <w:top w:val="nil"/>
              <w:left w:val="nil"/>
              <w:bottom w:val="single" w:sz="4" w:space="0" w:color="auto"/>
              <w:right w:val="single" w:sz="4" w:space="0" w:color="auto"/>
            </w:tcBorders>
            <w:shd w:val="clear" w:color="auto" w:fill="auto"/>
            <w:noWrap/>
            <w:vAlign w:val="bottom"/>
            <w:hideMark/>
          </w:tcPr>
          <w:p w14:paraId="538A28AC"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w:t>
            </w:r>
          </w:p>
        </w:tc>
        <w:tc>
          <w:tcPr>
            <w:tcW w:w="354" w:type="dxa"/>
            <w:tcBorders>
              <w:top w:val="nil"/>
              <w:left w:val="nil"/>
              <w:bottom w:val="single" w:sz="4" w:space="0" w:color="auto"/>
              <w:right w:val="single" w:sz="4" w:space="0" w:color="auto"/>
            </w:tcBorders>
            <w:shd w:val="clear" w:color="auto" w:fill="auto"/>
            <w:noWrap/>
            <w:vAlign w:val="bottom"/>
            <w:hideMark/>
          </w:tcPr>
          <w:p w14:paraId="764724A6"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354" w:type="dxa"/>
            <w:tcBorders>
              <w:top w:val="nil"/>
              <w:left w:val="nil"/>
              <w:bottom w:val="single" w:sz="4" w:space="0" w:color="auto"/>
              <w:right w:val="single" w:sz="4" w:space="0" w:color="auto"/>
            </w:tcBorders>
            <w:shd w:val="clear" w:color="auto" w:fill="auto"/>
            <w:noWrap/>
            <w:vAlign w:val="bottom"/>
            <w:hideMark/>
          </w:tcPr>
          <w:p w14:paraId="2255F02A"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w:t>
            </w:r>
          </w:p>
        </w:tc>
        <w:tc>
          <w:tcPr>
            <w:tcW w:w="354" w:type="dxa"/>
            <w:tcBorders>
              <w:top w:val="nil"/>
              <w:left w:val="nil"/>
              <w:bottom w:val="single" w:sz="4" w:space="0" w:color="auto"/>
              <w:right w:val="single" w:sz="4" w:space="0" w:color="auto"/>
            </w:tcBorders>
            <w:shd w:val="clear" w:color="auto" w:fill="auto"/>
            <w:noWrap/>
            <w:vAlign w:val="bottom"/>
            <w:hideMark/>
          </w:tcPr>
          <w:p w14:paraId="55EB3879"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w:t>
            </w:r>
          </w:p>
        </w:tc>
        <w:tc>
          <w:tcPr>
            <w:tcW w:w="354" w:type="dxa"/>
            <w:tcBorders>
              <w:top w:val="nil"/>
              <w:left w:val="nil"/>
              <w:bottom w:val="single" w:sz="4" w:space="0" w:color="auto"/>
              <w:right w:val="single" w:sz="4" w:space="0" w:color="auto"/>
            </w:tcBorders>
            <w:shd w:val="clear" w:color="auto" w:fill="auto"/>
            <w:noWrap/>
            <w:vAlign w:val="bottom"/>
            <w:hideMark/>
          </w:tcPr>
          <w:p w14:paraId="3BE26328"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354" w:type="dxa"/>
            <w:tcBorders>
              <w:top w:val="nil"/>
              <w:left w:val="nil"/>
              <w:bottom w:val="single" w:sz="4" w:space="0" w:color="auto"/>
              <w:right w:val="single" w:sz="4" w:space="0" w:color="auto"/>
            </w:tcBorders>
            <w:shd w:val="clear" w:color="auto" w:fill="auto"/>
            <w:noWrap/>
            <w:vAlign w:val="bottom"/>
            <w:hideMark/>
          </w:tcPr>
          <w:p w14:paraId="7702D044"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966" w:type="dxa"/>
            <w:tcBorders>
              <w:top w:val="nil"/>
              <w:left w:val="nil"/>
              <w:bottom w:val="single" w:sz="4" w:space="0" w:color="auto"/>
              <w:right w:val="single" w:sz="4" w:space="0" w:color="auto"/>
            </w:tcBorders>
            <w:shd w:val="clear" w:color="auto" w:fill="auto"/>
            <w:noWrap/>
            <w:vAlign w:val="bottom"/>
            <w:hideMark/>
          </w:tcPr>
          <w:p w14:paraId="41FCBFA2"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150.31</w:t>
            </w:r>
          </w:p>
        </w:tc>
        <w:tc>
          <w:tcPr>
            <w:tcW w:w="800" w:type="dxa"/>
            <w:tcBorders>
              <w:top w:val="nil"/>
              <w:left w:val="nil"/>
              <w:bottom w:val="single" w:sz="4" w:space="0" w:color="auto"/>
              <w:right w:val="single" w:sz="4" w:space="0" w:color="auto"/>
            </w:tcBorders>
            <w:shd w:val="clear" w:color="auto" w:fill="auto"/>
            <w:noWrap/>
            <w:vAlign w:val="bottom"/>
            <w:hideMark/>
          </w:tcPr>
          <w:p w14:paraId="1850784E"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1018" w:type="dxa"/>
            <w:tcBorders>
              <w:top w:val="nil"/>
              <w:left w:val="nil"/>
              <w:bottom w:val="single" w:sz="4" w:space="0" w:color="auto"/>
              <w:right w:val="single" w:sz="4" w:space="0" w:color="auto"/>
            </w:tcBorders>
            <w:shd w:val="clear" w:color="auto" w:fill="auto"/>
            <w:noWrap/>
            <w:vAlign w:val="bottom"/>
            <w:hideMark/>
          </w:tcPr>
          <w:p w14:paraId="622402A1"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12</w:t>
            </w:r>
          </w:p>
        </w:tc>
        <w:tc>
          <w:tcPr>
            <w:tcW w:w="1318" w:type="dxa"/>
            <w:tcBorders>
              <w:top w:val="nil"/>
              <w:left w:val="nil"/>
              <w:bottom w:val="single" w:sz="4" w:space="0" w:color="auto"/>
              <w:right w:val="single" w:sz="4" w:space="0" w:color="auto"/>
            </w:tcBorders>
            <w:shd w:val="clear" w:color="auto" w:fill="auto"/>
            <w:noWrap/>
            <w:vAlign w:val="bottom"/>
            <w:hideMark/>
          </w:tcPr>
          <w:p w14:paraId="1A85C078" w14:textId="77777777" w:rsidR="009B7DFB" w:rsidRPr="009B7DFB" w:rsidRDefault="009B7DFB" w:rsidP="00CB55FF">
            <w:pPr>
              <w:spacing w:after="0" w:line="240" w:lineRule="auto"/>
              <w:jc w:val="center"/>
              <w:rPr>
                <w:rFonts w:ascii="Calibri" w:eastAsia="Times New Roman" w:hAnsi="Calibri" w:cs="Calibri"/>
                <w:color w:val="000000"/>
                <w:sz w:val="14"/>
                <w:szCs w:val="14"/>
                <w:lang w:val="en-US" w:eastAsia="fr-FR"/>
              </w:rPr>
            </w:pPr>
            <w:r w:rsidRPr="009B7DFB">
              <w:rPr>
                <w:rFonts w:ascii="Calibri" w:eastAsia="Times New Roman" w:hAnsi="Calibri" w:cs="Calibri"/>
                <w:color w:val="000000"/>
                <w:sz w:val="14"/>
                <w:szCs w:val="14"/>
                <w:lang w:val="en-US" w:eastAsia="fr-FR"/>
              </w:rPr>
              <w:t>Histologic features of ABMR without detectable anti-HLA antibody</w:t>
            </w:r>
          </w:p>
        </w:tc>
        <w:tc>
          <w:tcPr>
            <w:tcW w:w="505" w:type="dxa"/>
            <w:tcBorders>
              <w:top w:val="nil"/>
              <w:left w:val="nil"/>
              <w:bottom w:val="single" w:sz="4" w:space="0" w:color="auto"/>
              <w:right w:val="single" w:sz="4" w:space="0" w:color="auto"/>
            </w:tcBorders>
            <w:shd w:val="clear" w:color="auto" w:fill="auto"/>
            <w:noWrap/>
            <w:vAlign w:val="bottom"/>
            <w:hideMark/>
          </w:tcPr>
          <w:p w14:paraId="1835773D"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0.96</w:t>
            </w:r>
          </w:p>
        </w:tc>
        <w:tc>
          <w:tcPr>
            <w:tcW w:w="743" w:type="dxa"/>
            <w:tcBorders>
              <w:top w:val="nil"/>
              <w:left w:val="nil"/>
              <w:bottom w:val="single" w:sz="4" w:space="0" w:color="auto"/>
              <w:right w:val="single" w:sz="4" w:space="0" w:color="auto"/>
            </w:tcBorders>
            <w:shd w:val="clear" w:color="auto" w:fill="auto"/>
            <w:noWrap/>
            <w:vAlign w:val="bottom"/>
            <w:hideMark/>
          </w:tcPr>
          <w:p w14:paraId="562C291D"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positive</w:t>
            </w:r>
          </w:p>
        </w:tc>
        <w:tc>
          <w:tcPr>
            <w:tcW w:w="590" w:type="dxa"/>
            <w:tcBorders>
              <w:top w:val="nil"/>
              <w:left w:val="nil"/>
              <w:bottom w:val="single" w:sz="4" w:space="0" w:color="auto"/>
              <w:right w:val="single" w:sz="4" w:space="0" w:color="auto"/>
            </w:tcBorders>
            <w:shd w:val="clear" w:color="auto" w:fill="auto"/>
            <w:noWrap/>
            <w:vAlign w:val="bottom"/>
            <w:hideMark/>
          </w:tcPr>
          <w:p w14:paraId="77322216"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0.05</w:t>
            </w:r>
          </w:p>
        </w:tc>
        <w:tc>
          <w:tcPr>
            <w:tcW w:w="743" w:type="dxa"/>
            <w:tcBorders>
              <w:top w:val="nil"/>
              <w:left w:val="nil"/>
              <w:bottom w:val="single" w:sz="4" w:space="0" w:color="auto"/>
              <w:right w:val="single" w:sz="4" w:space="0" w:color="auto"/>
            </w:tcBorders>
            <w:shd w:val="clear" w:color="auto" w:fill="auto"/>
            <w:noWrap/>
            <w:vAlign w:val="bottom"/>
            <w:hideMark/>
          </w:tcPr>
          <w:p w14:paraId="59529D0D"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negative</w:t>
            </w:r>
          </w:p>
        </w:tc>
        <w:tc>
          <w:tcPr>
            <w:tcW w:w="489" w:type="dxa"/>
            <w:tcBorders>
              <w:top w:val="nil"/>
              <w:left w:val="nil"/>
              <w:bottom w:val="single" w:sz="4" w:space="0" w:color="auto"/>
              <w:right w:val="single" w:sz="4" w:space="0" w:color="auto"/>
            </w:tcBorders>
            <w:shd w:val="clear" w:color="auto" w:fill="auto"/>
            <w:noWrap/>
            <w:vAlign w:val="bottom"/>
            <w:hideMark/>
          </w:tcPr>
          <w:p w14:paraId="515FEDB0"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0.02</w:t>
            </w:r>
          </w:p>
        </w:tc>
        <w:tc>
          <w:tcPr>
            <w:tcW w:w="743" w:type="dxa"/>
            <w:tcBorders>
              <w:top w:val="nil"/>
              <w:left w:val="nil"/>
              <w:bottom w:val="single" w:sz="4" w:space="0" w:color="auto"/>
              <w:right w:val="single" w:sz="4" w:space="0" w:color="auto"/>
            </w:tcBorders>
            <w:shd w:val="clear" w:color="auto" w:fill="auto"/>
            <w:noWrap/>
            <w:vAlign w:val="bottom"/>
            <w:hideMark/>
          </w:tcPr>
          <w:p w14:paraId="682E5D57"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negative</w:t>
            </w:r>
          </w:p>
        </w:tc>
        <w:tc>
          <w:tcPr>
            <w:tcW w:w="456" w:type="dxa"/>
            <w:tcBorders>
              <w:top w:val="nil"/>
              <w:left w:val="nil"/>
              <w:bottom w:val="single" w:sz="4" w:space="0" w:color="auto"/>
              <w:right w:val="single" w:sz="4" w:space="0" w:color="auto"/>
            </w:tcBorders>
            <w:shd w:val="clear" w:color="auto" w:fill="auto"/>
            <w:noWrap/>
            <w:vAlign w:val="bottom"/>
            <w:hideMark/>
          </w:tcPr>
          <w:p w14:paraId="55BFBBBB"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0.01</w:t>
            </w:r>
          </w:p>
        </w:tc>
        <w:tc>
          <w:tcPr>
            <w:tcW w:w="743" w:type="dxa"/>
            <w:tcBorders>
              <w:top w:val="nil"/>
              <w:left w:val="nil"/>
              <w:bottom w:val="single" w:sz="4" w:space="0" w:color="auto"/>
              <w:right w:val="single" w:sz="4" w:space="0" w:color="auto"/>
            </w:tcBorders>
            <w:shd w:val="clear" w:color="auto" w:fill="auto"/>
            <w:noWrap/>
            <w:vAlign w:val="bottom"/>
            <w:hideMark/>
          </w:tcPr>
          <w:p w14:paraId="3791C8B4"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negative</w:t>
            </w:r>
          </w:p>
        </w:tc>
      </w:tr>
      <w:tr w:rsidR="001F003F" w:rsidRPr="00DB4F4B" w14:paraId="18D5CB51" w14:textId="77777777" w:rsidTr="00CB55FF">
        <w:trPr>
          <w:trHeight w:val="290"/>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5C6A9331"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5</w:t>
            </w:r>
          </w:p>
        </w:tc>
        <w:tc>
          <w:tcPr>
            <w:tcW w:w="407" w:type="dxa"/>
            <w:tcBorders>
              <w:top w:val="nil"/>
              <w:left w:val="nil"/>
              <w:bottom w:val="single" w:sz="4" w:space="0" w:color="auto"/>
              <w:right w:val="single" w:sz="4" w:space="0" w:color="auto"/>
            </w:tcBorders>
            <w:shd w:val="clear" w:color="auto" w:fill="auto"/>
            <w:noWrap/>
            <w:vAlign w:val="bottom"/>
            <w:hideMark/>
          </w:tcPr>
          <w:p w14:paraId="7F9D950A"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2</w:t>
            </w:r>
          </w:p>
        </w:tc>
        <w:tc>
          <w:tcPr>
            <w:tcW w:w="357" w:type="dxa"/>
            <w:tcBorders>
              <w:top w:val="nil"/>
              <w:left w:val="nil"/>
              <w:bottom w:val="single" w:sz="4" w:space="0" w:color="auto"/>
              <w:right w:val="single" w:sz="4" w:space="0" w:color="auto"/>
            </w:tcBorders>
            <w:shd w:val="clear" w:color="auto" w:fill="auto"/>
            <w:noWrap/>
            <w:vAlign w:val="bottom"/>
            <w:hideMark/>
          </w:tcPr>
          <w:p w14:paraId="5B6BA375"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2</w:t>
            </w:r>
          </w:p>
        </w:tc>
        <w:tc>
          <w:tcPr>
            <w:tcW w:w="351" w:type="dxa"/>
            <w:tcBorders>
              <w:top w:val="nil"/>
              <w:left w:val="nil"/>
              <w:bottom w:val="single" w:sz="4" w:space="0" w:color="auto"/>
              <w:right w:val="single" w:sz="4" w:space="0" w:color="auto"/>
            </w:tcBorders>
            <w:shd w:val="clear" w:color="auto" w:fill="auto"/>
            <w:noWrap/>
            <w:vAlign w:val="bottom"/>
            <w:hideMark/>
          </w:tcPr>
          <w:p w14:paraId="4B6A9F09"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w:t>
            </w:r>
          </w:p>
        </w:tc>
        <w:tc>
          <w:tcPr>
            <w:tcW w:w="354" w:type="dxa"/>
            <w:tcBorders>
              <w:top w:val="nil"/>
              <w:left w:val="nil"/>
              <w:bottom w:val="single" w:sz="4" w:space="0" w:color="auto"/>
              <w:right w:val="single" w:sz="4" w:space="0" w:color="auto"/>
            </w:tcBorders>
            <w:shd w:val="clear" w:color="auto" w:fill="auto"/>
            <w:noWrap/>
            <w:vAlign w:val="bottom"/>
            <w:hideMark/>
          </w:tcPr>
          <w:p w14:paraId="54640CD0"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354" w:type="dxa"/>
            <w:tcBorders>
              <w:top w:val="nil"/>
              <w:left w:val="nil"/>
              <w:bottom w:val="single" w:sz="4" w:space="0" w:color="auto"/>
              <w:right w:val="single" w:sz="4" w:space="0" w:color="auto"/>
            </w:tcBorders>
            <w:shd w:val="clear" w:color="auto" w:fill="auto"/>
            <w:noWrap/>
            <w:vAlign w:val="bottom"/>
            <w:hideMark/>
          </w:tcPr>
          <w:p w14:paraId="1D4C5AA9"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379" w:type="dxa"/>
            <w:tcBorders>
              <w:top w:val="nil"/>
              <w:left w:val="nil"/>
              <w:bottom w:val="single" w:sz="4" w:space="0" w:color="auto"/>
              <w:right w:val="single" w:sz="4" w:space="0" w:color="auto"/>
            </w:tcBorders>
            <w:shd w:val="clear" w:color="auto" w:fill="auto"/>
            <w:noWrap/>
            <w:vAlign w:val="bottom"/>
            <w:hideMark/>
          </w:tcPr>
          <w:p w14:paraId="153EC9BB"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1</w:t>
            </w:r>
          </w:p>
        </w:tc>
        <w:tc>
          <w:tcPr>
            <w:tcW w:w="248" w:type="dxa"/>
            <w:tcBorders>
              <w:top w:val="nil"/>
              <w:left w:val="nil"/>
              <w:bottom w:val="single" w:sz="4" w:space="0" w:color="auto"/>
              <w:right w:val="single" w:sz="4" w:space="0" w:color="auto"/>
            </w:tcBorders>
            <w:shd w:val="clear" w:color="auto" w:fill="auto"/>
            <w:noWrap/>
            <w:vAlign w:val="bottom"/>
            <w:hideMark/>
          </w:tcPr>
          <w:p w14:paraId="24CDD796"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w:t>
            </w:r>
          </w:p>
        </w:tc>
        <w:tc>
          <w:tcPr>
            <w:tcW w:w="247" w:type="dxa"/>
            <w:tcBorders>
              <w:top w:val="nil"/>
              <w:left w:val="nil"/>
              <w:bottom w:val="single" w:sz="4" w:space="0" w:color="auto"/>
              <w:right w:val="single" w:sz="4" w:space="0" w:color="auto"/>
            </w:tcBorders>
            <w:shd w:val="clear" w:color="auto" w:fill="auto"/>
            <w:noWrap/>
            <w:vAlign w:val="bottom"/>
            <w:hideMark/>
          </w:tcPr>
          <w:p w14:paraId="07D4685E"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w:t>
            </w:r>
          </w:p>
        </w:tc>
        <w:tc>
          <w:tcPr>
            <w:tcW w:w="354" w:type="dxa"/>
            <w:tcBorders>
              <w:top w:val="nil"/>
              <w:left w:val="nil"/>
              <w:bottom w:val="single" w:sz="4" w:space="0" w:color="auto"/>
              <w:right w:val="single" w:sz="4" w:space="0" w:color="auto"/>
            </w:tcBorders>
            <w:shd w:val="clear" w:color="auto" w:fill="auto"/>
            <w:noWrap/>
            <w:vAlign w:val="bottom"/>
            <w:hideMark/>
          </w:tcPr>
          <w:p w14:paraId="7AB48D93"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354" w:type="dxa"/>
            <w:tcBorders>
              <w:top w:val="nil"/>
              <w:left w:val="nil"/>
              <w:bottom w:val="single" w:sz="4" w:space="0" w:color="auto"/>
              <w:right w:val="single" w:sz="4" w:space="0" w:color="auto"/>
            </w:tcBorders>
            <w:shd w:val="clear" w:color="auto" w:fill="auto"/>
            <w:noWrap/>
            <w:vAlign w:val="bottom"/>
            <w:hideMark/>
          </w:tcPr>
          <w:p w14:paraId="7BA83FC7"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w:t>
            </w:r>
          </w:p>
        </w:tc>
        <w:tc>
          <w:tcPr>
            <w:tcW w:w="354" w:type="dxa"/>
            <w:tcBorders>
              <w:top w:val="nil"/>
              <w:left w:val="nil"/>
              <w:bottom w:val="single" w:sz="4" w:space="0" w:color="auto"/>
              <w:right w:val="single" w:sz="4" w:space="0" w:color="auto"/>
            </w:tcBorders>
            <w:shd w:val="clear" w:color="auto" w:fill="auto"/>
            <w:noWrap/>
            <w:vAlign w:val="bottom"/>
            <w:hideMark/>
          </w:tcPr>
          <w:p w14:paraId="00A3AD68"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w:t>
            </w:r>
          </w:p>
        </w:tc>
        <w:tc>
          <w:tcPr>
            <w:tcW w:w="354" w:type="dxa"/>
            <w:tcBorders>
              <w:top w:val="nil"/>
              <w:left w:val="nil"/>
              <w:bottom w:val="single" w:sz="4" w:space="0" w:color="auto"/>
              <w:right w:val="single" w:sz="4" w:space="0" w:color="auto"/>
            </w:tcBorders>
            <w:shd w:val="clear" w:color="auto" w:fill="auto"/>
            <w:noWrap/>
            <w:vAlign w:val="bottom"/>
            <w:hideMark/>
          </w:tcPr>
          <w:p w14:paraId="224028DA"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354" w:type="dxa"/>
            <w:tcBorders>
              <w:top w:val="nil"/>
              <w:left w:val="nil"/>
              <w:bottom w:val="single" w:sz="4" w:space="0" w:color="auto"/>
              <w:right w:val="single" w:sz="4" w:space="0" w:color="auto"/>
            </w:tcBorders>
            <w:shd w:val="clear" w:color="auto" w:fill="auto"/>
            <w:noWrap/>
            <w:vAlign w:val="bottom"/>
            <w:hideMark/>
          </w:tcPr>
          <w:p w14:paraId="126C0446"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966" w:type="dxa"/>
            <w:tcBorders>
              <w:top w:val="nil"/>
              <w:left w:val="nil"/>
              <w:bottom w:val="single" w:sz="4" w:space="0" w:color="auto"/>
              <w:right w:val="single" w:sz="4" w:space="0" w:color="auto"/>
            </w:tcBorders>
            <w:shd w:val="clear" w:color="auto" w:fill="auto"/>
            <w:noWrap/>
            <w:vAlign w:val="bottom"/>
            <w:hideMark/>
          </w:tcPr>
          <w:p w14:paraId="54EC9E93"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150.31</w:t>
            </w:r>
          </w:p>
        </w:tc>
        <w:tc>
          <w:tcPr>
            <w:tcW w:w="800" w:type="dxa"/>
            <w:tcBorders>
              <w:top w:val="nil"/>
              <w:left w:val="nil"/>
              <w:bottom w:val="single" w:sz="4" w:space="0" w:color="auto"/>
              <w:right w:val="single" w:sz="4" w:space="0" w:color="auto"/>
            </w:tcBorders>
            <w:shd w:val="clear" w:color="auto" w:fill="auto"/>
            <w:noWrap/>
            <w:vAlign w:val="bottom"/>
            <w:hideMark/>
          </w:tcPr>
          <w:p w14:paraId="148C44E2"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1018" w:type="dxa"/>
            <w:tcBorders>
              <w:top w:val="nil"/>
              <w:left w:val="nil"/>
              <w:bottom w:val="single" w:sz="4" w:space="0" w:color="auto"/>
              <w:right w:val="single" w:sz="4" w:space="0" w:color="auto"/>
            </w:tcBorders>
            <w:shd w:val="clear" w:color="auto" w:fill="auto"/>
            <w:noWrap/>
            <w:vAlign w:val="bottom"/>
            <w:hideMark/>
          </w:tcPr>
          <w:p w14:paraId="643B5B3B"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6</w:t>
            </w:r>
          </w:p>
        </w:tc>
        <w:tc>
          <w:tcPr>
            <w:tcW w:w="1318" w:type="dxa"/>
            <w:tcBorders>
              <w:top w:val="nil"/>
              <w:left w:val="nil"/>
              <w:bottom w:val="single" w:sz="4" w:space="0" w:color="auto"/>
              <w:right w:val="single" w:sz="4" w:space="0" w:color="auto"/>
            </w:tcBorders>
            <w:shd w:val="clear" w:color="auto" w:fill="auto"/>
            <w:noWrap/>
            <w:vAlign w:val="bottom"/>
            <w:hideMark/>
          </w:tcPr>
          <w:p w14:paraId="5427CB10"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Acute/active ABMR</w:t>
            </w:r>
          </w:p>
        </w:tc>
        <w:tc>
          <w:tcPr>
            <w:tcW w:w="505" w:type="dxa"/>
            <w:tcBorders>
              <w:top w:val="nil"/>
              <w:left w:val="nil"/>
              <w:bottom w:val="single" w:sz="4" w:space="0" w:color="auto"/>
              <w:right w:val="single" w:sz="4" w:space="0" w:color="auto"/>
            </w:tcBorders>
            <w:shd w:val="clear" w:color="auto" w:fill="auto"/>
            <w:noWrap/>
            <w:vAlign w:val="bottom"/>
            <w:hideMark/>
          </w:tcPr>
          <w:p w14:paraId="15A5FC7B"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0.99</w:t>
            </w:r>
          </w:p>
        </w:tc>
        <w:tc>
          <w:tcPr>
            <w:tcW w:w="743" w:type="dxa"/>
            <w:tcBorders>
              <w:top w:val="nil"/>
              <w:left w:val="nil"/>
              <w:bottom w:val="single" w:sz="4" w:space="0" w:color="auto"/>
              <w:right w:val="single" w:sz="4" w:space="0" w:color="auto"/>
            </w:tcBorders>
            <w:shd w:val="clear" w:color="auto" w:fill="auto"/>
            <w:noWrap/>
            <w:vAlign w:val="bottom"/>
            <w:hideMark/>
          </w:tcPr>
          <w:p w14:paraId="1BD3C218"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positive</w:t>
            </w:r>
          </w:p>
        </w:tc>
        <w:tc>
          <w:tcPr>
            <w:tcW w:w="590" w:type="dxa"/>
            <w:tcBorders>
              <w:top w:val="nil"/>
              <w:left w:val="nil"/>
              <w:bottom w:val="single" w:sz="4" w:space="0" w:color="auto"/>
              <w:right w:val="single" w:sz="4" w:space="0" w:color="auto"/>
            </w:tcBorders>
            <w:shd w:val="clear" w:color="auto" w:fill="auto"/>
            <w:noWrap/>
            <w:vAlign w:val="bottom"/>
            <w:hideMark/>
          </w:tcPr>
          <w:p w14:paraId="25C9CA2B"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0.05</w:t>
            </w:r>
          </w:p>
        </w:tc>
        <w:tc>
          <w:tcPr>
            <w:tcW w:w="743" w:type="dxa"/>
            <w:tcBorders>
              <w:top w:val="nil"/>
              <w:left w:val="nil"/>
              <w:bottom w:val="single" w:sz="4" w:space="0" w:color="auto"/>
              <w:right w:val="single" w:sz="4" w:space="0" w:color="auto"/>
            </w:tcBorders>
            <w:shd w:val="clear" w:color="auto" w:fill="auto"/>
            <w:noWrap/>
            <w:vAlign w:val="bottom"/>
            <w:hideMark/>
          </w:tcPr>
          <w:p w14:paraId="495D96FB"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negative</w:t>
            </w:r>
          </w:p>
        </w:tc>
        <w:tc>
          <w:tcPr>
            <w:tcW w:w="489" w:type="dxa"/>
            <w:tcBorders>
              <w:top w:val="nil"/>
              <w:left w:val="nil"/>
              <w:bottom w:val="single" w:sz="4" w:space="0" w:color="auto"/>
              <w:right w:val="single" w:sz="4" w:space="0" w:color="auto"/>
            </w:tcBorders>
            <w:shd w:val="clear" w:color="auto" w:fill="auto"/>
            <w:noWrap/>
            <w:vAlign w:val="bottom"/>
            <w:hideMark/>
          </w:tcPr>
          <w:p w14:paraId="26760057"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0.01</w:t>
            </w:r>
          </w:p>
        </w:tc>
        <w:tc>
          <w:tcPr>
            <w:tcW w:w="743" w:type="dxa"/>
            <w:tcBorders>
              <w:top w:val="nil"/>
              <w:left w:val="nil"/>
              <w:bottom w:val="single" w:sz="4" w:space="0" w:color="auto"/>
              <w:right w:val="single" w:sz="4" w:space="0" w:color="auto"/>
            </w:tcBorders>
            <w:shd w:val="clear" w:color="auto" w:fill="auto"/>
            <w:noWrap/>
            <w:vAlign w:val="bottom"/>
            <w:hideMark/>
          </w:tcPr>
          <w:p w14:paraId="17F7C553"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negative</w:t>
            </w:r>
          </w:p>
        </w:tc>
        <w:tc>
          <w:tcPr>
            <w:tcW w:w="456" w:type="dxa"/>
            <w:tcBorders>
              <w:top w:val="nil"/>
              <w:left w:val="nil"/>
              <w:bottom w:val="single" w:sz="4" w:space="0" w:color="auto"/>
              <w:right w:val="single" w:sz="4" w:space="0" w:color="auto"/>
            </w:tcBorders>
            <w:shd w:val="clear" w:color="auto" w:fill="auto"/>
            <w:noWrap/>
            <w:vAlign w:val="bottom"/>
            <w:hideMark/>
          </w:tcPr>
          <w:p w14:paraId="1759D214"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0.01</w:t>
            </w:r>
          </w:p>
        </w:tc>
        <w:tc>
          <w:tcPr>
            <w:tcW w:w="743" w:type="dxa"/>
            <w:tcBorders>
              <w:top w:val="nil"/>
              <w:left w:val="nil"/>
              <w:bottom w:val="single" w:sz="4" w:space="0" w:color="auto"/>
              <w:right w:val="single" w:sz="4" w:space="0" w:color="auto"/>
            </w:tcBorders>
            <w:shd w:val="clear" w:color="auto" w:fill="auto"/>
            <w:noWrap/>
            <w:vAlign w:val="bottom"/>
            <w:hideMark/>
          </w:tcPr>
          <w:p w14:paraId="6BDD0355"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negative</w:t>
            </w:r>
          </w:p>
        </w:tc>
      </w:tr>
      <w:tr w:rsidR="001F003F" w:rsidRPr="00DB4F4B" w14:paraId="40661802" w14:textId="77777777" w:rsidTr="00CB55FF">
        <w:trPr>
          <w:trHeight w:val="290"/>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5CE5AA95"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6</w:t>
            </w:r>
          </w:p>
        </w:tc>
        <w:tc>
          <w:tcPr>
            <w:tcW w:w="407" w:type="dxa"/>
            <w:tcBorders>
              <w:top w:val="nil"/>
              <w:left w:val="nil"/>
              <w:bottom w:val="single" w:sz="4" w:space="0" w:color="auto"/>
              <w:right w:val="single" w:sz="4" w:space="0" w:color="auto"/>
            </w:tcBorders>
            <w:shd w:val="clear" w:color="auto" w:fill="auto"/>
            <w:noWrap/>
            <w:vAlign w:val="bottom"/>
            <w:hideMark/>
          </w:tcPr>
          <w:p w14:paraId="71CDECE5"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1</w:t>
            </w:r>
          </w:p>
        </w:tc>
        <w:tc>
          <w:tcPr>
            <w:tcW w:w="357" w:type="dxa"/>
            <w:tcBorders>
              <w:top w:val="nil"/>
              <w:left w:val="nil"/>
              <w:bottom w:val="single" w:sz="4" w:space="0" w:color="auto"/>
              <w:right w:val="single" w:sz="4" w:space="0" w:color="auto"/>
            </w:tcBorders>
            <w:shd w:val="clear" w:color="auto" w:fill="auto"/>
            <w:noWrap/>
            <w:vAlign w:val="bottom"/>
            <w:hideMark/>
          </w:tcPr>
          <w:p w14:paraId="0405F412"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2</w:t>
            </w:r>
          </w:p>
        </w:tc>
        <w:tc>
          <w:tcPr>
            <w:tcW w:w="351" w:type="dxa"/>
            <w:tcBorders>
              <w:top w:val="nil"/>
              <w:left w:val="nil"/>
              <w:bottom w:val="single" w:sz="4" w:space="0" w:color="auto"/>
              <w:right w:val="single" w:sz="4" w:space="0" w:color="auto"/>
            </w:tcBorders>
            <w:shd w:val="clear" w:color="auto" w:fill="auto"/>
            <w:noWrap/>
            <w:vAlign w:val="bottom"/>
            <w:hideMark/>
          </w:tcPr>
          <w:p w14:paraId="73711926"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w:t>
            </w:r>
          </w:p>
        </w:tc>
        <w:tc>
          <w:tcPr>
            <w:tcW w:w="354" w:type="dxa"/>
            <w:tcBorders>
              <w:top w:val="nil"/>
              <w:left w:val="nil"/>
              <w:bottom w:val="single" w:sz="4" w:space="0" w:color="auto"/>
              <w:right w:val="single" w:sz="4" w:space="0" w:color="auto"/>
            </w:tcBorders>
            <w:shd w:val="clear" w:color="auto" w:fill="auto"/>
            <w:noWrap/>
            <w:vAlign w:val="bottom"/>
            <w:hideMark/>
          </w:tcPr>
          <w:p w14:paraId="54DEB300"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w:t>
            </w:r>
          </w:p>
        </w:tc>
        <w:tc>
          <w:tcPr>
            <w:tcW w:w="354" w:type="dxa"/>
            <w:tcBorders>
              <w:top w:val="nil"/>
              <w:left w:val="nil"/>
              <w:bottom w:val="single" w:sz="4" w:space="0" w:color="auto"/>
              <w:right w:val="single" w:sz="4" w:space="0" w:color="auto"/>
            </w:tcBorders>
            <w:shd w:val="clear" w:color="auto" w:fill="auto"/>
            <w:noWrap/>
            <w:vAlign w:val="bottom"/>
            <w:hideMark/>
          </w:tcPr>
          <w:p w14:paraId="7E85EBED"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379" w:type="dxa"/>
            <w:tcBorders>
              <w:top w:val="nil"/>
              <w:left w:val="nil"/>
              <w:bottom w:val="single" w:sz="4" w:space="0" w:color="auto"/>
              <w:right w:val="single" w:sz="4" w:space="0" w:color="auto"/>
            </w:tcBorders>
            <w:shd w:val="clear" w:color="auto" w:fill="auto"/>
            <w:noWrap/>
            <w:vAlign w:val="bottom"/>
            <w:hideMark/>
          </w:tcPr>
          <w:p w14:paraId="72B8D6A2"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1</w:t>
            </w:r>
          </w:p>
        </w:tc>
        <w:tc>
          <w:tcPr>
            <w:tcW w:w="248" w:type="dxa"/>
            <w:tcBorders>
              <w:top w:val="nil"/>
              <w:left w:val="nil"/>
              <w:bottom w:val="single" w:sz="4" w:space="0" w:color="auto"/>
              <w:right w:val="single" w:sz="4" w:space="0" w:color="auto"/>
            </w:tcBorders>
            <w:shd w:val="clear" w:color="auto" w:fill="auto"/>
            <w:noWrap/>
            <w:vAlign w:val="bottom"/>
            <w:hideMark/>
          </w:tcPr>
          <w:p w14:paraId="380F08A7"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2</w:t>
            </w:r>
          </w:p>
        </w:tc>
        <w:tc>
          <w:tcPr>
            <w:tcW w:w="247" w:type="dxa"/>
            <w:tcBorders>
              <w:top w:val="nil"/>
              <w:left w:val="nil"/>
              <w:bottom w:val="single" w:sz="4" w:space="0" w:color="auto"/>
              <w:right w:val="single" w:sz="4" w:space="0" w:color="auto"/>
            </w:tcBorders>
            <w:shd w:val="clear" w:color="auto" w:fill="auto"/>
            <w:noWrap/>
            <w:vAlign w:val="bottom"/>
            <w:hideMark/>
          </w:tcPr>
          <w:p w14:paraId="33CBB5A0"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3</w:t>
            </w:r>
          </w:p>
        </w:tc>
        <w:tc>
          <w:tcPr>
            <w:tcW w:w="354" w:type="dxa"/>
            <w:tcBorders>
              <w:top w:val="nil"/>
              <w:left w:val="nil"/>
              <w:bottom w:val="single" w:sz="4" w:space="0" w:color="auto"/>
              <w:right w:val="single" w:sz="4" w:space="0" w:color="auto"/>
            </w:tcBorders>
            <w:shd w:val="clear" w:color="auto" w:fill="auto"/>
            <w:noWrap/>
            <w:vAlign w:val="bottom"/>
            <w:hideMark/>
          </w:tcPr>
          <w:p w14:paraId="2903957E"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354" w:type="dxa"/>
            <w:tcBorders>
              <w:top w:val="nil"/>
              <w:left w:val="nil"/>
              <w:bottom w:val="single" w:sz="4" w:space="0" w:color="auto"/>
              <w:right w:val="single" w:sz="4" w:space="0" w:color="auto"/>
            </w:tcBorders>
            <w:shd w:val="clear" w:color="auto" w:fill="auto"/>
            <w:noWrap/>
            <w:vAlign w:val="bottom"/>
            <w:hideMark/>
          </w:tcPr>
          <w:p w14:paraId="098AB880"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354" w:type="dxa"/>
            <w:tcBorders>
              <w:top w:val="nil"/>
              <w:left w:val="nil"/>
              <w:bottom w:val="single" w:sz="4" w:space="0" w:color="auto"/>
              <w:right w:val="single" w:sz="4" w:space="0" w:color="auto"/>
            </w:tcBorders>
            <w:shd w:val="clear" w:color="auto" w:fill="auto"/>
            <w:noWrap/>
            <w:vAlign w:val="bottom"/>
            <w:hideMark/>
          </w:tcPr>
          <w:p w14:paraId="29D4C30B"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354" w:type="dxa"/>
            <w:tcBorders>
              <w:top w:val="nil"/>
              <w:left w:val="nil"/>
              <w:bottom w:val="single" w:sz="4" w:space="0" w:color="auto"/>
              <w:right w:val="single" w:sz="4" w:space="0" w:color="auto"/>
            </w:tcBorders>
            <w:shd w:val="clear" w:color="auto" w:fill="auto"/>
            <w:noWrap/>
            <w:vAlign w:val="bottom"/>
            <w:hideMark/>
          </w:tcPr>
          <w:p w14:paraId="624B4DD8"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354" w:type="dxa"/>
            <w:tcBorders>
              <w:top w:val="nil"/>
              <w:left w:val="nil"/>
              <w:bottom w:val="single" w:sz="4" w:space="0" w:color="auto"/>
              <w:right w:val="single" w:sz="4" w:space="0" w:color="auto"/>
            </w:tcBorders>
            <w:shd w:val="clear" w:color="auto" w:fill="auto"/>
            <w:noWrap/>
            <w:vAlign w:val="bottom"/>
            <w:hideMark/>
          </w:tcPr>
          <w:p w14:paraId="7DF630EE"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966" w:type="dxa"/>
            <w:tcBorders>
              <w:top w:val="nil"/>
              <w:left w:val="nil"/>
              <w:bottom w:val="single" w:sz="4" w:space="0" w:color="auto"/>
              <w:right w:val="single" w:sz="4" w:space="0" w:color="auto"/>
            </w:tcBorders>
            <w:shd w:val="clear" w:color="auto" w:fill="auto"/>
            <w:noWrap/>
            <w:vAlign w:val="bottom"/>
            <w:hideMark/>
          </w:tcPr>
          <w:p w14:paraId="68C01604"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221.05</w:t>
            </w:r>
          </w:p>
        </w:tc>
        <w:tc>
          <w:tcPr>
            <w:tcW w:w="800" w:type="dxa"/>
            <w:tcBorders>
              <w:top w:val="nil"/>
              <w:left w:val="nil"/>
              <w:bottom w:val="single" w:sz="4" w:space="0" w:color="auto"/>
              <w:right w:val="single" w:sz="4" w:space="0" w:color="auto"/>
            </w:tcBorders>
            <w:shd w:val="clear" w:color="auto" w:fill="auto"/>
            <w:noWrap/>
            <w:vAlign w:val="bottom"/>
            <w:hideMark/>
          </w:tcPr>
          <w:p w14:paraId="2C198586"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MD</w:t>
            </w:r>
          </w:p>
        </w:tc>
        <w:tc>
          <w:tcPr>
            <w:tcW w:w="1018" w:type="dxa"/>
            <w:tcBorders>
              <w:top w:val="nil"/>
              <w:left w:val="nil"/>
              <w:bottom w:val="single" w:sz="4" w:space="0" w:color="auto"/>
              <w:right w:val="single" w:sz="4" w:space="0" w:color="auto"/>
            </w:tcBorders>
            <w:shd w:val="clear" w:color="auto" w:fill="auto"/>
            <w:noWrap/>
            <w:vAlign w:val="bottom"/>
            <w:hideMark/>
          </w:tcPr>
          <w:p w14:paraId="6A2438FF"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18</w:t>
            </w:r>
          </w:p>
        </w:tc>
        <w:tc>
          <w:tcPr>
            <w:tcW w:w="1318" w:type="dxa"/>
            <w:tcBorders>
              <w:top w:val="nil"/>
              <w:left w:val="nil"/>
              <w:bottom w:val="single" w:sz="4" w:space="0" w:color="auto"/>
              <w:right w:val="single" w:sz="4" w:space="0" w:color="auto"/>
            </w:tcBorders>
            <w:shd w:val="clear" w:color="auto" w:fill="auto"/>
            <w:noWrap/>
            <w:vAlign w:val="bottom"/>
            <w:hideMark/>
          </w:tcPr>
          <w:p w14:paraId="0AAB8E3E" w14:textId="77777777" w:rsidR="009B7DFB" w:rsidRPr="009B7DFB" w:rsidRDefault="009B7DFB" w:rsidP="00CB55FF">
            <w:pPr>
              <w:spacing w:after="0" w:line="240" w:lineRule="auto"/>
              <w:jc w:val="center"/>
              <w:rPr>
                <w:rFonts w:ascii="Calibri" w:eastAsia="Times New Roman" w:hAnsi="Calibri" w:cs="Calibri"/>
                <w:color w:val="000000"/>
                <w:sz w:val="14"/>
                <w:szCs w:val="14"/>
                <w:lang w:val="en-US" w:eastAsia="fr-FR"/>
              </w:rPr>
            </w:pPr>
            <w:r w:rsidRPr="009B7DFB">
              <w:rPr>
                <w:rFonts w:ascii="Calibri" w:eastAsia="Times New Roman" w:hAnsi="Calibri" w:cs="Calibri"/>
                <w:color w:val="000000"/>
                <w:sz w:val="14"/>
                <w:szCs w:val="14"/>
                <w:lang w:val="en-US" w:eastAsia="fr-FR"/>
              </w:rPr>
              <w:t>Mixed acute T cell mediated rejection and ABMR</w:t>
            </w:r>
          </w:p>
        </w:tc>
        <w:tc>
          <w:tcPr>
            <w:tcW w:w="505" w:type="dxa"/>
            <w:tcBorders>
              <w:top w:val="nil"/>
              <w:left w:val="nil"/>
              <w:bottom w:val="single" w:sz="4" w:space="0" w:color="auto"/>
              <w:right w:val="single" w:sz="4" w:space="0" w:color="auto"/>
            </w:tcBorders>
            <w:shd w:val="clear" w:color="auto" w:fill="auto"/>
            <w:noWrap/>
            <w:vAlign w:val="bottom"/>
            <w:hideMark/>
          </w:tcPr>
          <w:p w14:paraId="727CA0CF"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0.98</w:t>
            </w:r>
          </w:p>
        </w:tc>
        <w:tc>
          <w:tcPr>
            <w:tcW w:w="743" w:type="dxa"/>
            <w:tcBorders>
              <w:top w:val="nil"/>
              <w:left w:val="nil"/>
              <w:bottom w:val="single" w:sz="4" w:space="0" w:color="auto"/>
              <w:right w:val="single" w:sz="4" w:space="0" w:color="auto"/>
            </w:tcBorders>
            <w:shd w:val="clear" w:color="auto" w:fill="auto"/>
            <w:noWrap/>
            <w:vAlign w:val="bottom"/>
            <w:hideMark/>
          </w:tcPr>
          <w:p w14:paraId="32321F8F"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positive</w:t>
            </w:r>
          </w:p>
        </w:tc>
        <w:tc>
          <w:tcPr>
            <w:tcW w:w="590" w:type="dxa"/>
            <w:tcBorders>
              <w:top w:val="nil"/>
              <w:left w:val="nil"/>
              <w:bottom w:val="single" w:sz="4" w:space="0" w:color="auto"/>
              <w:right w:val="single" w:sz="4" w:space="0" w:color="auto"/>
            </w:tcBorders>
            <w:shd w:val="clear" w:color="auto" w:fill="auto"/>
            <w:noWrap/>
            <w:vAlign w:val="bottom"/>
            <w:hideMark/>
          </w:tcPr>
          <w:p w14:paraId="47F17C41"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0.01</w:t>
            </w:r>
          </w:p>
        </w:tc>
        <w:tc>
          <w:tcPr>
            <w:tcW w:w="743" w:type="dxa"/>
            <w:tcBorders>
              <w:top w:val="nil"/>
              <w:left w:val="nil"/>
              <w:bottom w:val="single" w:sz="4" w:space="0" w:color="auto"/>
              <w:right w:val="single" w:sz="4" w:space="0" w:color="auto"/>
            </w:tcBorders>
            <w:shd w:val="clear" w:color="auto" w:fill="auto"/>
            <w:noWrap/>
            <w:vAlign w:val="bottom"/>
            <w:hideMark/>
          </w:tcPr>
          <w:p w14:paraId="16389226"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negative</w:t>
            </w:r>
          </w:p>
        </w:tc>
        <w:tc>
          <w:tcPr>
            <w:tcW w:w="489" w:type="dxa"/>
            <w:tcBorders>
              <w:top w:val="nil"/>
              <w:left w:val="nil"/>
              <w:bottom w:val="single" w:sz="4" w:space="0" w:color="auto"/>
              <w:right w:val="single" w:sz="4" w:space="0" w:color="auto"/>
            </w:tcBorders>
            <w:shd w:val="clear" w:color="auto" w:fill="auto"/>
            <w:noWrap/>
            <w:vAlign w:val="bottom"/>
            <w:hideMark/>
          </w:tcPr>
          <w:p w14:paraId="134B68B1"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0.98</w:t>
            </w:r>
          </w:p>
        </w:tc>
        <w:tc>
          <w:tcPr>
            <w:tcW w:w="743" w:type="dxa"/>
            <w:tcBorders>
              <w:top w:val="nil"/>
              <w:left w:val="nil"/>
              <w:bottom w:val="single" w:sz="4" w:space="0" w:color="auto"/>
              <w:right w:val="single" w:sz="4" w:space="0" w:color="auto"/>
            </w:tcBorders>
            <w:shd w:val="clear" w:color="auto" w:fill="auto"/>
            <w:noWrap/>
            <w:vAlign w:val="bottom"/>
            <w:hideMark/>
          </w:tcPr>
          <w:p w14:paraId="4EFBFA35"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positive</w:t>
            </w:r>
          </w:p>
        </w:tc>
        <w:tc>
          <w:tcPr>
            <w:tcW w:w="456" w:type="dxa"/>
            <w:tcBorders>
              <w:top w:val="nil"/>
              <w:left w:val="nil"/>
              <w:bottom w:val="single" w:sz="4" w:space="0" w:color="auto"/>
              <w:right w:val="single" w:sz="4" w:space="0" w:color="auto"/>
            </w:tcBorders>
            <w:shd w:val="clear" w:color="auto" w:fill="auto"/>
            <w:noWrap/>
            <w:vAlign w:val="bottom"/>
            <w:hideMark/>
          </w:tcPr>
          <w:p w14:paraId="33BAAE07"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0.00</w:t>
            </w:r>
          </w:p>
        </w:tc>
        <w:tc>
          <w:tcPr>
            <w:tcW w:w="743" w:type="dxa"/>
            <w:tcBorders>
              <w:top w:val="nil"/>
              <w:left w:val="nil"/>
              <w:bottom w:val="single" w:sz="4" w:space="0" w:color="auto"/>
              <w:right w:val="single" w:sz="4" w:space="0" w:color="auto"/>
            </w:tcBorders>
            <w:shd w:val="clear" w:color="auto" w:fill="auto"/>
            <w:noWrap/>
            <w:vAlign w:val="bottom"/>
            <w:hideMark/>
          </w:tcPr>
          <w:p w14:paraId="1BB3162A" w14:textId="77777777" w:rsidR="009B7DFB" w:rsidRPr="00DB4F4B" w:rsidRDefault="009B7DFB" w:rsidP="00CB55FF">
            <w:pPr>
              <w:spacing w:after="0" w:line="240" w:lineRule="auto"/>
              <w:jc w:val="center"/>
              <w:rPr>
                <w:rFonts w:ascii="Calibri" w:eastAsia="Times New Roman" w:hAnsi="Calibri" w:cs="Calibri"/>
                <w:color w:val="000000"/>
                <w:sz w:val="14"/>
                <w:szCs w:val="14"/>
                <w:lang w:val="en-US" w:eastAsia="fr-FR"/>
              </w:rPr>
            </w:pPr>
            <w:r w:rsidRPr="00DB4F4B">
              <w:rPr>
                <w:rFonts w:ascii="Calibri" w:eastAsia="Times New Roman" w:hAnsi="Calibri" w:cs="Calibri"/>
                <w:color w:val="000000"/>
                <w:sz w:val="14"/>
                <w:szCs w:val="14"/>
                <w:lang w:val="en-US" w:eastAsia="fr-FR"/>
              </w:rPr>
              <w:t>negative</w:t>
            </w:r>
          </w:p>
        </w:tc>
      </w:tr>
    </w:tbl>
    <w:p w14:paraId="3CF3D09D" w14:textId="6EFCE877" w:rsidR="00FE3FB8" w:rsidRPr="00010227" w:rsidRDefault="005D0ABC" w:rsidP="003B0358">
      <w:pPr>
        <w:spacing w:line="480" w:lineRule="auto"/>
        <w:jc w:val="both"/>
        <w:rPr>
          <w:i/>
          <w:sz w:val="24"/>
          <w:lang w:val="en-US"/>
        </w:rPr>
      </w:pPr>
      <w:r w:rsidRPr="002B4FFD">
        <w:rPr>
          <w:rFonts w:cs="Times New Roman"/>
          <w:i/>
          <w:sz w:val="24"/>
          <w:lang w:val="en-US"/>
        </w:rPr>
        <w:t>Abbreviations:</w:t>
      </w:r>
      <w:r>
        <w:rPr>
          <w:rFonts w:cs="Times New Roman"/>
          <w:i/>
          <w:sz w:val="24"/>
          <w:lang w:val="en-US"/>
        </w:rPr>
        <w:t xml:space="preserve"> </w:t>
      </w:r>
      <w:r w:rsidR="00065AB7" w:rsidRPr="00224AC0">
        <w:rPr>
          <w:i/>
          <w:sz w:val="24"/>
          <w:lang w:val="en-US"/>
        </w:rPr>
        <w:t xml:space="preserve">ah, arteriolar hyalinosis criterion; </w:t>
      </w:r>
      <w:r w:rsidR="003E766F" w:rsidRPr="00224AC0">
        <w:rPr>
          <w:i/>
          <w:sz w:val="24"/>
          <w:lang w:val="en-US"/>
        </w:rPr>
        <w:t xml:space="preserve">c4d, linear C4d staining in </w:t>
      </w:r>
      <w:proofErr w:type="spellStart"/>
      <w:r w:rsidR="003E766F" w:rsidRPr="00224AC0">
        <w:rPr>
          <w:i/>
          <w:sz w:val="24"/>
          <w:lang w:val="en-US"/>
        </w:rPr>
        <w:t>ptc</w:t>
      </w:r>
      <w:proofErr w:type="spellEnd"/>
      <w:r w:rsidR="003E766F" w:rsidRPr="00224AC0">
        <w:rPr>
          <w:i/>
          <w:sz w:val="24"/>
          <w:lang w:val="en-US"/>
        </w:rPr>
        <w:t xml:space="preserve"> or medullary vasa recta criterion; </w:t>
      </w:r>
      <w:r w:rsidR="00065AB7" w:rsidRPr="00224AC0">
        <w:rPr>
          <w:i/>
          <w:sz w:val="24"/>
          <w:lang w:val="en-US"/>
        </w:rPr>
        <w:t xml:space="preserve">cg, chronic transplant glomerulopathy criterion; ci, interstitial fibrosis in cortex criterion; </w:t>
      </w:r>
      <w:proofErr w:type="spellStart"/>
      <w:r w:rsidR="00065AB7" w:rsidRPr="00224AC0">
        <w:rPr>
          <w:i/>
          <w:sz w:val="24"/>
          <w:lang w:val="en-US"/>
        </w:rPr>
        <w:t>ct</w:t>
      </w:r>
      <w:proofErr w:type="spellEnd"/>
      <w:r w:rsidR="00065AB7" w:rsidRPr="00224AC0">
        <w:rPr>
          <w:i/>
          <w:sz w:val="24"/>
          <w:lang w:val="en-US"/>
        </w:rPr>
        <w:t>, tubular atrophy in cortex criterion; cv, arterial intimal fibrosis criterion (</w:t>
      </w:r>
      <w:proofErr w:type="spellStart"/>
      <w:r w:rsidR="00065AB7" w:rsidRPr="00224AC0">
        <w:rPr>
          <w:i/>
          <w:sz w:val="24"/>
          <w:lang w:val="en-US"/>
        </w:rPr>
        <w:t>fibrointimal</w:t>
      </w:r>
      <w:proofErr w:type="spellEnd"/>
      <w:r w:rsidR="00065AB7" w:rsidRPr="00224AC0">
        <w:rPr>
          <w:i/>
          <w:sz w:val="24"/>
          <w:lang w:val="en-US"/>
        </w:rPr>
        <w:t xml:space="preserve"> thickening); </w:t>
      </w:r>
      <w:proofErr w:type="spellStart"/>
      <w:r w:rsidR="003E766F" w:rsidRPr="00224AC0">
        <w:rPr>
          <w:i/>
          <w:sz w:val="24"/>
          <w:lang w:val="en-US"/>
        </w:rPr>
        <w:t>dsa</w:t>
      </w:r>
      <w:proofErr w:type="spellEnd"/>
      <w:r w:rsidR="003E766F" w:rsidRPr="00224AC0">
        <w:rPr>
          <w:i/>
          <w:sz w:val="24"/>
          <w:lang w:val="en-US"/>
        </w:rPr>
        <w:t xml:space="preserve">, donor-specific antibodies; </w:t>
      </w:r>
      <w:r w:rsidR="00065AB7" w:rsidRPr="00224AC0">
        <w:rPr>
          <w:i/>
          <w:sz w:val="24"/>
          <w:lang w:val="en-US"/>
        </w:rPr>
        <w:t xml:space="preserve">g, glomerulitis criterion; </w:t>
      </w:r>
      <w:proofErr w:type="spellStart"/>
      <w:r w:rsidR="00065AB7" w:rsidRPr="00224AC0">
        <w:rPr>
          <w:i/>
          <w:sz w:val="24"/>
          <w:lang w:val="en-US"/>
        </w:rPr>
        <w:t>i</w:t>
      </w:r>
      <w:proofErr w:type="spellEnd"/>
      <w:r w:rsidR="00065AB7" w:rsidRPr="00224AC0">
        <w:rPr>
          <w:i/>
          <w:sz w:val="24"/>
          <w:lang w:val="en-US"/>
        </w:rPr>
        <w:t xml:space="preserve">, inflammation in non‐scarred cortex criterion; </w:t>
      </w:r>
      <w:r w:rsidR="003E766F">
        <w:rPr>
          <w:rFonts w:cs="Times New Roman"/>
          <w:i/>
          <w:sz w:val="24"/>
          <w:lang w:val="en-US"/>
        </w:rPr>
        <w:t>MD, missing data;</w:t>
      </w:r>
      <w:r w:rsidR="003E766F" w:rsidRPr="00224AC0">
        <w:rPr>
          <w:i/>
          <w:sz w:val="24"/>
          <w:lang w:val="en-US"/>
        </w:rPr>
        <w:t xml:space="preserve"> </w:t>
      </w:r>
      <w:proofErr w:type="spellStart"/>
      <w:r w:rsidR="00065AB7" w:rsidRPr="00224AC0">
        <w:rPr>
          <w:i/>
          <w:sz w:val="24"/>
          <w:lang w:val="en-US"/>
        </w:rPr>
        <w:t>ptc</w:t>
      </w:r>
      <w:proofErr w:type="spellEnd"/>
      <w:r w:rsidR="00065AB7" w:rsidRPr="00224AC0">
        <w:rPr>
          <w:i/>
          <w:sz w:val="24"/>
          <w:lang w:val="en-US"/>
        </w:rPr>
        <w:t xml:space="preserve">, peritubular </w:t>
      </w:r>
      <w:proofErr w:type="spellStart"/>
      <w:r w:rsidR="00065AB7" w:rsidRPr="00224AC0">
        <w:rPr>
          <w:i/>
          <w:sz w:val="24"/>
          <w:lang w:val="en-US"/>
        </w:rPr>
        <w:t>capillaritis</w:t>
      </w:r>
      <w:proofErr w:type="spellEnd"/>
      <w:r w:rsidR="00065AB7" w:rsidRPr="00224AC0">
        <w:rPr>
          <w:i/>
          <w:sz w:val="24"/>
          <w:lang w:val="en-US"/>
        </w:rPr>
        <w:t xml:space="preserve"> criterion; t, </w:t>
      </w:r>
      <w:proofErr w:type="spellStart"/>
      <w:r w:rsidR="00065AB7" w:rsidRPr="00224AC0">
        <w:rPr>
          <w:i/>
          <w:sz w:val="24"/>
          <w:lang w:val="en-US"/>
        </w:rPr>
        <w:t>tubulitis</w:t>
      </w:r>
      <w:proofErr w:type="spellEnd"/>
      <w:r w:rsidR="00065AB7" w:rsidRPr="00224AC0">
        <w:rPr>
          <w:i/>
          <w:sz w:val="24"/>
          <w:lang w:val="en-US"/>
        </w:rPr>
        <w:t xml:space="preserve"> in cortical tubules within non‐scarred cortex criterion; </w:t>
      </w:r>
      <w:proofErr w:type="spellStart"/>
      <w:r w:rsidR="00065AB7" w:rsidRPr="00224AC0">
        <w:rPr>
          <w:i/>
          <w:sz w:val="24"/>
          <w:lang w:val="en-US"/>
        </w:rPr>
        <w:t>ti</w:t>
      </w:r>
      <w:proofErr w:type="spellEnd"/>
      <w:r w:rsidR="00065AB7" w:rsidRPr="00224AC0">
        <w:rPr>
          <w:i/>
          <w:sz w:val="24"/>
          <w:lang w:val="en-US"/>
        </w:rPr>
        <w:t>, total cortical inflammation criterion.</w:t>
      </w:r>
    </w:p>
    <w:p w14:paraId="44802C2A" w14:textId="042B2705" w:rsidR="00FE3FB8" w:rsidRPr="00FE3FB8" w:rsidRDefault="00B42C81">
      <w:pPr>
        <w:rPr>
          <w:lang w:val="en-US"/>
        </w:rPr>
      </w:pPr>
      <w:r>
        <w:rPr>
          <w:lang w:val="en-US"/>
        </w:rPr>
        <w:br w:type="page"/>
      </w:r>
    </w:p>
    <w:p w14:paraId="61736976" w14:textId="77777777" w:rsidR="009B7DFB" w:rsidRDefault="009B7DFB" w:rsidP="003716B3">
      <w:pPr>
        <w:rPr>
          <w:lang w:val="en-US"/>
        </w:rPr>
        <w:sectPr w:rsidR="009B7DFB" w:rsidSect="009B7DFB">
          <w:pgSz w:w="16838" w:h="11906" w:orient="landscape"/>
          <w:pgMar w:top="1418" w:right="1418" w:bottom="1418" w:left="1418" w:header="709" w:footer="709" w:gutter="0"/>
          <w:cols w:space="708"/>
          <w:docGrid w:linePitch="360"/>
        </w:sectPr>
      </w:pPr>
    </w:p>
    <w:p w14:paraId="0DFA8371" w14:textId="3863A310" w:rsidR="003716B3" w:rsidRDefault="004639CE" w:rsidP="003716B3">
      <w:pPr>
        <w:rPr>
          <w:lang w:val="en-US"/>
        </w:rPr>
      </w:pPr>
      <w:r>
        <w:rPr>
          <w:noProof/>
          <w:lang w:eastAsia="fr-FR"/>
        </w:rPr>
        <w:drawing>
          <wp:inline distT="0" distB="0" distL="0" distR="0" wp14:anchorId="6CE879D8" wp14:editId="7F4A8F11">
            <wp:extent cx="5760720" cy="1811020"/>
            <wp:effectExtent l="0" t="0" r="0" b="0"/>
            <wp:docPr id="6" name="Image 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able&#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5760720" cy="1811020"/>
                    </a:xfrm>
                    <a:prstGeom prst="rect">
                      <a:avLst/>
                    </a:prstGeom>
                  </pic:spPr>
                </pic:pic>
              </a:graphicData>
            </a:graphic>
          </wp:inline>
        </w:drawing>
      </w:r>
    </w:p>
    <w:p w14:paraId="4BA17704" w14:textId="6F058928" w:rsidR="006F6F5C" w:rsidRDefault="006F6F5C" w:rsidP="003716B3">
      <w:pPr>
        <w:rPr>
          <w:lang w:val="en-US"/>
        </w:rPr>
      </w:pPr>
      <w:r>
        <w:rPr>
          <w:noProof/>
          <w:lang w:eastAsia="fr-FR"/>
        </w:rPr>
        <w:drawing>
          <wp:inline distT="0" distB="0" distL="0" distR="0" wp14:anchorId="084FCF3F" wp14:editId="28AD46A0">
            <wp:extent cx="5760720" cy="1811020"/>
            <wp:effectExtent l="0" t="0" r="0" b="0"/>
            <wp:docPr id="4" name="Image 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abl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5760720" cy="1811020"/>
                    </a:xfrm>
                    <a:prstGeom prst="rect">
                      <a:avLst/>
                    </a:prstGeom>
                  </pic:spPr>
                </pic:pic>
              </a:graphicData>
            </a:graphic>
          </wp:inline>
        </w:drawing>
      </w:r>
    </w:p>
    <w:p w14:paraId="426BC109" w14:textId="55C97C99" w:rsidR="002475FB" w:rsidRDefault="002475FB" w:rsidP="003716B3">
      <w:pPr>
        <w:rPr>
          <w:lang w:val="en-US"/>
        </w:rPr>
      </w:pPr>
      <w:r>
        <w:rPr>
          <w:noProof/>
          <w:lang w:eastAsia="fr-FR"/>
        </w:rPr>
        <w:drawing>
          <wp:inline distT="0" distB="0" distL="0" distR="0" wp14:anchorId="57146402" wp14:editId="1212AE61">
            <wp:extent cx="5760720" cy="1811020"/>
            <wp:effectExtent l="0" t="0" r="0" b="0"/>
            <wp:docPr id="10" name="Image 1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abl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5760720" cy="1811020"/>
                    </a:xfrm>
                    <a:prstGeom prst="rect">
                      <a:avLst/>
                    </a:prstGeom>
                  </pic:spPr>
                </pic:pic>
              </a:graphicData>
            </a:graphic>
          </wp:inline>
        </w:drawing>
      </w:r>
    </w:p>
    <w:p w14:paraId="2DBDD2C0" w14:textId="3E354537" w:rsidR="00FE0423" w:rsidRDefault="008A5709" w:rsidP="003716B3">
      <w:pPr>
        <w:rPr>
          <w:lang w:val="en-US"/>
        </w:rPr>
      </w:pPr>
      <w:r>
        <w:rPr>
          <w:noProof/>
          <w:lang w:eastAsia="fr-FR"/>
        </w:rPr>
        <w:drawing>
          <wp:inline distT="0" distB="0" distL="0" distR="0" wp14:anchorId="1CAD2646" wp14:editId="3A6670CF">
            <wp:extent cx="5759450" cy="183007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a:extLst>
                        <a:ext uri="{28A0092B-C50C-407E-A947-70E740481C1C}">
                          <a14:useLocalDpi xmlns:a14="http://schemas.microsoft.com/office/drawing/2010/main" val="0"/>
                        </a:ext>
                      </a:extLst>
                    </a:blip>
                    <a:stretch>
                      <a:fillRect/>
                    </a:stretch>
                  </pic:blipFill>
                  <pic:spPr>
                    <a:xfrm>
                      <a:off x="0" y="0"/>
                      <a:ext cx="5759450" cy="1830070"/>
                    </a:xfrm>
                    <a:prstGeom prst="rect">
                      <a:avLst/>
                    </a:prstGeom>
                  </pic:spPr>
                </pic:pic>
              </a:graphicData>
            </a:graphic>
          </wp:inline>
        </w:drawing>
      </w:r>
    </w:p>
    <w:p w14:paraId="2F905233" w14:textId="0702859A" w:rsidR="00FC1142" w:rsidRDefault="00FC1142" w:rsidP="003716B3">
      <w:pPr>
        <w:rPr>
          <w:lang w:val="en-US"/>
        </w:rPr>
      </w:pPr>
    </w:p>
    <w:p w14:paraId="636DFF26" w14:textId="2F273002" w:rsidR="00B42C81" w:rsidRDefault="00B42C81" w:rsidP="0089406F">
      <w:pPr>
        <w:pStyle w:val="Titre2"/>
        <w:spacing w:line="480" w:lineRule="auto"/>
        <w:rPr>
          <w:lang w:val="en-US"/>
        </w:rPr>
      </w:pPr>
      <w:bookmarkStart w:id="11" w:name="_Toc71726102"/>
      <w:r>
        <w:rPr>
          <w:lang w:val="en-US"/>
        </w:rPr>
        <w:t>Supplemental Figure 1: importance of the histological and clinical features for ML prediction</w:t>
      </w:r>
      <w:r w:rsidR="001F003F">
        <w:rPr>
          <w:lang w:val="en-US"/>
        </w:rPr>
        <w:t>s o</w:t>
      </w:r>
      <w:r w:rsidR="00394CFD">
        <w:rPr>
          <w:lang w:val="en-US"/>
        </w:rPr>
        <w:t xml:space="preserve">f </w:t>
      </w:r>
      <w:r w:rsidR="001F003F">
        <w:rPr>
          <w:lang w:val="en-US"/>
        </w:rPr>
        <w:t>ABMR, TCMR, IFTA and active/chronic active ABMR</w:t>
      </w:r>
      <w:r>
        <w:rPr>
          <w:lang w:val="en-US"/>
        </w:rPr>
        <w:t>.</w:t>
      </w:r>
      <w:bookmarkEnd w:id="11"/>
    </w:p>
    <w:p w14:paraId="0DE2388A" w14:textId="07F8122F" w:rsidR="00B42C81" w:rsidRPr="0078553A" w:rsidRDefault="00056A84" w:rsidP="0089406F">
      <w:pPr>
        <w:spacing w:line="480" w:lineRule="auto"/>
        <w:jc w:val="both"/>
        <w:rPr>
          <w:sz w:val="24"/>
          <w:lang w:val="en-US"/>
        </w:rPr>
      </w:pPr>
      <w:r>
        <w:rPr>
          <w:sz w:val="24"/>
          <w:lang w:val="en-US"/>
        </w:rPr>
        <w:t>“</w:t>
      </w:r>
      <w:r w:rsidR="00B42C81" w:rsidRPr="0078553A">
        <w:rPr>
          <w:sz w:val="24"/>
          <w:lang w:val="en-US"/>
        </w:rPr>
        <w:t>Importance</w:t>
      </w:r>
      <w:r>
        <w:rPr>
          <w:sz w:val="24"/>
          <w:lang w:val="en-US"/>
        </w:rPr>
        <w:t>”</w:t>
      </w:r>
      <w:r w:rsidR="00B42C81" w:rsidRPr="0078553A">
        <w:rPr>
          <w:sz w:val="24"/>
          <w:lang w:val="en-US"/>
        </w:rPr>
        <w:t xml:space="preserve"> provides a score that indicates how useful or valuable each feature was in the construction of the boosted decision trees within the model. The more an attribute is used to make key decisions with decision trees, the higher its relative importance.</w:t>
      </w:r>
    </w:p>
    <w:p w14:paraId="6DEB93F7" w14:textId="3F9722A4" w:rsidR="00B2355A" w:rsidRPr="00224AC0" w:rsidRDefault="00B2355A" w:rsidP="0089406F">
      <w:pPr>
        <w:spacing w:line="480" w:lineRule="auto"/>
        <w:jc w:val="both"/>
        <w:rPr>
          <w:i/>
          <w:sz w:val="24"/>
          <w:lang w:val="en-US"/>
        </w:rPr>
      </w:pPr>
      <w:r w:rsidRPr="00224AC0">
        <w:rPr>
          <w:i/>
          <w:sz w:val="24"/>
          <w:lang w:val="en-US"/>
        </w:rPr>
        <w:t xml:space="preserve">Abbreviations: </w:t>
      </w:r>
      <w:proofErr w:type="spellStart"/>
      <w:r w:rsidR="00342626" w:rsidRPr="00224AC0">
        <w:rPr>
          <w:i/>
          <w:sz w:val="24"/>
          <w:lang w:val="en-US"/>
        </w:rPr>
        <w:t>blo_crea</w:t>
      </w:r>
      <w:proofErr w:type="spellEnd"/>
      <w:r w:rsidR="00342626" w:rsidRPr="00224AC0">
        <w:rPr>
          <w:i/>
          <w:sz w:val="24"/>
          <w:lang w:val="en-US"/>
        </w:rPr>
        <w:t>, serum creatinine;</w:t>
      </w:r>
      <w:r w:rsidR="00901DF6" w:rsidRPr="00224AC0">
        <w:rPr>
          <w:i/>
          <w:sz w:val="24"/>
          <w:lang w:val="en-US"/>
        </w:rPr>
        <w:t xml:space="preserve"> </w:t>
      </w:r>
      <w:proofErr w:type="spellStart"/>
      <w:r w:rsidR="00901DF6" w:rsidRPr="00224AC0">
        <w:rPr>
          <w:i/>
          <w:sz w:val="24"/>
          <w:lang w:val="en-US"/>
        </w:rPr>
        <w:t>Central_ah</w:t>
      </w:r>
      <w:proofErr w:type="spellEnd"/>
      <w:r w:rsidR="00901DF6" w:rsidRPr="00224AC0">
        <w:rPr>
          <w:i/>
          <w:sz w:val="24"/>
          <w:lang w:val="en-US"/>
        </w:rPr>
        <w:t xml:space="preserve">, </w:t>
      </w:r>
      <w:r w:rsidR="00D4331B" w:rsidRPr="00224AC0">
        <w:rPr>
          <w:i/>
          <w:sz w:val="24"/>
          <w:lang w:val="en-US"/>
        </w:rPr>
        <w:t>arteriolar hyalinosis criterion</w:t>
      </w:r>
      <w:r w:rsidR="00901DF6" w:rsidRPr="00224AC0">
        <w:rPr>
          <w:i/>
          <w:sz w:val="24"/>
          <w:lang w:val="en-US"/>
        </w:rPr>
        <w:t>;</w:t>
      </w:r>
      <w:r w:rsidR="00342626" w:rsidRPr="00224AC0">
        <w:rPr>
          <w:i/>
          <w:sz w:val="24"/>
          <w:lang w:val="en-US"/>
        </w:rPr>
        <w:t xml:space="preserve"> </w:t>
      </w:r>
      <w:r w:rsidR="00866ACB" w:rsidRPr="00224AC0">
        <w:rPr>
          <w:i/>
          <w:sz w:val="24"/>
          <w:lang w:val="en-US"/>
        </w:rPr>
        <w:t>Central cg, chronic transplant glomerulopathy criterion;</w:t>
      </w:r>
      <w:r w:rsidR="008015A2" w:rsidRPr="00224AC0">
        <w:rPr>
          <w:i/>
          <w:sz w:val="24"/>
          <w:lang w:val="en-US"/>
        </w:rPr>
        <w:t xml:space="preserve"> </w:t>
      </w:r>
      <w:proofErr w:type="spellStart"/>
      <w:r w:rsidR="008015A2" w:rsidRPr="00224AC0">
        <w:rPr>
          <w:i/>
          <w:sz w:val="24"/>
          <w:lang w:val="en-US"/>
        </w:rPr>
        <w:t>Central_ci</w:t>
      </w:r>
      <w:proofErr w:type="spellEnd"/>
      <w:r w:rsidR="008015A2" w:rsidRPr="00224AC0">
        <w:rPr>
          <w:i/>
          <w:sz w:val="24"/>
          <w:lang w:val="en-US"/>
        </w:rPr>
        <w:t xml:space="preserve">, </w:t>
      </w:r>
      <w:r w:rsidR="00F408A2" w:rsidRPr="00224AC0">
        <w:rPr>
          <w:i/>
          <w:sz w:val="24"/>
          <w:lang w:val="en-US"/>
        </w:rPr>
        <w:t>interstitial fibrosis in cortex criterion</w:t>
      </w:r>
      <w:r w:rsidR="008015A2" w:rsidRPr="00224AC0">
        <w:rPr>
          <w:i/>
          <w:sz w:val="24"/>
          <w:lang w:val="en-US"/>
        </w:rPr>
        <w:t xml:space="preserve">; </w:t>
      </w:r>
      <w:proofErr w:type="spellStart"/>
      <w:r w:rsidR="008015A2" w:rsidRPr="00224AC0">
        <w:rPr>
          <w:i/>
          <w:sz w:val="24"/>
          <w:lang w:val="en-US"/>
        </w:rPr>
        <w:t>Central_ct</w:t>
      </w:r>
      <w:proofErr w:type="spellEnd"/>
      <w:r w:rsidR="008015A2" w:rsidRPr="00224AC0">
        <w:rPr>
          <w:i/>
          <w:sz w:val="24"/>
          <w:lang w:val="en-US"/>
        </w:rPr>
        <w:t>, tubular atrophy in cortex criterion;</w:t>
      </w:r>
      <w:r w:rsidR="00996531" w:rsidRPr="00224AC0">
        <w:rPr>
          <w:i/>
          <w:sz w:val="24"/>
          <w:lang w:val="en-US"/>
        </w:rPr>
        <w:t xml:space="preserve"> </w:t>
      </w:r>
      <w:proofErr w:type="spellStart"/>
      <w:r w:rsidR="00996531" w:rsidRPr="00224AC0">
        <w:rPr>
          <w:i/>
          <w:sz w:val="24"/>
          <w:lang w:val="en-US"/>
        </w:rPr>
        <w:t>Central_cv</w:t>
      </w:r>
      <w:proofErr w:type="spellEnd"/>
      <w:r w:rsidR="00996531" w:rsidRPr="00224AC0">
        <w:rPr>
          <w:i/>
          <w:sz w:val="24"/>
          <w:lang w:val="en-US"/>
        </w:rPr>
        <w:t>, arterial intimal fibrosis criterion (</w:t>
      </w:r>
      <w:proofErr w:type="spellStart"/>
      <w:r w:rsidR="00996531" w:rsidRPr="00224AC0">
        <w:rPr>
          <w:i/>
          <w:sz w:val="24"/>
          <w:lang w:val="en-US"/>
        </w:rPr>
        <w:t>fibrointimal</w:t>
      </w:r>
      <w:proofErr w:type="spellEnd"/>
      <w:r w:rsidR="00996531" w:rsidRPr="00224AC0">
        <w:rPr>
          <w:i/>
          <w:sz w:val="24"/>
          <w:lang w:val="en-US"/>
        </w:rPr>
        <w:t xml:space="preserve"> thickening);</w:t>
      </w:r>
      <w:r w:rsidR="00866ACB" w:rsidRPr="00224AC0">
        <w:rPr>
          <w:i/>
          <w:sz w:val="24"/>
          <w:lang w:val="en-US"/>
        </w:rPr>
        <w:t xml:space="preserve"> </w:t>
      </w:r>
      <w:proofErr w:type="spellStart"/>
      <w:r w:rsidRPr="00224AC0">
        <w:rPr>
          <w:i/>
          <w:sz w:val="24"/>
          <w:lang w:val="en-US"/>
        </w:rPr>
        <w:t>Central_g</w:t>
      </w:r>
      <w:proofErr w:type="spellEnd"/>
      <w:r w:rsidRPr="00224AC0">
        <w:rPr>
          <w:i/>
          <w:sz w:val="24"/>
          <w:lang w:val="en-US"/>
        </w:rPr>
        <w:t xml:space="preserve">, </w:t>
      </w:r>
      <w:r w:rsidR="00866ACB" w:rsidRPr="00224AC0">
        <w:rPr>
          <w:i/>
          <w:sz w:val="24"/>
          <w:lang w:val="en-US"/>
        </w:rPr>
        <w:t>glomerulitis</w:t>
      </w:r>
      <w:r w:rsidRPr="00224AC0">
        <w:rPr>
          <w:i/>
          <w:sz w:val="24"/>
          <w:lang w:val="en-US"/>
        </w:rPr>
        <w:t xml:space="preserve"> criteri</w:t>
      </w:r>
      <w:r w:rsidR="00184228" w:rsidRPr="00224AC0">
        <w:rPr>
          <w:i/>
          <w:sz w:val="24"/>
          <w:lang w:val="en-US"/>
        </w:rPr>
        <w:t>on</w:t>
      </w:r>
      <w:r w:rsidRPr="00224AC0">
        <w:rPr>
          <w:i/>
          <w:sz w:val="24"/>
          <w:lang w:val="en-US"/>
        </w:rPr>
        <w:t>;</w:t>
      </w:r>
      <w:r w:rsidR="00153150" w:rsidRPr="00224AC0">
        <w:rPr>
          <w:i/>
          <w:sz w:val="24"/>
          <w:lang w:val="en-US"/>
        </w:rPr>
        <w:t xml:space="preserve"> </w:t>
      </w:r>
      <w:proofErr w:type="spellStart"/>
      <w:r w:rsidR="00153150" w:rsidRPr="00224AC0">
        <w:rPr>
          <w:i/>
          <w:sz w:val="24"/>
          <w:lang w:val="en-US"/>
        </w:rPr>
        <w:t>Central_i</w:t>
      </w:r>
      <w:proofErr w:type="spellEnd"/>
      <w:r w:rsidR="00153150" w:rsidRPr="00224AC0">
        <w:rPr>
          <w:i/>
          <w:sz w:val="24"/>
          <w:lang w:val="en-US"/>
        </w:rPr>
        <w:t>, inflammation in non‐scarred cortex criterion;</w:t>
      </w:r>
      <w:r w:rsidR="00184228" w:rsidRPr="00224AC0">
        <w:rPr>
          <w:i/>
          <w:sz w:val="24"/>
          <w:lang w:val="en-US"/>
        </w:rPr>
        <w:t xml:space="preserve"> Central </w:t>
      </w:r>
      <w:proofErr w:type="spellStart"/>
      <w:r w:rsidR="00184228" w:rsidRPr="00224AC0">
        <w:rPr>
          <w:i/>
          <w:sz w:val="24"/>
          <w:lang w:val="en-US"/>
        </w:rPr>
        <w:t>ptc</w:t>
      </w:r>
      <w:proofErr w:type="spellEnd"/>
      <w:r w:rsidR="00184228" w:rsidRPr="00224AC0">
        <w:rPr>
          <w:i/>
          <w:sz w:val="24"/>
          <w:lang w:val="en-US"/>
        </w:rPr>
        <w:t xml:space="preserve">, </w:t>
      </w:r>
      <w:r w:rsidR="00866ACB" w:rsidRPr="00224AC0">
        <w:rPr>
          <w:i/>
          <w:sz w:val="24"/>
          <w:lang w:val="en-US"/>
        </w:rPr>
        <w:t xml:space="preserve">peritubular </w:t>
      </w:r>
      <w:proofErr w:type="spellStart"/>
      <w:r w:rsidR="00866ACB" w:rsidRPr="00224AC0">
        <w:rPr>
          <w:i/>
          <w:sz w:val="24"/>
          <w:lang w:val="en-US"/>
        </w:rPr>
        <w:t>capillaritis</w:t>
      </w:r>
      <w:proofErr w:type="spellEnd"/>
      <w:r w:rsidR="00866ACB" w:rsidRPr="00224AC0">
        <w:rPr>
          <w:i/>
          <w:sz w:val="24"/>
          <w:lang w:val="en-US"/>
        </w:rPr>
        <w:t xml:space="preserve"> </w:t>
      </w:r>
      <w:r w:rsidR="00184228" w:rsidRPr="00224AC0">
        <w:rPr>
          <w:i/>
          <w:sz w:val="24"/>
          <w:lang w:val="en-US"/>
        </w:rPr>
        <w:t>criterion;</w:t>
      </w:r>
      <w:r w:rsidR="00061E6E" w:rsidRPr="00224AC0">
        <w:rPr>
          <w:i/>
          <w:sz w:val="24"/>
          <w:lang w:val="en-US"/>
        </w:rPr>
        <w:t xml:space="preserve"> </w:t>
      </w:r>
      <w:proofErr w:type="spellStart"/>
      <w:r w:rsidR="00061E6E" w:rsidRPr="00224AC0">
        <w:rPr>
          <w:i/>
          <w:sz w:val="24"/>
          <w:lang w:val="en-US"/>
        </w:rPr>
        <w:t>Central_t</w:t>
      </w:r>
      <w:proofErr w:type="spellEnd"/>
      <w:r w:rsidR="00153150" w:rsidRPr="00224AC0">
        <w:rPr>
          <w:i/>
          <w:sz w:val="24"/>
          <w:lang w:val="en-US"/>
        </w:rPr>
        <w:t xml:space="preserve">, </w:t>
      </w:r>
      <w:proofErr w:type="spellStart"/>
      <w:r w:rsidR="00153150" w:rsidRPr="00224AC0">
        <w:rPr>
          <w:i/>
          <w:sz w:val="24"/>
          <w:lang w:val="en-US"/>
        </w:rPr>
        <w:t>tubulitis</w:t>
      </w:r>
      <w:proofErr w:type="spellEnd"/>
      <w:r w:rsidR="00153150" w:rsidRPr="00224AC0">
        <w:rPr>
          <w:i/>
          <w:sz w:val="24"/>
          <w:lang w:val="en-US"/>
        </w:rPr>
        <w:t xml:space="preserve"> in cortical tubules within non‐scarred cortex criterion; </w:t>
      </w:r>
      <w:proofErr w:type="spellStart"/>
      <w:r w:rsidR="00153150" w:rsidRPr="00224AC0">
        <w:rPr>
          <w:i/>
          <w:sz w:val="24"/>
          <w:lang w:val="en-US"/>
        </w:rPr>
        <w:t>Central_ti</w:t>
      </w:r>
      <w:proofErr w:type="spellEnd"/>
      <w:r w:rsidR="00153150" w:rsidRPr="00224AC0">
        <w:rPr>
          <w:i/>
          <w:sz w:val="24"/>
          <w:lang w:val="en-US"/>
        </w:rPr>
        <w:t>, total cortical inflammation</w:t>
      </w:r>
      <w:r w:rsidR="008015A2" w:rsidRPr="00224AC0">
        <w:rPr>
          <w:i/>
          <w:sz w:val="24"/>
          <w:lang w:val="en-US"/>
        </w:rPr>
        <w:t xml:space="preserve"> criterion</w:t>
      </w:r>
      <w:r w:rsidR="00153150" w:rsidRPr="00224AC0">
        <w:rPr>
          <w:i/>
          <w:sz w:val="24"/>
          <w:lang w:val="en-US"/>
        </w:rPr>
        <w:t>;</w:t>
      </w:r>
      <w:r w:rsidR="00184228" w:rsidRPr="00224AC0">
        <w:rPr>
          <w:i/>
          <w:sz w:val="24"/>
          <w:lang w:val="en-US"/>
        </w:rPr>
        <w:t xml:space="preserve"> </w:t>
      </w:r>
      <w:proofErr w:type="spellStart"/>
      <w:r w:rsidR="00866ACB" w:rsidRPr="00224AC0">
        <w:rPr>
          <w:i/>
          <w:sz w:val="24"/>
          <w:lang w:val="en-US"/>
        </w:rPr>
        <w:t>dsa</w:t>
      </w:r>
      <w:proofErr w:type="spellEnd"/>
      <w:r w:rsidR="00866ACB" w:rsidRPr="00224AC0">
        <w:rPr>
          <w:i/>
          <w:sz w:val="24"/>
          <w:lang w:val="en-US"/>
        </w:rPr>
        <w:t>, donor-specific antibodies;</w:t>
      </w:r>
      <w:r w:rsidR="00342626" w:rsidRPr="00224AC0">
        <w:rPr>
          <w:i/>
          <w:sz w:val="24"/>
          <w:lang w:val="en-US"/>
        </w:rPr>
        <w:t xml:space="preserve"> </w:t>
      </w:r>
      <w:proofErr w:type="spellStart"/>
      <w:r w:rsidR="00342626" w:rsidRPr="00224AC0">
        <w:rPr>
          <w:i/>
          <w:sz w:val="24"/>
          <w:lang w:val="en-US"/>
        </w:rPr>
        <w:t>dur_graft_bio</w:t>
      </w:r>
      <w:proofErr w:type="spellEnd"/>
      <w:r w:rsidR="00342626" w:rsidRPr="00224AC0">
        <w:rPr>
          <w:i/>
          <w:sz w:val="24"/>
          <w:lang w:val="en-US"/>
        </w:rPr>
        <w:t>, time after transplant;</w:t>
      </w:r>
      <w:r w:rsidR="00FC012C" w:rsidRPr="00224AC0">
        <w:rPr>
          <w:i/>
          <w:sz w:val="24"/>
          <w:lang w:val="en-US"/>
        </w:rPr>
        <w:t xml:space="preserve"> </w:t>
      </w:r>
      <w:r w:rsidR="00342626" w:rsidRPr="00224AC0">
        <w:rPr>
          <w:i/>
          <w:sz w:val="24"/>
          <w:lang w:val="en-US"/>
        </w:rPr>
        <w:t xml:space="preserve">local_c4d, linear C4d staining in </w:t>
      </w:r>
      <w:proofErr w:type="spellStart"/>
      <w:r w:rsidR="00342626" w:rsidRPr="00224AC0">
        <w:rPr>
          <w:i/>
          <w:sz w:val="24"/>
          <w:lang w:val="en-US"/>
        </w:rPr>
        <w:t>ptc</w:t>
      </w:r>
      <w:proofErr w:type="spellEnd"/>
      <w:r w:rsidR="00342626" w:rsidRPr="00224AC0">
        <w:rPr>
          <w:i/>
          <w:sz w:val="24"/>
          <w:lang w:val="en-US"/>
        </w:rPr>
        <w:t xml:space="preserve"> or medullary vasa recta criterion; </w:t>
      </w:r>
      <w:proofErr w:type="spellStart"/>
      <w:r w:rsidR="00866ACB" w:rsidRPr="00224AC0">
        <w:rPr>
          <w:i/>
          <w:sz w:val="24"/>
          <w:lang w:val="en-US"/>
        </w:rPr>
        <w:t>uri_pro</w:t>
      </w:r>
      <w:proofErr w:type="spellEnd"/>
      <w:r w:rsidR="00866ACB" w:rsidRPr="00224AC0">
        <w:rPr>
          <w:i/>
          <w:sz w:val="24"/>
          <w:lang w:val="en-US"/>
        </w:rPr>
        <w:t>, proteinuria</w:t>
      </w:r>
      <w:r w:rsidR="00342626" w:rsidRPr="00224AC0">
        <w:rPr>
          <w:i/>
          <w:sz w:val="24"/>
          <w:lang w:val="en-US"/>
        </w:rPr>
        <w:t>.</w:t>
      </w:r>
    </w:p>
    <w:p w14:paraId="2DE47739" w14:textId="77777777" w:rsidR="00B42C81" w:rsidRDefault="00B42C81">
      <w:pPr>
        <w:rPr>
          <w:rFonts w:eastAsiaTheme="majorEastAsia" w:cstheme="majorBidi"/>
          <w:b/>
          <w:sz w:val="26"/>
          <w:szCs w:val="26"/>
          <w:lang w:val="en-US"/>
        </w:rPr>
      </w:pPr>
      <w:r>
        <w:rPr>
          <w:lang w:val="en-US"/>
        </w:rPr>
        <w:br w:type="page"/>
      </w:r>
    </w:p>
    <w:p w14:paraId="5B3F5957" w14:textId="32E3F9F6" w:rsidR="00F615B7" w:rsidRDefault="00581D97" w:rsidP="00C87944">
      <w:pPr>
        <w:rPr>
          <w:lang w:val="en-US"/>
        </w:rPr>
      </w:pPr>
      <w:r>
        <w:rPr>
          <w:noProof/>
          <w:lang w:eastAsia="fr-FR"/>
        </w:rPr>
        <w:drawing>
          <wp:inline distT="0" distB="0" distL="0" distR="0" wp14:anchorId="72D6577A" wp14:editId="23E6E121">
            <wp:extent cx="1828736" cy="1810990"/>
            <wp:effectExtent l="0" t="0" r="63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14">
                      <a:extLst>
                        <a:ext uri="{28A0092B-C50C-407E-A947-70E740481C1C}">
                          <a14:useLocalDpi xmlns:a14="http://schemas.microsoft.com/office/drawing/2010/main" val="0"/>
                        </a:ext>
                      </a:extLst>
                    </a:blip>
                    <a:srcRect l="35363" r="32891"/>
                    <a:stretch/>
                  </pic:blipFill>
                  <pic:spPr bwMode="auto">
                    <a:xfrm>
                      <a:off x="0" y="0"/>
                      <a:ext cx="1828766" cy="181102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0EF97622" wp14:editId="1542C7F6">
            <wp:extent cx="1857310" cy="181082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15">
                      <a:extLst>
                        <a:ext uri="{28A0092B-C50C-407E-A947-70E740481C1C}">
                          <a14:useLocalDpi xmlns:a14="http://schemas.microsoft.com/office/drawing/2010/main" val="0"/>
                        </a:ext>
                      </a:extLst>
                    </a:blip>
                    <a:srcRect l="35367" r="32389"/>
                    <a:stretch/>
                  </pic:blipFill>
                  <pic:spPr bwMode="auto">
                    <a:xfrm>
                      <a:off x="0" y="0"/>
                      <a:ext cx="1857513" cy="1811020"/>
                    </a:xfrm>
                    <a:prstGeom prst="rect">
                      <a:avLst/>
                    </a:prstGeom>
                    <a:ln>
                      <a:noFill/>
                    </a:ln>
                    <a:extLst>
                      <a:ext uri="{53640926-AAD7-44D8-BBD7-CCE9431645EC}">
                        <a14:shadowObscured xmlns:a14="http://schemas.microsoft.com/office/drawing/2010/main"/>
                      </a:ext>
                    </a:extLst>
                  </pic:spPr>
                </pic:pic>
              </a:graphicData>
            </a:graphic>
          </wp:inline>
        </w:drawing>
      </w:r>
      <w:r w:rsidR="00FA5A5E">
        <w:rPr>
          <w:noProof/>
          <w:lang w:eastAsia="fr-FR"/>
        </w:rPr>
        <w:drawing>
          <wp:inline distT="0" distB="0" distL="0" distR="0" wp14:anchorId="45F0A1A7" wp14:editId="1C12E67F">
            <wp:extent cx="1857383" cy="181085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16">
                      <a:extLst>
                        <a:ext uri="{28A0092B-C50C-407E-A947-70E740481C1C}">
                          <a14:useLocalDpi xmlns:a14="http://schemas.microsoft.com/office/drawing/2010/main" val="0"/>
                        </a:ext>
                      </a:extLst>
                    </a:blip>
                    <a:srcRect l="35265" r="32489"/>
                    <a:stretch/>
                  </pic:blipFill>
                  <pic:spPr bwMode="auto">
                    <a:xfrm>
                      <a:off x="0" y="0"/>
                      <a:ext cx="1857552" cy="1811020"/>
                    </a:xfrm>
                    <a:prstGeom prst="rect">
                      <a:avLst/>
                    </a:prstGeom>
                    <a:ln>
                      <a:noFill/>
                    </a:ln>
                    <a:extLst>
                      <a:ext uri="{53640926-AAD7-44D8-BBD7-CCE9431645EC}">
                        <a14:shadowObscured xmlns:a14="http://schemas.microsoft.com/office/drawing/2010/main"/>
                      </a:ext>
                    </a:extLst>
                  </pic:spPr>
                </pic:pic>
              </a:graphicData>
            </a:graphic>
          </wp:inline>
        </w:drawing>
      </w:r>
    </w:p>
    <w:p w14:paraId="37296B83" w14:textId="516E8209" w:rsidR="00681DDA" w:rsidRDefault="00681DDA" w:rsidP="0089406F">
      <w:pPr>
        <w:pStyle w:val="Titre2"/>
        <w:spacing w:line="480" w:lineRule="auto"/>
        <w:rPr>
          <w:lang w:val="en-US"/>
        </w:rPr>
      </w:pPr>
      <w:bookmarkStart w:id="12" w:name="_Toc71726103"/>
      <w:r>
        <w:rPr>
          <w:lang w:val="en-US"/>
        </w:rPr>
        <w:t xml:space="preserve">Supplemental </w:t>
      </w:r>
      <w:r w:rsidR="002B4FFD">
        <w:rPr>
          <w:lang w:val="en-US"/>
        </w:rPr>
        <w:t>F</w:t>
      </w:r>
      <w:r>
        <w:rPr>
          <w:lang w:val="en-US"/>
        </w:rPr>
        <w:t>igure 2: ROC curve analysis in the training dataset.</w:t>
      </w:r>
      <w:bookmarkEnd w:id="12"/>
    </w:p>
    <w:p w14:paraId="4B0E4E4A" w14:textId="3D795C71" w:rsidR="00681DDA" w:rsidRPr="0078553A" w:rsidRDefault="00681DDA" w:rsidP="0089406F">
      <w:pPr>
        <w:spacing w:line="480" w:lineRule="auto"/>
        <w:rPr>
          <w:sz w:val="24"/>
          <w:lang w:val="en-US"/>
        </w:rPr>
      </w:pPr>
      <w:r w:rsidRPr="0078553A">
        <w:rPr>
          <w:sz w:val="24"/>
          <w:lang w:val="en-US"/>
        </w:rPr>
        <w:t>The accuracy was 0.97, 0.95, 0.99 and 0.9</w:t>
      </w:r>
      <w:r w:rsidR="008E0BE6">
        <w:rPr>
          <w:sz w:val="24"/>
          <w:lang w:val="en-US"/>
        </w:rPr>
        <w:t>4</w:t>
      </w:r>
      <w:r w:rsidRPr="0078553A">
        <w:rPr>
          <w:sz w:val="24"/>
          <w:lang w:val="en-US"/>
        </w:rPr>
        <w:t xml:space="preserve"> for the ABMR model, the TCMR model, the IFTA model and the ABMR active/chronic model, respectively (</w:t>
      </w:r>
      <w:r w:rsidR="00DC33D0">
        <w:rPr>
          <w:sz w:val="24"/>
          <w:lang w:val="en-US"/>
        </w:rPr>
        <w:t xml:space="preserve">with </w:t>
      </w:r>
      <w:r w:rsidRPr="0078553A">
        <w:rPr>
          <w:sz w:val="24"/>
          <w:lang w:val="en-US"/>
        </w:rPr>
        <w:t>threshold</w:t>
      </w:r>
      <w:r w:rsidR="00DC33D0">
        <w:rPr>
          <w:sz w:val="24"/>
          <w:lang w:val="en-US"/>
        </w:rPr>
        <w:t>s</w:t>
      </w:r>
      <w:r w:rsidRPr="0078553A">
        <w:rPr>
          <w:sz w:val="24"/>
          <w:lang w:val="en-US"/>
        </w:rPr>
        <w:t xml:space="preserve"> </w:t>
      </w:r>
      <w:r w:rsidR="00DC33D0" w:rsidRPr="0078553A">
        <w:rPr>
          <w:sz w:val="24"/>
          <w:lang w:val="en-US"/>
        </w:rPr>
        <w:t>arbitrar</w:t>
      </w:r>
      <w:r w:rsidR="00DC33D0">
        <w:rPr>
          <w:sz w:val="24"/>
          <w:lang w:val="en-US"/>
        </w:rPr>
        <w:t>il</w:t>
      </w:r>
      <w:r w:rsidR="00DC33D0" w:rsidRPr="0078553A">
        <w:rPr>
          <w:sz w:val="24"/>
          <w:lang w:val="en-US"/>
        </w:rPr>
        <w:t xml:space="preserve">y </w:t>
      </w:r>
      <w:r w:rsidRPr="0078553A">
        <w:rPr>
          <w:sz w:val="24"/>
          <w:lang w:val="en-US"/>
        </w:rPr>
        <w:t>set at 0.50).</w:t>
      </w:r>
    </w:p>
    <w:p w14:paraId="6EF91893" w14:textId="15960423" w:rsidR="00681DDA" w:rsidRPr="004C472A" w:rsidRDefault="00681DDA" w:rsidP="00C87944">
      <w:pPr>
        <w:rPr>
          <w:lang w:val="en-US"/>
        </w:rPr>
      </w:pPr>
    </w:p>
    <w:sectPr w:rsidR="00681DDA" w:rsidRPr="004C472A" w:rsidSect="009B7DFB">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138C0" w14:textId="77777777" w:rsidR="00705BD2" w:rsidRDefault="00705BD2" w:rsidP="0078553A">
      <w:pPr>
        <w:spacing w:after="0" w:line="240" w:lineRule="auto"/>
      </w:pPr>
      <w:r>
        <w:separator/>
      </w:r>
    </w:p>
  </w:endnote>
  <w:endnote w:type="continuationSeparator" w:id="0">
    <w:p w14:paraId="3ECB9B7F" w14:textId="77777777" w:rsidR="00705BD2" w:rsidRDefault="00705BD2" w:rsidP="00785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Noto Sans CJK SC">
    <w:altName w:val="Arial"/>
    <w:charset w:val="00"/>
    <w:family w:val="auto"/>
    <w:pitch w:val="variable"/>
  </w:font>
  <w:font w:name="Lohit Devanagari">
    <w:altName w:val="Calibri"/>
    <w:charset w:val="00"/>
    <w:family w:val="auto"/>
    <w:pitch w:val="variable"/>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685443860"/>
      <w:docPartObj>
        <w:docPartGallery w:val="Page Numbers (Bottom of Page)"/>
        <w:docPartUnique/>
      </w:docPartObj>
    </w:sdtPr>
    <w:sdtEndPr>
      <w:rPr>
        <w:rStyle w:val="Numrodepage"/>
      </w:rPr>
    </w:sdtEndPr>
    <w:sdtContent>
      <w:p w14:paraId="6DB811C0" w14:textId="654F70BA" w:rsidR="00816F9C" w:rsidRDefault="00816F9C" w:rsidP="00DC531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03F0BE4" w14:textId="77777777" w:rsidR="00816F9C" w:rsidRDefault="00816F9C" w:rsidP="0078553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024675592"/>
      <w:docPartObj>
        <w:docPartGallery w:val="Page Numbers (Bottom of Page)"/>
        <w:docPartUnique/>
      </w:docPartObj>
    </w:sdtPr>
    <w:sdtEndPr>
      <w:rPr>
        <w:rStyle w:val="Numrodepage"/>
      </w:rPr>
    </w:sdtEndPr>
    <w:sdtContent>
      <w:p w14:paraId="19EF02E8" w14:textId="4DB55815" w:rsidR="00816F9C" w:rsidRDefault="00816F9C" w:rsidP="00DC531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7A40B3">
          <w:rPr>
            <w:rStyle w:val="Numrodepage"/>
            <w:noProof/>
          </w:rPr>
          <w:t>16</w:t>
        </w:r>
        <w:r>
          <w:rPr>
            <w:rStyle w:val="Numrodepage"/>
          </w:rPr>
          <w:fldChar w:fldCharType="end"/>
        </w:r>
      </w:p>
    </w:sdtContent>
  </w:sdt>
  <w:p w14:paraId="553629D0" w14:textId="77777777" w:rsidR="00816F9C" w:rsidRDefault="00816F9C" w:rsidP="0078553A">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28486" w14:textId="77777777" w:rsidR="00705BD2" w:rsidRDefault="00705BD2" w:rsidP="0078553A">
      <w:pPr>
        <w:spacing w:after="0" w:line="240" w:lineRule="auto"/>
      </w:pPr>
      <w:r>
        <w:separator/>
      </w:r>
    </w:p>
  </w:footnote>
  <w:footnote w:type="continuationSeparator" w:id="0">
    <w:p w14:paraId="1717C020" w14:textId="77777777" w:rsidR="00705BD2" w:rsidRDefault="00705BD2" w:rsidP="00785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63F90"/>
    <w:multiLevelType w:val="hybridMultilevel"/>
    <w:tmpl w:val="F31AD0A0"/>
    <w:lvl w:ilvl="0" w:tplc="09D695B0">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4E47E8"/>
    <w:multiLevelType w:val="hybridMultilevel"/>
    <w:tmpl w:val="D26C1E56"/>
    <w:lvl w:ilvl="0" w:tplc="CA42CE8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9A4006E"/>
    <w:multiLevelType w:val="hybridMultilevel"/>
    <w:tmpl w:val="D0362F4E"/>
    <w:lvl w:ilvl="0" w:tplc="2AB2622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8436952"/>
    <w:multiLevelType w:val="hybridMultilevel"/>
    <w:tmpl w:val="B21C8E9A"/>
    <w:lvl w:ilvl="0" w:tplc="4B98538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96E354B"/>
    <w:multiLevelType w:val="hybridMultilevel"/>
    <w:tmpl w:val="B9B8556E"/>
    <w:lvl w:ilvl="0" w:tplc="3E966B8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A011430"/>
    <w:multiLevelType w:val="hybridMultilevel"/>
    <w:tmpl w:val="47C0EE58"/>
    <w:lvl w:ilvl="0" w:tplc="3E966B82">
      <w:numFmt w:val="bullet"/>
      <w:lvlText w:val="-"/>
      <w:lvlJc w:val="left"/>
      <w:pPr>
        <w:ind w:left="360" w:hanging="360"/>
      </w:pPr>
      <w:rPr>
        <w:rFonts w:ascii="Times New Roman" w:eastAsiaTheme="minorHAns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2048"/>
    <w:rsid w:val="00000436"/>
    <w:rsid w:val="00000617"/>
    <w:rsid w:val="00001D34"/>
    <w:rsid w:val="000028E6"/>
    <w:rsid w:val="000046FF"/>
    <w:rsid w:val="00006C18"/>
    <w:rsid w:val="00006E01"/>
    <w:rsid w:val="00006EEF"/>
    <w:rsid w:val="00010227"/>
    <w:rsid w:val="00010FF2"/>
    <w:rsid w:val="0001164A"/>
    <w:rsid w:val="00011F68"/>
    <w:rsid w:val="00012195"/>
    <w:rsid w:val="000141F3"/>
    <w:rsid w:val="000162C2"/>
    <w:rsid w:val="00017579"/>
    <w:rsid w:val="00020122"/>
    <w:rsid w:val="00020AF2"/>
    <w:rsid w:val="00022477"/>
    <w:rsid w:val="00022881"/>
    <w:rsid w:val="00024495"/>
    <w:rsid w:val="0002474D"/>
    <w:rsid w:val="00027ECB"/>
    <w:rsid w:val="00030E02"/>
    <w:rsid w:val="00031E8A"/>
    <w:rsid w:val="000339DF"/>
    <w:rsid w:val="00034557"/>
    <w:rsid w:val="0003527C"/>
    <w:rsid w:val="00035DC7"/>
    <w:rsid w:val="00036AB7"/>
    <w:rsid w:val="0003727E"/>
    <w:rsid w:val="0004038A"/>
    <w:rsid w:val="00040D04"/>
    <w:rsid w:val="00041EFC"/>
    <w:rsid w:val="0004261C"/>
    <w:rsid w:val="00046395"/>
    <w:rsid w:val="00046F29"/>
    <w:rsid w:val="00047991"/>
    <w:rsid w:val="00051D9C"/>
    <w:rsid w:val="00052312"/>
    <w:rsid w:val="00052816"/>
    <w:rsid w:val="00054286"/>
    <w:rsid w:val="0005550F"/>
    <w:rsid w:val="000568B2"/>
    <w:rsid w:val="00056A84"/>
    <w:rsid w:val="00056BBF"/>
    <w:rsid w:val="000572B1"/>
    <w:rsid w:val="00057A52"/>
    <w:rsid w:val="00060818"/>
    <w:rsid w:val="0006135E"/>
    <w:rsid w:val="00061E6E"/>
    <w:rsid w:val="0006265E"/>
    <w:rsid w:val="00062E5B"/>
    <w:rsid w:val="000634A4"/>
    <w:rsid w:val="000655B7"/>
    <w:rsid w:val="00065AB7"/>
    <w:rsid w:val="00065B5F"/>
    <w:rsid w:val="00067E3C"/>
    <w:rsid w:val="00071090"/>
    <w:rsid w:val="00073536"/>
    <w:rsid w:val="00073DF2"/>
    <w:rsid w:val="00075AB9"/>
    <w:rsid w:val="00075C7D"/>
    <w:rsid w:val="00076341"/>
    <w:rsid w:val="0007774B"/>
    <w:rsid w:val="00077F7B"/>
    <w:rsid w:val="0008217F"/>
    <w:rsid w:val="000821BE"/>
    <w:rsid w:val="0008220E"/>
    <w:rsid w:val="000822A7"/>
    <w:rsid w:val="00084673"/>
    <w:rsid w:val="00084D1B"/>
    <w:rsid w:val="000869E7"/>
    <w:rsid w:val="0008745E"/>
    <w:rsid w:val="000874EE"/>
    <w:rsid w:val="0009547E"/>
    <w:rsid w:val="000966BC"/>
    <w:rsid w:val="000969C5"/>
    <w:rsid w:val="00096C7C"/>
    <w:rsid w:val="00096DCC"/>
    <w:rsid w:val="000A0CAC"/>
    <w:rsid w:val="000A1B4E"/>
    <w:rsid w:val="000A572F"/>
    <w:rsid w:val="000A6E62"/>
    <w:rsid w:val="000B162B"/>
    <w:rsid w:val="000B20D3"/>
    <w:rsid w:val="000B4E82"/>
    <w:rsid w:val="000B5915"/>
    <w:rsid w:val="000B6756"/>
    <w:rsid w:val="000B6F7E"/>
    <w:rsid w:val="000B731F"/>
    <w:rsid w:val="000B7C8A"/>
    <w:rsid w:val="000B7DB4"/>
    <w:rsid w:val="000C08DC"/>
    <w:rsid w:val="000C2EF3"/>
    <w:rsid w:val="000C4183"/>
    <w:rsid w:val="000D400B"/>
    <w:rsid w:val="000D426B"/>
    <w:rsid w:val="000D4416"/>
    <w:rsid w:val="000D5A1E"/>
    <w:rsid w:val="000D5B9C"/>
    <w:rsid w:val="000D64C7"/>
    <w:rsid w:val="000D6ADF"/>
    <w:rsid w:val="000D7E8B"/>
    <w:rsid w:val="000E044C"/>
    <w:rsid w:val="000E048E"/>
    <w:rsid w:val="000E073F"/>
    <w:rsid w:val="000E08DE"/>
    <w:rsid w:val="000E15E0"/>
    <w:rsid w:val="000E3A22"/>
    <w:rsid w:val="000E3B97"/>
    <w:rsid w:val="000E3BC3"/>
    <w:rsid w:val="000E3C2D"/>
    <w:rsid w:val="000E3DFE"/>
    <w:rsid w:val="000E6C2E"/>
    <w:rsid w:val="000E7A66"/>
    <w:rsid w:val="000F00E1"/>
    <w:rsid w:val="000F0EB4"/>
    <w:rsid w:val="000F1BC9"/>
    <w:rsid w:val="000F35A5"/>
    <w:rsid w:val="000F39EB"/>
    <w:rsid w:val="000F3D27"/>
    <w:rsid w:val="000F4040"/>
    <w:rsid w:val="000F4D86"/>
    <w:rsid w:val="000F60DC"/>
    <w:rsid w:val="000F6F1A"/>
    <w:rsid w:val="000F73CB"/>
    <w:rsid w:val="00101F7F"/>
    <w:rsid w:val="00104F40"/>
    <w:rsid w:val="001050CB"/>
    <w:rsid w:val="0010517D"/>
    <w:rsid w:val="00105804"/>
    <w:rsid w:val="00105AB8"/>
    <w:rsid w:val="00107F8D"/>
    <w:rsid w:val="001127BD"/>
    <w:rsid w:val="00115545"/>
    <w:rsid w:val="00115690"/>
    <w:rsid w:val="001156D5"/>
    <w:rsid w:val="00116CB7"/>
    <w:rsid w:val="00117B98"/>
    <w:rsid w:val="001212E7"/>
    <w:rsid w:val="00121F80"/>
    <w:rsid w:val="0012348C"/>
    <w:rsid w:val="001235DA"/>
    <w:rsid w:val="001236DA"/>
    <w:rsid w:val="00123954"/>
    <w:rsid w:val="001254BF"/>
    <w:rsid w:val="00126382"/>
    <w:rsid w:val="001266E2"/>
    <w:rsid w:val="00126719"/>
    <w:rsid w:val="00136D5D"/>
    <w:rsid w:val="00136E82"/>
    <w:rsid w:val="00137959"/>
    <w:rsid w:val="00140048"/>
    <w:rsid w:val="00141065"/>
    <w:rsid w:val="00141D1A"/>
    <w:rsid w:val="0014229B"/>
    <w:rsid w:val="00142699"/>
    <w:rsid w:val="0014328C"/>
    <w:rsid w:val="001463CA"/>
    <w:rsid w:val="001476CD"/>
    <w:rsid w:val="0015057B"/>
    <w:rsid w:val="00153150"/>
    <w:rsid w:val="00155229"/>
    <w:rsid w:val="00156075"/>
    <w:rsid w:val="00156C67"/>
    <w:rsid w:val="00156FA8"/>
    <w:rsid w:val="00160247"/>
    <w:rsid w:val="00163601"/>
    <w:rsid w:val="001642C6"/>
    <w:rsid w:val="00164B17"/>
    <w:rsid w:val="00164C4E"/>
    <w:rsid w:val="00164D86"/>
    <w:rsid w:val="00166CF8"/>
    <w:rsid w:val="0017170D"/>
    <w:rsid w:val="00173F34"/>
    <w:rsid w:val="00173FD1"/>
    <w:rsid w:val="0017537F"/>
    <w:rsid w:val="00175653"/>
    <w:rsid w:val="001759C0"/>
    <w:rsid w:val="00175E86"/>
    <w:rsid w:val="00177402"/>
    <w:rsid w:val="00180DA9"/>
    <w:rsid w:val="00181980"/>
    <w:rsid w:val="00183A50"/>
    <w:rsid w:val="00184228"/>
    <w:rsid w:val="00184C81"/>
    <w:rsid w:val="00186B83"/>
    <w:rsid w:val="00190A22"/>
    <w:rsid w:val="00190D93"/>
    <w:rsid w:val="00190E07"/>
    <w:rsid w:val="00191D7C"/>
    <w:rsid w:val="0019212B"/>
    <w:rsid w:val="00195386"/>
    <w:rsid w:val="00195651"/>
    <w:rsid w:val="00195E0A"/>
    <w:rsid w:val="00195EC2"/>
    <w:rsid w:val="00195FB5"/>
    <w:rsid w:val="0019736E"/>
    <w:rsid w:val="001978D3"/>
    <w:rsid w:val="001A1234"/>
    <w:rsid w:val="001A2A1E"/>
    <w:rsid w:val="001A3AA7"/>
    <w:rsid w:val="001A4152"/>
    <w:rsid w:val="001A4950"/>
    <w:rsid w:val="001A495A"/>
    <w:rsid w:val="001A4D7C"/>
    <w:rsid w:val="001A5829"/>
    <w:rsid w:val="001A5F52"/>
    <w:rsid w:val="001A6CEA"/>
    <w:rsid w:val="001B1462"/>
    <w:rsid w:val="001B151E"/>
    <w:rsid w:val="001B1A20"/>
    <w:rsid w:val="001B21E1"/>
    <w:rsid w:val="001B25CD"/>
    <w:rsid w:val="001B37F8"/>
    <w:rsid w:val="001B3906"/>
    <w:rsid w:val="001B40C8"/>
    <w:rsid w:val="001B484F"/>
    <w:rsid w:val="001B5009"/>
    <w:rsid w:val="001C03D2"/>
    <w:rsid w:val="001C0E3D"/>
    <w:rsid w:val="001C183E"/>
    <w:rsid w:val="001C22BB"/>
    <w:rsid w:val="001C2587"/>
    <w:rsid w:val="001C2C25"/>
    <w:rsid w:val="001C2EB9"/>
    <w:rsid w:val="001C3C98"/>
    <w:rsid w:val="001C4F56"/>
    <w:rsid w:val="001C5411"/>
    <w:rsid w:val="001C6CB7"/>
    <w:rsid w:val="001D27E1"/>
    <w:rsid w:val="001D2EA3"/>
    <w:rsid w:val="001D5DFB"/>
    <w:rsid w:val="001D6F11"/>
    <w:rsid w:val="001E026F"/>
    <w:rsid w:val="001E0FEF"/>
    <w:rsid w:val="001E19F1"/>
    <w:rsid w:val="001E2D85"/>
    <w:rsid w:val="001E3B54"/>
    <w:rsid w:val="001E4033"/>
    <w:rsid w:val="001E41DC"/>
    <w:rsid w:val="001E5CCE"/>
    <w:rsid w:val="001F003F"/>
    <w:rsid w:val="001F0171"/>
    <w:rsid w:val="001F1454"/>
    <w:rsid w:val="001F15EC"/>
    <w:rsid w:val="001F2791"/>
    <w:rsid w:val="001F2E62"/>
    <w:rsid w:val="001F3A16"/>
    <w:rsid w:val="001F4600"/>
    <w:rsid w:val="001F6146"/>
    <w:rsid w:val="001F63BB"/>
    <w:rsid w:val="001F67C4"/>
    <w:rsid w:val="001F6BB1"/>
    <w:rsid w:val="001F7376"/>
    <w:rsid w:val="001F7BC2"/>
    <w:rsid w:val="0020046C"/>
    <w:rsid w:val="00202134"/>
    <w:rsid w:val="00202C05"/>
    <w:rsid w:val="00204733"/>
    <w:rsid w:val="00205020"/>
    <w:rsid w:val="00205402"/>
    <w:rsid w:val="002054B0"/>
    <w:rsid w:val="002065D5"/>
    <w:rsid w:val="00206998"/>
    <w:rsid w:val="00206ED0"/>
    <w:rsid w:val="00207310"/>
    <w:rsid w:val="002076CB"/>
    <w:rsid w:val="00207978"/>
    <w:rsid w:val="002108C0"/>
    <w:rsid w:val="00213CF4"/>
    <w:rsid w:val="00213D8D"/>
    <w:rsid w:val="00214BF8"/>
    <w:rsid w:val="00215EB4"/>
    <w:rsid w:val="00217150"/>
    <w:rsid w:val="002171AE"/>
    <w:rsid w:val="0022080C"/>
    <w:rsid w:val="002208B0"/>
    <w:rsid w:val="0022092C"/>
    <w:rsid w:val="00220BEA"/>
    <w:rsid w:val="00221350"/>
    <w:rsid w:val="002233F6"/>
    <w:rsid w:val="0022393C"/>
    <w:rsid w:val="00224AC0"/>
    <w:rsid w:val="00225F8F"/>
    <w:rsid w:val="00226810"/>
    <w:rsid w:val="00227BC3"/>
    <w:rsid w:val="00232E87"/>
    <w:rsid w:val="00234E96"/>
    <w:rsid w:val="002353CA"/>
    <w:rsid w:val="0023670C"/>
    <w:rsid w:val="00236C0F"/>
    <w:rsid w:val="00236DC8"/>
    <w:rsid w:val="00240CFC"/>
    <w:rsid w:val="00241B47"/>
    <w:rsid w:val="00244440"/>
    <w:rsid w:val="002449B0"/>
    <w:rsid w:val="002475FB"/>
    <w:rsid w:val="00250F1D"/>
    <w:rsid w:val="0025231A"/>
    <w:rsid w:val="002524B6"/>
    <w:rsid w:val="0025259A"/>
    <w:rsid w:val="00253989"/>
    <w:rsid w:val="002545FA"/>
    <w:rsid w:val="00254EC4"/>
    <w:rsid w:val="00255272"/>
    <w:rsid w:val="002562AD"/>
    <w:rsid w:val="00257589"/>
    <w:rsid w:val="00260D0B"/>
    <w:rsid w:val="00262F3F"/>
    <w:rsid w:val="002637C5"/>
    <w:rsid w:val="00264058"/>
    <w:rsid w:val="00264BD8"/>
    <w:rsid w:val="00264F7C"/>
    <w:rsid w:val="00265142"/>
    <w:rsid w:val="002651A7"/>
    <w:rsid w:val="002653D9"/>
    <w:rsid w:val="002660C9"/>
    <w:rsid w:val="002662FE"/>
    <w:rsid w:val="00266ECD"/>
    <w:rsid w:val="00267A92"/>
    <w:rsid w:val="002710A0"/>
    <w:rsid w:val="00271868"/>
    <w:rsid w:val="00272CE4"/>
    <w:rsid w:val="00275743"/>
    <w:rsid w:val="00275FCC"/>
    <w:rsid w:val="00276BA0"/>
    <w:rsid w:val="00276ED6"/>
    <w:rsid w:val="00277135"/>
    <w:rsid w:val="00277B74"/>
    <w:rsid w:val="00280A49"/>
    <w:rsid w:val="00281562"/>
    <w:rsid w:val="00282062"/>
    <w:rsid w:val="002822D5"/>
    <w:rsid w:val="0028331D"/>
    <w:rsid w:val="0028382D"/>
    <w:rsid w:val="002843E3"/>
    <w:rsid w:val="00284AEB"/>
    <w:rsid w:val="00285D01"/>
    <w:rsid w:val="00286607"/>
    <w:rsid w:val="00286AAF"/>
    <w:rsid w:val="00287C89"/>
    <w:rsid w:val="00290681"/>
    <w:rsid w:val="00290BDF"/>
    <w:rsid w:val="002919B9"/>
    <w:rsid w:val="002927DA"/>
    <w:rsid w:val="0029396A"/>
    <w:rsid w:val="00294894"/>
    <w:rsid w:val="00296AC5"/>
    <w:rsid w:val="00297BCE"/>
    <w:rsid w:val="002A0D9E"/>
    <w:rsid w:val="002A1039"/>
    <w:rsid w:val="002A18F5"/>
    <w:rsid w:val="002A2C7F"/>
    <w:rsid w:val="002A2F94"/>
    <w:rsid w:val="002A4391"/>
    <w:rsid w:val="002A4E74"/>
    <w:rsid w:val="002A55A9"/>
    <w:rsid w:val="002A5763"/>
    <w:rsid w:val="002A6ABC"/>
    <w:rsid w:val="002A76E6"/>
    <w:rsid w:val="002B3946"/>
    <w:rsid w:val="002B3A26"/>
    <w:rsid w:val="002B4FFD"/>
    <w:rsid w:val="002B534A"/>
    <w:rsid w:val="002B5BE3"/>
    <w:rsid w:val="002B7573"/>
    <w:rsid w:val="002B7B1C"/>
    <w:rsid w:val="002C0203"/>
    <w:rsid w:val="002C2B21"/>
    <w:rsid w:val="002C2C71"/>
    <w:rsid w:val="002C3914"/>
    <w:rsid w:val="002C5193"/>
    <w:rsid w:val="002C560B"/>
    <w:rsid w:val="002C6A7E"/>
    <w:rsid w:val="002D0318"/>
    <w:rsid w:val="002D17DA"/>
    <w:rsid w:val="002D1E31"/>
    <w:rsid w:val="002D3430"/>
    <w:rsid w:val="002D44A3"/>
    <w:rsid w:val="002D72F7"/>
    <w:rsid w:val="002E1C6D"/>
    <w:rsid w:val="002E24EA"/>
    <w:rsid w:val="002E2C9D"/>
    <w:rsid w:val="002E55AF"/>
    <w:rsid w:val="002F0B16"/>
    <w:rsid w:val="002F3333"/>
    <w:rsid w:val="002F3E89"/>
    <w:rsid w:val="002F6793"/>
    <w:rsid w:val="002F76DE"/>
    <w:rsid w:val="003004D1"/>
    <w:rsid w:val="003008D5"/>
    <w:rsid w:val="003013AE"/>
    <w:rsid w:val="00302A8C"/>
    <w:rsid w:val="00305D81"/>
    <w:rsid w:val="00306613"/>
    <w:rsid w:val="00306837"/>
    <w:rsid w:val="003070F0"/>
    <w:rsid w:val="003078BD"/>
    <w:rsid w:val="00310EA9"/>
    <w:rsid w:val="00312D9E"/>
    <w:rsid w:val="00312F07"/>
    <w:rsid w:val="00313AA4"/>
    <w:rsid w:val="00314121"/>
    <w:rsid w:val="0031578A"/>
    <w:rsid w:val="003171A0"/>
    <w:rsid w:val="0032027E"/>
    <w:rsid w:val="00320640"/>
    <w:rsid w:val="00320E29"/>
    <w:rsid w:val="00327818"/>
    <w:rsid w:val="003279F6"/>
    <w:rsid w:val="003305B9"/>
    <w:rsid w:val="0033099D"/>
    <w:rsid w:val="00330A9D"/>
    <w:rsid w:val="003334E3"/>
    <w:rsid w:val="00333952"/>
    <w:rsid w:val="00333CAA"/>
    <w:rsid w:val="00333D7B"/>
    <w:rsid w:val="00333EA7"/>
    <w:rsid w:val="003340A1"/>
    <w:rsid w:val="00334775"/>
    <w:rsid w:val="0033513A"/>
    <w:rsid w:val="003356C6"/>
    <w:rsid w:val="00340713"/>
    <w:rsid w:val="00340911"/>
    <w:rsid w:val="0034144B"/>
    <w:rsid w:val="003424FA"/>
    <w:rsid w:val="00342626"/>
    <w:rsid w:val="0034368A"/>
    <w:rsid w:val="003447A7"/>
    <w:rsid w:val="00344C96"/>
    <w:rsid w:val="00344CCF"/>
    <w:rsid w:val="003460B2"/>
    <w:rsid w:val="0034631F"/>
    <w:rsid w:val="00347B93"/>
    <w:rsid w:val="0035021D"/>
    <w:rsid w:val="003515CF"/>
    <w:rsid w:val="00352799"/>
    <w:rsid w:val="00352BF6"/>
    <w:rsid w:val="00355618"/>
    <w:rsid w:val="00355E58"/>
    <w:rsid w:val="00356333"/>
    <w:rsid w:val="003575A7"/>
    <w:rsid w:val="00357A60"/>
    <w:rsid w:val="003620BE"/>
    <w:rsid w:val="00363DBF"/>
    <w:rsid w:val="00364185"/>
    <w:rsid w:val="00365FA3"/>
    <w:rsid w:val="003666F3"/>
    <w:rsid w:val="00370441"/>
    <w:rsid w:val="00371291"/>
    <w:rsid w:val="003716B3"/>
    <w:rsid w:val="00371E57"/>
    <w:rsid w:val="00374434"/>
    <w:rsid w:val="0037623E"/>
    <w:rsid w:val="00376C57"/>
    <w:rsid w:val="00377A60"/>
    <w:rsid w:val="0038063C"/>
    <w:rsid w:val="0038083B"/>
    <w:rsid w:val="00380F5E"/>
    <w:rsid w:val="00387BFD"/>
    <w:rsid w:val="003901D8"/>
    <w:rsid w:val="0039021A"/>
    <w:rsid w:val="00390BEC"/>
    <w:rsid w:val="00390F5C"/>
    <w:rsid w:val="003933D2"/>
    <w:rsid w:val="00393FE7"/>
    <w:rsid w:val="00394C7E"/>
    <w:rsid w:val="00394CFD"/>
    <w:rsid w:val="0039568E"/>
    <w:rsid w:val="0039679E"/>
    <w:rsid w:val="003A00AB"/>
    <w:rsid w:val="003A173A"/>
    <w:rsid w:val="003A20CD"/>
    <w:rsid w:val="003A3F8B"/>
    <w:rsid w:val="003A4C95"/>
    <w:rsid w:val="003A51DA"/>
    <w:rsid w:val="003A5582"/>
    <w:rsid w:val="003A68DB"/>
    <w:rsid w:val="003A70EE"/>
    <w:rsid w:val="003B0358"/>
    <w:rsid w:val="003B2607"/>
    <w:rsid w:val="003B263E"/>
    <w:rsid w:val="003B2C3C"/>
    <w:rsid w:val="003B451C"/>
    <w:rsid w:val="003B5247"/>
    <w:rsid w:val="003B5B4C"/>
    <w:rsid w:val="003B5D78"/>
    <w:rsid w:val="003C0219"/>
    <w:rsid w:val="003C0683"/>
    <w:rsid w:val="003C1A82"/>
    <w:rsid w:val="003C1CFD"/>
    <w:rsid w:val="003C4590"/>
    <w:rsid w:val="003C47C9"/>
    <w:rsid w:val="003C5014"/>
    <w:rsid w:val="003C745B"/>
    <w:rsid w:val="003D0205"/>
    <w:rsid w:val="003D0242"/>
    <w:rsid w:val="003D025B"/>
    <w:rsid w:val="003D0E37"/>
    <w:rsid w:val="003D5730"/>
    <w:rsid w:val="003D65DB"/>
    <w:rsid w:val="003D6DDB"/>
    <w:rsid w:val="003E10B0"/>
    <w:rsid w:val="003E111A"/>
    <w:rsid w:val="003E1662"/>
    <w:rsid w:val="003E182C"/>
    <w:rsid w:val="003E18B4"/>
    <w:rsid w:val="003E23E5"/>
    <w:rsid w:val="003E27E0"/>
    <w:rsid w:val="003E4959"/>
    <w:rsid w:val="003E539E"/>
    <w:rsid w:val="003E589D"/>
    <w:rsid w:val="003E766F"/>
    <w:rsid w:val="003E788E"/>
    <w:rsid w:val="003E78EC"/>
    <w:rsid w:val="003E7BC3"/>
    <w:rsid w:val="003F0962"/>
    <w:rsid w:val="003F11E6"/>
    <w:rsid w:val="003F1C95"/>
    <w:rsid w:val="003F4C24"/>
    <w:rsid w:val="003F7CDD"/>
    <w:rsid w:val="00400275"/>
    <w:rsid w:val="00402176"/>
    <w:rsid w:val="0040390D"/>
    <w:rsid w:val="0040421B"/>
    <w:rsid w:val="004052A4"/>
    <w:rsid w:val="00407391"/>
    <w:rsid w:val="00407A96"/>
    <w:rsid w:val="00407B3F"/>
    <w:rsid w:val="00407DBB"/>
    <w:rsid w:val="004131F9"/>
    <w:rsid w:val="00413D1B"/>
    <w:rsid w:val="00414680"/>
    <w:rsid w:val="00414CE8"/>
    <w:rsid w:val="0041618A"/>
    <w:rsid w:val="00416878"/>
    <w:rsid w:val="00416E35"/>
    <w:rsid w:val="00420DAB"/>
    <w:rsid w:val="00422588"/>
    <w:rsid w:val="004266ED"/>
    <w:rsid w:val="004272A8"/>
    <w:rsid w:val="00427603"/>
    <w:rsid w:val="00430052"/>
    <w:rsid w:val="004302FA"/>
    <w:rsid w:val="00430A86"/>
    <w:rsid w:val="00430CFE"/>
    <w:rsid w:val="00431282"/>
    <w:rsid w:val="00431F42"/>
    <w:rsid w:val="004325BD"/>
    <w:rsid w:val="004341B5"/>
    <w:rsid w:val="00434CD7"/>
    <w:rsid w:val="00435066"/>
    <w:rsid w:val="00436AE7"/>
    <w:rsid w:val="00437845"/>
    <w:rsid w:val="0044072B"/>
    <w:rsid w:val="0044142B"/>
    <w:rsid w:val="00441D36"/>
    <w:rsid w:val="004446EF"/>
    <w:rsid w:val="00445B79"/>
    <w:rsid w:val="004502A2"/>
    <w:rsid w:val="0045273E"/>
    <w:rsid w:val="004530D4"/>
    <w:rsid w:val="0045341D"/>
    <w:rsid w:val="00453FEA"/>
    <w:rsid w:val="004541D7"/>
    <w:rsid w:val="00454E8D"/>
    <w:rsid w:val="00455491"/>
    <w:rsid w:val="0046040F"/>
    <w:rsid w:val="004604DA"/>
    <w:rsid w:val="004639CE"/>
    <w:rsid w:val="00464A0D"/>
    <w:rsid w:val="004656D9"/>
    <w:rsid w:val="00465C6A"/>
    <w:rsid w:val="0046674C"/>
    <w:rsid w:val="00470DDB"/>
    <w:rsid w:val="004710FA"/>
    <w:rsid w:val="00472001"/>
    <w:rsid w:val="0047294C"/>
    <w:rsid w:val="00474E23"/>
    <w:rsid w:val="004757E4"/>
    <w:rsid w:val="0047667C"/>
    <w:rsid w:val="0048022A"/>
    <w:rsid w:val="0048030A"/>
    <w:rsid w:val="0048059E"/>
    <w:rsid w:val="00481D46"/>
    <w:rsid w:val="00485353"/>
    <w:rsid w:val="00485C12"/>
    <w:rsid w:val="00487841"/>
    <w:rsid w:val="004901AD"/>
    <w:rsid w:val="00491498"/>
    <w:rsid w:val="0049183A"/>
    <w:rsid w:val="004935AE"/>
    <w:rsid w:val="0049459E"/>
    <w:rsid w:val="00494D7C"/>
    <w:rsid w:val="00494EB4"/>
    <w:rsid w:val="00494FC6"/>
    <w:rsid w:val="00495F39"/>
    <w:rsid w:val="0049675F"/>
    <w:rsid w:val="00497978"/>
    <w:rsid w:val="004A16C0"/>
    <w:rsid w:val="004A2905"/>
    <w:rsid w:val="004A3204"/>
    <w:rsid w:val="004A3A7E"/>
    <w:rsid w:val="004A436C"/>
    <w:rsid w:val="004A5638"/>
    <w:rsid w:val="004B136A"/>
    <w:rsid w:val="004B27B6"/>
    <w:rsid w:val="004B2CB6"/>
    <w:rsid w:val="004B3A74"/>
    <w:rsid w:val="004B42FE"/>
    <w:rsid w:val="004B4C2F"/>
    <w:rsid w:val="004B51AF"/>
    <w:rsid w:val="004B5554"/>
    <w:rsid w:val="004B6AA7"/>
    <w:rsid w:val="004B72B2"/>
    <w:rsid w:val="004B7707"/>
    <w:rsid w:val="004C020C"/>
    <w:rsid w:val="004C05A6"/>
    <w:rsid w:val="004C08D0"/>
    <w:rsid w:val="004C098B"/>
    <w:rsid w:val="004C11F5"/>
    <w:rsid w:val="004C472A"/>
    <w:rsid w:val="004C477C"/>
    <w:rsid w:val="004C52F1"/>
    <w:rsid w:val="004C5CD4"/>
    <w:rsid w:val="004C6176"/>
    <w:rsid w:val="004C758C"/>
    <w:rsid w:val="004D5199"/>
    <w:rsid w:val="004D5338"/>
    <w:rsid w:val="004D56DB"/>
    <w:rsid w:val="004D61C7"/>
    <w:rsid w:val="004D6BEF"/>
    <w:rsid w:val="004E008C"/>
    <w:rsid w:val="004E1AD6"/>
    <w:rsid w:val="004E1C87"/>
    <w:rsid w:val="004E357B"/>
    <w:rsid w:val="004E361E"/>
    <w:rsid w:val="004E3B7A"/>
    <w:rsid w:val="004E3C56"/>
    <w:rsid w:val="004E5015"/>
    <w:rsid w:val="004E7473"/>
    <w:rsid w:val="004E7785"/>
    <w:rsid w:val="004E7DAF"/>
    <w:rsid w:val="004F030C"/>
    <w:rsid w:val="004F0517"/>
    <w:rsid w:val="004F3B63"/>
    <w:rsid w:val="004F3C54"/>
    <w:rsid w:val="004F5677"/>
    <w:rsid w:val="004F5A8E"/>
    <w:rsid w:val="004F5FA2"/>
    <w:rsid w:val="004F7BAD"/>
    <w:rsid w:val="00500F36"/>
    <w:rsid w:val="00501F73"/>
    <w:rsid w:val="00503FBC"/>
    <w:rsid w:val="00504413"/>
    <w:rsid w:val="005053A2"/>
    <w:rsid w:val="0050608B"/>
    <w:rsid w:val="00507A0D"/>
    <w:rsid w:val="00510C5C"/>
    <w:rsid w:val="00511647"/>
    <w:rsid w:val="00511E7A"/>
    <w:rsid w:val="00515030"/>
    <w:rsid w:val="0051561F"/>
    <w:rsid w:val="005168DB"/>
    <w:rsid w:val="005204DC"/>
    <w:rsid w:val="00521552"/>
    <w:rsid w:val="00521586"/>
    <w:rsid w:val="00522162"/>
    <w:rsid w:val="005240C1"/>
    <w:rsid w:val="00526390"/>
    <w:rsid w:val="00526A82"/>
    <w:rsid w:val="00526DCD"/>
    <w:rsid w:val="00527685"/>
    <w:rsid w:val="00527E3E"/>
    <w:rsid w:val="00531884"/>
    <w:rsid w:val="00533D49"/>
    <w:rsid w:val="00534F5A"/>
    <w:rsid w:val="005426AD"/>
    <w:rsid w:val="005429F2"/>
    <w:rsid w:val="00543398"/>
    <w:rsid w:val="00544475"/>
    <w:rsid w:val="00546362"/>
    <w:rsid w:val="00546E61"/>
    <w:rsid w:val="00550ED5"/>
    <w:rsid w:val="00550F0A"/>
    <w:rsid w:val="005510E2"/>
    <w:rsid w:val="00553025"/>
    <w:rsid w:val="00553C6F"/>
    <w:rsid w:val="00554290"/>
    <w:rsid w:val="00554688"/>
    <w:rsid w:val="00555052"/>
    <w:rsid w:val="005564D8"/>
    <w:rsid w:val="00560DB3"/>
    <w:rsid w:val="005619D5"/>
    <w:rsid w:val="00561F3B"/>
    <w:rsid w:val="005623DB"/>
    <w:rsid w:val="00563930"/>
    <w:rsid w:val="00563BFB"/>
    <w:rsid w:val="0056436D"/>
    <w:rsid w:val="0056755F"/>
    <w:rsid w:val="00571F7A"/>
    <w:rsid w:val="0057252F"/>
    <w:rsid w:val="00572850"/>
    <w:rsid w:val="00576C5A"/>
    <w:rsid w:val="00580710"/>
    <w:rsid w:val="00581D97"/>
    <w:rsid w:val="00582973"/>
    <w:rsid w:val="00584B70"/>
    <w:rsid w:val="00584DAA"/>
    <w:rsid w:val="0058668C"/>
    <w:rsid w:val="00587088"/>
    <w:rsid w:val="0059021D"/>
    <w:rsid w:val="005946DE"/>
    <w:rsid w:val="00594C2A"/>
    <w:rsid w:val="0059535A"/>
    <w:rsid w:val="00595573"/>
    <w:rsid w:val="00596547"/>
    <w:rsid w:val="005A0F16"/>
    <w:rsid w:val="005A3B48"/>
    <w:rsid w:val="005A4D65"/>
    <w:rsid w:val="005A5258"/>
    <w:rsid w:val="005A7C23"/>
    <w:rsid w:val="005B0399"/>
    <w:rsid w:val="005B0A30"/>
    <w:rsid w:val="005B19B6"/>
    <w:rsid w:val="005B19CE"/>
    <w:rsid w:val="005B3CEA"/>
    <w:rsid w:val="005B72FB"/>
    <w:rsid w:val="005C01E6"/>
    <w:rsid w:val="005C0435"/>
    <w:rsid w:val="005C0F6D"/>
    <w:rsid w:val="005C17AE"/>
    <w:rsid w:val="005C1AE8"/>
    <w:rsid w:val="005C2075"/>
    <w:rsid w:val="005C2534"/>
    <w:rsid w:val="005C2E23"/>
    <w:rsid w:val="005C3CF8"/>
    <w:rsid w:val="005C485D"/>
    <w:rsid w:val="005C542A"/>
    <w:rsid w:val="005C654D"/>
    <w:rsid w:val="005D0872"/>
    <w:rsid w:val="005D0909"/>
    <w:rsid w:val="005D0ABC"/>
    <w:rsid w:val="005D14C6"/>
    <w:rsid w:val="005D1989"/>
    <w:rsid w:val="005D241B"/>
    <w:rsid w:val="005D4FF2"/>
    <w:rsid w:val="005D5403"/>
    <w:rsid w:val="005D6651"/>
    <w:rsid w:val="005E16D4"/>
    <w:rsid w:val="005E2AE7"/>
    <w:rsid w:val="005E2F80"/>
    <w:rsid w:val="005E3320"/>
    <w:rsid w:val="005E365D"/>
    <w:rsid w:val="005E3D1A"/>
    <w:rsid w:val="005E54C3"/>
    <w:rsid w:val="005E5B9D"/>
    <w:rsid w:val="005E6DE3"/>
    <w:rsid w:val="005E7BF5"/>
    <w:rsid w:val="005F0049"/>
    <w:rsid w:val="005F09F6"/>
    <w:rsid w:val="005F1A5B"/>
    <w:rsid w:val="005F71FE"/>
    <w:rsid w:val="006000D8"/>
    <w:rsid w:val="00600505"/>
    <w:rsid w:val="006006D0"/>
    <w:rsid w:val="00600C64"/>
    <w:rsid w:val="00601802"/>
    <w:rsid w:val="00601EAB"/>
    <w:rsid w:val="00602920"/>
    <w:rsid w:val="00602B9F"/>
    <w:rsid w:val="00605085"/>
    <w:rsid w:val="0060730D"/>
    <w:rsid w:val="00607DAB"/>
    <w:rsid w:val="0061032E"/>
    <w:rsid w:val="0061055F"/>
    <w:rsid w:val="00611D17"/>
    <w:rsid w:val="006144A9"/>
    <w:rsid w:val="00621BC8"/>
    <w:rsid w:val="0062308D"/>
    <w:rsid w:val="00623351"/>
    <w:rsid w:val="00624309"/>
    <w:rsid w:val="00624766"/>
    <w:rsid w:val="00627BE0"/>
    <w:rsid w:val="0063169C"/>
    <w:rsid w:val="006324D4"/>
    <w:rsid w:val="00633D92"/>
    <w:rsid w:val="00635BEF"/>
    <w:rsid w:val="006360D1"/>
    <w:rsid w:val="00636633"/>
    <w:rsid w:val="006403AB"/>
    <w:rsid w:val="0064069F"/>
    <w:rsid w:val="00641777"/>
    <w:rsid w:val="00647C9A"/>
    <w:rsid w:val="00647F2D"/>
    <w:rsid w:val="0065000B"/>
    <w:rsid w:val="00650BC9"/>
    <w:rsid w:val="006516BD"/>
    <w:rsid w:val="00651C42"/>
    <w:rsid w:val="00652F33"/>
    <w:rsid w:val="0065360F"/>
    <w:rsid w:val="00653826"/>
    <w:rsid w:val="0065476A"/>
    <w:rsid w:val="00654D49"/>
    <w:rsid w:val="006569CC"/>
    <w:rsid w:val="0066062D"/>
    <w:rsid w:val="00660919"/>
    <w:rsid w:val="00661D9F"/>
    <w:rsid w:val="00662C89"/>
    <w:rsid w:val="00662EC1"/>
    <w:rsid w:val="00663339"/>
    <w:rsid w:val="00663971"/>
    <w:rsid w:val="00664C6A"/>
    <w:rsid w:val="00664CE2"/>
    <w:rsid w:val="00665E49"/>
    <w:rsid w:val="006700AD"/>
    <w:rsid w:val="006710D6"/>
    <w:rsid w:val="006722BC"/>
    <w:rsid w:val="0067511A"/>
    <w:rsid w:val="006756DD"/>
    <w:rsid w:val="00676843"/>
    <w:rsid w:val="00677985"/>
    <w:rsid w:val="00680EB7"/>
    <w:rsid w:val="00681DDA"/>
    <w:rsid w:val="00682420"/>
    <w:rsid w:val="0068276A"/>
    <w:rsid w:val="00685869"/>
    <w:rsid w:val="00686452"/>
    <w:rsid w:val="006905B6"/>
    <w:rsid w:val="00691006"/>
    <w:rsid w:val="00691868"/>
    <w:rsid w:val="00692098"/>
    <w:rsid w:val="006922A2"/>
    <w:rsid w:val="00692563"/>
    <w:rsid w:val="0069317A"/>
    <w:rsid w:val="006955F7"/>
    <w:rsid w:val="00697DC9"/>
    <w:rsid w:val="006A1581"/>
    <w:rsid w:val="006A1AA4"/>
    <w:rsid w:val="006A1ED1"/>
    <w:rsid w:val="006A244E"/>
    <w:rsid w:val="006A2598"/>
    <w:rsid w:val="006A3158"/>
    <w:rsid w:val="006A4857"/>
    <w:rsid w:val="006A4997"/>
    <w:rsid w:val="006A4EA1"/>
    <w:rsid w:val="006A612D"/>
    <w:rsid w:val="006A684F"/>
    <w:rsid w:val="006A6A53"/>
    <w:rsid w:val="006A6A56"/>
    <w:rsid w:val="006A71F4"/>
    <w:rsid w:val="006A75BE"/>
    <w:rsid w:val="006B0046"/>
    <w:rsid w:val="006B0AB6"/>
    <w:rsid w:val="006B35C4"/>
    <w:rsid w:val="006B550B"/>
    <w:rsid w:val="006B5788"/>
    <w:rsid w:val="006B7124"/>
    <w:rsid w:val="006B7998"/>
    <w:rsid w:val="006B7C6E"/>
    <w:rsid w:val="006C01EF"/>
    <w:rsid w:val="006C2289"/>
    <w:rsid w:val="006C2955"/>
    <w:rsid w:val="006C3278"/>
    <w:rsid w:val="006C387C"/>
    <w:rsid w:val="006C4F83"/>
    <w:rsid w:val="006C5A15"/>
    <w:rsid w:val="006C6F04"/>
    <w:rsid w:val="006C7372"/>
    <w:rsid w:val="006C7F0E"/>
    <w:rsid w:val="006C7F1B"/>
    <w:rsid w:val="006D12AF"/>
    <w:rsid w:val="006D145D"/>
    <w:rsid w:val="006D2054"/>
    <w:rsid w:val="006D2DA6"/>
    <w:rsid w:val="006D33E1"/>
    <w:rsid w:val="006D4D0F"/>
    <w:rsid w:val="006D6B0D"/>
    <w:rsid w:val="006D7325"/>
    <w:rsid w:val="006E02E9"/>
    <w:rsid w:val="006E07C2"/>
    <w:rsid w:val="006E2BE5"/>
    <w:rsid w:val="006E2F22"/>
    <w:rsid w:val="006E5E5D"/>
    <w:rsid w:val="006E74A5"/>
    <w:rsid w:val="006E7AD2"/>
    <w:rsid w:val="006F1E50"/>
    <w:rsid w:val="006F248F"/>
    <w:rsid w:val="006F2D27"/>
    <w:rsid w:val="006F308B"/>
    <w:rsid w:val="006F4931"/>
    <w:rsid w:val="006F5491"/>
    <w:rsid w:val="006F6F5C"/>
    <w:rsid w:val="006F7048"/>
    <w:rsid w:val="00700022"/>
    <w:rsid w:val="0070008E"/>
    <w:rsid w:val="00701EE9"/>
    <w:rsid w:val="007028DC"/>
    <w:rsid w:val="007032EC"/>
    <w:rsid w:val="00704424"/>
    <w:rsid w:val="0070541C"/>
    <w:rsid w:val="007058F3"/>
    <w:rsid w:val="00705BD2"/>
    <w:rsid w:val="00707948"/>
    <w:rsid w:val="00710594"/>
    <w:rsid w:val="00710CB2"/>
    <w:rsid w:val="00710F22"/>
    <w:rsid w:val="00712BD0"/>
    <w:rsid w:val="0071363D"/>
    <w:rsid w:val="00713EB1"/>
    <w:rsid w:val="00715589"/>
    <w:rsid w:val="00715648"/>
    <w:rsid w:val="007157D0"/>
    <w:rsid w:val="00715951"/>
    <w:rsid w:val="00717EEB"/>
    <w:rsid w:val="0072044A"/>
    <w:rsid w:val="00722360"/>
    <w:rsid w:val="007238DC"/>
    <w:rsid w:val="00723B37"/>
    <w:rsid w:val="00727F90"/>
    <w:rsid w:val="0073008D"/>
    <w:rsid w:val="00730ADE"/>
    <w:rsid w:val="00732270"/>
    <w:rsid w:val="00732E47"/>
    <w:rsid w:val="00734E55"/>
    <w:rsid w:val="00734E73"/>
    <w:rsid w:val="0073766D"/>
    <w:rsid w:val="00740042"/>
    <w:rsid w:val="0074059E"/>
    <w:rsid w:val="00740985"/>
    <w:rsid w:val="007412A0"/>
    <w:rsid w:val="007413B8"/>
    <w:rsid w:val="00741B31"/>
    <w:rsid w:val="0074248A"/>
    <w:rsid w:val="00742543"/>
    <w:rsid w:val="007452FF"/>
    <w:rsid w:val="007461FE"/>
    <w:rsid w:val="007474B9"/>
    <w:rsid w:val="00750A02"/>
    <w:rsid w:val="00752686"/>
    <w:rsid w:val="00752DBA"/>
    <w:rsid w:val="00752E9B"/>
    <w:rsid w:val="00753ABA"/>
    <w:rsid w:val="00756DC9"/>
    <w:rsid w:val="0075795F"/>
    <w:rsid w:val="00757B40"/>
    <w:rsid w:val="00760CC8"/>
    <w:rsid w:val="00761F55"/>
    <w:rsid w:val="007634E3"/>
    <w:rsid w:val="00774082"/>
    <w:rsid w:val="00776D49"/>
    <w:rsid w:val="007771B2"/>
    <w:rsid w:val="007778A9"/>
    <w:rsid w:val="007813A7"/>
    <w:rsid w:val="00782777"/>
    <w:rsid w:val="0078284F"/>
    <w:rsid w:val="00782E9F"/>
    <w:rsid w:val="007831E9"/>
    <w:rsid w:val="0078553A"/>
    <w:rsid w:val="00785540"/>
    <w:rsid w:val="00785ABC"/>
    <w:rsid w:val="00785B98"/>
    <w:rsid w:val="00785D95"/>
    <w:rsid w:val="00790A3D"/>
    <w:rsid w:val="00792065"/>
    <w:rsid w:val="007924E8"/>
    <w:rsid w:val="00793EEA"/>
    <w:rsid w:val="007975CF"/>
    <w:rsid w:val="00797E17"/>
    <w:rsid w:val="007A0970"/>
    <w:rsid w:val="007A0A59"/>
    <w:rsid w:val="007A174F"/>
    <w:rsid w:val="007A1F61"/>
    <w:rsid w:val="007A3245"/>
    <w:rsid w:val="007A40B3"/>
    <w:rsid w:val="007A539A"/>
    <w:rsid w:val="007A5855"/>
    <w:rsid w:val="007A5FEE"/>
    <w:rsid w:val="007A75BB"/>
    <w:rsid w:val="007B218A"/>
    <w:rsid w:val="007B3127"/>
    <w:rsid w:val="007B391B"/>
    <w:rsid w:val="007B42ED"/>
    <w:rsid w:val="007B4639"/>
    <w:rsid w:val="007B5CA1"/>
    <w:rsid w:val="007B7DAC"/>
    <w:rsid w:val="007C0D11"/>
    <w:rsid w:val="007C0D90"/>
    <w:rsid w:val="007C1301"/>
    <w:rsid w:val="007C1702"/>
    <w:rsid w:val="007C1DF1"/>
    <w:rsid w:val="007C495A"/>
    <w:rsid w:val="007C4968"/>
    <w:rsid w:val="007C5074"/>
    <w:rsid w:val="007C5A90"/>
    <w:rsid w:val="007C5D89"/>
    <w:rsid w:val="007D0380"/>
    <w:rsid w:val="007D4386"/>
    <w:rsid w:val="007D468A"/>
    <w:rsid w:val="007D5DA4"/>
    <w:rsid w:val="007D74F7"/>
    <w:rsid w:val="007E22BD"/>
    <w:rsid w:val="007E53B3"/>
    <w:rsid w:val="007E5956"/>
    <w:rsid w:val="007E605A"/>
    <w:rsid w:val="007E6962"/>
    <w:rsid w:val="007F0831"/>
    <w:rsid w:val="007F27FB"/>
    <w:rsid w:val="007F2DA4"/>
    <w:rsid w:val="007F3B57"/>
    <w:rsid w:val="007F3BCA"/>
    <w:rsid w:val="007F47CB"/>
    <w:rsid w:val="007F49F1"/>
    <w:rsid w:val="007F4E5E"/>
    <w:rsid w:val="007F6E5D"/>
    <w:rsid w:val="007F713A"/>
    <w:rsid w:val="007F78DF"/>
    <w:rsid w:val="007F790A"/>
    <w:rsid w:val="007F7BD2"/>
    <w:rsid w:val="007F7E91"/>
    <w:rsid w:val="00800C8A"/>
    <w:rsid w:val="00801349"/>
    <w:rsid w:val="008015A2"/>
    <w:rsid w:val="00803440"/>
    <w:rsid w:val="008034B2"/>
    <w:rsid w:val="0080440B"/>
    <w:rsid w:val="008063F5"/>
    <w:rsid w:val="00813945"/>
    <w:rsid w:val="00813D38"/>
    <w:rsid w:val="008153E9"/>
    <w:rsid w:val="00815AE5"/>
    <w:rsid w:val="00816F9C"/>
    <w:rsid w:val="008174FD"/>
    <w:rsid w:val="00820ADF"/>
    <w:rsid w:val="00821303"/>
    <w:rsid w:val="00821D43"/>
    <w:rsid w:val="008232EC"/>
    <w:rsid w:val="00823358"/>
    <w:rsid w:val="0082547C"/>
    <w:rsid w:val="00825C36"/>
    <w:rsid w:val="00827FD6"/>
    <w:rsid w:val="00830176"/>
    <w:rsid w:val="008314AD"/>
    <w:rsid w:val="0083194F"/>
    <w:rsid w:val="0083488D"/>
    <w:rsid w:val="00835C99"/>
    <w:rsid w:val="00836503"/>
    <w:rsid w:val="008374B4"/>
    <w:rsid w:val="00841C08"/>
    <w:rsid w:val="0084397D"/>
    <w:rsid w:val="00844051"/>
    <w:rsid w:val="008441B7"/>
    <w:rsid w:val="00845E6A"/>
    <w:rsid w:val="008461D4"/>
    <w:rsid w:val="00847C52"/>
    <w:rsid w:val="008506A5"/>
    <w:rsid w:val="00851086"/>
    <w:rsid w:val="00851B6C"/>
    <w:rsid w:val="00860616"/>
    <w:rsid w:val="00860E41"/>
    <w:rsid w:val="008618A7"/>
    <w:rsid w:val="00861E56"/>
    <w:rsid w:val="00863797"/>
    <w:rsid w:val="008637F4"/>
    <w:rsid w:val="00863A08"/>
    <w:rsid w:val="00863E6D"/>
    <w:rsid w:val="00865B18"/>
    <w:rsid w:val="00866ACB"/>
    <w:rsid w:val="00866DEC"/>
    <w:rsid w:val="00870665"/>
    <w:rsid w:val="008706F3"/>
    <w:rsid w:val="00870AFC"/>
    <w:rsid w:val="00870E6E"/>
    <w:rsid w:val="00871E4E"/>
    <w:rsid w:val="00872103"/>
    <w:rsid w:val="008740FD"/>
    <w:rsid w:val="0087713E"/>
    <w:rsid w:val="008771A3"/>
    <w:rsid w:val="00877348"/>
    <w:rsid w:val="00877B49"/>
    <w:rsid w:val="0088043C"/>
    <w:rsid w:val="008814A3"/>
    <w:rsid w:val="00882535"/>
    <w:rsid w:val="008827CB"/>
    <w:rsid w:val="00883133"/>
    <w:rsid w:val="00883F40"/>
    <w:rsid w:val="008906A5"/>
    <w:rsid w:val="00891838"/>
    <w:rsid w:val="008929E2"/>
    <w:rsid w:val="0089406F"/>
    <w:rsid w:val="00894FCE"/>
    <w:rsid w:val="00895CEA"/>
    <w:rsid w:val="00896369"/>
    <w:rsid w:val="00897FA8"/>
    <w:rsid w:val="008A2812"/>
    <w:rsid w:val="008A2D31"/>
    <w:rsid w:val="008A2DD7"/>
    <w:rsid w:val="008A3E25"/>
    <w:rsid w:val="008A5709"/>
    <w:rsid w:val="008A5DF0"/>
    <w:rsid w:val="008A6047"/>
    <w:rsid w:val="008A6671"/>
    <w:rsid w:val="008A6B2B"/>
    <w:rsid w:val="008A70CA"/>
    <w:rsid w:val="008A7368"/>
    <w:rsid w:val="008B166E"/>
    <w:rsid w:val="008B1696"/>
    <w:rsid w:val="008B20BD"/>
    <w:rsid w:val="008B27F5"/>
    <w:rsid w:val="008B2C32"/>
    <w:rsid w:val="008B2E08"/>
    <w:rsid w:val="008B3E8F"/>
    <w:rsid w:val="008B3F57"/>
    <w:rsid w:val="008B589C"/>
    <w:rsid w:val="008B59EB"/>
    <w:rsid w:val="008B6959"/>
    <w:rsid w:val="008C1FFA"/>
    <w:rsid w:val="008C2F5F"/>
    <w:rsid w:val="008C53AE"/>
    <w:rsid w:val="008C6CD9"/>
    <w:rsid w:val="008D3AF5"/>
    <w:rsid w:val="008D6C5E"/>
    <w:rsid w:val="008D6D48"/>
    <w:rsid w:val="008E0238"/>
    <w:rsid w:val="008E0392"/>
    <w:rsid w:val="008E0BE6"/>
    <w:rsid w:val="008E1D6F"/>
    <w:rsid w:val="008E23D6"/>
    <w:rsid w:val="008E2B89"/>
    <w:rsid w:val="008E307C"/>
    <w:rsid w:val="008E66E9"/>
    <w:rsid w:val="008E6B75"/>
    <w:rsid w:val="008F0313"/>
    <w:rsid w:val="008F3BD0"/>
    <w:rsid w:val="008F3EEA"/>
    <w:rsid w:val="008F46AB"/>
    <w:rsid w:val="008F4AAD"/>
    <w:rsid w:val="008F6C82"/>
    <w:rsid w:val="00901212"/>
    <w:rsid w:val="00901320"/>
    <w:rsid w:val="00901DF6"/>
    <w:rsid w:val="009023D8"/>
    <w:rsid w:val="00902B33"/>
    <w:rsid w:val="00904CC0"/>
    <w:rsid w:val="00907F4C"/>
    <w:rsid w:val="009122C1"/>
    <w:rsid w:val="0091313E"/>
    <w:rsid w:val="009139C5"/>
    <w:rsid w:val="009145F6"/>
    <w:rsid w:val="00915278"/>
    <w:rsid w:val="009166FC"/>
    <w:rsid w:val="009174FF"/>
    <w:rsid w:val="009175F3"/>
    <w:rsid w:val="00920EA3"/>
    <w:rsid w:val="009211F7"/>
    <w:rsid w:val="009215C1"/>
    <w:rsid w:val="00922DC7"/>
    <w:rsid w:val="00922F91"/>
    <w:rsid w:val="00923B14"/>
    <w:rsid w:val="00924660"/>
    <w:rsid w:val="00924865"/>
    <w:rsid w:val="0092643B"/>
    <w:rsid w:val="00926EE1"/>
    <w:rsid w:val="00927E6F"/>
    <w:rsid w:val="00930AB4"/>
    <w:rsid w:val="00930BA0"/>
    <w:rsid w:val="00931093"/>
    <w:rsid w:val="009312CE"/>
    <w:rsid w:val="00932B59"/>
    <w:rsid w:val="009352F4"/>
    <w:rsid w:val="00935DAA"/>
    <w:rsid w:val="0093670E"/>
    <w:rsid w:val="00936D91"/>
    <w:rsid w:val="0094158F"/>
    <w:rsid w:val="00941894"/>
    <w:rsid w:val="00941DD6"/>
    <w:rsid w:val="009428E6"/>
    <w:rsid w:val="009465DE"/>
    <w:rsid w:val="00947359"/>
    <w:rsid w:val="00950086"/>
    <w:rsid w:val="00952904"/>
    <w:rsid w:val="00952A6D"/>
    <w:rsid w:val="00952DD7"/>
    <w:rsid w:val="009536A4"/>
    <w:rsid w:val="00954BE4"/>
    <w:rsid w:val="00955B14"/>
    <w:rsid w:val="00957058"/>
    <w:rsid w:val="00957514"/>
    <w:rsid w:val="009619DF"/>
    <w:rsid w:val="00962235"/>
    <w:rsid w:val="009623F7"/>
    <w:rsid w:val="0096247E"/>
    <w:rsid w:val="00962938"/>
    <w:rsid w:val="00962E9C"/>
    <w:rsid w:val="00963AE1"/>
    <w:rsid w:val="0096595D"/>
    <w:rsid w:val="00966100"/>
    <w:rsid w:val="00966C79"/>
    <w:rsid w:val="009672C9"/>
    <w:rsid w:val="009722B4"/>
    <w:rsid w:val="00972B6E"/>
    <w:rsid w:val="0097327A"/>
    <w:rsid w:val="009766C6"/>
    <w:rsid w:val="00982498"/>
    <w:rsid w:val="00982B58"/>
    <w:rsid w:val="00984D44"/>
    <w:rsid w:val="0098519B"/>
    <w:rsid w:val="009878F9"/>
    <w:rsid w:val="00990CE6"/>
    <w:rsid w:val="00990E56"/>
    <w:rsid w:val="009919E6"/>
    <w:rsid w:val="00991C29"/>
    <w:rsid w:val="00991D4C"/>
    <w:rsid w:val="00991F89"/>
    <w:rsid w:val="00993D09"/>
    <w:rsid w:val="00993FC1"/>
    <w:rsid w:val="00994BAC"/>
    <w:rsid w:val="00995724"/>
    <w:rsid w:val="00996531"/>
    <w:rsid w:val="00996EDF"/>
    <w:rsid w:val="009A131B"/>
    <w:rsid w:val="009A2A39"/>
    <w:rsid w:val="009B0606"/>
    <w:rsid w:val="009B08AC"/>
    <w:rsid w:val="009B1AD6"/>
    <w:rsid w:val="009B28DC"/>
    <w:rsid w:val="009B338D"/>
    <w:rsid w:val="009B39D9"/>
    <w:rsid w:val="009B46DB"/>
    <w:rsid w:val="009B5104"/>
    <w:rsid w:val="009B5805"/>
    <w:rsid w:val="009B5E19"/>
    <w:rsid w:val="009B6C3F"/>
    <w:rsid w:val="009B7DFB"/>
    <w:rsid w:val="009C05ED"/>
    <w:rsid w:val="009C0709"/>
    <w:rsid w:val="009C0A00"/>
    <w:rsid w:val="009C14FA"/>
    <w:rsid w:val="009C2975"/>
    <w:rsid w:val="009C3167"/>
    <w:rsid w:val="009C3E27"/>
    <w:rsid w:val="009C5033"/>
    <w:rsid w:val="009D0285"/>
    <w:rsid w:val="009D0A10"/>
    <w:rsid w:val="009D2599"/>
    <w:rsid w:val="009D25B4"/>
    <w:rsid w:val="009D3D67"/>
    <w:rsid w:val="009D5437"/>
    <w:rsid w:val="009D7380"/>
    <w:rsid w:val="009D73D8"/>
    <w:rsid w:val="009E05F3"/>
    <w:rsid w:val="009E1C64"/>
    <w:rsid w:val="009E21DE"/>
    <w:rsid w:val="009E227D"/>
    <w:rsid w:val="009E2800"/>
    <w:rsid w:val="009E69F6"/>
    <w:rsid w:val="009F005B"/>
    <w:rsid w:val="009F0D06"/>
    <w:rsid w:val="009F0E05"/>
    <w:rsid w:val="009F12C2"/>
    <w:rsid w:val="009F1592"/>
    <w:rsid w:val="009F1E62"/>
    <w:rsid w:val="009F3FCA"/>
    <w:rsid w:val="009F7006"/>
    <w:rsid w:val="009F70BA"/>
    <w:rsid w:val="00A00528"/>
    <w:rsid w:val="00A0055C"/>
    <w:rsid w:val="00A01444"/>
    <w:rsid w:val="00A01DF0"/>
    <w:rsid w:val="00A0235F"/>
    <w:rsid w:val="00A024AE"/>
    <w:rsid w:val="00A02528"/>
    <w:rsid w:val="00A04480"/>
    <w:rsid w:val="00A050E6"/>
    <w:rsid w:val="00A05341"/>
    <w:rsid w:val="00A05CC1"/>
    <w:rsid w:val="00A103CF"/>
    <w:rsid w:val="00A1083D"/>
    <w:rsid w:val="00A10DDF"/>
    <w:rsid w:val="00A131F5"/>
    <w:rsid w:val="00A143BA"/>
    <w:rsid w:val="00A154B9"/>
    <w:rsid w:val="00A165AB"/>
    <w:rsid w:val="00A166CB"/>
    <w:rsid w:val="00A170F3"/>
    <w:rsid w:val="00A17214"/>
    <w:rsid w:val="00A2080E"/>
    <w:rsid w:val="00A20945"/>
    <w:rsid w:val="00A20BED"/>
    <w:rsid w:val="00A22350"/>
    <w:rsid w:val="00A22459"/>
    <w:rsid w:val="00A233A7"/>
    <w:rsid w:val="00A243AA"/>
    <w:rsid w:val="00A27FB9"/>
    <w:rsid w:val="00A3054B"/>
    <w:rsid w:val="00A309D7"/>
    <w:rsid w:val="00A31031"/>
    <w:rsid w:val="00A32255"/>
    <w:rsid w:val="00A32EEC"/>
    <w:rsid w:val="00A33037"/>
    <w:rsid w:val="00A3415D"/>
    <w:rsid w:val="00A34DAB"/>
    <w:rsid w:val="00A34DF3"/>
    <w:rsid w:val="00A36124"/>
    <w:rsid w:val="00A41022"/>
    <w:rsid w:val="00A41BD3"/>
    <w:rsid w:val="00A42BF3"/>
    <w:rsid w:val="00A452A0"/>
    <w:rsid w:val="00A45DB7"/>
    <w:rsid w:val="00A45DE9"/>
    <w:rsid w:val="00A476AD"/>
    <w:rsid w:val="00A50040"/>
    <w:rsid w:val="00A50A7F"/>
    <w:rsid w:val="00A54672"/>
    <w:rsid w:val="00A566D1"/>
    <w:rsid w:val="00A567BC"/>
    <w:rsid w:val="00A56831"/>
    <w:rsid w:val="00A56930"/>
    <w:rsid w:val="00A6032A"/>
    <w:rsid w:val="00A603A9"/>
    <w:rsid w:val="00A61A06"/>
    <w:rsid w:val="00A6569D"/>
    <w:rsid w:val="00A70877"/>
    <w:rsid w:val="00A71297"/>
    <w:rsid w:val="00A71C34"/>
    <w:rsid w:val="00A72B98"/>
    <w:rsid w:val="00A73A76"/>
    <w:rsid w:val="00A73CFB"/>
    <w:rsid w:val="00A743E8"/>
    <w:rsid w:val="00A74B44"/>
    <w:rsid w:val="00A7708A"/>
    <w:rsid w:val="00A773EB"/>
    <w:rsid w:val="00A776C7"/>
    <w:rsid w:val="00A77964"/>
    <w:rsid w:val="00A80BB7"/>
    <w:rsid w:val="00A81523"/>
    <w:rsid w:val="00A84F2B"/>
    <w:rsid w:val="00A85333"/>
    <w:rsid w:val="00A8543F"/>
    <w:rsid w:val="00A856FD"/>
    <w:rsid w:val="00A85DA4"/>
    <w:rsid w:val="00A86DF0"/>
    <w:rsid w:val="00A86E96"/>
    <w:rsid w:val="00A8719B"/>
    <w:rsid w:val="00A936AE"/>
    <w:rsid w:val="00A93F36"/>
    <w:rsid w:val="00A95FB9"/>
    <w:rsid w:val="00A96733"/>
    <w:rsid w:val="00A978A5"/>
    <w:rsid w:val="00AA09A8"/>
    <w:rsid w:val="00AA3262"/>
    <w:rsid w:val="00AA4445"/>
    <w:rsid w:val="00AB15A0"/>
    <w:rsid w:val="00AB28D5"/>
    <w:rsid w:val="00AB3B71"/>
    <w:rsid w:val="00AB61EB"/>
    <w:rsid w:val="00AB63C3"/>
    <w:rsid w:val="00AB7811"/>
    <w:rsid w:val="00AC5331"/>
    <w:rsid w:val="00AC54E4"/>
    <w:rsid w:val="00AC6057"/>
    <w:rsid w:val="00AC795D"/>
    <w:rsid w:val="00AD20CB"/>
    <w:rsid w:val="00AD2374"/>
    <w:rsid w:val="00AD3949"/>
    <w:rsid w:val="00AD4127"/>
    <w:rsid w:val="00AD5253"/>
    <w:rsid w:val="00AD6334"/>
    <w:rsid w:val="00AD687F"/>
    <w:rsid w:val="00AE05D3"/>
    <w:rsid w:val="00AE12AB"/>
    <w:rsid w:val="00AE1A9B"/>
    <w:rsid w:val="00AE2A4B"/>
    <w:rsid w:val="00AE2F7E"/>
    <w:rsid w:val="00AE3AF9"/>
    <w:rsid w:val="00AE3D46"/>
    <w:rsid w:val="00AE48B4"/>
    <w:rsid w:val="00AE4A24"/>
    <w:rsid w:val="00AE50EE"/>
    <w:rsid w:val="00AE5D7F"/>
    <w:rsid w:val="00AE6801"/>
    <w:rsid w:val="00AE6A9E"/>
    <w:rsid w:val="00AE6AA8"/>
    <w:rsid w:val="00AE6F69"/>
    <w:rsid w:val="00AF0717"/>
    <w:rsid w:val="00AF08D0"/>
    <w:rsid w:val="00AF3628"/>
    <w:rsid w:val="00AF3D4B"/>
    <w:rsid w:val="00AF5FB1"/>
    <w:rsid w:val="00AF682F"/>
    <w:rsid w:val="00B02183"/>
    <w:rsid w:val="00B03BBF"/>
    <w:rsid w:val="00B0658F"/>
    <w:rsid w:val="00B10842"/>
    <w:rsid w:val="00B1127F"/>
    <w:rsid w:val="00B11E68"/>
    <w:rsid w:val="00B1353D"/>
    <w:rsid w:val="00B14185"/>
    <w:rsid w:val="00B16AD2"/>
    <w:rsid w:val="00B16F62"/>
    <w:rsid w:val="00B1795A"/>
    <w:rsid w:val="00B20954"/>
    <w:rsid w:val="00B20E65"/>
    <w:rsid w:val="00B21CC7"/>
    <w:rsid w:val="00B21F2E"/>
    <w:rsid w:val="00B2355A"/>
    <w:rsid w:val="00B24003"/>
    <w:rsid w:val="00B24C04"/>
    <w:rsid w:val="00B250B1"/>
    <w:rsid w:val="00B2542E"/>
    <w:rsid w:val="00B308EA"/>
    <w:rsid w:val="00B341C8"/>
    <w:rsid w:val="00B35BA6"/>
    <w:rsid w:val="00B3622D"/>
    <w:rsid w:val="00B36328"/>
    <w:rsid w:val="00B366CE"/>
    <w:rsid w:val="00B40635"/>
    <w:rsid w:val="00B40B72"/>
    <w:rsid w:val="00B413BD"/>
    <w:rsid w:val="00B41480"/>
    <w:rsid w:val="00B42C81"/>
    <w:rsid w:val="00B4391D"/>
    <w:rsid w:val="00B439CC"/>
    <w:rsid w:val="00B43EA3"/>
    <w:rsid w:val="00B4490B"/>
    <w:rsid w:val="00B44F40"/>
    <w:rsid w:val="00B45045"/>
    <w:rsid w:val="00B45CBA"/>
    <w:rsid w:val="00B46BB0"/>
    <w:rsid w:val="00B46C34"/>
    <w:rsid w:val="00B513D9"/>
    <w:rsid w:val="00B51919"/>
    <w:rsid w:val="00B51BC6"/>
    <w:rsid w:val="00B52EA2"/>
    <w:rsid w:val="00B539D8"/>
    <w:rsid w:val="00B552A5"/>
    <w:rsid w:val="00B552DA"/>
    <w:rsid w:val="00B56DF0"/>
    <w:rsid w:val="00B60C99"/>
    <w:rsid w:val="00B6149C"/>
    <w:rsid w:val="00B6281B"/>
    <w:rsid w:val="00B639BA"/>
    <w:rsid w:val="00B646AE"/>
    <w:rsid w:val="00B646B2"/>
    <w:rsid w:val="00B6621F"/>
    <w:rsid w:val="00B663F9"/>
    <w:rsid w:val="00B66FA3"/>
    <w:rsid w:val="00B67E12"/>
    <w:rsid w:val="00B71139"/>
    <w:rsid w:val="00B7343D"/>
    <w:rsid w:val="00B739CB"/>
    <w:rsid w:val="00B75FD6"/>
    <w:rsid w:val="00B83DC2"/>
    <w:rsid w:val="00B8581E"/>
    <w:rsid w:val="00B858BD"/>
    <w:rsid w:val="00B85DE6"/>
    <w:rsid w:val="00B86005"/>
    <w:rsid w:val="00B86ADB"/>
    <w:rsid w:val="00B8795D"/>
    <w:rsid w:val="00B87B33"/>
    <w:rsid w:val="00B92EC3"/>
    <w:rsid w:val="00B938A8"/>
    <w:rsid w:val="00B93DDA"/>
    <w:rsid w:val="00B94462"/>
    <w:rsid w:val="00B94A78"/>
    <w:rsid w:val="00B94ADD"/>
    <w:rsid w:val="00B95522"/>
    <w:rsid w:val="00B96216"/>
    <w:rsid w:val="00B979F0"/>
    <w:rsid w:val="00BA0979"/>
    <w:rsid w:val="00BA0BB9"/>
    <w:rsid w:val="00BA0C57"/>
    <w:rsid w:val="00BA0D4C"/>
    <w:rsid w:val="00BA285B"/>
    <w:rsid w:val="00BA2A27"/>
    <w:rsid w:val="00BA35EC"/>
    <w:rsid w:val="00BA5462"/>
    <w:rsid w:val="00BA685F"/>
    <w:rsid w:val="00BA6A61"/>
    <w:rsid w:val="00BA6FAD"/>
    <w:rsid w:val="00BA7B8B"/>
    <w:rsid w:val="00BB203F"/>
    <w:rsid w:val="00BB2463"/>
    <w:rsid w:val="00BB4604"/>
    <w:rsid w:val="00BB5D6C"/>
    <w:rsid w:val="00BB5FF1"/>
    <w:rsid w:val="00BB640D"/>
    <w:rsid w:val="00BC0762"/>
    <w:rsid w:val="00BC152D"/>
    <w:rsid w:val="00BC3221"/>
    <w:rsid w:val="00BC4D59"/>
    <w:rsid w:val="00BC6FA2"/>
    <w:rsid w:val="00BD051E"/>
    <w:rsid w:val="00BD0981"/>
    <w:rsid w:val="00BD0EEA"/>
    <w:rsid w:val="00BD1066"/>
    <w:rsid w:val="00BD1805"/>
    <w:rsid w:val="00BD1B78"/>
    <w:rsid w:val="00BD1C9A"/>
    <w:rsid w:val="00BD23ED"/>
    <w:rsid w:val="00BD34CA"/>
    <w:rsid w:val="00BD3F25"/>
    <w:rsid w:val="00BD5372"/>
    <w:rsid w:val="00BD57A7"/>
    <w:rsid w:val="00BD6D3D"/>
    <w:rsid w:val="00BD7F5A"/>
    <w:rsid w:val="00BE0AC6"/>
    <w:rsid w:val="00BE17A6"/>
    <w:rsid w:val="00BE1868"/>
    <w:rsid w:val="00BE60F9"/>
    <w:rsid w:val="00BE6CBA"/>
    <w:rsid w:val="00BE75A0"/>
    <w:rsid w:val="00BE7627"/>
    <w:rsid w:val="00BE78AD"/>
    <w:rsid w:val="00BE7FB3"/>
    <w:rsid w:val="00BF092A"/>
    <w:rsid w:val="00BF09E5"/>
    <w:rsid w:val="00BF10F3"/>
    <w:rsid w:val="00BF1ACF"/>
    <w:rsid w:val="00BF359D"/>
    <w:rsid w:val="00BF3F8B"/>
    <w:rsid w:val="00BF50D5"/>
    <w:rsid w:val="00BF6AA9"/>
    <w:rsid w:val="00BF6EAB"/>
    <w:rsid w:val="00C001AA"/>
    <w:rsid w:val="00C02248"/>
    <w:rsid w:val="00C03B94"/>
    <w:rsid w:val="00C04A47"/>
    <w:rsid w:val="00C06BCF"/>
    <w:rsid w:val="00C06D78"/>
    <w:rsid w:val="00C07194"/>
    <w:rsid w:val="00C0733D"/>
    <w:rsid w:val="00C12605"/>
    <w:rsid w:val="00C127CF"/>
    <w:rsid w:val="00C12AC3"/>
    <w:rsid w:val="00C1362C"/>
    <w:rsid w:val="00C14CAB"/>
    <w:rsid w:val="00C15638"/>
    <w:rsid w:val="00C21DE6"/>
    <w:rsid w:val="00C22739"/>
    <w:rsid w:val="00C2309B"/>
    <w:rsid w:val="00C234A7"/>
    <w:rsid w:val="00C24B38"/>
    <w:rsid w:val="00C25BC0"/>
    <w:rsid w:val="00C276D5"/>
    <w:rsid w:val="00C300B6"/>
    <w:rsid w:val="00C32E34"/>
    <w:rsid w:val="00C34A8C"/>
    <w:rsid w:val="00C37BD5"/>
    <w:rsid w:val="00C40582"/>
    <w:rsid w:val="00C40B02"/>
    <w:rsid w:val="00C41E5A"/>
    <w:rsid w:val="00C4256C"/>
    <w:rsid w:val="00C43697"/>
    <w:rsid w:val="00C439AF"/>
    <w:rsid w:val="00C4631C"/>
    <w:rsid w:val="00C473F8"/>
    <w:rsid w:val="00C4746F"/>
    <w:rsid w:val="00C5112B"/>
    <w:rsid w:val="00C52029"/>
    <w:rsid w:val="00C521BF"/>
    <w:rsid w:val="00C52C82"/>
    <w:rsid w:val="00C533FE"/>
    <w:rsid w:val="00C5559E"/>
    <w:rsid w:val="00C56A14"/>
    <w:rsid w:val="00C56CAF"/>
    <w:rsid w:val="00C57614"/>
    <w:rsid w:val="00C6162C"/>
    <w:rsid w:val="00C62AEF"/>
    <w:rsid w:val="00C64096"/>
    <w:rsid w:val="00C65A47"/>
    <w:rsid w:val="00C65B76"/>
    <w:rsid w:val="00C678D7"/>
    <w:rsid w:val="00C70919"/>
    <w:rsid w:val="00C72948"/>
    <w:rsid w:val="00C73660"/>
    <w:rsid w:val="00C7432B"/>
    <w:rsid w:val="00C7479A"/>
    <w:rsid w:val="00C748DA"/>
    <w:rsid w:val="00C76D65"/>
    <w:rsid w:val="00C80966"/>
    <w:rsid w:val="00C81389"/>
    <w:rsid w:val="00C81ED9"/>
    <w:rsid w:val="00C82801"/>
    <w:rsid w:val="00C83963"/>
    <w:rsid w:val="00C87944"/>
    <w:rsid w:val="00C9030B"/>
    <w:rsid w:val="00C91D93"/>
    <w:rsid w:val="00C91E3C"/>
    <w:rsid w:val="00C9291A"/>
    <w:rsid w:val="00C94500"/>
    <w:rsid w:val="00C95AD9"/>
    <w:rsid w:val="00C95FED"/>
    <w:rsid w:val="00C97374"/>
    <w:rsid w:val="00C97FB9"/>
    <w:rsid w:val="00CA0A1B"/>
    <w:rsid w:val="00CA14C9"/>
    <w:rsid w:val="00CA25D7"/>
    <w:rsid w:val="00CA26E2"/>
    <w:rsid w:val="00CA277F"/>
    <w:rsid w:val="00CA2ED1"/>
    <w:rsid w:val="00CA31AB"/>
    <w:rsid w:val="00CA3B60"/>
    <w:rsid w:val="00CA41C2"/>
    <w:rsid w:val="00CA49BE"/>
    <w:rsid w:val="00CA5007"/>
    <w:rsid w:val="00CA5053"/>
    <w:rsid w:val="00CB1584"/>
    <w:rsid w:val="00CB1C79"/>
    <w:rsid w:val="00CB55FF"/>
    <w:rsid w:val="00CB5DB2"/>
    <w:rsid w:val="00CB62BB"/>
    <w:rsid w:val="00CB6C61"/>
    <w:rsid w:val="00CC07A6"/>
    <w:rsid w:val="00CC0C1D"/>
    <w:rsid w:val="00CC0CD3"/>
    <w:rsid w:val="00CC15AB"/>
    <w:rsid w:val="00CC5564"/>
    <w:rsid w:val="00CC5FDC"/>
    <w:rsid w:val="00CC64C5"/>
    <w:rsid w:val="00CD0B1D"/>
    <w:rsid w:val="00CD25CD"/>
    <w:rsid w:val="00CD34F3"/>
    <w:rsid w:val="00CD378D"/>
    <w:rsid w:val="00CD3F7C"/>
    <w:rsid w:val="00CD538F"/>
    <w:rsid w:val="00CD61C8"/>
    <w:rsid w:val="00CE21A2"/>
    <w:rsid w:val="00CE3FC1"/>
    <w:rsid w:val="00CE560A"/>
    <w:rsid w:val="00CF17AB"/>
    <w:rsid w:val="00CF19D1"/>
    <w:rsid w:val="00CF1A11"/>
    <w:rsid w:val="00CF2889"/>
    <w:rsid w:val="00CF3519"/>
    <w:rsid w:val="00CF3FBA"/>
    <w:rsid w:val="00D009F3"/>
    <w:rsid w:val="00D02674"/>
    <w:rsid w:val="00D02C98"/>
    <w:rsid w:val="00D04585"/>
    <w:rsid w:val="00D060A1"/>
    <w:rsid w:val="00D06CE3"/>
    <w:rsid w:val="00D10A5A"/>
    <w:rsid w:val="00D11B02"/>
    <w:rsid w:val="00D122DC"/>
    <w:rsid w:val="00D1270E"/>
    <w:rsid w:val="00D140D6"/>
    <w:rsid w:val="00D15A6C"/>
    <w:rsid w:val="00D15ADD"/>
    <w:rsid w:val="00D16AC3"/>
    <w:rsid w:val="00D21437"/>
    <w:rsid w:val="00D214CF"/>
    <w:rsid w:val="00D22C40"/>
    <w:rsid w:val="00D22CDB"/>
    <w:rsid w:val="00D23762"/>
    <w:rsid w:val="00D23AA2"/>
    <w:rsid w:val="00D23E50"/>
    <w:rsid w:val="00D23E5F"/>
    <w:rsid w:val="00D24208"/>
    <w:rsid w:val="00D24EC0"/>
    <w:rsid w:val="00D32048"/>
    <w:rsid w:val="00D32F8E"/>
    <w:rsid w:val="00D33DAB"/>
    <w:rsid w:val="00D34069"/>
    <w:rsid w:val="00D3422D"/>
    <w:rsid w:val="00D34C45"/>
    <w:rsid w:val="00D35E22"/>
    <w:rsid w:val="00D36675"/>
    <w:rsid w:val="00D36C54"/>
    <w:rsid w:val="00D36D8A"/>
    <w:rsid w:val="00D37211"/>
    <w:rsid w:val="00D37F84"/>
    <w:rsid w:val="00D40252"/>
    <w:rsid w:val="00D408ED"/>
    <w:rsid w:val="00D40ABE"/>
    <w:rsid w:val="00D41D76"/>
    <w:rsid w:val="00D4331B"/>
    <w:rsid w:val="00D4336C"/>
    <w:rsid w:val="00D442BF"/>
    <w:rsid w:val="00D472CA"/>
    <w:rsid w:val="00D47659"/>
    <w:rsid w:val="00D4770B"/>
    <w:rsid w:val="00D47C92"/>
    <w:rsid w:val="00D50DBA"/>
    <w:rsid w:val="00D531CC"/>
    <w:rsid w:val="00D53425"/>
    <w:rsid w:val="00D539E0"/>
    <w:rsid w:val="00D55E12"/>
    <w:rsid w:val="00D57E18"/>
    <w:rsid w:val="00D60C80"/>
    <w:rsid w:val="00D60C81"/>
    <w:rsid w:val="00D6133D"/>
    <w:rsid w:val="00D61B7B"/>
    <w:rsid w:val="00D61E56"/>
    <w:rsid w:val="00D63575"/>
    <w:rsid w:val="00D649D9"/>
    <w:rsid w:val="00D660C5"/>
    <w:rsid w:val="00D70DCD"/>
    <w:rsid w:val="00D714FC"/>
    <w:rsid w:val="00D7383A"/>
    <w:rsid w:val="00D73DC0"/>
    <w:rsid w:val="00D74676"/>
    <w:rsid w:val="00D80113"/>
    <w:rsid w:val="00D80C54"/>
    <w:rsid w:val="00D81BD3"/>
    <w:rsid w:val="00D81E63"/>
    <w:rsid w:val="00D839C2"/>
    <w:rsid w:val="00D83FB3"/>
    <w:rsid w:val="00D846C6"/>
    <w:rsid w:val="00D86188"/>
    <w:rsid w:val="00D8764C"/>
    <w:rsid w:val="00D87807"/>
    <w:rsid w:val="00D93805"/>
    <w:rsid w:val="00D93E90"/>
    <w:rsid w:val="00D94298"/>
    <w:rsid w:val="00D9486E"/>
    <w:rsid w:val="00D95BA9"/>
    <w:rsid w:val="00D96817"/>
    <w:rsid w:val="00D96D29"/>
    <w:rsid w:val="00D96D80"/>
    <w:rsid w:val="00DA1535"/>
    <w:rsid w:val="00DA5982"/>
    <w:rsid w:val="00DA7527"/>
    <w:rsid w:val="00DB132B"/>
    <w:rsid w:val="00DB301C"/>
    <w:rsid w:val="00DB4264"/>
    <w:rsid w:val="00DB4F4B"/>
    <w:rsid w:val="00DB63A9"/>
    <w:rsid w:val="00DB7C0B"/>
    <w:rsid w:val="00DC1C59"/>
    <w:rsid w:val="00DC33D0"/>
    <w:rsid w:val="00DC46BA"/>
    <w:rsid w:val="00DC4953"/>
    <w:rsid w:val="00DC5311"/>
    <w:rsid w:val="00DD3E17"/>
    <w:rsid w:val="00DD63D1"/>
    <w:rsid w:val="00DD76E5"/>
    <w:rsid w:val="00DD78BF"/>
    <w:rsid w:val="00DE0A7B"/>
    <w:rsid w:val="00DE0C73"/>
    <w:rsid w:val="00DE1400"/>
    <w:rsid w:val="00DE19C0"/>
    <w:rsid w:val="00DE2132"/>
    <w:rsid w:val="00DE226B"/>
    <w:rsid w:val="00DE257C"/>
    <w:rsid w:val="00DE3123"/>
    <w:rsid w:val="00DE3960"/>
    <w:rsid w:val="00DE42C1"/>
    <w:rsid w:val="00DE48FC"/>
    <w:rsid w:val="00DE5D1F"/>
    <w:rsid w:val="00DE66EA"/>
    <w:rsid w:val="00DE786C"/>
    <w:rsid w:val="00DE7A4E"/>
    <w:rsid w:val="00DF1438"/>
    <w:rsid w:val="00DF218A"/>
    <w:rsid w:val="00DF2515"/>
    <w:rsid w:val="00DF4436"/>
    <w:rsid w:val="00DF4B2E"/>
    <w:rsid w:val="00DF5324"/>
    <w:rsid w:val="00DF572D"/>
    <w:rsid w:val="00DF5B04"/>
    <w:rsid w:val="00DF7637"/>
    <w:rsid w:val="00DF76F0"/>
    <w:rsid w:val="00DF7D70"/>
    <w:rsid w:val="00E01A56"/>
    <w:rsid w:val="00E01B9C"/>
    <w:rsid w:val="00E032CE"/>
    <w:rsid w:val="00E03B35"/>
    <w:rsid w:val="00E03DE9"/>
    <w:rsid w:val="00E04A42"/>
    <w:rsid w:val="00E04F94"/>
    <w:rsid w:val="00E0620A"/>
    <w:rsid w:val="00E06801"/>
    <w:rsid w:val="00E06815"/>
    <w:rsid w:val="00E071CC"/>
    <w:rsid w:val="00E07214"/>
    <w:rsid w:val="00E07D7A"/>
    <w:rsid w:val="00E103D4"/>
    <w:rsid w:val="00E10A3B"/>
    <w:rsid w:val="00E12E0E"/>
    <w:rsid w:val="00E159BA"/>
    <w:rsid w:val="00E169C2"/>
    <w:rsid w:val="00E1770A"/>
    <w:rsid w:val="00E2008B"/>
    <w:rsid w:val="00E2351D"/>
    <w:rsid w:val="00E23649"/>
    <w:rsid w:val="00E25059"/>
    <w:rsid w:val="00E26503"/>
    <w:rsid w:val="00E269D4"/>
    <w:rsid w:val="00E30955"/>
    <w:rsid w:val="00E3121F"/>
    <w:rsid w:val="00E32919"/>
    <w:rsid w:val="00E337C0"/>
    <w:rsid w:val="00E3394E"/>
    <w:rsid w:val="00E35187"/>
    <w:rsid w:val="00E35573"/>
    <w:rsid w:val="00E35768"/>
    <w:rsid w:val="00E367E1"/>
    <w:rsid w:val="00E3716E"/>
    <w:rsid w:val="00E37C0E"/>
    <w:rsid w:val="00E40101"/>
    <w:rsid w:val="00E41115"/>
    <w:rsid w:val="00E41171"/>
    <w:rsid w:val="00E41AC4"/>
    <w:rsid w:val="00E430A7"/>
    <w:rsid w:val="00E434B4"/>
    <w:rsid w:val="00E46502"/>
    <w:rsid w:val="00E51331"/>
    <w:rsid w:val="00E5166D"/>
    <w:rsid w:val="00E51B03"/>
    <w:rsid w:val="00E52557"/>
    <w:rsid w:val="00E542F4"/>
    <w:rsid w:val="00E55B58"/>
    <w:rsid w:val="00E57559"/>
    <w:rsid w:val="00E57930"/>
    <w:rsid w:val="00E5794A"/>
    <w:rsid w:val="00E602DB"/>
    <w:rsid w:val="00E613EA"/>
    <w:rsid w:val="00E64604"/>
    <w:rsid w:val="00E64AE1"/>
    <w:rsid w:val="00E64D64"/>
    <w:rsid w:val="00E65B5A"/>
    <w:rsid w:val="00E6694B"/>
    <w:rsid w:val="00E7089E"/>
    <w:rsid w:val="00E72259"/>
    <w:rsid w:val="00E72C10"/>
    <w:rsid w:val="00E73C72"/>
    <w:rsid w:val="00E76581"/>
    <w:rsid w:val="00E77390"/>
    <w:rsid w:val="00E820CE"/>
    <w:rsid w:val="00E820EF"/>
    <w:rsid w:val="00E839B1"/>
    <w:rsid w:val="00E855C7"/>
    <w:rsid w:val="00E85708"/>
    <w:rsid w:val="00E85A1A"/>
    <w:rsid w:val="00E85C01"/>
    <w:rsid w:val="00E86970"/>
    <w:rsid w:val="00E86DA8"/>
    <w:rsid w:val="00E87531"/>
    <w:rsid w:val="00E90268"/>
    <w:rsid w:val="00E915AE"/>
    <w:rsid w:val="00E92E5D"/>
    <w:rsid w:val="00E94106"/>
    <w:rsid w:val="00E96344"/>
    <w:rsid w:val="00E96BE0"/>
    <w:rsid w:val="00E97673"/>
    <w:rsid w:val="00E977C9"/>
    <w:rsid w:val="00EA1C53"/>
    <w:rsid w:val="00EA2E2F"/>
    <w:rsid w:val="00EA3E6E"/>
    <w:rsid w:val="00EA41C7"/>
    <w:rsid w:val="00EA4E24"/>
    <w:rsid w:val="00EA58C8"/>
    <w:rsid w:val="00EA5B7E"/>
    <w:rsid w:val="00EB2006"/>
    <w:rsid w:val="00EB31E6"/>
    <w:rsid w:val="00EB37D8"/>
    <w:rsid w:val="00EB48AA"/>
    <w:rsid w:val="00EB4FB6"/>
    <w:rsid w:val="00EB6BA0"/>
    <w:rsid w:val="00EB7161"/>
    <w:rsid w:val="00EB74C7"/>
    <w:rsid w:val="00EB76E2"/>
    <w:rsid w:val="00EC064B"/>
    <w:rsid w:val="00EC17E8"/>
    <w:rsid w:val="00EC20E8"/>
    <w:rsid w:val="00EC38BB"/>
    <w:rsid w:val="00EC5823"/>
    <w:rsid w:val="00EC64C7"/>
    <w:rsid w:val="00EC764F"/>
    <w:rsid w:val="00ED07EA"/>
    <w:rsid w:val="00ED1A8F"/>
    <w:rsid w:val="00ED40EA"/>
    <w:rsid w:val="00ED61C5"/>
    <w:rsid w:val="00ED6ACC"/>
    <w:rsid w:val="00ED7E6C"/>
    <w:rsid w:val="00EE1DA9"/>
    <w:rsid w:val="00EE1FF8"/>
    <w:rsid w:val="00EE3716"/>
    <w:rsid w:val="00EE448B"/>
    <w:rsid w:val="00EE459A"/>
    <w:rsid w:val="00EE478C"/>
    <w:rsid w:val="00EE4D30"/>
    <w:rsid w:val="00EE64DB"/>
    <w:rsid w:val="00EE6C8E"/>
    <w:rsid w:val="00EE793B"/>
    <w:rsid w:val="00EF05D6"/>
    <w:rsid w:val="00EF09E1"/>
    <w:rsid w:val="00EF10D7"/>
    <w:rsid w:val="00EF23F2"/>
    <w:rsid w:val="00EF26F6"/>
    <w:rsid w:val="00EF34F6"/>
    <w:rsid w:val="00EF413B"/>
    <w:rsid w:val="00EF4F05"/>
    <w:rsid w:val="00EF58F0"/>
    <w:rsid w:val="00EF700E"/>
    <w:rsid w:val="00EF7039"/>
    <w:rsid w:val="00EF73FD"/>
    <w:rsid w:val="00F00754"/>
    <w:rsid w:val="00F014A1"/>
    <w:rsid w:val="00F03DB4"/>
    <w:rsid w:val="00F06330"/>
    <w:rsid w:val="00F102EA"/>
    <w:rsid w:val="00F10EE9"/>
    <w:rsid w:val="00F12119"/>
    <w:rsid w:val="00F12228"/>
    <w:rsid w:val="00F12528"/>
    <w:rsid w:val="00F12D36"/>
    <w:rsid w:val="00F157A4"/>
    <w:rsid w:val="00F16C45"/>
    <w:rsid w:val="00F21588"/>
    <w:rsid w:val="00F218B0"/>
    <w:rsid w:val="00F242C2"/>
    <w:rsid w:val="00F25EEA"/>
    <w:rsid w:val="00F263EA"/>
    <w:rsid w:val="00F26693"/>
    <w:rsid w:val="00F26EF3"/>
    <w:rsid w:val="00F30337"/>
    <w:rsid w:val="00F3083B"/>
    <w:rsid w:val="00F314EE"/>
    <w:rsid w:val="00F3329F"/>
    <w:rsid w:val="00F33305"/>
    <w:rsid w:val="00F33E53"/>
    <w:rsid w:val="00F34187"/>
    <w:rsid w:val="00F34425"/>
    <w:rsid w:val="00F34F11"/>
    <w:rsid w:val="00F34F2B"/>
    <w:rsid w:val="00F35099"/>
    <w:rsid w:val="00F37217"/>
    <w:rsid w:val="00F40019"/>
    <w:rsid w:val="00F408A2"/>
    <w:rsid w:val="00F41F9E"/>
    <w:rsid w:val="00F43ED9"/>
    <w:rsid w:val="00F43FA3"/>
    <w:rsid w:val="00F44002"/>
    <w:rsid w:val="00F46B03"/>
    <w:rsid w:val="00F51F48"/>
    <w:rsid w:val="00F527B0"/>
    <w:rsid w:val="00F53578"/>
    <w:rsid w:val="00F535B7"/>
    <w:rsid w:val="00F53874"/>
    <w:rsid w:val="00F53F33"/>
    <w:rsid w:val="00F542B4"/>
    <w:rsid w:val="00F5581A"/>
    <w:rsid w:val="00F55E77"/>
    <w:rsid w:val="00F56266"/>
    <w:rsid w:val="00F60063"/>
    <w:rsid w:val="00F6071B"/>
    <w:rsid w:val="00F615B7"/>
    <w:rsid w:val="00F61A1D"/>
    <w:rsid w:val="00F63308"/>
    <w:rsid w:val="00F64127"/>
    <w:rsid w:val="00F6451A"/>
    <w:rsid w:val="00F6452D"/>
    <w:rsid w:val="00F719D3"/>
    <w:rsid w:val="00F71B4C"/>
    <w:rsid w:val="00F726DA"/>
    <w:rsid w:val="00F73840"/>
    <w:rsid w:val="00F75E26"/>
    <w:rsid w:val="00F7679C"/>
    <w:rsid w:val="00F7735E"/>
    <w:rsid w:val="00F8159C"/>
    <w:rsid w:val="00F819CE"/>
    <w:rsid w:val="00F81C59"/>
    <w:rsid w:val="00F83AE9"/>
    <w:rsid w:val="00F83D53"/>
    <w:rsid w:val="00F83E49"/>
    <w:rsid w:val="00F8614A"/>
    <w:rsid w:val="00F86669"/>
    <w:rsid w:val="00F9150A"/>
    <w:rsid w:val="00F917E6"/>
    <w:rsid w:val="00F93702"/>
    <w:rsid w:val="00FA056D"/>
    <w:rsid w:val="00FA070E"/>
    <w:rsid w:val="00FA3B92"/>
    <w:rsid w:val="00FA57E6"/>
    <w:rsid w:val="00FA5A5E"/>
    <w:rsid w:val="00FA6CC2"/>
    <w:rsid w:val="00FA7B94"/>
    <w:rsid w:val="00FA7D67"/>
    <w:rsid w:val="00FB30E6"/>
    <w:rsid w:val="00FB319A"/>
    <w:rsid w:val="00FB37AD"/>
    <w:rsid w:val="00FB41BA"/>
    <w:rsid w:val="00FB51B6"/>
    <w:rsid w:val="00FB52B2"/>
    <w:rsid w:val="00FB59B7"/>
    <w:rsid w:val="00FB6A25"/>
    <w:rsid w:val="00FB76EB"/>
    <w:rsid w:val="00FB7C72"/>
    <w:rsid w:val="00FC012C"/>
    <w:rsid w:val="00FC0D6B"/>
    <w:rsid w:val="00FC1142"/>
    <w:rsid w:val="00FC1442"/>
    <w:rsid w:val="00FC1D3B"/>
    <w:rsid w:val="00FC2125"/>
    <w:rsid w:val="00FC22EA"/>
    <w:rsid w:val="00FC6295"/>
    <w:rsid w:val="00FD077F"/>
    <w:rsid w:val="00FD0BBE"/>
    <w:rsid w:val="00FD133F"/>
    <w:rsid w:val="00FD17D6"/>
    <w:rsid w:val="00FD7929"/>
    <w:rsid w:val="00FD7C05"/>
    <w:rsid w:val="00FE0423"/>
    <w:rsid w:val="00FE057F"/>
    <w:rsid w:val="00FE3FB8"/>
    <w:rsid w:val="00FE4928"/>
    <w:rsid w:val="00FE4F1D"/>
    <w:rsid w:val="00FE5E7A"/>
    <w:rsid w:val="00FE5FDB"/>
    <w:rsid w:val="00FE666D"/>
    <w:rsid w:val="00FE6682"/>
    <w:rsid w:val="00FE6C7E"/>
    <w:rsid w:val="00FF1357"/>
    <w:rsid w:val="00FF3E0A"/>
    <w:rsid w:val="00FF5AA5"/>
    <w:rsid w:val="00FF79ED"/>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A3AA1"/>
  <w15:docId w15:val="{302D1057-1C98-443C-9040-A9E47BBF4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50F"/>
    <w:rPr>
      <w:rFonts w:ascii="Times New Roman" w:hAnsi="Times New Roman"/>
    </w:rPr>
  </w:style>
  <w:style w:type="paragraph" w:styleId="Titre1">
    <w:name w:val="heading 1"/>
    <w:basedOn w:val="Normal"/>
    <w:next w:val="Normal"/>
    <w:link w:val="Titre1Car"/>
    <w:uiPriority w:val="9"/>
    <w:qFormat/>
    <w:rsid w:val="0005550F"/>
    <w:pPr>
      <w:keepNext/>
      <w:keepLines/>
      <w:spacing w:before="240" w:after="0"/>
      <w:outlineLvl w:val="0"/>
    </w:pPr>
    <w:rPr>
      <w:rFonts w:eastAsiaTheme="majorEastAsia" w:cstheme="majorBidi"/>
      <w:b/>
      <w:sz w:val="32"/>
      <w:szCs w:val="32"/>
    </w:rPr>
  </w:style>
  <w:style w:type="paragraph" w:styleId="Titre2">
    <w:name w:val="heading 2"/>
    <w:basedOn w:val="Normal"/>
    <w:next w:val="Normal"/>
    <w:link w:val="Titre2Car"/>
    <w:uiPriority w:val="9"/>
    <w:unhideWhenUsed/>
    <w:qFormat/>
    <w:rsid w:val="00D539E0"/>
    <w:pPr>
      <w:spacing w:before="40" w:after="0"/>
      <w:outlineLvl w:val="1"/>
    </w:pPr>
    <w:rPr>
      <w:rFonts w:eastAsiaTheme="majorEastAsia" w:cstheme="majorBidi"/>
      <w:b/>
      <w:sz w:val="26"/>
      <w:szCs w:val="26"/>
    </w:rPr>
  </w:style>
  <w:style w:type="paragraph" w:styleId="Titre3">
    <w:name w:val="heading 3"/>
    <w:basedOn w:val="Normal"/>
    <w:next w:val="Normal"/>
    <w:link w:val="Titre3Car"/>
    <w:uiPriority w:val="9"/>
    <w:unhideWhenUsed/>
    <w:qFormat/>
    <w:rsid w:val="00D539E0"/>
    <w:pPr>
      <w:keepNext/>
      <w:keepLines/>
      <w:spacing w:before="40" w:after="0"/>
      <w:outlineLvl w:val="2"/>
    </w:pPr>
    <w:rPr>
      <w:rFonts w:eastAsiaTheme="majorEastAsia" w:cstheme="majorBidi"/>
      <w:b/>
      <w:sz w:val="24"/>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5550F"/>
    <w:rPr>
      <w:rFonts w:ascii="Times New Roman" w:eastAsiaTheme="majorEastAsia" w:hAnsi="Times New Roman" w:cstheme="majorBidi"/>
      <w:b/>
      <w:sz w:val="32"/>
      <w:szCs w:val="32"/>
    </w:rPr>
  </w:style>
  <w:style w:type="character" w:customStyle="1" w:styleId="Titre2Car">
    <w:name w:val="Titre 2 Car"/>
    <w:basedOn w:val="Policepardfaut"/>
    <w:link w:val="Titre2"/>
    <w:uiPriority w:val="9"/>
    <w:rsid w:val="00D539E0"/>
    <w:rPr>
      <w:rFonts w:ascii="Times New Roman" w:eastAsiaTheme="majorEastAsia" w:hAnsi="Times New Roman" w:cstheme="majorBidi"/>
      <w:b/>
      <w:sz w:val="26"/>
      <w:szCs w:val="26"/>
    </w:rPr>
  </w:style>
  <w:style w:type="paragraph" w:styleId="Textedebulles">
    <w:name w:val="Balloon Text"/>
    <w:basedOn w:val="Normal"/>
    <w:link w:val="TextedebullesCar"/>
    <w:uiPriority w:val="99"/>
    <w:semiHidden/>
    <w:unhideWhenUsed/>
    <w:rsid w:val="004710F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710FA"/>
    <w:rPr>
      <w:rFonts w:ascii="Segoe UI" w:hAnsi="Segoe UI" w:cs="Segoe UI"/>
      <w:sz w:val="18"/>
      <w:szCs w:val="18"/>
    </w:rPr>
  </w:style>
  <w:style w:type="character" w:customStyle="1" w:styleId="Titre3Car">
    <w:name w:val="Titre 3 Car"/>
    <w:basedOn w:val="Policepardfaut"/>
    <w:link w:val="Titre3"/>
    <w:uiPriority w:val="9"/>
    <w:rsid w:val="00D539E0"/>
    <w:rPr>
      <w:rFonts w:ascii="Times New Roman" w:eastAsiaTheme="majorEastAsia" w:hAnsi="Times New Roman" w:cstheme="majorBidi"/>
      <w:b/>
      <w:sz w:val="24"/>
      <w:szCs w:val="24"/>
      <w:u w:val="single"/>
    </w:rPr>
  </w:style>
  <w:style w:type="paragraph" w:styleId="Bibliographie">
    <w:name w:val="Bibliography"/>
    <w:basedOn w:val="Normal"/>
    <w:next w:val="Normal"/>
    <w:uiPriority w:val="37"/>
    <w:unhideWhenUsed/>
    <w:rsid w:val="002D44A3"/>
    <w:pPr>
      <w:tabs>
        <w:tab w:val="left" w:pos="504"/>
      </w:tabs>
      <w:spacing w:after="240" w:line="240" w:lineRule="auto"/>
      <w:ind w:left="504" w:hanging="504"/>
    </w:pPr>
  </w:style>
  <w:style w:type="character" w:styleId="Lienhypertexte">
    <w:name w:val="Hyperlink"/>
    <w:basedOn w:val="Policepardfaut"/>
    <w:uiPriority w:val="99"/>
    <w:unhideWhenUsed/>
    <w:rsid w:val="00A567BC"/>
    <w:rPr>
      <w:color w:val="0563C1" w:themeColor="hyperlink"/>
      <w:u w:val="single"/>
    </w:rPr>
  </w:style>
  <w:style w:type="character" w:customStyle="1" w:styleId="Mentionnonrsolue1">
    <w:name w:val="Mention non résolue1"/>
    <w:basedOn w:val="Policepardfaut"/>
    <w:uiPriority w:val="99"/>
    <w:semiHidden/>
    <w:unhideWhenUsed/>
    <w:rsid w:val="00A567BC"/>
    <w:rPr>
      <w:color w:val="605E5C"/>
      <w:shd w:val="clear" w:color="auto" w:fill="E1DFDD"/>
    </w:rPr>
  </w:style>
  <w:style w:type="paragraph" w:styleId="NormalWeb">
    <w:name w:val="Normal (Web)"/>
    <w:basedOn w:val="Normal"/>
    <w:uiPriority w:val="99"/>
    <w:semiHidden/>
    <w:unhideWhenUsed/>
    <w:rsid w:val="00AF5FB1"/>
    <w:pPr>
      <w:spacing w:before="100" w:beforeAutospacing="1" w:after="100" w:afterAutospacing="1" w:line="240" w:lineRule="auto"/>
    </w:pPr>
    <w:rPr>
      <w:rFonts w:eastAsia="Times New Roman" w:cs="Times New Roman"/>
      <w:sz w:val="24"/>
      <w:szCs w:val="24"/>
      <w:lang w:eastAsia="fr-FR"/>
    </w:rPr>
  </w:style>
  <w:style w:type="character" w:styleId="Textedelespacerserv">
    <w:name w:val="Placeholder Text"/>
    <w:basedOn w:val="Policepardfaut"/>
    <w:uiPriority w:val="99"/>
    <w:semiHidden/>
    <w:rsid w:val="00FA57E6"/>
    <w:rPr>
      <w:color w:val="808080"/>
    </w:rPr>
  </w:style>
  <w:style w:type="paragraph" w:styleId="Sansinterligne">
    <w:name w:val="No Spacing"/>
    <w:uiPriority w:val="1"/>
    <w:qFormat/>
    <w:rsid w:val="00936D91"/>
    <w:pPr>
      <w:spacing w:after="0" w:line="240" w:lineRule="auto"/>
    </w:pPr>
    <w:rPr>
      <w:rFonts w:ascii="Times New Roman" w:hAnsi="Times New Roman"/>
    </w:rPr>
  </w:style>
  <w:style w:type="paragraph" w:styleId="Pieddepage">
    <w:name w:val="footer"/>
    <w:basedOn w:val="Normal"/>
    <w:link w:val="PieddepageCar"/>
    <w:uiPriority w:val="99"/>
    <w:unhideWhenUsed/>
    <w:rsid w:val="0078553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8553A"/>
    <w:rPr>
      <w:rFonts w:ascii="Times New Roman" w:hAnsi="Times New Roman"/>
    </w:rPr>
  </w:style>
  <w:style w:type="character" w:styleId="Numrodepage">
    <w:name w:val="page number"/>
    <w:basedOn w:val="Policepardfaut"/>
    <w:uiPriority w:val="99"/>
    <w:semiHidden/>
    <w:unhideWhenUsed/>
    <w:rsid w:val="0078553A"/>
  </w:style>
  <w:style w:type="character" w:styleId="Marquedecommentaire">
    <w:name w:val="annotation reference"/>
    <w:basedOn w:val="Policepardfaut"/>
    <w:uiPriority w:val="99"/>
    <w:semiHidden/>
    <w:unhideWhenUsed/>
    <w:rsid w:val="00056BBF"/>
    <w:rPr>
      <w:sz w:val="16"/>
      <w:szCs w:val="16"/>
    </w:rPr>
  </w:style>
  <w:style w:type="paragraph" w:styleId="Commentaire">
    <w:name w:val="annotation text"/>
    <w:basedOn w:val="Normal"/>
    <w:link w:val="CommentaireCar"/>
    <w:uiPriority w:val="99"/>
    <w:unhideWhenUsed/>
    <w:rsid w:val="00056BBF"/>
    <w:pPr>
      <w:spacing w:line="240" w:lineRule="auto"/>
    </w:pPr>
    <w:rPr>
      <w:sz w:val="20"/>
      <w:szCs w:val="20"/>
    </w:rPr>
  </w:style>
  <w:style w:type="character" w:customStyle="1" w:styleId="CommentaireCar">
    <w:name w:val="Commentaire Car"/>
    <w:basedOn w:val="Policepardfaut"/>
    <w:link w:val="Commentaire"/>
    <w:uiPriority w:val="99"/>
    <w:rsid w:val="00056BBF"/>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056BBF"/>
    <w:rPr>
      <w:b/>
      <w:bCs/>
    </w:rPr>
  </w:style>
  <w:style w:type="character" w:customStyle="1" w:styleId="ObjetducommentaireCar">
    <w:name w:val="Objet du commentaire Car"/>
    <w:basedOn w:val="CommentaireCar"/>
    <w:link w:val="Objetducommentaire"/>
    <w:uiPriority w:val="99"/>
    <w:semiHidden/>
    <w:rsid w:val="00056BBF"/>
    <w:rPr>
      <w:rFonts w:ascii="Times New Roman" w:hAnsi="Times New Roman"/>
      <w:b/>
      <w:bCs/>
      <w:sz w:val="20"/>
      <w:szCs w:val="20"/>
    </w:rPr>
  </w:style>
  <w:style w:type="paragraph" w:styleId="Rvision">
    <w:name w:val="Revision"/>
    <w:hidden/>
    <w:uiPriority w:val="99"/>
    <w:semiHidden/>
    <w:rsid w:val="00A05CC1"/>
    <w:pPr>
      <w:spacing w:after="0" w:line="240" w:lineRule="auto"/>
    </w:pPr>
    <w:rPr>
      <w:rFonts w:ascii="Times New Roman" w:hAnsi="Times New Roman"/>
    </w:rPr>
  </w:style>
  <w:style w:type="character" w:styleId="Lienhypertextesuivivisit">
    <w:name w:val="FollowedHyperlink"/>
    <w:basedOn w:val="Policepardfaut"/>
    <w:uiPriority w:val="99"/>
    <w:semiHidden/>
    <w:unhideWhenUsed/>
    <w:rsid w:val="0046040F"/>
    <w:rPr>
      <w:color w:val="954F72" w:themeColor="followedHyperlink"/>
      <w:u w:val="single"/>
    </w:rPr>
  </w:style>
  <w:style w:type="paragraph" w:customStyle="1" w:styleId="Standard">
    <w:name w:val="Standard"/>
    <w:qFormat/>
    <w:rsid w:val="007F4E5E"/>
    <w:pPr>
      <w:suppressAutoHyphens/>
      <w:spacing w:after="0" w:line="240" w:lineRule="auto"/>
      <w:textAlignment w:val="baseline"/>
    </w:pPr>
    <w:rPr>
      <w:rFonts w:ascii="Liberation Serif" w:eastAsia="Noto Sans CJK SC" w:hAnsi="Liberation Serif" w:cs="Lohit Devanagari"/>
      <w:kern w:val="2"/>
      <w:sz w:val="24"/>
      <w:szCs w:val="24"/>
      <w:lang w:val="en-US" w:eastAsia="zh-CN" w:bidi="hi-IN"/>
    </w:rPr>
  </w:style>
  <w:style w:type="paragraph" w:customStyle="1" w:styleId="Standard1">
    <w:name w:val="Standard1"/>
    <w:qFormat/>
    <w:rsid w:val="006A612D"/>
    <w:pPr>
      <w:suppressAutoHyphens/>
      <w:spacing w:after="0" w:line="240" w:lineRule="auto"/>
      <w:textAlignment w:val="baseline"/>
    </w:pPr>
    <w:rPr>
      <w:rFonts w:ascii="Liberation Serif" w:eastAsia="Noto Sans CJK SC" w:hAnsi="Liberation Serif" w:cs="Lohit Devanagari"/>
      <w:kern w:val="2"/>
      <w:sz w:val="24"/>
      <w:szCs w:val="24"/>
      <w:lang w:val="en-US" w:eastAsia="zh-CN" w:bidi="hi-IN"/>
    </w:rPr>
  </w:style>
  <w:style w:type="paragraph" w:styleId="TM2">
    <w:name w:val="toc 2"/>
    <w:basedOn w:val="Normal"/>
    <w:next w:val="Normal"/>
    <w:autoRedefine/>
    <w:uiPriority w:val="39"/>
    <w:unhideWhenUsed/>
    <w:rsid w:val="00704424"/>
    <w:pPr>
      <w:spacing w:after="100"/>
      <w:ind w:left="220"/>
    </w:pPr>
  </w:style>
  <w:style w:type="paragraph" w:styleId="TM1">
    <w:name w:val="toc 1"/>
    <w:basedOn w:val="Normal"/>
    <w:next w:val="Normal"/>
    <w:autoRedefine/>
    <w:uiPriority w:val="39"/>
    <w:unhideWhenUsed/>
    <w:rsid w:val="00704424"/>
    <w:pPr>
      <w:spacing w:after="100"/>
    </w:pPr>
  </w:style>
  <w:style w:type="paragraph" w:styleId="TM3">
    <w:name w:val="toc 3"/>
    <w:basedOn w:val="Normal"/>
    <w:next w:val="Normal"/>
    <w:autoRedefine/>
    <w:uiPriority w:val="39"/>
    <w:unhideWhenUsed/>
    <w:rsid w:val="00704424"/>
    <w:pPr>
      <w:spacing w:after="100"/>
      <w:ind w:left="440"/>
    </w:pPr>
  </w:style>
  <w:style w:type="paragraph" w:styleId="En-ttedetabledesmatires">
    <w:name w:val="TOC Heading"/>
    <w:basedOn w:val="Titre1"/>
    <w:next w:val="Normal"/>
    <w:uiPriority w:val="39"/>
    <w:unhideWhenUsed/>
    <w:qFormat/>
    <w:rsid w:val="005B3CEA"/>
    <w:pPr>
      <w:outlineLvl w:val="9"/>
    </w:pPr>
    <w:rPr>
      <w:rFonts w:asciiTheme="majorHAnsi" w:hAnsiTheme="majorHAnsi"/>
      <w:b w:val="0"/>
      <w:color w:val="2F5496" w:themeColor="accent1" w:themeShade="BF"/>
      <w:lang w:eastAsia="fr-FR"/>
    </w:rPr>
  </w:style>
  <w:style w:type="character" w:customStyle="1" w:styleId="Mentionnonrsolue2">
    <w:name w:val="Mention non résolue2"/>
    <w:basedOn w:val="Policepardfaut"/>
    <w:uiPriority w:val="99"/>
    <w:semiHidden/>
    <w:unhideWhenUsed/>
    <w:rsid w:val="004B2CB6"/>
    <w:rPr>
      <w:color w:val="605E5C"/>
      <w:shd w:val="clear" w:color="auto" w:fill="E1DFDD"/>
    </w:rPr>
  </w:style>
  <w:style w:type="paragraph" w:styleId="Paragraphedeliste">
    <w:name w:val="List Paragraph"/>
    <w:basedOn w:val="Normal"/>
    <w:uiPriority w:val="34"/>
    <w:qFormat/>
    <w:rsid w:val="00F344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5599">
      <w:bodyDiv w:val="1"/>
      <w:marLeft w:val="0"/>
      <w:marRight w:val="0"/>
      <w:marTop w:val="0"/>
      <w:marBottom w:val="0"/>
      <w:divBdr>
        <w:top w:val="none" w:sz="0" w:space="0" w:color="auto"/>
        <w:left w:val="none" w:sz="0" w:space="0" w:color="auto"/>
        <w:bottom w:val="none" w:sz="0" w:space="0" w:color="auto"/>
        <w:right w:val="none" w:sz="0" w:space="0" w:color="auto"/>
      </w:divBdr>
    </w:div>
    <w:div w:id="330066499">
      <w:bodyDiv w:val="1"/>
      <w:marLeft w:val="0"/>
      <w:marRight w:val="0"/>
      <w:marTop w:val="0"/>
      <w:marBottom w:val="0"/>
      <w:divBdr>
        <w:top w:val="none" w:sz="0" w:space="0" w:color="auto"/>
        <w:left w:val="none" w:sz="0" w:space="0" w:color="auto"/>
        <w:bottom w:val="none" w:sz="0" w:space="0" w:color="auto"/>
        <w:right w:val="none" w:sz="0" w:space="0" w:color="auto"/>
      </w:divBdr>
    </w:div>
    <w:div w:id="340671310">
      <w:bodyDiv w:val="1"/>
      <w:marLeft w:val="0"/>
      <w:marRight w:val="0"/>
      <w:marTop w:val="0"/>
      <w:marBottom w:val="0"/>
      <w:divBdr>
        <w:top w:val="none" w:sz="0" w:space="0" w:color="auto"/>
        <w:left w:val="none" w:sz="0" w:space="0" w:color="auto"/>
        <w:bottom w:val="none" w:sz="0" w:space="0" w:color="auto"/>
        <w:right w:val="none" w:sz="0" w:space="0" w:color="auto"/>
      </w:divBdr>
      <w:divsChild>
        <w:div w:id="386563514">
          <w:marLeft w:val="0"/>
          <w:marRight w:val="0"/>
          <w:marTop w:val="0"/>
          <w:marBottom w:val="0"/>
          <w:divBdr>
            <w:top w:val="none" w:sz="0" w:space="0" w:color="auto"/>
            <w:left w:val="none" w:sz="0" w:space="0" w:color="auto"/>
            <w:bottom w:val="none" w:sz="0" w:space="0" w:color="auto"/>
            <w:right w:val="none" w:sz="0" w:space="0" w:color="auto"/>
          </w:divBdr>
        </w:div>
        <w:div w:id="16540257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20211104">
              <w:marLeft w:val="0"/>
              <w:marRight w:val="0"/>
              <w:marTop w:val="0"/>
              <w:marBottom w:val="0"/>
              <w:divBdr>
                <w:top w:val="none" w:sz="0" w:space="0" w:color="auto"/>
                <w:left w:val="none" w:sz="0" w:space="0" w:color="auto"/>
                <w:bottom w:val="none" w:sz="0" w:space="0" w:color="auto"/>
                <w:right w:val="none" w:sz="0" w:space="0" w:color="auto"/>
              </w:divBdr>
              <w:divsChild>
                <w:div w:id="12073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76335">
      <w:bodyDiv w:val="1"/>
      <w:marLeft w:val="0"/>
      <w:marRight w:val="0"/>
      <w:marTop w:val="0"/>
      <w:marBottom w:val="0"/>
      <w:divBdr>
        <w:top w:val="none" w:sz="0" w:space="0" w:color="auto"/>
        <w:left w:val="none" w:sz="0" w:space="0" w:color="auto"/>
        <w:bottom w:val="none" w:sz="0" w:space="0" w:color="auto"/>
        <w:right w:val="none" w:sz="0" w:space="0" w:color="auto"/>
      </w:divBdr>
      <w:divsChild>
        <w:div w:id="886453389">
          <w:marLeft w:val="0"/>
          <w:marRight w:val="0"/>
          <w:marTop w:val="0"/>
          <w:marBottom w:val="0"/>
          <w:divBdr>
            <w:top w:val="none" w:sz="0" w:space="0" w:color="auto"/>
            <w:left w:val="none" w:sz="0" w:space="0" w:color="auto"/>
            <w:bottom w:val="none" w:sz="0" w:space="0" w:color="auto"/>
            <w:right w:val="none" w:sz="0" w:space="0" w:color="auto"/>
          </w:divBdr>
        </w:div>
        <w:div w:id="462120801">
          <w:marLeft w:val="0"/>
          <w:marRight w:val="0"/>
          <w:marTop w:val="0"/>
          <w:marBottom w:val="0"/>
          <w:divBdr>
            <w:top w:val="none" w:sz="0" w:space="0" w:color="auto"/>
            <w:left w:val="none" w:sz="0" w:space="0" w:color="auto"/>
            <w:bottom w:val="none" w:sz="0" w:space="0" w:color="auto"/>
            <w:right w:val="none" w:sz="0" w:space="0" w:color="auto"/>
          </w:divBdr>
        </w:div>
      </w:divsChild>
    </w:div>
    <w:div w:id="691227758">
      <w:bodyDiv w:val="1"/>
      <w:marLeft w:val="0"/>
      <w:marRight w:val="0"/>
      <w:marTop w:val="0"/>
      <w:marBottom w:val="0"/>
      <w:divBdr>
        <w:top w:val="none" w:sz="0" w:space="0" w:color="auto"/>
        <w:left w:val="none" w:sz="0" w:space="0" w:color="auto"/>
        <w:bottom w:val="none" w:sz="0" w:space="0" w:color="auto"/>
        <w:right w:val="none" w:sz="0" w:space="0" w:color="auto"/>
      </w:divBdr>
    </w:div>
    <w:div w:id="732855169">
      <w:bodyDiv w:val="1"/>
      <w:marLeft w:val="0"/>
      <w:marRight w:val="0"/>
      <w:marTop w:val="0"/>
      <w:marBottom w:val="0"/>
      <w:divBdr>
        <w:top w:val="none" w:sz="0" w:space="0" w:color="auto"/>
        <w:left w:val="none" w:sz="0" w:space="0" w:color="auto"/>
        <w:bottom w:val="none" w:sz="0" w:space="0" w:color="auto"/>
        <w:right w:val="none" w:sz="0" w:space="0" w:color="auto"/>
      </w:divBdr>
    </w:div>
    <w:div w:id="855001263">
      <w:bodyDiv w:val="1"/>
      <w:marLeft w:val="0"/>
      <w:marRight w:val="0"/>
      <w:marTop w:val="0"/>
      <w:marBottom w:val="0"/>
      <w:divBdr>
        <w:top w:val="none" w:sz="0" w:space="0" w:color="auto"/>
        <w:left w:val="none" w:sz="0" w:space="0" w:color="auto"/>
        <w:bottom w:val="none" w:sz="0" w:space="0" w:color="auto"/>
        <w:right w:val="none" w:sz="0" w:space="0" w:color="auto"/>
      </w:divBdr>
    </w:div>
    <w:div w:id="1204439804">
      <w:bodyDiv w:val="1"/>
      <w:marLeft w:val="0"/>
      <w:marRight w:val="0"/>
      <w:marTop w:val="0"/>
      <w:marBottom w:val="0"/>
      <w:divBdr>
        <w:top w:val="none" w:sz="0" w:space="0" w:color="auto"/>
        <w:left w:val="none" w:sz="0" w:space="0" w:color="auto"/>
        <w:bottom w:val="none" w:sz="0" w:space="0" w:color="auto"/>
        <w:right w:val="none" w:sz="0" w:space="0" w:color="auto"/>
      </w:divBdr>
    </w:div>
    <w:div w:id="1213426791">
      <w:bodyDiv w:val="1"/>
      <w:marLeft w:val="0"/>
      <w:marRight w:val="0"/>
      <w:marTop w:val="0"/>
      <w:marBottom w:val="0"/>
      <w:divBdr>
        <w:top w:val="none" w:sz="0" w:space="0" w:color="auto"/>
        <w:left w:val="none" w:sz="0" w:space="0" w:color="auto"/>
        <w:bottom w:val="none" w:sz="0" w:space="0" w:color="auto"/>
        <w:right w:val="none" w:sz="0" w:space="0" w:color="auto"/>
      </w:divBdr>
    </w:div>
    <w:div w:id="1252814511">
      <w:bodyDiv w:val="1"/>
      <w:marLeft w:val="0"/>
      <w:marRight w:val="0"/>
      <w:marTop w:val="0"/>
      <w:marBottom w:val="0"/>
      <w:divBdr>
        <w:top w:val="none" w:sz="0" w:space="0" w:color="auto"/>
        <w:left w:val="none" w:sz="0" w:space="0" w:color="auto"/>
        <w:bottom w:val="none" w:sz="0" w:space="0" w:color="auto"/>
        <w:right w:val="none" w:sz="0" w:space="0" w:color="auto"/>
      </w:divBdr>
      <w:divsChild>
        <w:div w:id="1031689737">
          <w:marLeft w:val="0"/>
          <w:marRight w:val="0"/>
          <w:marTop w:val="0"/>
          <w:marBottom w:val="0"/>
          <w:divBdr>
            <w:top w:val="none" w:sz="0" w:space="0" w:color="auto"/>
            <w:left w:val="none" w:sz="0" w:space="0" w:color="auto"/>
            <w:bottom w:val="none" w:sz="0" w:space="0" w:color="auto"/>
            <w:right w:val="none" w:sz="0" w:space="0" w:color="auto"/>
          </w:divBdr>
        </w:div>
        <w:div w:id="1259632295">
          <w:marLeft w:val="0"/>
          <w:marRight w:val="0"/>
          <w:marTop w:val="0"/>
          <w:marBottom w:val="0"/>
          <w:divBdr>
            <w:top w:val="none" w:sz="0" w:space="0" w:color="auto"/>
            <w:left w:val="none" w:sz="0" w:space="0" w:color="auto"/>
            <w:bottom w:val="none" w:sz="0" w:space="0" w:color="auto"/>
            <w:right w:val="none" w:sz="0" w:space="0" w:color="auto"/>
          </w:divBdr>
        </w:div>
        <w:div w:id="33699405">
          <w:marLeft w:val="0"/>
          <w:marRight w:val="0"/>
          <w:marTop w:val="0"/>
          <w:marBottom w:val="0"/>
          <w:divBdr>
            <w:top w:val="none" w:sz="0" w:space="0" w:color="auto"/>
            <w:left w:val="none" w:sz="0" w:space="0" w:color="auto"/>
            <w:bottom w:val="none" w:sz="0" w:space="0" w:color="auto"/>
            <w:right w:val="none" w:sz="0" w:space="0" w:color="auto"/>
          </w:divBdr>
        </w:div>
        <w:div w:id="1208877765">
          <w:marLeft w:val="0"/>
          <w:marRight w:val="0"/>
          <w:marTop w:val="0"/>
          <w:marBottom w:val="0"/>
          <w:divBdr>
            <w:top w:val="none" w:sz="0" w:space="0" w:color="auto"/>
            <w:left w:val="none" w:sz="0" w:space="0" w:color="auto"/>
            <w:bottom w:val="none" w:sz="0" w:space="0" w:color="auto"/>
            <w:right w:val="none" w:sz="0" w:space="0" w:color="auto"/>
          </w:divBdr>
        </w:div>
        <w:div w:id="1203439749">
          <w:marLeft w:val="0"/>
          <w:marRight w:val="0"/>
          <w:marTop w:val="0"/>
          <w:marBottom w:val="0"/>
          <w:divBdr>
            <w:top w:val="none" w:sz="0" w:space="0" w:color="auto"/>
            <w:left w:val="none" w:sz="0" w:space="0" w:color="auto"/>
            <w:bottom w:val="none" w:sz="0" w:space="0" w:color="auto"/>
            <w:right w:val="none" w:sz="0" w:space="0" w:color="auto"/>
          </w:divBdr>
        </w:div>
        <w:div w:id="1912499756">
          <w:marLeft w:val="0"/>
          <w:marRight w:val="0"/>
          <w:marTop w:val="0"/>
          <w:marBottom w:val="0"/>
          <w:divBdr>
            <w:top w:val="none" w:sz="0" w:space="0" w:color="auto"/>
            <w:left w:val="none" w:sz="0" w:space="0" w:color="auto"/>
            <w:bottom w:val="none" w:sz="0" w:space="0" w:color="auto"/>
            <w:right w:val="none" w:sz="0" w:space="0" w:color="auto"/>
          </w:divBdr>
        </w:div>
        <w:div w:id="627901780">
          <w:marLeft w:val="0"/>
          <w:marRight w:val="0"/>
          <w:marTop w:val="0"/>
          <w:marBottom w:val="0"/>
          <w:divBdr>
            <w:top w:val="none" w:sz="0" w:space="0" w:color="auto"/>
            <w:left w:val="none" w:sz="0" w:space="0" w:color="auto"/>
            <w:bottom w:val="none" w:sz="0" w:space="0" w:color="auto"/>
            <w:right w:val="none" w:sz="0" w:space="0" w:color="auto"/>
          </w:divBdr>
        </w:div>
        <w:div w:id="1757750116">
          <w:marLeft w:val="0"/>
          <w:marRight w:val="0"/>
          <w:marTop w:val="0"/>
          <w:marBottom w:val="0"/>
          <w:divBdr>
            <w:top w:val="none" w:sz="0" w:space="0" w:color="auto"/>
            <w:left w:val="none" w:sz="0" w:space="0" w:color="auto"/>
            <w:bottom w:val="none" w:sz="0" w:space="0" w:color="auto"/>
            <w:right w:val="none" w:sz="0" w:space="0" w:color="auto"/>
          </w:divBdr>
        </w:div>
        <w:div w:id="1357848386">
          <w:marLeft w:val="0"/>
          <w:marRight w:val="0"/>
          <w:marTop w:val="0"/>
          <w:marBottom w:val="0"/>
          <w:divBdr>
            <w:top w:val="none" w:sz="0" w:space="0" w:color="auto"/>
            <w:left w:val="none" w:sz="0" w:space="0" w:color="auto"/>
            <w:bottom w:val="none" w:sz="0" w:space="0" w:color="auto"/>
            <w:right w:val="none" w:sz="0" w:space="0" w:color="auto"/>
          </w:divBdr>
        </w:div>
        <w:div w:id="847135603">
          <w:marLeft w:val="0"/>
          <w:marRight w:val="0"/>
          <w:marTop w:val="0"/>
          <w:marBottom w:val="0"/>
          <w:divBdr>
            <w:top w:val="none" w:sz="0" w:space="0" w:color="auto"/>
            <w:left w:val="none" w:sz="0" w:space="0" w:color="auto"/>
            <w:bottom w:val="none" w:sz="0" w:space="0" w:color="auto"/>
            <w:right w:val="none" w:sz="0" w:space="0" w:color="auto"/>
          </w:divBdr>
        </w:div>
        <w:div w:id="597257930">
          <w:marLeft w:val="0"/>
          <w:marRight w:val="0"/>
          <w:marTop w:val="0"/>
          <w:marBottom w:val="0"/>
          <w:divBdr>
            <w:top w:val="none" w:sz="0" w:space="0" w:color="auto"/>
            <w:left w:val="none" w:sz="0" w:space="0" w:color="auto"/>
            <w:bottom w:val="none" w:sz="0" w:space="0" w:color="auto"/>
            <w:right w:val="none" w:sz="0" w:space="0" w:color="auto"/>
          </w:divBdr>
        </w:div>
        <w:div w:id="1931424196">
          <w:marLeft w:val="0"/>
          <w:marRight w:val="0"/>
          <w:marTop w:val="0"/>
          <w:marBottom w:val="0"/>
          <w:divBdr>
            <w:top w:val="none" w:sz="0" w:space="0" w:color="auto"/>
            <w:left w:val="none" w:sz="0" w:space="0" w:color="auto"/>
            <w:bottom w:val="none" w:sz="0" w:space="0" w:color="auto"/>
            <w:right w:val="none" w:sz="0" w:space="0" w:color="auto"/>
          </w:divBdr>
        </w:div>
        <w:div w:id="950162172">
          <w:marLeft w:val="0"/>
          <w:marRight w:val="0"/>
          <w:marTop w:val="0"/>
          <w:marBottom w:val="0"/>
          <w:divBdr>
            <w:top w:val="none" w:sz="0" w:space="0" w:color="auto"/>
            <w:left w:val="none" w:sz="0" w:space="0" w:color="auto"/>
            <w:bottom w:val="none" w:sz="0" w:space="0" w:color="auto"/>
            <w:right w:val="none" w:sz="0" w:space="0" w:color="auto"/>
          </w:divBdr>
        </w:div>
        <w:div w:id="607007550">
          <w:marLeft w:val="0"/>
          <w:marRight w:val="0"/>
          <w:marTop w:val="0"/>
          <w:marBottom w:val="0"/>
          <w:divBdr>
            <w:top w:val="none" w:sz="0" w:space="0" w:color="auto"/>
            <w:left w:val="none" w:sz="0" w:space="0" w:color="auto"/>
            <w:bottom w:val="none" w:sz="0" w:space="0" w:color="auto"/>
            <w:right w:val="none" w:sz="0" w:space="0" w:color="auto"/>
          </w:divBdr>
        </w:div>
        <w:div w:id="1851943741">
          <w:marLeft w:val="0"/>
          <w:marRight w:val="0"/>
          <w:marTop w:val="0"/>
          <w:marBottom w:val="0"/>
          <w:divBdr>
            <w:top w:val="none" w:sz="0" w:space="0" w:color="auto"/>
            <w:left w:val="none" w:sz="0" w:space="0" w:color="auto"/>
            <w:bottom w:val="none" w:sz="0" w:space="0" w:color="auto"/>
            <w:right w:val="none" w:sz="0" w:space="0" w:color="auto"/>
          </w:divBdr>
        </w:div>
        <w:div w:id="546143282">
          <w:marLeft w:val="0"/>
          <w:marRight w:val="0"/>
          <w:marTop w:val="0"/>
          <w:marBottom w:val="0"/>
          <w:divBdr>
            <w:top w:val="none" w:sz="0" w:space="0" w:color="auto"/>
            <w:left w:val="none" w:sz="0" w:space="0" w:color="auto"/>
            <w:bottom w:val="none" w:sz="0" w:space="0" w:color="auto"/>
            <w:right w:val="none" w:sz="0" w:space="0" w:color="auto"/>
          </w:divBdr>
        </w:div>
        <w:div w:id="821118318">
          <w:marLeft w:val="0"/>
          <w:marRight w:val="0"/>
          <w:marTop w:val="0"/>
          <w:marBottom w:val="0"/>
          <w:divBdr>
            <w:top w:val="none" w:sz="0" w:space="0" w:color="auto"/>
            <w:left w:val="none" w:sz="0" w:space="0" w:color="auto"/>
            <w:bottom w:val="none" w:sz="0" w:space="0" w:color="auto"/>
            <w:right w:val="none" w:sz="0" w:space="0" w:color="auto"/>
          </w:divBdr>
        </w:div>
        <w:div w:id="673532851">
          <w:marLeft w:val="0"/>
          <w:marRight w:val="0"/>
          <w:marTop w:val="0"/>
          <w:marBottom w:val="0"/>
          <w:divBdr>
            <w:top w:val="none" w:sz="0" w:space="0" w:color="auto"/>
            <w:left w:val="none" w:sz="0" w:space="0" w:color="auto"/>
            <w:bottom w:val="none" w:sz="0" w:space="0" w:color="auto"/>
            <w:right w:val="none" w:sz="0" w:space="0" w:color="auto"/>
          </w:divBdr>
        </w:div>
        <w:div w:id="910695773">
          <w:marLeft w:val="0"/>
          <w:marRight w:val="0"/>
          <w:marTop w:val="0"/>
          <w:marBottom w:val="0"/>
          <w:divBdr>
            <w:top w:val="none" w:sz="0" w:space="0" w:color="auto"/>
            <w:left w:val="none" w:sz="0" w:space="0" w:color="auto"/>
            <w:bottom w:val="none" w:sz="0" w:space="0" w:color="auto"/>
            <w:right w:val="none" w:sz="0" w:space="0" w:color="auto"/>
          </w:divBdr>
        </w:div>
        <w:div w:id="2072272002">
          <w:marLeft w:val="0"/>
          <w:marRight w:val="0"/>
          <w:marTop w:val="0"/>
          <w:marBottom w:val="0"/>
          <w:divBdr>
            <w:top w:val="none" w:sz="0" w:space="0" w:color="auto"/>
            <w:left w:val="none" w:sz="0" w:space="0" w:color="auto"/>
            <w:bottom w:val="none" w:sz="0" w:space="0" w:color="auto"/>
            <w:right w:val="none" w:sz="0" w:space="0" w:color="auto"/>
          </w:divBdr>
        </w:div>
        <w:div w:id="316685925">
          <w:marLeft w:val="0"/>
          <w:marRight w:val="0"/>
          <w:marTop w:val="0"/>
          <w:marBottom w:val="0"/>
          <w:divBdr>
            <w:top w:val="none" w:sz="0" w:space="0" w:color="auto"/>
            <w:left w:val="none" w:sz="0" w:space="0" w:color="auto"/>
            <w:bottom w:val="none" w:sz="0" w:space="0" w:color="auto"/>
            <w:right w:val="none" w:sz="0" w:space="0" w:color="auto"/>
          </w:divBdr>
        </w:div>
        <w:div w:id="1297494482">
          <w:marLeft w:val="0"/>
          <w:marRight w:val="0"/>
          <w:marTop w:val="0"/>
          <w:marBottom w:val="0"/>
          <w:divBdr>
            <w:top w:val="none" w:sz="0" w:space="0" w:color="auto"/>
            <w:left w:val="none" w:sz="0" w:space="0" w:color="auto"/>
            <w:bottom w:val="none" w:sz="0" w:space="0" w:color="auto"/>
            <w:right w:val="none" w:sz="0" w:space="0" w:color="auto"/>
          </w:divBdr>
        </w:div>
      </w:divsChild>
    </w:div>
    <w:div w:id="1333530528">
      <w:bodyDiv w:val="1"/>
      <w:marLeft w:val="0"/>
      <w:marRight w:val="0"/>
      <w:marTop w:val="0"/>
      <w:marBottom w:val="0"/>
      <w:divBdr>
        <w:top w:val="none" w:sz="0" w:space="0" w:color="auto"/>
        <w:left w:val="none" w:sz="0" w:space="0" w:color="auto"/>
        <w:bottom w:val="none" w:sz="0" w:space="0" w:color="auto"/>
        <w:right w:val="none" w:sz="0" w:space="0" w:color="auto"/>
      </w:divBdr>
    </w:div>
    <w:div w:id="1519078546">
      <w:bodyDiv w:val="1"/>
      <w:marLeft w:val="0"/>
      <w:marRight w:val="0"/>
      <w:marTop w:val="0"/>
      <w:marBottom w:val="0"/>
      <w:divBdr>
        <w:top w:val="none" w:sz="0" w:space="0" w:color="auto"/>
        <w:left w:val="none" w:sz="0" w:space="0" w:color="auto"/>
        <w:bottom w:val="none" w:sz="0" w:space="0" w:color="auto"/>
        <w:right w:val="none" w:sz="0" w:space="0" w:color="auto"/>
      </w:divBdr>
    </w:div>
    <w:div w:id="1566837383">
      <w:bodyDiv w:val="1"/>
      <w:marLeft w:val="0"/>
      <w:marRight w:val="0"/>
      <w:marTop w:val="0"/>
      <w:marBottom w:val="0"/>
      <w:divBdr>
        <w:top w:val="none" w:sz="0" w:space="0" w:color="auto"/>
        <w:left w:val="none" w:sz="0" w:space="0" w:color="auto"/>
        <w:bottom w:val="none" w:sz="0" w:space="0" w:color="auto"/>
        <w:right w:val="none" w:sz="0" w:space="0" w:color="auto"/>
      </w:divBdr>
    </w:div>
    <w:div w:id="1691448906">
      <w:bodyDiv w:val="1"/>
      <w:marLeft w:val="0"/>
      <w:marRight w:val="0"/>
      <w:marTop w:val="0"/>
      <w:marBottom w:val="0"/>
      <w:divBdr>
        <w:top w:val="none" w:sz="0" w:space="0" w:color="auto"/>
        <w:left w:val="none" w:sz="0" w:space="0" w:color="auto"/>
        <w:bottom w:val="none" w:sz="0" w:space="0" w:color="auto"/>
        <w:right w:val="none" w:sz="0" w:space="0" w:color="auto"/>
      </w:divBdr>
    </w:div>
    <w:div w:id="1706833750">
      <w:bodyDiv w:val="1"/>
      <w:marLeft w:val="0"/>
      <w:marRight w:val="0"/>
      <w:marTop w:val="0"/>
      <w:marBottom w:val="0"/>
      <w:divBdr>
        <w:top w:val="none" w:sz="0" w:space="0" w:color="auto"/>
        <w:left w:val="none" w:sz="0" w:space="0" w:color="auto"/>
        <w:bottom w:val="none" w:sz="0" w:space="0" w:color="auto"/>
        <w:right w:val="none" w:sz="0" w:space="0" w:color="auto"/>
      </w:divBdr>
    </w:div>
    <w:div w:id="1747725348">
      <w:bodyDiv w:val="1"/>
      <w:marLeft w:val="0"/>
      <w:marRight w:val="0"/>
      <w:marTop w:val="0"/>
      <w:marBottom w:val="0"/>
      <w:divBdr>
        <w:top w:val="none" w:sz="0" w:space="0" w:color="auto"/>
        <w:left w:val="none" w:sz="0" w:space="0" w:color="auto"/>
        <w:bottom w:val="none" w:sz="0" w:space="0" w:color="auto"/>
        <w:right w:val="none" w:sz="0" w:space="0" w:color="auto"/>
      </w:divBdr>
    </w:div>
    <w:div w:id="1814521112">
      <w:bodyDiv w:val="1"/>
      <w:marLeft w:val="0"/>
      <w:marRight w:val="0"/>
      <w:marTop w:val="0"/>
      <w:marBottom w:val="0"/>
      <w:divBdr>
        <w:top w:val="none" w:sz="0" w:space="0" w:color="auto"/>
        <w:left w:val="none" w:sz="0" w:space="0" w:color="auto"/>
        <w:bottom w:val="none" w:sz="0" w:space="0" w:color="auto"/>
        <w:right w:val="none" w:sz="0" w:space="0" w:color="auto"/>
      </w:divBdr>
    </w:div>
    <w:div w:id="1917007705">
      <w:bodyDiv w:val="1"/>
      <w:marLeft w:val="0"/>
      <w:marRight w:val="0"/>
      <w:marTop w:val="0"/>
      <w:marBottom w:val="0"/>
      <w:divBdr>
        <w:top w:val="none" w:sz="0" w:space="0" w:color="auto"/>
        <w:left w:val="none" w:sz="0" w:space="0" w:color="auto"/>
        <w:bottom w:val="none" w:sz="0" w:space="0" w:color="auto"/>
        <w:right w:val="none" w:sz="0" w:space="0" w:color="auto"/>
      </w:divBdr>
    </w:div>
    <w:div w:id="2145927683">
      <w:bodyDiv w:val="1"/>
      <w:marLeft w:val="0"/>
      <w:marRight w:val="0"/>
      <w:marTop w:val="0"/>
      <w:marBottom w:val="0"/>
      <w:divBdr>
        <w:top w:val="none" w:sz="0" w:space="0" w:color="auto"/>
        <w:left w:val="none" w:sz="0" w:space="0" w:color="auto"/>
        <w:bottom w:val="none" w:sz="0" w:space="0" w:color="auto"/>
        <w:right w:val="none" w:sz="0" w:space="0" w:color="auto"/>
      </w:divBdr>
      <w:divsChild>
        <w:div w:id="855122925">
          <w:marLeft w:val="0"/>
          <w:marRight w:val="0"/>
          <w:marTop w:val="0"/>
          <w:marBottom w:val="0"/>
          <w:divBdr>
            <w:top w:val="none" w:sz="0" w:space="0" w:color="auto"/>
            <w:left w:val="none" w:sz="0" w:space="0" w:color="auto"/>
            <w:bottom w:val="none" w:sz="0" w:space="0" w:color="auto"/>
            <w:right w:val="none" w:sz="0" w:space="0" w:color="auto"/>
          </w:divBdr>
        </w:div>
        <w:div w:id="987515152">
          <w:marLeft w:val="0"/>
          <w:marRight w:val="0"/>
          <w:marTop w:val="0"/>
          <w:marBottom w:val="0"/>
          <w:divBdr>
            <w:top w:val="none" w:sz="0" w:space="0" w:color="auto"/>
            <w:left w:val="none" w:sz="0" w:space="0" w:color="auto"/>
            <w:bottom w:val="none" w:sz="0" w:space="0" w:color="auto"/>
            <w:right w:val="none" w:sz="0" w:space="0" w:color="auto"/>
          </w:divBdr>
          <w:divsChild>
            <w:div w:id="355080412">
              <w:marLeft w:val="0"/>
              <w:marRight w:val="0"/>
              <w:marTop w:val="0"/>
              <w:marBottom w:val="0"/>
              <w:divBdr>
                <w:top w:val="none" w:sz="0" w:space="0" w:color="auto"/>
                <w:left w:val="none" w:sz="0" w:space="0" w:color="auto"/>
                <w:bottom w:val="none" w:sz="0" w:space="0" w:color="auto"/>
                <w:right w:val="none" w:sz="0" w:space="0" w:color="auto"/>
              </w:divBdr>
              <w:divsChild>
                <w:div w:id="1181699765">
                  <w:blockQuote w:val="1"/>
                  <w:marLeft w:val="0"/>
                  <w:marRight w:val="0"/>
                  <w:marTop w:val="0"/>
                  <w:marBottom w:val="0"/>
                  <w:divBdr>
                    <w:top w:val="none" w:sz="0" w:space="0" w:color="auto"/>
                    <w:left w:val="none" w:sz="0" w:space="0" w:color="auto"/>
                    <w:bottom w:val="none" w:sz="0" w:space="0" w:color="auto"/>
                    <w:right w:val="none" w:sz="0" w:space="0" w:color="auto"/>
                  </w:divBdr>
                </w:div>
                <w:div w:id="6534904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50778-199F-46CF-ABE4-A588A3F35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9</Pages>
  <Words>1382</Words>
  <Characters>7602</Characters>
  <Application>Microsoft Office Word</Application>
  <DocSecurity>0</DocSecurity>
  <Lines>63</Lines>
  <Paragraphs>17</Paragraphs>
  <ScaleCrop>false</ScaleCrop>
  <HeadingPairs>
    <vt:vector size="6" baseType="variant">
      <vt:variant>
        <vt:lpstr>Titre</vt:lpstr>
      </vt:variant>
      <vt:variant>
        <vt:i4>1</vt:i4>
      </vt:variant>
      <vt:variant>
        <vt:lpstr>Titres</vt:lpstr>
      </vt:variant>
      <vt:variant>
        <vt:i4>13</vt:i4>
      </vt:variant>
      <vt:variant>
        <vt:lpstr>Title</vt:lpstr>
      </vt:variant>
      <vt:variant>
        <vt:i4>1</vt:i4>
      </vt:variant>
    </vt:vector>
  </HeadingPairs>
  <TitlesOfParts>
    <vt:vector size="15" baseType="lpstr">
      <vt:lpstr/>
      <vt:lpstr>Supplemental material</vt:lpstr>
      <vt:lpstr>Title: Machine learning-supported interpretation of kidney graft elementary lesi</vt:lpstr>
      <vt:lpstr>    </vt:lpstr>
      <vt:lpstr>    Definitions of the phenotypes in the different external validation cohorts</vt:lpstr>
      <vt:lpstr>        University Hospitals Leuven, Belgium </vt:lpstr>
      <vt:lpstr>        Medizinische Hochschule Hannover, Germany</vt:lpstr>
      <vt:lpstr>        University Hospital Necker Paris, France</vt:lpstr>
      <vt:lpstr>    Supplemental Table 1: Diagnostic characteristics.</vt:lpstr>
      <vt:lpstr>    Supplemental Table 2: XGBoost hyperparameters.</vt:lpstr>
      <vt:lpstr>    </vt:lpstr>
      <vt:lpstr>    Supplemental Table 3: Machine-learning analysis of the 6 case-based scenarios us</vt:lpstr>
      <vt:lpstr>    Supplemental Figure 1: importance of the histological and clinical features for </vt:lpstr>
      <vt:lpstr>    Supplemental Figure 2: ROC curve analysis in the training dataset.</vt:lpstr>
      <vt:lpstr/>
    </vt:vector>
  </TitlesOfParts>
  <Company>CHU de Limoges</Company>
  <LinksUpToDate>false</LinksUpToDate>
  <CharactersWithSpaces>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Labriffe</dc:creator>
  <cp:lastModifiedBy>Marc Labriffe</cp:lastModifiedBy>
  <cp:revision>15</cp:revision>
  <cp:lastPrinted>2021-05-28T13:06:00Z</cp:lastPrinted>
  <dcterms:created xsi:type="dcterms:W3CDTF">2021-05-26T07:19:00Z</dcterms:created>
  <dcterms:modified xsi:type="dcterms:W3CDTF">2021-05-28T13:19:00Z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id="txZFtgME"/&gt;&lt;style id="http://www.zotero.org/styles/journal-of-the-american-society-of-nephrology" hasBibliography="1" bibliographyStyleHasBeenSet="1"/&gt;&lt;prefs&gt;&lt;pref name="fieldType" value="Field</vt:lpwstr>
  </property>
  <property fmtid="{D5CDD505-2E9C-101B-9397-08002B2CF9AE}" pid="3" name="ZOTERO_PREF_2">
    <vt:lpwstr>"/&gt;&lt;pref name="automaticJournalAbbreviations" value="true"/&gt;&lt;/prefs&gt;&lt;/data&gt;</vt:lpwstr>
  </property>
</Properties>
</file>