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13622" w14:textId="3FE1076C" w:rsidR="00931348" w:rsidRPr="00190CDF" w:rsidRDefault="00345E7E" w:rsidP="00345E7E">
      <w:pPr>
        <w:spacing w:line="480" w:lineRule="auto"/>
        <w:rPr>
          <w:b/>
          <w:sz w:val="22"/>
          <w:szCs w:val="22"/>
          <w:lang w:val="en-GB"/>
        </w:rPr>
      </w:pPr>
      <w:r w:rsidRPr="00FC1E11">
        <w:rPr>
          <w:b/>
          <w:sz w:val="22"/>
          <w:szCs w:val="22"/>
          <w:u w:val="single"/>
          <w:lang w:val="en-GB"/>
        </w:rPr>
        <w:t>Supporting information</w:t>
      </w:r>
      <w:r w:rsidR="003B53BB" w:rsidRPr="00FC1E11">
        <w:rPr>
          <w:b/>
          <w:sz w:val="22"/>
          <w:szCs w:val="22"/>
          <w:u w:val="single"/>
          <w:lang w:val="en-GB"/>
        </w:rPr>
        <w:t xml:space="preserve"> (Figures S1-S5)</w:t>
      </w:r>
      <w:r w:rsidR="00931348" w:rsidRPr="00190CDF">
        <w:rPr>
          <w:b/>
          <w:sz w:val="22"/>
          <w:szCs w:val="22"/>
          <w:lang w:val="en-GB"/>
        </w:rPr>
        <w:t>:</w:t>
      </w:r>
    </w:p>
    <w:p w14:paraId="0EE9F792" w14:textId="77777777" w:rsidR="00AA1610" w:rsidRDefault="00AA1610" w:rsidP="00AA1610">
      <w:pPr>
        <w:spacing w:line="480" w:lineRule="auto"/>
        <w:rPr>
          <w:b/>
          <w:sz w:val="22"/>
          <w:szCs w:val="22"/>
          <w:lang w:val="en-GB"/>
        </w:rPr>
      </w:pPr>
      <w:r w:rsidRPr="00255893">
        <w:rPr>
          <w:b/>
          <w:sz w:val="22"/>
          <w:szCs w:val="22"/>
          <w:lang w:val="en-GB"/>
        </w:rPr>
        <w:t>Xenobiotic tracers uncover the</w:t>
      </w:r>
      <w:r>
        <w:rPr>
          <w:b/>
          <w:sz w:val="22"/>
          <w:szCs w:val="22"/>
          <w:lang w:val="en-GB"/>
        </w:rPr>
        <w:t xml:space="preserve"> gastrointestinal</w:t>
      </w:r>
      <w:r w:rsidRPr="00255893">
        <w:rPr>
          <w:b/>
          <w:sz w:val="22"/>
          <w:szCs w:val="22"/>
          <w:lang w:val="en-GB"/>
        </w:rPr>
        <w:t xml:space="preserve"> passage, </w:t>
      </w:r>
      <w:r>
        <w:rPr>
          <w:b/>
          <w:sz w:val="22"/>
          <w:szCs w:val="22"/>
          <w:lang w:val="en-GB"/>
        </w:rPr>
        <w:t xml:space="preserve">intestinal epithelial </w:t>
      </w:r>
      <w:r w:rsidRPr="00255893">
        <w:rPr>
          <w:b/>
          <w:sz w:val="22"/>
          <w:szCs w:val="22"/>
          <w:lang w:val="en-GB"/>
        </w:rPr>
        <w:t xml:space="preserve">cellular uptake and Ago2 loading </w:t>
      </w:r>
      <w:r>
        <w:rPr>
          <w:b/>
          <w:sz w:val="22"/>
          <w:szCs w:val="22"/>
          <w:lang w:val="en-GB"/>
        </w:rPr>
        <w:t>of milk miRNAs in neonates</w:t>
      </w:r>
    </w:p>
    <w:p w14:paraId="345816B6" w14:textId="63723ED3" w:rsidR="003B53BB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lang w:val="en-GB"/>
        </w:rPr>
        <w:t>Patrick Philipp Weil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Susanna Reincke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Christian Alexander Hirsch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Federica Giachero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Malik Aydin</w:t>
      </w:r>
      <w:r w:rsidRPr="00190CDF">
        <w:rPr>
          <w:sz w:val="22"/>
          <w:szCs w:val="22"/>
          <w:vertAlign w:val="superscript"/>
          <w:lang w:val="en-GB"/>
        </w:rPr>
        <w:t>1,2</w:t>
      </w:r>
      <w:r w:rsidRPr="00190CDF">
        <w:rPr>
          <w:sz w:val="22"/>
          <w:szCs w:val="22"/>
          <w:lang w:val="en-GB"/>
        </w:rPr>
        <w:t>, Jonas Scholz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Franziska Jönsson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Claudia Hagedorn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 xml:space="preserve">, Duc </w:t>
      </w:r>
      <w:proofErr w:type="spellStart"/>
      <w:r w:rsidRPr="00190CDF">
        <w:rPr>
          <w:sz w:val="22"/>
          <w:szCs w:val="22"/>
          <w:lang w:val="en-GB"/>
        </w:rPr>
        <w:t>Ninh</w:t>
      </w:r>
      <w:proofErr w:type="spellEnd"/>
      <w:r w:rsidRPr="00190CDF">
        <w:rPr>
          <w:sz w:val="22"/>
          <w:szCs w:val="22"/>
          <w:lang w:val="en-GB"/>
        </w:rPr>
        <w:t xml:space="preserve"> Nguyen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Thomas Thymann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Anton Pembaur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Valerie Orth</w:t>
      </w:r>
      <w:r w:rsidRPr="00190CDF">
        <w:rPr>
          <w:sz w:val="22"/>
          <w:szCs w:val="22"/>
          <w:vertAlign w:val="superscript"/>
          <w:lang w:val="en-GB"/>
        </w:rPr>
        <w:t>5</w:t>
      </w:r>
      <w:r w:rsidRPr="00190CDF">
        <w:rPr>
          <w:sz w:val="22"/>
          <w:szCs w:val="22"/>
          <w:lang w:val="en-GB"/>
        </w:rPr>
        <w:t>, Victoria Wünsche</w:t>
      </w: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, Ping-Ping Jiang</w:t>
      </w:r>
      <w:r w:rsidRPr="00190CDF">
        <w:rPr>
          <w:sz w:val="22"/>
          <w:szCs w:val="22"/>
          <w:vertAlign w:val="superscript"/>
          <w:lang w:val="en-GB"/>
        </w:rPr>
        <w:t>4,6</w:t>
      </w:r>
      <w:r w:rsidRPr="00190CDF">
        <w:rPr>
          <w:sz w:val="22"/>
          <w:szCs w:val="22"/>
          <w:lang w:val="en-GB"/>
        </w:rPr>
        <w:t xml:space="preserve"> Stefan Wirth</w:t>
      </w:r>
      <w:r w:rsidRPr="00190CDF">
        <w:rPr>
          <w:sz w:val="22"/>
          <w:szCs w:val="22"/>
          <w:vertAlign w:val="superscript"/>
          <w:lang w:val="en-GB"/>
        </w:rPr>
        <w:t>2</w:t>
      </w:r>
      <w:r w:rsidRPr="00190CDF">
        <w:rPr>
          <w:sz w:val="22"/>
          <w:szCs w:val="22"/>
          <w:lang w:val="en-GB"/>
        </w:rPr>
        <w:t>, Andreas C. W. Jenke</w:t>
      </w:r>
      <w:r w:rsidRPr="00190CDF">
        <w:rPr>
          <w:sz w:val="22"/>
          <w:szCs w:val="22"/>
          <w:vertAlign w:val="superscript"/>
          <w:lang w:val="en-GB"/>
        </w:rPr>
        <w:t>7</w:t>
      </w:r>
      <w:r w:rsidRPr="00190CDF">
        <w:rPr>
          <w:sz w:val="22"/>
          <w:szCs w:val="22"/>
          <w:lang w:val="en-GB"/>
        </w:rPr>
        <w:t>, Per Torp Sangild</w:t>
      </w: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>, Florian Kreppel</w:t>
      </w: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, Jan Postberg</w:t>
      </w:r>
      <w:proofErr w:type="gramStart"/>
      <w:r w:rsidRPr="00190CDF">
        <w:rPr>
          <w:sz w:val="22"/>
          <w:szCs w:val="22"/>
          <w:vertAlign w:val="superscript"/>
          <w:lang w:val="en-GB"/>
        </w:rPr>
        <w:t>1,*</w:t>
      </w:r>
      <w:proofErr w:type="gramEnd"/>
    </w:p>
    <w:p w14:paraId="35D7A957" w14:textId="3AB45CC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lang w:val="en-GB"/>
        </w:rPr>
        <w:t>*</w:t>
      </w:r>
      <w:proofErr w:type="gramStart"/>
      <w:r w:rsidRPr="00190CDF">
        <w:rPr>
          <w:sz w:val="22"/>
          <w:szCs w:val="22"/>
          <w:lang w:val="en-GB"/>
        </w:rPr>
        <w:t>corresponding</w:t>
      </w:r>
      <w:proofErr w:type="gramEnd"/>
      <w:r w:rsidRPr="00190CDF">
        <w:rPr>
          <w:sz w:val="22"/>
          <w:szCs w:val="22"/>
          <w:lang w:val="en-GB"/>
        </w:rPr>
        <w:t xml:space="preserve"> author</w:t>
      </w:r>
    </w:p>
    <w:p w14:paraId="003439F9" w14:textId="4BD37C35" w:rsidR="00C15AD3" w:rsidRPr="00190CDF" w:rsidRDefault="00C15AD3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64368B6B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1</w:t>
      </w:r>
      <w:r w:rsidRPr="00190CDF">
        <w:rPr>
          <w:sz w:val="22"/>
          <w:szCs w:val="22"/>
          <w:lang w:val="en-GB"/>
        </w:rPr>
        <w:t>Clinical Molecular Genetics and Epigenetics, Faculty of Health, Centre for Biomedical Education &amp; Research (ZBAF),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Alfred-</w:t>
      </w:r>
      <w:proofErr w:type="spellStart"/>
      <w:r w:rsidRPr="00190CDF">
        <w:rPr>
          <w:sz w:val="22"/>
          <w:szCs w:val="22"/>
          <w:lang w:val="en-GB"/>
        </w:rPr>
        <w:t>Herrhausen</w:t>
      </w:r>
      <w:proofErr w:type="spellEnd"/>
      <w:r w:rsidRPr="00190CDF">
        <w:rPr>
          <w:sz w:val="22"/>
          <w:szCs w:val="22"/>
          <w:lang w:val="en-GB"/>
        </w:rPr>
        <w:t>-Str. 50, 58448 Witten, Germany</w:t>
      </w:r>
    </w:p>
    <w:p w14:paraId="1B8F6CA7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GB"/>
        </w:rPr>
        <w:t>2</w:t>
      </w:r>
      <w:r w:rsidRPr="00190CDF">
        <w:rPr>
          <w:sz w:val="22"/>
          <w:szCs w:val="22"/>
          <w:lang w:val="en-GB"/>
        </w:rPr>
        <w:t>HELIOS University Hospital Wuppertal, Children’s Hospital, Centre for Clinical &amp; Translational Research (CCTR),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Heusnerstr</w:t>
      </w:r>
      <w:proofErr w:type="spellEnd"/>
      <w:r w:rsidRPr="00190CDF">
        <w:rPr>
          <w:sz w:val="22"/>
          <w:szCs w:val="22"/>
          <w:lang w:val="en-GB"/>
        </w:rPr>
        <w:t xml:space="preserve">. </w:t>
      </w:r>
      <w:r w:rsidRPr="00190CDF">
        <w:rPr>
          <w:sz w:val="22"/>
          <w:szCs w:val="22"/>
          <w:lang w:val="en-US"/>
        </w:rPr>
        <w:t>40, 42283 Wuppertal, Germany</w:t>
      </w:r>
    </w:p>
    <w:p w14:paraId="684801E8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3</w:t>
      </w:r>
      <w:r w:rsidRPr="00190CDF">
        <w:rPr>
          <w:sz w:val="22"/>
          <w:szCs w:val="22"/>
          <w:lang w:val="en-GB"/>
        </w:rPr>
        <w:t>Chair of Biochemistry and Molecular Medicine, Faculty of Health, Centre for Biomedical Education and Research (ZBAF),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Stockumer</w:t>
      </w:r>
      <w:proofErr w:type="spellEnd"/>
      <w:r w:rsidRPr="00190CDF">
        <w:rPr>
          <w:sz w:val="22"/>
          <w:szCs w:val="22"/>
          <w:lang w:val="en-GB"/>
        </w:rPr>
        <w:t xml:space="preserve"> Str. 10, 58453 Witten, Germany</w:t>
      </w:r>
    </w:p>
    <w:p w14:paraId="2D7E06CF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sz w:val="22"/>
          <w:szCs w:val="22"/>
          <w:vertAlign w:val="superscript"/>
          <w:lang w:val="en-GB"/>
        </w:rPr>
        <w:t>4</w:t>
      </w:r>
      <w:r w:rsidRPr="00190CDF">
        <w:rPr>
          <w:sz w:val="22"/>
          <w:szCs w:val="22"/>
          <w:lang w:val="en-GB"/>
        </w:rPr>
        <w:t xml:space="preserve">Comparative </w:t>
      </w:r>
      <w:proofErr w:type="spellStart"/>
      <w:r w:rsidRPr="00190CDF">
        <w:rPr>
          <w:sz w:val="22"/>
          <w:szCs w:val="22"/>
          <w:lang w:val="en-GB"/>
        </w:rPr>
        <w:t>Pediatrics</w:t>
      </w:r>
      <w:proofErr w:type="spellEnd"/>
      <w:r w:rsidRPr="00190CDF">
        <w:rPr>
          <w:sz w:val="22"/>
          <w:szCs w:val="22"/>
          <w:lang w:val="en-GB"/>
        </w:rPr>
        <w:t xml:space="preserve"> and Nutrition, Department of Veterinary and Animal Sciences, University of Copenhagen, Copenhagen, Denmark</w:t>
      </w:r>
    </w:p>
    <w:p w14:paraId="56D811C2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US"/>
        </w:rPr>
        <w:t>5</w:t>
      </w:r>
      <w:r w:rsidRPr="00190CDF">
        <w:rPr>
          <w:sz w:val="22"/>
          <w:szCs w:val="22"/>
          <w:lang w:val="en-GB"/>
        </w:rPr>
        <w:t>HELIOS University Hospital Wuppertal, D</w:t>
      </w:r>
      <w:proofErr w:type="spellStart"/>
      <w:r w:rsidRPr="00190CDF">
        <w:rPr>
          <w:rFonts w:eastAsiaTheme="minorHAnsi"/>
          <w:sz w:val="22"/>
          <w:szCs w:val="22"/>
          <w:lang w:val="en-US" w:eastAsia="en-US"/>
        </w:rPr>
        <w:t>epartment</w:t>
      </w:r>
      <w:proofErr w:type="spellEnd"/>
      <w:r w:rsidRPr="00190CDF">
        <w:rPr>
          <w:rFonts w:eastAsiaTheme="minorHAnsi"/>
          <w:sz w:val="22"/>
          <w:szCs w:val="22"/>
          <w:lang w:val="en-US" w:eastAsia="en-US"/>
        </w:rPr>
        <w:t xml:space="preserve"> of Surgery II, </w:t>
      </w:r>
      <w:r w:rsidRPr="00190CDF">
        <w:rPr>
          <w:sz w:val="22"/>
          <w:szCs w:val="22"/>
          <w:lang w:val="en-GB"/>
        </w:rPr>
        <w:t>Centre for Clinical &amp; Translational Research (CCTR), Witten/</w:t>
      </w:r>
      <w:proofErr w:type="spellStart"/>
      <w:r w:rsidRPr="00190CDF">
        <w:rPr>
          <w:sz w:val="22"/>
          <w:szCs w:val="22"/>
          <w:lang w:val="en-GB"/>
        </w:rPr>
        <w:t>Herdecke</w:t>
      </w:r>
      <w:proofErr w:type="spellEnd"/>
      <w:r w:rsidRPr="00190CDF">
        <w:rPr>
          <w:sz w:val="22"/>
          <w:szCs w:val="22"/>
          <w:lang w:val="en-GB"/>
        </w:rPr>
        <w:t xml:space="preserve"> University, </w:t>
      </w:r>
      <w:proofErr w:type="spellStart"/>
      <w:r w:rsidRPr="00190CDF">
        <w:rPr>
          <w:sz w:val="22"/>
          <w:szCs w:val="22"/>
          <w:lang w:val="en-GB"/>
        </w:rPr>
        <w:t>Heusnerstr</w:t>
      </w:r>
      <w:proofErr w:type="spellEnd"/>
      <w:r w:rsidRPr="00190CDF">
        <w:rPr>
          <w:sz w:val="22"/>
          <w:szCs w:val="22"/>
          <w:lang w:val="en-GB"/>
        </w:rPr>
        <w:t xml:space="preserve">. </w:t>
      </w:r>
      <w:r w:rsidRPr="00190CDF">
        <w:rPr>
          <w:sz w:val="22"/>
          <w:szCs w:val="22"/>
          <w:lang w:val="en-US"/>
        </w:rPr>
        <w:t>40, 42283 Wuppertal, Germany</w:t>
      </w:r>
    </w:p>
    <w:p w14:paraId="3A2E2228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  <w:lang w:val="en-US"/>
        </w:rPr>
        <w:t>6</w:t>
      </w:r>
      <w:r w:rsidRPr="00190CDF">
        <w:rPr>
          <w:sz w:val="22"/>
          <w:szCs w:val="22"/>
          <w:lang w:val="en-US"/>
        </w:rPr>
        <w:t xml:space="preserve">School of Public Health, Sun </w:t>
      </w:r>
      <w:proofErr w:type="spellStart"/>
      <w:r w:rsidRPr="00190CDF">
        <w:rPr>
          <w:sz w:val="22"/>
          <w:szCs w:val="22"/>
          <w:lang w:val="en-US"/>
        </w:rPr>
        <w:t>Yat-sen</w:t>
      </w:r>
      <w:proofErr w:type="spellEnd"/>
      <w:r w:rsidRPr="00190CDF">
        <w:rPr>
          <w:sz w:val="22"/>
          <w:szCs w:val="22"/>
          <w:lang w:val="en-US"/>
        </w:rPr>
        <w:t xml:space="preserve"> University, Guangzhou, China</w:t>
      </w:r>
    </w:p>
    <w:p w14:paraId="16E13AD7" w14:textId="77777777" w:rsidR="00C15AD3" w:rsidRPr="00190CDF" w:rsidRDefault="00C15AD3" w:rsidP="00345E7E">
      <w:pPr>
        <w:spacing w:line="480" w:lineRule="auto"/>
        <w:rPr>
          <w:sz w:val="22"/>
          <w:szCs w:val="22"/>
          <w:lang w:val="en-US"/>
        </w:rPr>
      </w:pPr>
      <w:r w:rsidRPr="00190CDF">
        <w:rPr>
          <w:sz w:val="22"/>
          <w:szCs w:val="22"/>
          <w:vertAlign w:val="superscript"/>
        </w:rPr>
        <w:t>7</w:t>
      </w:r>
      <w:r w:rsidRPr="00190CDF">
        <w:rPr>
          <w:sz w:val="22"/>
          <w:szCs w:val="22"/>
        </w:rPr>
        <w:t xml:space="preserve">Klinikum Kassel, Zentrum für Kinder- und Jugendmedizin, Neonatologie und allgemeine Pädiatrie, </w:t>
      </w:r>
      <w:proofErr w:type="spellStart"/>
      <w:r w:rsidRPr="00190CDF">
        <w:rPr>
          <w:sz w:val="22"/>
          <w:szCs w:val="22"/>
        </w:rPr>
        <w:t>Mönchebergstr</w:t>
      </w:r>
      <w:proofErr w:type="spellEnd"/>
      <w:r w:rsidRPr="00190CDF">
        <w:rPr>
          <w:sz w:val="22"/>
          <w:szCs w:val="22"/>
        </w:rPr>
        <w:t xml:space="preserve">. </w:t>
      </w:r>
      <w:r w:rsidRPr="00190CDF">
        <w:rPr>
          <w:sz w:val="22"/>
          <w:szCs w:val="22"/>
          <w:lang w:val="en-US"/>
        </w:rPr>
        <w:t>41-43, 34125 Kassel, Germany</w:t>
      </w:r>
    </w:p>
    <w:p w14:paraId="190EB4B0" w14:textId="4A7356D9" w:rsidR="00C15AD3" w:rsidRPr="00190CDF" w:rsidRDefault="00C15AD3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45D798A0" w14:textId="7B070B23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584335D3" w14:textId="2574C016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0AF9DD11" w14:textId="77777777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088DEB9" w14:textId="77777777" w:rsidR="003B53BB" w:rsidRPr="00190CDF" w:rsidRDefault="003B53BB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4FF1DBF" w14:textId="45FE9C29" w:rsidR="00A17411" w:rsidRPr="00190CDF" w:rsidRDefault="00345E7E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  <w:r>
        <w:rPr>
          <w:b/>
          <w:bCs/>
          <w:color w:val="000000" w:themeColor="text1"/>
          <w:sz w:val="22"/>
          <w:szCs w:val="22"/>
          <w:lang w:val="en-GB"/>
        </w:rPr>
        <w:lastRenderedPageBreak/>
        <w:t>Supporting information and captions</w:t>
      </w:r>
    </w:p>
    <w:p w14:paraId="7A25169A" w14:textId="77777777" w:rsidR="00A17411" w:rsidRPr="00190CDF" w:rsidRDefault="00A17411" w:rsidP="00345E7E">
      <w:pPr>
        <w:spacing w:line="480" w:lineRule="auto"/>
        <w:rPr>
          <w:b/>
          <w:bCs/>
          <w:color w:val="000000" w:themeColor="text1"/>
          <w:sz w:val="22"/>
          <w:szCs w:val="22"/>
          <w:lang w:val="en-GB"/>
        </w:rPr>
      </w:pPr>
    </w:p>
    <w:p w14:paraId="7BE119A3" w14:textId="77777777" w:rsidR="00A17411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</w:rPr>
        <w:drawing>
          <wp:inline distT="0" distB="0" distL="0" distR="0" wp14:anchorId="3BA4D474" wp14:editId="3D772874">
            <wp:extent cx="5756910" cy="5756910"/>
            <wp:effectExtent l="0" t="0" r="0" b="0"/>
            <wp:docPr id="4" name="Grafik 4" descr="Ein Bild, das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lBiolEvol_FigS1_25feb2020_P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809F" w14:textId="14575AC8" w:rsidR="00A17411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S1.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Illustration of theoretical regulatory contributions of breast milk microRNAs in the offspring.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 xml:space="preserve"> A. </w:t>
      </w:r>
      <w:r w:rsidRPr="00190CDF">
        <w:rPr>
          <w:color w:val="000000" w:themeColor="text1"/>
          <w:sz w:val="22"/>
          <w:szCs w:val="22"/>
          <w:lang w:val="en-GB"/>
        </w:rPr>
        <w:t xml:space="preserve">Posttranscription </w:t>
      </w:r>
      <w:r w:rsidRPr="00190CDF">
        <w:rPr>
          <w:sz w:val="22"/>
          <w:szCs w:val="22"/>
          <w:lang w:val="en-GB"/>
        </w:rPr>
        <w:t xml:space="preserve">gene silencing (PTGS) depends on the targeting of mRNAs by microRNAs leading to their suppression through mRNA decay or translational blocking. With respect to any virtual gene-of-interest (GOI) a given microRNA can act directly on a GOIs mRNA or upstream in its regulatory hierarchy on a GOIs master activator’s mRNA or, respectively, on a master repressor mRNA.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The regulatory contribution of breast milk microRNAs can theoretically explain any gene expression pattern observable during and around the nursing period.</w:t>
      </w:r>
    </w:p>
    <w:p w14:paraId="76426625" w14:textId="6C55A22F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2C3BD1F2" w14:textId="0DF207E9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675AC390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200D51AB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</w:rPr>
        <w:drawing>
          <wp:inline distT="0" distB="0" distL="0" distR="0" wp14:anchorId="1755B73D" wp14:editId="4E635F39">
            <wp:extent cx="4388931" cy="2468955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4049" cy="25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C53E" w14:textId="6AA5437C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S2</w:t>
      </w:r>
      <w:r w:rsidRPr="00190CDF">
        <w:rPr>
          <w:b/>
          <w:bCs/>
          <w:sz w:val="22"/>
          <w:szCs w:val="22"/>
          <w:lang w:val="en-GB"/>
        </w:rPr>
        <w:t>.</w:t>
      </w:r>
      <w:r w:rsidRPr="00190CDF">
        <w:rPr>
          <w:i/>
          <w:iCs/>
          <w:sz w:val="22"/>
          <w:szCs w:val="22"/>
          <w:lang w:val="en-GB"/>
        </w:rPr>
        <w:t xml:space="preserve"> Results of principal component analyses of microRNAs shared by all taxa under investigation.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Quadrants I and IV (section magnified on the right) harbour all specimens whereby all human specimens (blue: hsa1-7) are clustering. Slightly separated is a separated scattered cluster harbouring all herbivorous specimens (yellow to green: bta1-4, cae1-2, </w:t>
      </w:r>
      <w:proofErr w:type="spellStart"/>
      <w:r w:rsidRPr="00190CDF">
        <w:rPr>
          <w:sz w:val="22"/>
          <w:szCs w:val="22"/>
          <w:lang w:val="en-GB"/>
        </w:rPr>
        <w:t>eas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eca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ogm</w:t>
      </w:r>
      <w:proofErr w:type="spellEnd"/>
      <w:r w:rsidRPr="00190CDF">
        <w:rPr>
          <w:sz w:val="22"/>
          <w:szCs w:val="22"/>
          <w:lang w:val="en-GB"/>
        </w:rPr>
        <w:t xml:space="preserve">, </w:t>
      </w:r>
      <w:proofErr w:type="spellStart"/>
      <w:r w:rsidRPr="00190CDF">
        <w:rPr>
          <w:sz w:val="22"/>
          <w:szCs w:val="22"/>
          <w:lang w:val="en-GB"/>
        </w:rPr>
        <w:t>ojo</w:t>
      </w:r>
      <w:proofErr w:type="spellEnd"/>
      <w:r w:rsidRPr="00190CDF">
        <w:rPr>
          <w:sz w:val="22"/>
          <w:szCs w:val="22"/>
          <w:lang w:val="en-GB"/>
        </w:rPr>
        <w:t xml:space="preserve">) and one dog specimen (red arrow: </w:t>
      </w:r>
      <w:proofErr w:type="spellStart"/>
      <w:r w:rsidRPr="00190CDF">
        <w:rPr>
          <w:sz w:val="22"/>
          <w:szCs w:val="22"/>
          <w:lang w:val="en-GB"/>
        </w:rPr>
        <w:t>clu</w:t>
      </w:r>
      <w:proofErr w:type="spellEnd"/>
      <w:r w:rsidRPr="00190CDF">
        <w:rPr>
          <w:sz w:val="22"/>
          <w:szCs w:val="22"/>
          <w:lang w:val="en-GB"/>
        </w:rPr>
        <w:t xml:space="preserve">). Above is a mini-cluster comprising both porcine specimens (pink: ssc1-2) and separated the cat specimen (red: </w:t>
      </w:r>
      <w:proofErr w:type="spellStart"/>
      <w:r w:rsidRPr="00190CDF">
        <w:rPr>
          <w:sz w:val="22"/>
          <w:szCs w:val="22"/>
          <w:lang w:val="en-GB"/>
        </w:rPr>
        <w:t>fca</w:t>
      </w:r>
      <w:proofErr w:type="spellEnd"/>
      <w:r w:rsidRPr="00190CDF">
        <w:rPr>
          <w:sz w:val="22"/>
          <w:szCs w:val="22"/>
          <w:lang w:val="en-GB"/>
        </w:rPr>
        <w:t>).</w:t>
      </w:r>
    </w:p>
    <w:p w14:paraId="192624B4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0BBFE2FB" w14:textId="77777777" w:rsidR="00AA7C5C" w:rsidRPr="00190CDF" w:rsidRDefault="00AA7C5C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3C6CD7AE" w14:textId="77777777" w:rsidR="00A17411" w:rsidRPr="00190CDF" w:rsidRDefault="00A17411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7C433D6" wp14:editId="2D055DC1">
            <wp:extent cx="3739081" cy="3739081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2_FACS-HIEC-6_transduc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416" cy="41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D122" w14:textId="2E761C01" w:rsidR="00190CDF" w:rsidRPr="00190CDF" w:rsidRDefault="00A17411" w:rsidP="00345E7E">
      <w:pPr>
        <w:spacing w:line="480" w:lineRule="auto"/>
        <w:rPr>
          <w:color w:val="000000" w:themeColor="text1"/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</w:t>
      </w:r>
      <w:r w:rsidR="00AA7C5C" w:rsidRPr="00190CDF">
        <w:rPr>
          <w:b/>
          <w:bCs/>
          <w:color w:val="000000" w:themeColor="text1"/>
          <w:sz w:val="22"/>
          <w:szCs w:val="22"/>
          <w:lang w:val="en-GB"/>
        </w:rPr>
        <w:t>3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>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Transduction </w:t>
      </w:r>
      <w:r w:rsidRPr="00190CDF">
        <w:rPr>
          <w:i/>
          <w:iCs/>
          <w:sz w:val="22"/>
          <w:szCs w:val="22"/>
          <w:lang w:val="en-GB"/>
        </w:rPr>
        <w:t>efficiency.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The efficiency of Ad5-mediated gene transfer to HIEC-6 was measured by flow cytometry. Serial experiments using different MOIs (ctrl, 200, 1000, 5000) in two independent HIEC-6 culture batches (no. 9/10) are shown. </w:t>
      </w:r>
      <w:r w:rsidRPr="00190CDF">
        <w:rPr>
          <w:color w:val="000000" w:themeColor="text1"/>
          <w:sz w:val="22"/>
          <w:szCs w:val="22"/>
          <w:lang w:val="en-GB"/>
        </w:rPr>
        <w:t>Measurements of GFP-positive cells revealed that in HIEC-6 near quantitative transduction (&gt;95% at a MOI</w:t>
      </w:r>
      <w:r w:rsidRPr="00190CDF">
        <w:rPr>
          <w:rFonts w:ascii="Cambria Math" w:hAnsi="Cambria Math" w:cs="Cambria Math"/>
          <w:color w:val="000000" w:themeColor="text1"/>
          <w:sz w:val="22"/>
          <w:szCs w:val="22"/>
          <w:lang w:val="en-GB"/>
        </w:rPr>
        <w:t>≥</w:t>
      </w:r>
      <w:r w:rsidRPr="00190CDF">
        <w:rPr>
          <w:color w:val="000000" w:themeColor="text1"/>
          <w:sz w:val="22"/>
          <w:szCs w:val="22"/>
          <w:lang w:val="en-GB"/>
        </w:rPr>
        <w:t>5.000) could be achieved 96h post-transduction</w:t>
      </w:r>
    </w:p>
    <w:p w14:paraId="06292337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7338B0FF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</w:p>
    <w:p w14:paraId="60EB136E" w14:textId="77777777" w:rsidR="00190CDF" w:rsidRPr="00190CDF" w:rsidRDefault="00190CDF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noProof/>
          <w:sz w:val="22"/>
          <w:szCs w:val="22"/>
          <w:lang w:val="en-GB"/>
        </w:rPr>
        <w:lastRenderedPageBreak/>
        <w:drawing>
          <wp:inline distT="0" distB="0" distL="0" distR="0" wp14:anchorId="264EA501" wp14:editId="321CD149">
            <wp:extent cx="5756910" cy="33172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5946" w14:textId="47DAC2F5" w:rsidR="00190CDF" w:rsidRPr="00190CDF" w:rsidRDefault="00190CDF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S4.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Activity tests for bta-mir-677 using a predicted target sequence cloned into a luciferase 3’-UTR gene segment.</w:t>
      </w:r>
      <w:r w:rsidRPr="00190CDF">
        <w:rPr>
          <w:sz w:val="22"/>
          <w:szCs w:val="22"/>
          <w:lang w:val="en-GB"/>
        </w:rPr>
        <w:t xml:space="preserve"> </w:t>
      </w:r>
      <w:r w:rsidRPr="00190CDF">
        <w:rPr>
          <w:b/>
          <w:bCs/>
          <w:sz w:val="22"/>
          <w:szCs w:val="22"/>
          <w:lang w:val="en-GB"/>
        </w:rPr>
        <w:t>A.</w:t>
      </w:r>
      <w:r w:rsidRPr="00190CDF">
        <w:rPr>
          <w:sz w:val="22"/>
          <w:szCs w:val="22"/>
          <w:lang w:val="en-GB"/>
        </w:rPr>
        <w:t xml:space="preserve"> Cloning of putative bta-miR-677 target motif into the 3’-UTR </w:t>
      </w:r>
      <w:proofErr w:type="gramStart"/>
      <w:r w:rsidRPr="00190CDF">
        <w:rPr>
          <w:sz w:val="22"/>
          <w:szCs w:val="22"/>
          <w:lang w:val="en-GB"/>
        </w:rPr>
        <w:t>region</w:t>
      </w:r>
      <w:proofErr w:type="gramEnd"/>
      <w:r w:rsidRPr="00190CDF">
        <w:rPr>
          <w:sz w:val="22"/>
          <w:szCs w:val="22"/>
          <w:lang w:val="en-GB"/>
        </w:rPr>
        <w:t xml:space="preserve"> of the firefly luciferase gene using Sac1 and Nhe1 for restriction digest.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Results of firefly luciferase silencing by bta-mir-677-like hairpin RNA co-transfected with </w:t>
      </w:r>
      <w:proofErr w:type="spellStart"/>
      <w:r w:rsidRPr="00190CDF">
        <w:rPr>
          <w:sz w:val="22"/>
          <w:szCs w:val="22"/>
          <w:lang w:val="en-GB"/>
        </w:rPr>
        <w:t>pmirGLO</w:t>
      </w:r>
      <w:proofErr w:type="spellEnd"/>
      <w:r w:rsidRPr="00190CDF">
        <w:rPr>
          <w:sz w:val="22"/>
          <w:szCs w:val="22"/>
          <w:lang w:val="en-GB"/>
        </w:rPr>
        <w:t xml:space="preserve"> (Promega) in HeLa cells. </w:t>
      </w:r>
      <w:proofErr w:type="spellStart"/>
      <w:r w:rsidRPr="00190CDF">
        <w:rPr>
          <w:i/>
          <w:iCs/>
          <w:sz w:val="22"/>
          <w:szCs w:val="22"/>
          <w:lang w:val="en-GB"/>
        </w:rPr>
        <w:t>Renilla</w:t>
      </w:r>
      <w:proofErr w:type="spellEnd"/>
      <w:r w:rsidRPr="00190CDF">
        <w:rPr>
          <w:sz w:val="22"/>
          <w:szCs w:val="22"/>
          <w:lang w:val="en-GB"/>
        </w:rPr>
        <w:t xml:space="preserve"> luciferase expression from the same vector was used for normalization in control experiments and upon bta-miR-677-like hairpin co-transfection. Altogether, 22 independent experiments (mock: n=11; bta-miR-677 hairpin: n=11) were conducted.</w:t>
      </w:r>
    </w:p>
    <w:p w14:paraId="58711B17" w14:textId="77777777" w:rsidR="00190CDF" w:rsidRPr="00190CDF" w:rsidRDefault="00190CDF" w:rsidP="00345E7E">
      <w:pPr>
        <w:spacing w:line="480" w:lineRule="auto"/>
        <w:rPr>
          <w:color w:val="000000" w:themeColor="text1"/>
          <w:sz w:val="22"/>
          <w:szCs w:val="22"/>
          <w:lang w:val="en-GB"/>
        </w:rPr>
      </w:pPr>
    </w:p>
    <w:p w14:paraId="6F37D88D" w14:textId="5E9AFF3D" w:rsidR="00222E94" w:rsidRPr="00190CDF" w:rsidRDefault="00222E94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7B3EAE2F" w14:textId="77777777" w:rsidR="00222E94" w:rsidRPr="00190CDF" w:rsidRDefault="00222E94" w:rsidP="00345E7E">
      <w:pPr>
        <w:spacing w:line="480" w:lineRule="auto"/>
        <w:rPr>
          <w:b/>
          <w:bCs/>
          <w:sz w:val="22"/>
          <w:szCs w:val="22"/>
          <w:lang w:val="en-GB"/>
        </w:rPr>
      </w:pPr>
    </w:p>
    <w:p w14:paraId="7DF21F22" w14:textId="77777777" w:rsidR="00A17411" w:rsidRPr="00190CDF" w:rsidRDefault="00A17411" w:rsidP="00345E7E">
      <w:pPr>
        <w:spacing w:line="480" w:lineRule="auto"/>
        <w:rPr>
          <w:b/>
          <w:bCs/>
          <w:sz w:val="22"/>
          <w:szCs w:val="22"/>
          <w:lang w:val="en-GB"/>
        </w:rPr>
      </w:pPr>
      <w:r w:rsidRPr="00190CDF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0BCC824" wp14:editId="7556ECC2">
            <wp:extent cx="3009900" cy="6705600"/>
            <wp:effectExtent l="0" t="0" r="0" b="0"/>
            <wp:docPr id="2" name="Grafik 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lBiolEvol_FigS3_MirX_miR-validation-qPC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88E9" w14:textId="6394C451" w:rsidR="00AA7C5C" w:rsidRPr="00190CDF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b/>
          <w:bCs/>
          <w:color w:val="000000" w:themeColor="text1"/>
          <w:sz w:val="22"/>
          <w:szCs w:val="22"/>
          <w:lang w:val="en-GB"/>
        </w:rPr>
        <w:t>Figure S</w:t>
      </w:r>
      <w:r w:rsidR="00190CDF" w:rsidRPr="00190CDF">
        <w:rPr>
          <w:b/>
          <w:bCs/>
          <w:color w:val="000000" w:themeColor="text1"/>
          <w:sz w:val="22"/>
          <w:szCs w:val="22"/>
          <w:lang w:val="en-GB"/>
        </w:rPr>
        <w:t>5</w:t>
      </w:r>
      <w:r w:rsidRPr="00190CDF">
        <w:rPr>
          <w:b/>
          <w:bCs/>
          <w:color w:val="000000" w:themeColor="text1"/>
          <w:sz w:val="22"/>
          <w:szCs w:val="22"/>
          <w:lang w:val="en-GB"/>
        </w:rPr>
        <w:t>.</w:t>
      </w:r>
      <w:r w:rsidRPr="00190CDF">
        <w:rPr>
          <w:i/>
          <w:iCs/>
          <w:color w:val="000000" w:themeColor="text1"/>
          <w:sz w:val="22"/>
          <w:szCs w:val="22"/>
          <w:lang w:val="en-GB"/>
        </w:rPr>
        <w:t xml:space="preserve"> Tests for the presence of bta-mir-677-like hairpins and mature bta-miR-677-5p or bta-miR-677-3p, respectively</w:t>
      </w:r>
      <w:r w:rsidRPr="00190CDF">
        <w:rPr>
          <w:i/>
          <w:iCs/>
          <w:sz w:val="22"/>
          <w:szCs w:val="22"/>
          <w:lang w:val="en-GB"/>
        </w:rPr>
        <w:t>.</w:t>
      </w:r>
      <w:r w:rsidRPr="00190CDF">
        <w:rPr>
          <w:b/>
          <w:bCs/>
          <w:sz w:val="22"/>
          <w:szCs w:val="22"/>
          <w:lang w:val="en-GB"/>
        </w:rPr>
        <w:t xml:space="preserve"> </w:t>
      </w:r>
      <w:r w:rsidRPr="00190CDF">
        <w:rPr>
          <w:sz w:val="22"/>
          <w:szCs w:val="22"/>
          <w:lang w:val="en-GB"/>
        </w:rPr>
        <w:t xml:space="preserve">Tests were performed using the Mir-X kit (Takara Bio USA, Inc.) in combination with qPCR and PAGE. </w:t>
      </w:r>
      <w:r w:rsidRPr="00190CDF">
        <w:rPr>
          <w:b/>
          <w:bCs/>
          <w:sz w:val="22"/>
          <w:szCs w:val="22"/>
          <w:lang w:val="en-GB"/>
        </w:rPr>
        <w:t>A.</w:t>
      </w:r>
      <w:r w:rsidRPr="00190CDF">
        <w:rPr>
          <w:sz w:val="22"/>
          <w:szCs w:val="22"/>
          <w:lang w:val="en-GB"/>
        </w:rPr>
        <w:t xml:space="preserve"> Briefly, poly[A] polymerase was used to tail the 3’-ends of microRNA precursors and mature microRNAs. Subsequently, 5’-adaptored </w:t>
      </w:r>
      <w:proofErr w:type="gramStart"/>
      <w:r w:rsidRPr="00190CDF">
        <w:rPr>
          <w:sz w:val="22"/>
          <w:szCs w:val="22"/>
          <w:lang w:val="en-GB"/>
        </w:rPr>
        <w:t>oligo</w:t>
      </w:r>
      <w:proofErr w:type="gramEnd"/>
      <w:r w:rsidRPr="00190CDF">
        <w:rPr>
          <w:sz w:val="22"/>
          <w:szCs w:val="22"/>
          <w:lang w:val="en-GB"/>
        </w:rPr>
        <w:t xml:space="preserve">[T]VN was used to prime cDNA synthesis. For qPCR forward primers discriminating precursors and mature microRNAs were used in combination with Mir-X proprietary adaptor-specific reverse primers. </w:t>
      </w:r>
      <w:r w:rsidRPr="00190CDF">
        <w:rPr>
          <w:b/>
          <w:bCs/>
          <w:sz w:val="22"/>
          <w:szCs w:val="22"/>
          <w:lang w:val="en-GB"/>
        </w:rPr>
        <w:t>B.</w:t>
      </w:r>
      <w:r w:rsidRPr="00190CDF">
        <w:rPr>
          <w:sz w:val="22"/>
          <w:szCs w:val="22"/>
          <w:lang w:val="en-GB"/>
        </w:rPr>
        <w:t xml:space="preserve"> The use of forward primers for mature bta-miR-677-5p (red curves) as well as the bta-mir-677-like hairpin </w:t>
      </w:r>
      <w:r w:rsidRPr="00190CDF">
        <w:rPr>
          <w:sz w:val="22"/>
          <w:szCs w:val="22"/>
          <w:lang w:val="en-GB"/>
        </w:rPr>
        <w:lastRenderedPageBreak/>
        <w:t>(brownish curves) resulted in reproducible C</w:t>
      </w:r>
      <w:r w:rsidRPr="00190CDF">
        <w:rPr>
          <w:sz w:val="22"/>
          <w:szCs w:val="22"/>
          <w:vertAlign w:val="subscript"/>
          <w:lang w:val="en-GB"/>
        </w:rPr>
        <w:t>T</w:t>
      </w:r>
      <w:r w:rsidRPr="00190CDF">
        <w:rPr>
          <w:sz w:val="22"/>
          <w:szCs w:val="22"/>
          <w:lang w:val="en-GB"/>
        </w:rPr>
        <w:t xml:space="preserve"> values associated with sharp melting curves in different experiments, whereas the use of primers for mature bta-miR-677-3p resulted in probably unspecific signals (concluded from the irregular melting curves). Control experiments using RNA from wildtype HIEC-6 did not produce reproducible qPCR signals and melting curves (dashed lines in all charts). </w:t>
      </w:r>
      <w:r w:rsidRPr="00190CDF">
        <w:rPr>
          <w:b/>
          <w:bCs/>
          <w:sz w:val="22"/>
          <w:szCs w:val="22"/>
          <w:lang w:val="en-GB"/>
        </w:rPr>
        <w:t>C.</w:t>
      </w:r>
      <w:r w:rsidRPr="00190CDF">
        <w:rPr>
          <w:sz w:val="22"/>
          <w:szCs w:val="22"/>
          <w:lang w:val="en-GB"/>
        </w:rPr>
        <w:t xml:space="preserve"> The PCR amplicons were separated by PAGE (6% PAA) </w:t>
      </w:r>
      <w:proofErr w:type="gramStart"/>
      <w:r w:rsidRPr="00190CDF">
        <w:rPr>
          <w:sz w:val="22"/>
          <w:szCs w:val="22"/>
          <w:lang w:val="en-GB"/>
        </w:rPr>
        <w:t>in order to</w:t>
      </w:r>
      <w:proofErr w:type="gramEnd"/>
      <w:r w:rsidRPr="00190CDF">
        <w:rPr>
          <w:sz w:val="22"/>
          <w:szCs w:val="22"/>
          <w:lang w:val="en-GB"/>
        </w:rPr>
        <w:t xml:space="preserve"> confirm the predicted size shift between microRNA precursors and mature microRNAs, respectively. The band sizes of the mature bta-miR-677-5p (expected size between 60 and 70 bp) as well as the observed shift with respect to the bta-mir-677-like (hairpin) precursor </w:t>
      </w:r>
      <w:proofErr w:type="gramStart"/>
      <w:r w:rsidRPr="00190CDF">
        <w:rPr>
          <w:sz w:val="22"/>
          <w:szCs w:val="22"/>
          <w:lang w:val="en-GB"/>
        </w:rPr>
        <w:t>were in agreement</w:t>
      </w:r>
      <w:proofErr w:type="gramEnd"/>
      <w:r w:rsidRPr="00190CDF">
        <w:rPr>
          <w:sz w:val="22"/>
          <w:szCs w:val="22"/>
          <w:lang w:val="en-GB"/>
        </w:rPr>
        <w:t xml:space="preserve"> with the theoretical expectations, whereas no specific amplicon could be seen for bta-miR-677-3p and wildtype control experiments.</w:t>
      </w:r>
    </w:p>
    <w:p w14:paraId="54AF4514" w14:textId="64C62BF5" w:rsidR="00931348" w:rsidRPr="00C15AD3" w:rsidRDefault="00A17411" w:rsidP="00345E7E">
      <w:pPr>
        <w:spacing w:line="480" w:lineRule="auto"/>
        <w:rPr>
          <w:sz w:val="22"/>
          <w:szCs w:val="22"/>
          <w:lang w:val="en-GB"/>
        </w:rPr>
      </w:pPr>
      <w:r w:rsidRPr="00190CDF">
        <w:rPr>
          <w:lang w:val="en-GB"/>
        </w:rPr>
        <w:fldChar w:fldCharType="begin"/>
      </w:r>
      <w:r w:rsidRPr="00190CDF">
        <w:rPr>
          <w:lang w:val="en-GB"/>
        </w:rPr>
        <w:instrText xml:space="preserve"> ADDIN EN.REFLIST </w:instrText>
      </w:r>
      <w:r w:rsidR="002B4509">
        <w:rPr>
          <w:lang w:val="en-GB"/>
        </w:rPr>
        <w:fldChar w:fldCharType="separate"/>
      </w:r>
      <w:r w:rsidRPr="00190CDF">
        <w:rPr>
          <w:lang w:val="en-GB"/>
        </w:rPr>
        <w:fldChar w:fldCharType="end"/>
      </w:r>
    </w:p>
    <w:sectPr w:rsidR="00931348" w:rsidRPr="00C15AD3" w:rsidSect="00345E7E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epat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w2p0xrpzefw6epdsw5tprvd9zesp5f9rpv&quot;&gt;milk_microRNA_Aug2021&lt;record-ids&gt;&lt;item&gt;7&lt;/item&gt;&lt;item&gt;28&lt;/item&gt;&lt;item&gt;32&lt;/item&gt;&lt;item&gt;38&lt;/item&gt;&lt;item&gt;40&lt;/item&gt;&lt;/record-ids&gt;&lt;/item&gt;&lt;/Libraries&gt;"/>
  </w:docVars>
  <w:rsids>
    <w:rsidRoot w:val="00931348"/>
    <w:rsid w:val="0003295E"/>
    <w:rsid w:val="000E3680"/>
    <w:rsid w:val="00176C4E"/>
    <w:rsid w:val="00190CDF"/>
    <w:rsid w:val="002206BD"/>
    <w:rsid w:val="00222E94"/>
    <w:rsid w:val="002B4509"/>
    <w:rsid w:val="00345E7E"/>
    <w:rsid w:val="003B53BB"/>
    <w:rsid w:val="00575A7B"/>
    <w:rsid w:val="00856D62"/>
    <w:rsid w:val="00931348"/>
    <w:rsid w:val="00A17411"/>
    <w:rsid w:val="00AA1610"/>
    <w:rsid w:val="00AA7C5C"/>
    <w:rsid w:val="00C15AD3"/>
    <w:rsid w:val="00C23722"/>
    <w:rsid w:val="00CF5F4C"/>
    <w:rsid w:val="00E32FF5"/>
    <w:rsid w:val="00F549A0"/>
    <w:rsid w:val="00FA72B7"/>
    <w:rsid w:val="00FC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629F48"/>
  <w15:chartTrackingRefBased/>
  <w15:docId w15:val="{B5C7E980-9969-5145-ACAA-A8CC11BC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1348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31348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A17411"/>
    <w:pPr>
      <w:jc w:val="center"/>
    </w:p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A17411"/>
    <w:rPr>
      <w:rFonts w:ascii="Times New Roman" w:eastAsia="Times New Roman" w:hAnsi="Times New Roman" w:cs="Times New Roman"/>
      <w:lang w:eastAsia="de-DE"/>
    </w:rPr>
  </w:style>
  <w:style w:type="paragraph" w:customStyle="1" w:styleId="EndNoteBibliography">
    <w:name w:val="EndNote Bibliography"/>
    <w:basedOn w:val="Standard"/>
    <w:link w:val="EndNoteBibliographyZchn"/>
    <w:rsid w:val="00A17411"/>
  </w:style>
  <w:style w:type="character" w:customStyle="1" w:styleId="EndNoteBibliographyZchn">
    <w:name w:val="EndNote Bibliography Zchn"/>
    <w:basedOn w:val="Absatz-Standardschriftart"/>
    <w:link w:val="EndNoteBibliography"/>
    <w:rsid w:val="00A17411"/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7411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345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753</Words>
  <Characters>4745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Postberg, Jan</dc:creator>
  <cp:keywords/>
  <dc:description/>
  <cp:lastModifiedBy>Postberg, Jan</cp:lastModifiedBy>
  <cp:revision>2</cp:revision>
  <cp:lastPrinted>2021-09-03T08:19:00Z</cp:lastPrinted>
  <dcterms:created xsi:type="dcterms:W3CDTF">2021-09-20T12:03:00Z</dcterms:created>
  <dcterms:modified xsi:type="dcterms:W3CDTF">2021-09-20T12:03:00Z</dcterms:modified>
</cp:coreProperties>
</file>