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0A30B" w14:textId="229D994E" w:rsidR="00B71FAA" w:rsidRPr="00D3267F" w:rsidRDefault="00B71FAA" w:rsidP="00B71FAA">
      <w:pPr>
        <w:spacing w:after="60" w:line="480" w:lineRule="auto"/>
        <w:rPr>
          <w:rFonts w:ascii="Arial" w:hAnsi="Arial" w:cs="Arial"/>
          <w:b/>
          <w:bCs/>
        </w:rPr>
      </w:pPr>
      <w:r w:rsidRPr="26E0C6B4">
        <w:rPr>
          <w:rFonts w:ascii="Arial" w:hAnsi="Arial" w:cs="Arial"/>
          <w:b/>
          <w:bCs/>
        </w:rPr>
        <w:t xml:space="preserve">Figure S1: Correlations of </w:t>
      </w:r>
      <w:r w:rsidR="446F8718" w:rsidRPr="26E0C6B4">
        <w:rPr>
          <w:rFonts w:ascii="Arial" w:hAnsi="Arial" w:cs="Arial"/>
          <w:b/>
          <w:bCs/>
        </w:rPr>
        <w:t xml:space="preserve">Observed </w:t>
      </w:r>
      <w:r w:rsidR="00F31F8F" w:rsidRPr="26E0C6B4">
        <w:rPr>
          <w:rFonts w:ascii="Arial" w:hAnsi="Arial" w:cs="Arial"/>
          <w:b/>
          <w:bCs/>
        </w:rPr>
        <w:t>(</w:t>
      </w:r>
      <w:r w:rsidR="00B66EED" w:rsidRPr="26E0C6B4">
        <w:rPr>
          <w:rFonts w:ascii="Arial" w:hAnsi="Arial" w:cs="Arial"/>
          <w:b/>
          <w:bCs/>
        </w:rPr>
        <w:t xml:space="preserve">A, B) </w:t>
      </w:r>
      <w:r w:rsidRPr="26E0C6B4">
        <w:rPr>
          <w:rFonts w:ascii="Arial" w:hAnsi="Arial" w:cs="Arial"/>
          <w:b/>
          <w:bCs/>
        </w:rPr>
        <w:t xml:space="preserve">ID50 and </w:t>
      </w:r>
      <w:r w:rsidR="00B66EED" w:rsidRPr="26E0C6B4">
        <w:rPr>
          <w:rFonts w:ascii="Arial" w:hAnsi="Arial" w:cs="Arial"/>
          <w:b/>
          <w:bCs/>
        </w:rPr>
        <w:t xml:space="preserve">(C, D) </w:t>
      </w:r>
      <w:r w:rsidRPr="26E0C6B4">
        <w:rPr>
          <w:rFonts w:ascii="Arial" w:hAnsi="Arial" w:cs="Arial"/>
          <w:b/>
          <w:bCs/>
        </w:rPr>
        <w:t xml:space="preserve">ID80 </w:t>
      </w:r>
      <w:r w:rsidR="00F54235" w:rsidRPr="26E0C6B4">
        <w:rPr>
          <w:rFonts w:ascii="Arial" w:hAnsi="Arial" w:cs="Arial"/>
          <w:b/>
          <w:bCs/>
        </w:rPr>
        <w:t>t</w:t>
      </w:r>
      <w:r w:rsidR="3CAA99D7" w:rsidRPr="26E0C6B4">
        <w:rPr>
          <w:rFonts w:ascii="Arial" w:hAnsi="Arial" w:cs="Arial"/>
          <w:b/>
          <w:bCs/>
        </w:rPr>
        <w:t xml:space="preserve">iters </w:t>
      </w:r>
      <w:r w:rsidRPr="26E0C6B4">
        <w:rPr>
          <w:rFonts w:ascii="Arial" w:hAnsi="Arial" w:cs="Arial"/>
          <w:b/>
          <w:bCs/>
        </w:rPr>
        <w:t>between Day 29 and Day 57 vaccine</w:t>
      </w:r>
      <w:r w:rsidR="000E243E" w:rsidRPr="26E0C6B4">
        <w:rPr>
          <w:rFonts w:ascii="Arial" w:hAnsi="Arial" w:cs="Arial"/>
          <w:b/>
          <w:bCs/>
        </w:rPr>
        <w:t>e</w:t>
      </w:r>
      <w:r w:rsidRPr="26E0C6B4">
        <w:rPr>
          <w:rFonts w:ascii="Arial" w:hAnsi="Arial" w:cs="Arial"/>
          <w:b/>
          <w:bCs/>
        </w:rPr>
        <w:t xml:space="preserve"> samples measured by </w:t>
      </w:r>
      <w:r w:rsidR="00B66EED" w:rsidRPr="26E0C6B4">
        <w:rPr>
          <w:rFonts w:ascii="Arial" w:hAnsi="Arial" w:cs="Arial"/>
          <w:b/>
          <w:bCs/>
        </w:rPr>
        <w:t xml:space="preserve">(A, C) </w:t>
      </w:r>
      <w:r w:rsidRPr="26E0C6B4">
        <w:rPr>
          <w:rFonts w:ascii="Arial" w:hAnsi="Arial" w:cs="Arial"/>
          <w:b/>
          <w:bCs/>
        </w:rPr>
        <w:t>Duke and</w:t>
      </w:r>
      <w:r w:rsidR="00B66EED" w:rsidRPr="26E0C6B4">
        <w:rPr>
          <w:rFonts w:ascii="Arial" w:hAnsi="Arial" w:cs="Arial"/>
          <w:b/>
          <w:bCs/>
        </w:rPr>
        <w:t xml:space="preserve"> (B, D)</w:t>
      </w:r>
      <w:r w:rsidRPr="26E0C6B4">
        <w:rPr>
          <w:rFonts w:ascii="Arial" w:hAnsi="Arial" w:cs="Arial"/>
          <w:b/>
          <w:bCs/>
        </w:rPr>
        <w:t xml:space="preserve"> Monogram.    </w:t>
      </w:r>
    </w:p>
    <w:p w14:paraId="70CBC153" w14:textId="06D85485" w:rsidR="00B71FAA" w:rsidRDefault="00F31F8F" w:rsidP="00B66EED">
      <w:pPr>
        <w:spacing w:after="60" w:line="480" w:lineRule="auto"/>
        <w:ind w:left="-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2F1B74" wp14:editId="6829B892">
            <wp:extent cx="6961797" cy="5553075"/>
            <wp:effectExtent l="0" t="0" r="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130" cy="55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6F4F" w14:textId="77777777" w:rsidR="00B71FAA" w:rsidRDefault="00B71FAA" w:rsidP="00B71FA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1EF01BE" w14:textId="3C9DDDEF" w:rsidR="00B71FAA" w:rsidRPr="00D3267F" w:rsidRDefault="00B71FAA" w:rsidP="00B71FAA">
      <w:pPr>
        <w:spacing w:after="60" w:line="480" w:lineRule="auto"/>
        <w:rPr>
          <w:rFonts w:ascii="Arial" w:hAnsi="Arial" w:cs="Arial"/>
          <w:b/>
          <w:bCs/>
        </w:rPr>
      </w:pPr>
      <w:r w:rsidRPr="26E0C6B4">
        <w:rPr>
          <w:rFonts w:ascii="Arial" w:hAnsi="Arial" w:cs="Arial"/>
          <w:b/>
          <w:bCs/>
        </w:rPr>
        <w:lastRenderedPageBreak/>
        <w:t xml:space="preserve">Figure S2: Comparisons of the performance of Approach 1 based on calibration factor calculated using the </w:t>
      </w:r>
      <w:r w:rsidR="00126E32" w:rsidRPr="26E0C6B4">
        <w:rPr>
          <w:rFonts w:ascii="Arial" w:hAnsi="Arial" w:cs="Arial"/>
          <w:b/>
          <w:bCs/>
        </w:rPr>
        <w:t xml:space="preserve">(A, D) </w:t>
      </w:r>
      <w:r w:rsidR="0041571C" w:rsidRPr="26E0C6B4">
        <w:rPr>
          <w:rFonts w:ascii="Arial" w:hAnsi="Arial" w:cs="Arial"/>
          <w:b/>
          <w:bCs/>
        </w:rPr>
        <w:t xml:space="preserve">arithmetic </w:t>
      </w:r>
      <w:r w:rsidR="00126E32" w:rsidRPr="26E0C6B4">
        <w:rPr>
          <w:rFonts w:ascii="Arial" w:hAnsi="Arial" w:cs="Arial"/>
          <w:b/>
          <w:bCs/>
        </w:rPr>
        <w:t xml:space="preserve">mean, (B, E) </w:t>
      </w:r>
      <w:r w:rsidRPr="26E0C6B4">
        <w:rPr>
          <w:rFonts w:ascii="Arial" w:hAnsi="Arial" w:cs="Arial"/>
          <w:b/>
          <w:bCs/>
        </w:rPr>
        <w:t xml:space="preserve">geometric mean, </w:t>
      </w:r>
      <w:r w:rsidR="00126E32" w:rsidRPr="26E0C6B4">
        <w:rPr>
          <w:rFonts w:ascii="Arial" w:hAnsi="Arial" w:cs="Arial"/>
          <w:b/>
          <w:bCs/>
        </w:rPr>
        <w:t>or (C</w:t>
      </w:r>
      <w:r w:rsidR="2256CB15" w:rsidRPr="26E0C6B4">
        <w:rPr>
          <w:rFonts w:ascii="Arial" w:hAnsi="Arial" w:cs="Arial"/>
          <w:b/>
          <w:bCs/>
        </w:rPr>
        <w:t>, F</w:t>
      </w:r>
      <w:r w:rsidR="00126E32" w:rsidRPr="26E0C6B4">
        <w:rPr>
          <w:rFonts w:ascii="Arial" w:hAnsi="Arial" w:cs="Arial"/>
          <w:b/>
          <w:bCs/>
        </w:rPr>
        <w:t xml:space="preserve">) </w:t>
      </w:r>
      <w:r w:rsidRPr="26E0C6B4">
        <w:rPr>
          <w:rFonts w:ascii="Arial" w:hAnsi="Arial" w:cs="Arial"/>
          <w:b/>
          <w:bCs/>
        </w:rPr>
        <w:t>median and</w:t>
      </w:r>
      <w:r w:rsidR="00126E32" w:rsidRPr="26E0C6B4">
        <w:rPr>
          <w:rFonts w:ascii="Arial" w:hAnsi="Arial" w:cs="Arial"/>
          <w:b/>
          <w:bCs/>
        </w:rPr>
        <w:t xml:space="preserve"> (A-C)</w:t>
      </w:r>
      <w:r w:rsidRPr="26E0C6B4">
        <w:rPr>
          <w:rFonts w:ascii="Arial" w:hAnsi="Arial" w:cs="Arial"/>
          <w:b/>
          <w:bCs/>
        </w:rPr>
        <w:t xml:space="preserve"> ID50 or </w:t>
      </w:r>
      <w:r w:rsidR="00126E32" w:rsidRPr="26E0C6B4">
        <w:rPr>
          <w:rFonts w:ascii="Arial" w:hAnsi="Arial" w:cs="Arial"/>
          <w:b/>
          <w:bCs/>
        </w:rPr>
        <w:t>(D-</w:t>
      </w:r>
      <w:r w:rsidR="5C24231C" w:rsidRPr="26E0C6B4">
        <w:rPr>
          <w:rFonts w:ascii="Arial" w:hAnsi="Arial" w:cs="Arial"/>
          <w:b/>
          <w:bCs/>
        </w:rPr>
        <w:t>F</w:t>
      </w:r>
      <w:r w:rsidR="00126E32" w:rsidRPr="26E0C6B4">
        <w:rPr>
          <w:rFonts w:ascii="Arial" w:hAnsi="Arial" w:cs="Arial"/>
          <w:b/>
          <w:bCs/>
        </w:rPr>
        <w:t xml:space="preserve">) </w:t>
      </w:r>
      <w:r w:rsidRPr="26E0C6B4">
        <w:rPr>
          <w:rFonts w:ascii="Arial" w:hAnsi="Arial" w:cs="Arial"/>
          <w:b/>
          <w:bCs/>
        </w:rPr>
        <w:t>ID80 titers</w:t>
      </w:r>
      <w:r w:rsidR="00BC3923" w:rsidRPr="26E0C6B4">
        <w:rPr>
          <w:rFonts w:ascii="Arial" w:hAnsi="Arial" w:cs="Arial"/>
          <w:b/>
          <w:bCs/>
        </w:rPr>
        <w:t xml:space="preserve">. </w:t>
      </w:r>
      <w:r w:rsidR="4D427BC0" w:rsidRPr="26E0C6B4">
        <w:rPr>
          <w:rFonts w:ascii="Arial" w:hAnsi="Arial" w:cs="Arial"/>
        </w:rPr>
        <w:t>Axis labels</w:t>
      </w:r>
      <w:r w:rsidR="4D427BC0" w:rsidRPr="26E0C6B4">
        <w:rPr>
          <w:rFonts w:ascii="Arial" w:hAnsi="Arial" w:cs="Arial"/>
          <w:b/>
          <w:bCs/>
        </w:rPr>
        <w:t xml:space="preserve"> </w:t>
      </w:r>
      <w:r w:rsidR="00BC3923" w:rsidRPr="26E0C6B4">
        <w:rPr>
          <w:rFonts w:ascii="Arial" w:hAnsi="Arial" w:cs="Arial"/>
        </w:rPr>
        <w:t xml:space="preserve">cID50, cID80: </w:t>
      </w:r>
      <w:r w:rsidR="009B4C93" w:rsidRPr="26E0C6B4">
        <w:rPr>
          <w:rFonts w:ascii="Arial" w:hAnsi="Arial" w:cs="Arial"/>
        </w:rPr>
        <w:t>ID50, ID80 titers calibrated to the WHO International Standard, expressed in International Units per ml (IU/ml).</w:t>
      </w:r>
    </w:p>
    <w:p w14:paraId="392299E9" w14:textId="1AC59094" w:rsidR="00B71FAA" w:rsidRDefault="00256626" w:rsidP="0041571C">
      <w:pPr>
        <w:spacing w:after="60" w:line="480" w:lineRule="auto"/>
        <w:ind w:left="-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D53BE5E" wp14:editId="0332E6D1">
            <wp:extent cx="6918186" cy="4800600"/>
            <wp:effectExtent l="0" t="0" r="0" b="0"/>
            <wp:docPr id="3" name="Picture 3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, scatte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290" cy="480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48D9" w14:textId="734BAC2F" w:rsidR="00B71FAA" w:rsidRDefault="00B71FAA" w:rsidP="00B71FAA">
      <w:pPr>
        <w:spacing w:after="60" w:line="480" w:lineRule="auto"/>
        <w:rPr>
          <w:rFonts w:ascii="Arial" w:hAnsi="Arial" w:cs="Arial"/>
          <w:b/>
          <w:bCs/>
        </w:rPr>
      </w:pPr>
    </w:p>
    <w:p w14:paraId="1E32986E" w14:textId="77777777" w:rsidR="00B71FAA" w:rsidRDefault="00B71FAA" w:rsidP="00B71FAA">
      <w:pPr>
        <w:spacing w:after="60" w:line="480" w:lineRule="auto"/>
        <w:rPr>
          <w:rFonts w:ascii="Arial" w:hAnsi="Arial" w:cs="Arial"/>
          <w:b/>
          <w:bCs/>
        </w:rPr>
      </w:pPr>
    </w:p>
    <w:p w14:paraId="160E8782" w14:textId="77777777" w:rsidR="00B71FAA" w:rsidRDefault="00B71FAA" w:rsidP="00B71FAA">
      <w:pPr>
        <w:rPr>
          <w:rFonts w:ascii="Arial" w:hAnsi="Arial" w:cs="Arial"/>
          <w:b/>
          <w:bCs/>
        </w:rPr>
      </w:pPr>
      <w:r w:rsidRPr="26E0C6B4">
        <w:rPr>
          <w:rFonts w:ascii="Arial" w:hAnsi="Arial" w:cs="Arial"/>
          <w:b/>
          <w:bCs/>
        </w:rPr>
        <w:br w:type="page"/>
      </w:r>
    </w:p>
    <w:p w14:paraId="46714E02" w14:textId="2FE7B22B" w:rsidR="00B71FAA" w:rsidRPr="00D3267F" w:rsidRDefault="00B71FAA" w:rsidP="26E0C6B4">
      <w:pPr>
        <w:spacing w:after="60" w:line="480" w:lineRule="auto"/>
        <w:rPr>
          <w:rFonts w:ascii="Arial" w:hAnsi="Arial" w:cs="Arial"/>
        </w:rPr>
      </w:pPr>
      <w:r w:rsidRPr="26E0C6B4">
        <w:rPr>
          <w:rFonts w:ascii="Arial" w:hAnsi="Arial" w:cs="Arial"/>
          <w:b/>
          <w:bCs/>
        </w:rPr>
        <w:lastRenderedPageBreak/>
        <w:t>Figure S</w:t>
      </w:r>
      <w:r w:rsidR="005128C4">
        <w:rPr>
          <w:rFonts w:ascii="Arial" w:hAnsi="Arial" w:cs="Arial"/>
          <w:b/>
          <w:bCs/>
        </w:rPr>
        <w:t>3</w:t>
      </w:r>
      <w:r w:rsidRPr="26E0C6B4">
        <w:rPr>
          <w:rFonts w:ascii="Arial" w:hAnsi="Arial" w:cs="Arial"/>
          <w:b/>
          <w:bCs/>
        </w:rPr>
        <w:t xml:space="preserve">: Scatterplots of </w:t>
      </w:r>
      <w:r w:rsidR="76FE9C0E" w:rsidRPr="26E0C6B4">
        <w:rPr>
          <w:rFonts w:ascii="Arial" w:hAnsi="Arial" w:cs="Arial"/>
          <w:b/>
          <w:bCs/>
        </w:rPr>
        <w:t xml:space="preserve">observed </w:t>
      </w:r>
      <w:r w:rsidR="00D144A5" w:rsidRPr="26E0C6B4">
        <w:rPr>
          <w:rFonts w:ascii="Arial" w:hAnsi="Arial" w:cs="Arial"/>
          <w:b/>
          <w:bCs/>
        </w:rPr>
        <w:t xml:space="preserve">(A) </w:t>
      </w:r>
      <w:r w:rsidRPr="26E0C6B4">
        <w:rPr>
          <w:rFonts w:ascii="Arial" w:hAnsi="Arial" w:cs="Arial"/>
          <w:b/>
          <w:bCs/>
        </w:rPr>
        <w:t xml:space="preserve">ID50 and </w:t>
      </w:r>
      <w:r w:rsidR="00D144A5" w:rsidRPr="26E0C6B4">
        <w:rPr>
          <w:rFonts w:ascii="Arial" w:hAnsi="Arial" w:cs="Arial"/>
          <w:b/>
          <w:bCs/>
        </w:rPr>
        <w:t xml:space="preserve">(B) </w:t>
      </w:r>
      <w:r w:rsidRPr="26E0C6B4">
        <w:rPr>
          <w:rFonts w:ascii="Arial" w:hAnsi="Arial" w:cs="Arial"/>
          <w:b/>
          <w:bCs/>
        </w:rPr>
        <w:t xml:space="preserve">ID80 Duke vs. Monogram </w:t>
      </w:r>
      <w:r w:rsidR="2479563E" w:rsidRPr="26E0C6B4">
        <w:rPr>
          <w:rFonts w:ascii="Arial" w:hAnsi="Arial" w:cs="Arial"/>
          <w:b/>
          <w:bCs/>
        </w:rPr>
        <w:t xml:space="preserve">of </w:t>
      </w:r>
      <w:r w:rsidRPr="26E0C6B4">
        <w:rPr>
          <w:rFonts w:ascii="Arial" w:hAnsi="Arial" w:cs="Arial"/>
          <w:b/>
          <w:bCs/>
        </w:rPr>
        <w:t>the 2</w:t>
      </w:r>
      <w:r w:rsidR="7AB51730" w:rsidRPr="26E0C6B4">
        <w:rPr>
          <w:rFonts w:ascii="Arial" w:hAnsi="Arial" w:cs="Arial"/>
          <w:b/>
          <w:bCs/>
        </w:rPr>
        <w:t>48</w:t>
      </w:r>
      <w:r w:rsidRPr="26E0C6B4">
        <w:rPr>
          <w:rFonts w:ascii="Arial" w:hAnsi="Arial" w:cs="Arial"/>
          <w:b/>
          <w:bCs/>
        </w:rPr>
        <w:t xml:space="preserve"> convalescent </w:t>
      </w:r>
      <w:r w:rsidR="00782FBA" w:rsidRPr="26E0C6B4">
        <w:rPr>
          <w:rFonts w:ascii="Arial" w:hAnsi="Arial" w:cs="Arial"/>
          <w:b/>
          <w:bCs/>
        </w:rPr>
        <w:t xml:space="preserve">patient </w:t>
      </w:r>
      <w:r w:rsidRPr="26E0C6B4">
        <w:rPr>
          <w:rFonts w:ascii="Arial" w:hAnsi="Arial" w:cs="Arial"/>
          <w:b/>
          <w:bCs/>
        </w:rPr>
        <w:t>samples.</w:t>
      </w:r>
      <w:r w:rsidR="71D730EE" w:rsidRPr="26E0C6B4">
        <w:rPr>
          <w:rFonts w:ascii="Arial" w:hAnsi="Arial" w:cs="Arial"/>
          <w:b/>
          <w:bCs/>
        </w:rPr>
        <w:t xml:space="preserve"> </w:t>
      </w:r>
      <w:r w:rsidR="71D730EE" w:rsidRPr="26E0C6B4">
        <w:rPr>
          <w:rFonts w:ascii="Arial" w:hAnsi="Arial" w:cs="Arial"/>
        </w:rPr>
        <w:t xml:space="preserve">The solid line is the best fit linear regression line. The dashed line is the x=y diagonal line. </w:t>
      </w:r>
    </w:p>
    <w:p w14:paraId="0CBE9ADF" w14:textId="53A6D757" w:rsidR="00D144A5" w:rsidRDefault="006F1767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429FF7B3" wp14:editId="4016417B">
            <wp:extent cx="4800600" cy="5640705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739" cy="56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4A5">
        <w:rPr>
          <w:rFonts w:ascii="Arial" w:eastAsia="Arial" w:hAnsi="Arial" w:cs="Arial"/>
          <w:b/>
          <w:bCs/>
        </w:rPr>
        <w:br w:type="page"/>
      </w:r>
    </w:p>
    <w:p w14:paraId="5DCE466C" w14:textId="571B9E33" w:rsidR="00823A9A" w:rsidRPr="008C6BF0" w:rsidRDefault="007C2049">
      <w:pPr>
        <w:rPr>
          <w:rFonts w:ascii="Arial" w:hAnsi="Arial" w:cs="Arial"/>
        </w:rPr>
      </w:pPr>
      <w:r w:rsidRPr="008C6BF0">
        <w:rPr>
          <w:rFonts w:ascii="Arial" w:hAnsi="Arial" w:cs="Arial"/>
          <w:b/>
        </w:rPr>
        <w:lastRenderedPageBreak/>
        <w:t xml:space="preserve">Table </w:t>
      </w:r>
      <w:r w:rsidR="000E0235" w:rsidRPr="008C6BF0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1</w:t>
      </w:r>
      <w:r w:rsidRPr="008C6BF0">
        <w:rPr>
          <w:rFonts w:ascii="Arial" w:hAnsi="Arial" w:cs="Arial"/>
          <w:b/>
        </w:rPr>
        <w:t xml:space="preserve">. </w:t>
      </w:r>
      <w:r w:rsidR="00DA28EC" w:rsidRPr="008C6BF0">
        <w:rPr>
          <w:rFonts w:ascii="Arial" w:hAnsi="Arial" w:cs="Arial"/>
          <w:b/>
          <w:bCs/>
        </w:rPr>
        <w:t xml:space="preserve">Approach 1 </w:t>
      </w:r>
      <w:r w:rsidR="000579DA" w:rsidRPr="008C6BF0">
        <w:rPr>
          <w:rFonts w:ascii="Arial" w:hAnsi="Arial" w:cs="Arial"/>
          <w:b/>
          <w:bCs/>
        </w:rPr>
        <w:t>Calibration Factors</w:t>
      </w:r>
      <w:r w:rsidR="008C6BF0">
        <w:rPr>
          <w:rFonts w:ascii="Arial" w:hAnsi="Arial" w:cs="Arial"/>
          <w:b/>
          <w:bCs/>
        </w:rPr>
        <w:t xml:space="preserve"> and Conversation Factors. </w:t>
      </w:r>
      <w:r w:rsidR="008C6BF0">
        <w:rPr>
          <w:rFonts w:ascii="Arial" w:hAnsi="Arial" w:cs="Arial"/>
        </w:rPr>
        <w:t xml:space="preserve">The calibration factors are calculated as 1,000 (IU/mL) divided by the arithmetic mean, median or geometric mean ID50 or ID80 titers of the WHO IS sample that each lab measured on multiple vials. </w:t>
      </w:r>
      <w:r w:rsidR="001C34C1">
        <w:rPr>
          <w:rFonts w:ascii="Arial" w:hAnsi="Arial" w:cs="Arial"/>
        </w:rPr>
        <w:t xml:space="preserve">The conversion factors are the ratio of the calibration factors between the two labs.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1440"/>
        <w:gridCol w:w="990"/>
        <w:gridCol w:w="2075"/>
        <w:gridCol w:w="2075"/>
      </w:tblGrid>
      <w:tr w:rsidR="008C6BF0" w14:paraId="44D68F26" w14:textId="0770E6A9" w:rsidTr="00780FCB">
        <w:tc>
          <w:tcPr>
            <w:tcW w:w="1885" w:type="dxa"/>
            <w:tcBorders>
              <w:top w:val="single" w:sz="8" w:space="0" w:color="auto"/>
              <w:bottom w:val="single" w:sz="4" w:space="0" w:color="auto"/>
            </w:tcBorders>
          </w:tcPr>
          <w:p w14:paraId="15D76B45" w14:textId="71E54916" w:rsidR="008C6BF0" w:rsidRPr="000579DA" w:rsidRDefault="008C6BF0" w:rsidP="000579DA">
            <w:pPr>
              <w:spacing w:after="60"/>
              <w:rPr>
                <w:rFonts w:ascii="Arial" w:hAnsi="Arial" w:cs="Arial"/>
                <w:b/>
                <w:bCs/>
              </w:rPr>
            </w:pPr>
            <w:r w:rsidRPr="000579DA">
              <w:rPr>
                <w:rFonts w:ascii="Arial" w:hAnsi="Arial" w:cs="Arial"/>
                <w:b/>
                <w:bCs/>
                <w:sz w:val="20"/>
                <w:szCs w:val="20"/>
              </w:rPr>
              <w:t>Calibration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4" w:space="0" w:color="auto"/>
            </w:tcBorders>
          </w:tcPr>
          <w:p w14:paraId="043B0592" w14:textId="0431C6EF" w:rsidR="008C6BF0" w:rsidRPr="000579DA" w:rsidRDefault="008C6BF0" w:rsidP="000579DA">
            <w:pPr>
              <w:spacing w:after="60"/>
              <w:rPr>
                <w:rFonts w:ascii="Arial" w:hAnsi="Arial" w:cs="Arial"/>
                <w:b/>
                <w:bCs/>
              </w:rPr>
            </w:pPr>
            <w:r w:rsidRPr="000579DA">
              <w:rPr>
                <w:rFonts w:ascii="Arial" w:hAnsi="Arial" w:cs="Arial"/>
                <w:b/>
                <w:bCs/>
                <w:sz w:val="20"/>
                <w:szCs w:val="20"/>
              </w:rPr>
              <w:t>Lab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4" w:space="0" w:color="auto"/>
            </w:tcBorders>
          </w:tcPr>
          <w:p w14:paraId="67515ACC" w14:textId="04A96EB5" w:rsidR="008C6BF0" w:rsidRPr="000579DA" w:rsidRDefault="008C6BF0" w:rsidP="000579DA">
            <w:pPr>
              <w:spacing w:after="60"/>
              <w:rPr>
                <w:rFonts w:ascii="Arial" w:hAnsi="Arial" w:cs="Arial"/>
                <w:b/>
                <w:bCs/>
              </w:rPr>
            </w:pPr>
            <w:r w:rsidRPr="000579DA">
              <w:rPr>
                <w:rFonts w:ascii="Arial" w:hAnsi="Arial" w:cs="Arial"/>
                <w:b/>
                <w:bCs/>
                <w:sz w:val="20"/>
                <w:szCs w:val="20"/>
              </w:rPr>
              <w:t>Titer</w:t>
            </w:r>
          </w:p>
        </w:tc>
        <w:tc>
          <w:tcPr>
            <w:tcW w:w="2075" w:type="dxa"/>
            <w:tcBorders>
              <w:top w:val="single" w:sz="8" w:space="0" w:color="auto"/>
              <w:bottom w:val="single" w:sz="4" w:space="0" w:color="auto"/>
            </w:tcBorders>
          </w:tcPr>
          <w:p w14:paraId="37153D1F" w14:textId="3220FBD6" w:rsidR="008C6BF0" w:rsidRPr="000579DA" w:rsidRDefault="008C6BF0" w:rsidP="000579DA">
            <w:pPr>
              <w:spacing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Lab-specific calibration f</w:t>
            </w:r>
            <w:r w:rsidRPr="000579DA">
              <w:rPr>
                <w:rFonts w:ascii="Arial" w:hAnsi="Arial" w:cs="Arial"/>
                <w:b/>
                <w:bCs/>
                <w:sz w:val="20"/>
                <w:szCs w:val="20"/>
              </w:rPr>
              <w:t>actor</w:t>
            </w:r>
          </w:p>
        </w:tc>
        <w:tc>
          <w:tcPr>
            <w:tcW w:w="2075" w:type="dxa"/>
            <w:tcBorders>
              <w:top w:val="single" w:sz="8" w:space="0" w:color="auto"/>
              <w:bottom w:val="single" w:sz="4" w:space="0" w:color="auto"/>
            </w:tcBorders>
          </w:tcPr>
          <w:p w14:paraId="114D9300" w14:textId="33C8A22D" w:rsidR="008C6BF0" w:rsidRDefault="008C6BF0" w:rsidP="000579DA">
            <w:pPr>
              <w:spacing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Between-lab </w:t>
            </w:r>
            <w:r w:rsidR="001C34C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(Duke vs. Monogram)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conversion factor</w:t>
            </w:r>
          </w:p>
        </w:tc>
      </w:tr>
      <w:tr w:rsidR="001C34C1" w14:paraId="6A2FA53A" w14:textId="680D23EA" w:rsidTr="001C34C1">
        <w:tc>
          <w:tcPr>
            <w:tcW w:w="1885" w:type="dxa"/>
            <w:tcBorders>
              <w:top w:val="single" w:sz="4" w:space="0" w:color="auto"/>
            </w:tcBorders>
          </w:tcPr>
          <w:p w14:paraId="763E8A2E" w14:textId="33814995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Arithmetic mean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847FDB2" w14:textId="01F09573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Duke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vAlign w:val="center"/>
          </w:tcPr>
          <w:p w14:paraId="5CDC8096" w14:textId="05A218B9" w:rsidR="001C34C1" w:rsidRDefault="001C34C1" w:rsidP="001C34C1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ID50</w:t>
            </w: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123DDC0D" w14:textId="369B30AD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0.2418380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</w:tcBorders>
            <w:vAlign w:val="center"/>
          </w:tcPr>
          <w:p w14:paraId="5B27BBB2" w14:textId="3B120AF1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</w:tr>
      <w:tr w:rsidR="001C34C1" w14:paraId="41E42475" w14:textId="1E5886E4" w:rsidTr="001C34C1">
        <w:tc>
          <w:tcPr>
            <w:tcW w:w="1885" w:type="dxa"/>
            <w:vAlign w:val="bottom"/>
          </w:tcPr>
          <w:p w14:paraId="40E29F5A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  <w:vAlign w:val="bottom"/>
          </w:tcPr>
          <w:p w14:paraId="51080E25" w14:textId="20314404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990" w:type="dxa"/>
            <w:vMerge/>
            <w:vAlign w:val="center"/>
          </w:tcPr>
          <w:p w14:paraId="3D138219" w14:textId="3C8FA48E" w:rsidR="001C34C1" w:rsidRDefault="001C34C1" w:rsidP="001C34C1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3072DF10" w14:textId="7381088F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0.0652635</w:t>
            </w:r>
          </w:p>
        </w:tc>
        <w:tc>
          <w:tcPr>
            <w:tcW w:w="2075" w:type="dxa"/>
            <w:vMerge/>
            <w:vAlign w:val="center"/>
          </w:tcPr>
          <w:p w14:paraId="453B8988" w14:textId="1E26C6DF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34C1" w14:paraId="3A29DA30" w14:textId="181802CC" w:rsidTr="001C34C1">
        <w:tc>
          <w:tcPr>
            <w:tcW w:w="1885" w:type="dxa"/>
            <w:vAlign w:val="bottom"/>
          </w:tcPr>
          <w:p w14:paraId="68576675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C027B0E" w14:textId="24C2EDD6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Duke</w:t>
            </w:r>
          </w:p>
        </w:tc>
        <w:tc>
          <w:tcPr>
            <w:tcW w:w="990" w:type="dxa"/>
            <w:vMerge w:val="restart"/>
            <w:vAlign w:val="center"/>
          </w:tcPr>
          <w:p w14:paraId="0637BF27" w14:textId="5F14DB3D" w:rsidR="001C34C1" w:rsidRDefault="001C34C1" w:rsidP="001C34C1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ID80</w:t>
            </w:r>
          </w:p>
        </w:tc>
        <w:tc>
          <w:tcPr>
            <w:tcW w:w="2075" w:type="dxa"/>
          </w:tcPr>
          <w:p w14:paraId="23ACE069" w14:textId="3BA364ED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1.5010507</w:t>
            </w:r>
          </w:p>
        </w:tc>
        <w:tc>
          <w:tcPr>
            <w:tcW w:w="2075" w:type="dxa"/>
            <w:vMerge w:val="restart"/>
            <w:vAlign w:val="center"/>
          </w:tcPr>
          <w:p w14:paraId="6C2FFE29" w14:textId="13F9B76D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6.6</w:t>
            </w:r>
          </w:p>
        </w:tc>
      </w:tr>
      <w:tr w:rsidR="001C34C1" w14:paraId="247B9CCC" w14:textId="083651A0" w:rsidTr="001C34C1">
        <w:tc>
          <w:tcPr>
            <w:tcW w:w="1885" w:type="dxa"/>
            <w:vAlign w:val="center"/>
          </w:tcPr>
          <w:p w14:paraId="72A42632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E5A464D" w14:textId="20877F34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990" w:type="dxa"/>
            <w:vMerge/>
            <w:vAlign w:val="center"/>
          </w:tcPr>
          <w:p w14:paraId="0847AE73" w14:textId="05362EED" w:rsidR="001C34C1" w:rsidRDefault="001C34C1" w:rsidP="001C34C1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40FC2747" w14:textId="4FEE12F8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0.2281074</w:t>
            </w:r>
          </w:p>
        </w:tc>
        <w:tc>
          <w:tcPr>
            <w:tcW w:w="2075" w:type="dxa"/>
            <w:vMerge/>
            <w:vAlign w:val="center"/>
          </w:tcPr>
          <w:p w14:paraId="26E61BCD" w14:textId="5B4719D2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34C1" w14:paraId="04ACBFC4" w14:textId="64C5558C" w:rsidTr="001C34C1">
        <w:tc>
          <w:tcPr>
            <w:tcW w:w="1885" w:type="dxa"/>
          </w:tcPr>
          <w:p w14:paraId="353AF4F5" w14:textId="7B5A9738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Geometric mean</w:t>
            </w:r>
          </w:p>
        </w:tc>
        <w:tc>
          <w:tcPr>
            <w:tcW w:w="1440" w:type="dxa"/>
          </w:tcPr>
          <w:p w14:paraId="31D43358" w14:textId="5F624437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Duke</w:t>
            </w:r>
          </w:p>
        </w:tc>
        <w:tc>
          <w:tcPr>
            <w:tcW w:w="990" w:type="dxa"/>
            <w:vMerge w:val="restart"/>
            <w:vAlign w:val="center"/>
          </w:tcPr>
          <w:p w14:paraId="34C296BA" w14:textId="0523BB1F" w:rsidR="001C34C1" w:rsidRDefault="001C34C1" w:rsidP="001C34C1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ID50</w:t>
            </w:r>
          </w:p>
        </w:tc>
        <w:tc>
          <w:tcPr>
            <w:tcW w:w="2075" w:type="dxa"/>
          </w:tcPr>
          <w:p w14:paraId="281D3CA8" w14:textId="46CE5227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0.3282240</w:t>
            </w:r>
          </w:p>
        </w:tc>
        <w:tc>
          <w:tcPr>
            <w:tcW w:w="2075" w:type="dxa"/>
            <w:vMerge w:val="restart"/>
            <w:vAlign w:val="center"/>
          </w:tcPr>
          <w:p w14:paraId="016FC00B" w14:textId="6BACCA5A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4.9</w:t>
            </w:r>
          </w:p>
        </w:tc>
      </w:tr>
      <w:tr w:rsidR="001C34C1" w14:paraId="4D7C000A" w14:textId="372713DA" w:rsidTr="001C34C1">
        <w:tc>
          <w:tcPr>
            <w:tcW w:w="1885" w:type="dxa"/>
            <w:vAlign w:val="bottom"/>
          </w:tcPr>
          <w:p w14:paraId="724587A9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  <w:vAlign w:val="bottom"/>
          </w:tcPr>
          <w:p w14:paraId="707246D8" w14:textId="57DFDDCD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990" w:type="dxa"/>
            <w:vMerge/>
            <w:vAlign w:val="center"/>
          </w:tcPr>
          <w:p w14:paraId="6B14AE66" w14:textId="0FB9768F" w:rsidR="001C34C1" w:rsidRDefault="001C34C1" w:rsidP="001C34C1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1373687B" w14:textId="35D6B4D3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0.0666778</w:t>
            </w:r>
          </w:p>
        </w:tc>
        <w:tc>
          <w:tcPr>
            <w:tcW w:w="2075" w:type="dxa"/>
            <w:vMerge/>
            <w:vAlign w:val="center"/>
          </w:tcPr>
          <w:p w14:paraId="71317254" w14:textId="5F6B19F7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34C1" w14:paraId="3E8C29A5" w14:textId="10FBE78C" w:rsidTr="001C34C1">
        <w:tc>
          <w:tcPr>
            <w:tcW w:w="1885" w:type="dxa"/>
            <w:vAlign w:val="bottom"/>
          </w:tcPr>
          <w:p w14:paraId="291A52CE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1E77423" w14:textId="1BB6E485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Duke</w:t>
            </w:r>
          </w:p>
        </w:tc>
        <w:tc>
          <w:tcPr>
            <w:tcW w:w="990" w:type="dxa"/>
            <w:vMerge w:val="restart"/>
            <w:vAlign w:val="center"/>
          </w:tcPr>
          <w:p w14:paraId="575F519C" w14:textId="57FC350F" w:rsidR="001C34C1" w:rsidRDefault="001C34C1" w:rsidP="001C34C1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ID80</w:t>
            </w:r>
          </w:p>
        </w:tc>
        <w:tc>
          <w:tcPr>
            <w:tcW w:w="2075" w:type="dxa"/>
          </w:tcPr>
          <w:p w14:paraId="7ECAA0EA" w14:textId="38B9AB72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1.7646021</w:t>
            </w:r>
          </w:p>
        </w:tc>
        <w:tc>
          <w:tcPr>
            <w:tcW w:w="2075" w:type="dxa"/>
            <w:vMerge w:val="restart"/>
            <w:vAlign w:val="center"/>
          </w:tcPr>
          <w:p w14:paraId="2AEE900C" w14:textId="376081A5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7.5</w:t>
            </w:r>
          </w:p>
        </w:tc>
      </w:tr>
      <w:tr w:rsidR="001C34C1" w14:paraId="63F7C3DA" w14:textId="1D18D9F4" w:rsidTr="001C34C1">
        <w:tc>
          <w:tcPr>
            <w:tcW w:w="1885" w:type="dxa"/>
            <w:vAlign w:val="bottom"/>
          </w:tcPr>
          <w:p w14:paraId="3B04B732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EF4D95F" w14:textId="5269775D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990" w:type="dxa"/>
            <w:vMerge/>
            <w:vAlign w:val="center"/>
          </w:tcPr>
          <w:p w14:paraId="5243F40B" w14:textId="5A166112" w:rsidR="001C34C1" w:rsidRDefault="001C34C1" w:rsidP="001C34C1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13F61E5E" w14:textId="36024739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0.2347583</w:t>
            </w:r>
          </w:p>
        </w:tc>
        <w:tc>
          <w:tcPr>
            <w:tcW w:w="2075" w:type="dxa"/>
            <w:vMerge/>
            <w:vAlign w:val="center"/>
          </w:tcPr>
          <w:p w14:paraId="5D6E24F4" w14:textId="0B3427B1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34C1" w14:paraId="4407BE29" w14:textId="658C9123" w:rsidTr="001C34C1">
        <w:tc>
          <w:tcPr>
            <w:tcW w:w="1885" w:type="dxa"/>
          </w:tcPr>
          <w:p w14:paraId="293D9CDF" w14:textId="10732030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440" w:type="dxa"/>
          </w:tcPr>
          <w:p w14:paraId="3BB7D893" w14:textId="6F327600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Duke</w:t>
            </w:r>
          </w:p>
        </w:tc>
        <w:tc>
          <w:tcPr>
            <w:tcW w:w="990" w:type="dxa"/>
            <w:vMerge w:val="restart"/>
            <w:vAlign w:val="center"/>
          </w:tcPr>
          <w:p w14:paraId="16FC56C6" w14:textId="31707236" w:rsidR="001C34C1" w:rsidRDefault="001C34C1" w:rsidP="001C34C1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ID50</w:t>
            </w:r>
          </w:p>
        </w:tc>
        <w:tc>
          <w:tcPr>
            <w:tcW w:w="2075" w:type="dxa"/>
          </w:tcPr>
          <w:p w14:paraId="69999576" w14:textId="41DA4FC5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0.4129672</w:t>
            </w:r>
          </w:p>
        </w:tc>
        <w:tc>
          <w:tcPr>
            <w:tcW w:w="2075" w:type="dxa"/>
            <w:vMerge w:val="restart"/>
            <w:vAlign w:val="center"/>
          </w:tcPr>
          <w:p w14:paraId="5CA8C627" w14:textId="3D9441E1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6.7</w:t>
            </w:r>
          </w:p>
        </w:tc>
      </w:tr>
      <w:tr w:rsidR="001C34C1" w14:paraId="05B53828" w14:textId="51C6A939" w:rsidTr="001C34C1">
        <w:tc>
          <w:tcPr>
            <w:tcW w:w="1885" w:type="dxa"/>
            <w:vAlign w:val="bottom"/>
          </w:tcPr>
          <w:p w14:paraId="58B52ACF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  <w:vAlign w:val="bottom"/>
          </w:tcPr>
          <w:p w14:paraId="3938357F" w14:textId="7DE5DB34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990" w:type="dxa"/>
            <w:vMerge/>
            <w:vAlign w:val="center"/>
          </w:tcPr>
          <w:p w14:paraId="3C690B00" w14:textId="2978017F" w:rsidR="001C34C1" w:rsidRDefault="001C34C1" w:rsidP="001C34C1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2075" w:type="dxa"/>
          </w:tcPr>
          <w:p w14:paraId="24D7CBE1" w14:textId="61D30291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0.0619848</w:t>
            </w:r>
          </w:p>
        </w:tc>
        <w:tc>
          <w:tcPr>
            <w:tcW w:w="2075" w:type="dxa"/>
            <w:vMerge/>
            <w:vAlign w:val="center"/>
          </w:tcPr>
          <w:p w14:paraId="4D56CE7E" w14:textId="304D7B96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34C1" w14:paraId="3D3A93D9" w14:textId="163C8900" w:rsidTr="001C34C1">
        <w:tc>
          <w:tcPr>
            <w:tcW w:w="1885" w:type="dxa"/>
            <w:vAlign w:val="bottom"/>
          </w:tcPr>
          <w:p w14:paraId="73C30A85" w14:textId="77777777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C777459" w14:textId="762ABC05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Duke</w:t>
            </w:r>
          </w:p>
        </w:tc>
        <w:tc>
          <w:tcPr>
            <w:tcW w:w="990" w:type="dxa"/>
            <w:vMerge w:val="restart"/>
            <w:vAlign w:val="center"/>
          </w:tcPr>
          <w:p w14:paraId="2DB740B1" w14:textId="174B3832" w:rsidR="001C34C1" w:rsidRDefault="001C34C1" w:rsidP="001C34C1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ID80</w:t>
            </w:r>
          </w:p>
        </w:tc>
        <w:tc>
          <w:tcPr>
            <w:tcW w:w="2075" w:type="dxa"/>
          </w:tcPr>
          <w:p w14:paraId="6A398F47" w14:textId="6BD98A8E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2.0449898</w:t>
            </w:r>
          </w:p>
        </w:tc>
        <w:tc>
          <w:tcPr>
            <w:tcW w:w="2075" w:type="dxa"/>
            <w:vMerge w:val="restart"/>
            <w:vAlign w:val="center"/>
          </w:tcPr>
          <w:p w14:paraId="2B607495" w14:textId="43C9FDF2" w:rsidR="001C34C1" w:rsidRDefault="001C34C1" w:rsidP="001C34C1">
            <w:pPr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8.3</w:t>
            </w:r>
          </w:p>
        </w:tc>
      </w:tr>
      <w:tr w:rsidR="001C34C1" w14:paraId="7E86EB4B" w14:textId="2E6538B8" w:rsidTr="00780FCB">
        <w:tc>
          <w:tcPr>
            <w:tcW w:w="1885" w:type="dxa"/>
            <w:tcBorders>
              <w:bottom w:val="single" w:sz="8" w:space="0" w:color="auto"/>
            </w:tcBorders>
            <w:vAlign w:val="bottom"/>
          </w:tcPr>
          <w:p w14:paraId="13080903" w14:textId="46E53EC7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14:paraId="364E70A9" w14:textId="0E59966F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Monogram</w:t>
            </w:r>
          </w:p>
        </w:tc>
        <w:tc>
          <w:tcPr>
            <w:tcW w:w="990" w:type="dxa"/>
            <w:vMerge/>
            <w:tcBorders>
              <w:bottom w:val="single" w:sz="8" w:space="0" w:color="auto"/>
            </w:tcBorders>
          </w:tcPr>
          <w:p w14:paraId="7A44E28D" w14:textId="559E90AB" w:rsidR="001C34C1" w:rsidRDefault="001C34C1" w:rsidP="008C6BF0">
            <w:pPr>
              <w:spacing w:after="60"/>
              <w:rPr>
                <w:rFonts w:ascii="Arial" w:hAnsi="Arial" w:cs="Arial"/>
              </w:rPr>
            </w:pPr>
          </w:p>
        </w:tc>
        <w:tc>
          <w:tcPr>
            <w:tcW w:w="2075" w:type="dxa"/>
            <w:tcBorders>
              <w:bottom w:val="single" w:sz="8" w:space="0" w:color="auto"/>
            </w:tcBorders>
          </w:tcPr>
          <w:p w14:paraId="3FB42F49" w14:textId="2FF59ACC" w:rsidR="001C34C1" w:rsidRDefault="001C34C1" w:rsidP="008C6BF0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0.2461538</w:t>
            </w:r>
          </w:p>
        </w:tc>
        <w:tc>
          <w:tcPr>
            <w:tcW w:w="2075" w:type="dxa"/>
            <w:vMerge/>
            <w:tcBorders>
              <w:bottom w:val="single" w:sz="8" w:space="0" w:color="auto"/>
            </w:tcBorders>
          </w:tcPr>
          <w:p w14:paraId="7C3DB458" w14:textId="1B0BA58E" w:rsidR="001C34C1" w:rsidRDefault="001C34C1" w:rsidP="008C6BF0">
            <w:pPr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0AFD691" w14:textId="161AED99" w:rsidR="00AB7DA8" w:rsidRDefault="00AB7DA8">
      <w:pPr>
        <w:rPr>
          <w:rFonts w:ascii="Arial" w:hAnsi="Arial" w:cs="Arial"/>
        </w:rPr>
      </w:pPr>
    </w:p>
    <w:p w14:paraId="2219BF74" w14:textId="77777777" w:rsidR="00AB7DA8" w:rsidRDefault="00AB7D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55953E" w14:textId="4615BB1D" w:rsidR="00D0468C" w:rsidRPr="006D396C" w:rsidRDefault="00953D1F" w:rsidP="00D0468C">
      <w:pPr>
        <w:spacing w:after="60" w:line="480" w:lineRule="auto"/>
        <w:rPr>
          <w:rFonts w:ascii="Arial" w:hAnsi="Arial" w:cs="Arial"/>
          <w:b/>
          <w:bCs/>
        </w:rPr>
      </w:pPr>
      <w:r w:rsidRPr="006D396C">
        <w:rPr>
          <w:rFonts w:ascii="Arial" w:hAnsi="Arial" w:cs="Arial"/>
          <w:b/>
          <w:bCs/>
        </w:rPr>
        <w:lastRenderedPageBreak/>
        <w:t>Table S</w:t>
      </w:r>
      <w:r w:rsidR="009A15CF" w:rsidRPr="006D396C">
        <w:rPr>
          <w:rFonts w:ascii="Arial" w:hAnsi="Arial" w:cs="Arial"/>
          <w:b/>
          <w:bCs/>
        </w:rPr>
        <w:t>2</w:t>
      </w:r>
      <w:r w:rsidR="006D396C">
        <w:rPr>
          <w:rFonts w:ascii="Arial" w:hAnsi="Arial" w:cs="Arial"/>
          <w:b/>
          <w:bCs/>
        </w:rPr>
        <w:t>.</w:t>
      </w:r>
      <w:r w:rsidRPr="006D396C">
        <w:rPr>
          <w:rFonts w:ascii="Arial" w:hAnsi="Arial" w:cs="Arial"/>
          <w:b/>
          <w:bCs/>
        </w:rPr>
        <w:t xml:space="preserve"> </w:t>
      </w:r>
      <w:r w:rsidR="00D0468C" w:rsidRPr="006D396C">
        <w:rPr>
          <w:rFonts w:ascii="Arial" w:hAnsi="Arial" w:cs="Arial"/>
          <w:b/>
          <w:bCs/>
        </w:rPr>
        <w:t>Advantages and Disadvantages of Calibration Approaches 1-3</w:t>
      </w:r>
      <w:r w:rsidR="00D3267F">
        <w:rPr>
          <w:rFonts w:ascii="Arial" w:hAnsi="Arial" w:cs="Arial"/>
          <w:b/>
          <w:bCs/>
        </w:rPr>
        <w:t>.</w:t>
      </w:r>
    </w:p>
    <w:tbl>
      <w:tblPr>
        <w:tblpPr w:leftFromText="180" w:rightFromText="180" w:vertAnchor="text" w:horzAnchor="margin" w:tblpY="456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20"/>
        <w:gridCol w:w="3600"/>
        <w:gridCol w:w="4220"/>
      </w:tblGrid>
      <w:tr w:rsidR="004B4473" w:rsidRPr="004B4473" w14:paraId="7B789F7F" w14:textId="77777777" w:rsidTr="74E3AAC0">
        <w:trPr>
          <w:trHeight w:val="268"/>
        </w:trPr>
        <w:tc>
          <w:tcPr>
            <w:tcW w:w="1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C94FC8" w14:textId="77777777" w:rsidR="004B4473" w:rsidRPr="004B4473" w:rsidRDefault="004B4473" w:rsidP="004B4473">
            <w:pPr>
              <w:spacing w:after="0" w:line="240" w:lineRule="auto"/>
              <w:rPr>
                <w:rFonts w:ascii="Arial" w:eastAsia="SimSun" w:hAnsi="Arial" w:cs="Arial"/>
                <w:lang w:val="en-US" w:eastAsia="zh-CN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66EF1" w14:textId="77777777" w:rsidR="004B4473" w:rsidRPr="004B4473" w:rsidRDefault="004B4473" w:rsidP="0061225A">
            <w:pPr>
              <w:spacing w:after="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b/>
                <w:bCs/>
                <w:lang w:val="en-US" w:eastAsia="zh-CN"/>
              </w:rPr>
              <w:t>Advantages</w:t>
            </w:r>
          </w:p>
        </w:tc>
        <w:tc>
          <w:tcPr>
            <w:tcW w:w="4220" w:type="dxa"/>
            <w:tcBorders>
              <w:top w:val="single" w:sz="8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DAF1BC" w14:textId="77777777" w:rsidR="004B4473" w:rsidRPr="004B4473" w:rsidRDefault="004B4473" w:rsidP="0061225A">
            <w:pPr>
              <w:spacing w:after="0" w:line="240" w:lineRule="auto"/>
              <w:jc w:val="center"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b/>
                <w:bCs/>
                <w:lang w:val="en-US" w:eastAsia="zh-CN"/>
              </w:rPr>
              <w:t>Disadvantages</w:t>
            </w:r>
          </w:p>
        </w:tc>
      </w:tr>
      <w:tr w:rsidR="004B4473" w:rsidRPr="004B4473" w14:paraId="74832D62" w14:textId="77777777" w:rsidTr="74E3AAC0">
        <w:trPr>
          <w:trHeight w:val="962"/>
        </w:trPr>
        <w:tc>
          <w:tcPr>
            <w:tcW w:w="152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8BC20C" w14:textId="77777777" w:rsidR="004B4473" w:rsidRPr="004B4473" w:rsidRDefault="004B4473" w:rsidP="0061225A">
            <w:pPr>
              <w:spacing w:after="0" w:line="240" w:lineRule="auto"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b/>
                <w:bCs/>
                <w:lang w:val="en-US" w:eastAsia="zh-CN"/>
              </w:rPr>
              <w:t>Approach 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A02A63" w14:textId="77777777" w:rsidR="004B4473" w:rsidRPr="004B4473" w:rsidRDefault="004B4473" w:rsidP="0061225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Intuitive</w:t>
            </w:r>
          </w:p>
          <w:p w14:paraId="7C87049C" w14:textId="77777777" w:rsidR="004B4473" w:rsidRPr="004B4473" w:rsidRDefault="004B4473" w:rsidP="0061225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 xml:space="preserve">Does not require labs running a panel of independent (convalescent) samples 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C8BD0C" w14:textId="67A13B23" w:rsidR="004B4473" w:rsidRPr="004B4473" w:rsidRDefault="004B4473" w:rsidP="004B4473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74E3AAC0">
              <w:rPr>
                <w:rFonts w:ascii="Arial" w:eastAsia="SimSun" w:hAnsi="Arial" w:cs="Arial"/>
                <w:lang w:val="en-US" w:eastAsia="zh-CN"/>
              </w:rPr>
              <w:t>Requires running a sufficient number of vials of the WHO IS sample</w:t>
            </w:r>
          </w:p>
          <w:p w14:paraId="4A09503F" w14:textId="07E3DBF3" w:rsidR="004B4473" w:rsidRPr="004B4473" w:rsidRDefault="004B4473" w:rsidP="004B4473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Does not incorporate individual-level correlations of assay readouts between labs</w:t>
            </w:r>
            <w:r w:rsidR="00335D1C">
              <w:rPr>
                <w:rFonts w:ascii="Arial" w:eastAsia="SimSun" w:hAnsi="Arial" w:cs="Arial"/>
                <w:lang w:val="en-US" w:eastAsia="zh-CN"/>
              </w:rPr>
              <w:t xml:space="preserve">, hence </w:t>
            </w:r>
            <w:r w:rsidR="00CE25F9">
              <w:rPr>
                <w:rFonts w:ascii="Arial" w:eastAsia="SimSun" w:hAnsi="Arial" w:cs="Arial"/>
                <w:lang w:val="en-US" w:eastAsia="zh-CN"/>
              </w:rPr>
              <w:t xml:space="preserve">individual-level calibration may suffer from </w:t>
            </w:r>
            <w:r w:rsidR="00362AB4">
              <w:rPr>
                <w:rFonts w:ascii="Arial" w:eastAsia="SimSun" w:hAnsi="Arial" w:cs="Arial"/>
                <w:lang w:val="en-US" w:eastAsia="zh-CN"/>
              </w:rPr>
              <w:t>lack of accuracy</w:t>
            </w:r>
            <w:r w:rsidRPr="004B4473">
              <w:rPr>
                <w:rFonts w:ascii="Arial" w:eastAsia="SimSun" w:hAnsi="Arial" w:cs="Arial"/>
                <w:lang w:val="en-US" w:eastAsia="zh-CN"/>
              </w:rPr>
              <w:t>.</w:t>
            </w:r>
          </w:p>
          <w:p w14:paraId="62586763" w14:textId="77777777" w:rsidR="004B4473" w:rsidRPr="004B4473" w:rsidRDefault="004B4473" w:rsidP="004B4473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Arbitrary choice* of methods for calculating the calibration factor.</w:t>
            </w:r>
          </w:p>
        </w:tc>
      </w:tr>
      <w:tr w:rsidR="004B4473" w:rsidRPr="004B4473" w14:paraId="4D598F0F" w14:textId="77777777" w:rsidTr="74E3AAC0">
        <w:trPr>
          <w:trHeight w:val="1224"/>
        </w:trPr>
        <w:tc>
          <w:tcPr>
            <w:tcW w:w="152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71026F" w14:textId="77777777" w:rsidR="004B4473" w:rsidRPr="004B4473" w:rsidRDefault="004B4473" w:rsidP="0061225A">
            <w:pPr>
              <w:spacing w:after="0" w:line="240" w:lineRule="auto"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b/>
                <w:bCs/>
                <w:lang w:val="en-US" w:eastAsia="zh-CN"/>
              </w:rPr>
              <w:t>Approach 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743A6" w14:textId="77777777" w:rsidR="004B4473" w:rsidRPr="004B4473" w:rsidRDefault="004B4473" w:rsidP="0061225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Best performance</w:t>
            </w:r>
          </w:p>
          <w:p w14:paraId="7B6B23A6" w14:textId="68334B13" w:rsidR="004B4473" w:rsidRPr="004B4473" w:rsidRDefault="004B4473" w:rsidP="0061225A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 xml:space="preserve">Simple to implement </w:t>
            </w:r>
            <w:r w:rsidR="00D93C89">
              <w:rPr>
                <w:rFonts w:ascii="Arial" w:eastAsia="SimSun" w:hAnsi="Arial" w:cs="Arial"/>
                <w:lang w:val="en-US" w:eastAsia="zh-CN"/>
              </w:rPr>
              <w:t xml:space="preserve">when necessary paired data are available 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38A52" w14:textId="77777777" w:rsidR="004B4473" w:rsidRPr="004B4473" w:rsidRDefault="004B4473" w:rsidP="004B4473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Requires running a panel of independent (convalescent) samples.</w:t>
            </w:r>
          </w:p>
          <w:p w14:paraId="321E3EBC" w14:textId="3C06D3C1" w:rsidR="004B4473" w:rsidRPr="004B4473" w:rsidRDefault="004B4473" w:rsidP="004B4473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Relies on the bivariate normal assumption and additive measurement error for assay readouts from the two labs</w:t>
            </w:r>
            <w:r w:rsidR="00AA58FA">
              <w:rPr>
                <w:rFonts w:ascii="Arial" w:eastAsia="SimSun" w:hAnsi="Arial" w:cs="Arial"/>
                <w:lang w:val="en-US" w:eastAsia="zh-CN"/>
              </w:rPr>
              <w:t xml:space="preserve">, which may not be true. </w:t>
            </w:r>
          </w:p>
        </w:tc>
      </w:tr>
      <w:tr w:rsidR="004B4473" w:rsidRPr="004B4473" w14:paraId="668A96E8" w14:textId="77777777" w:rsidTr="74E3AAC0">
        <w:trPr>
          <w:trHeight w:val="826"/>
        </w:trPr>
        <w:tc>
          <w:tcPr>
            <w:tcW w:w="1520" w:type="dxa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20757" w14:textId="77777777" w:rsidR="004B4473" w:rsidRPr="004B4473" w:rsidRDefault="004B4473" w:rsidP="0061225A">
            <w:pPr>
              <w:spacing w:after="0" w:line="240" w:lineRule="auto"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b/>
                <w:bCs/>
                <w:lang w:val="en-US" w:eastAsia="zh-CN"/>
              </w:rPr>
              <w:t>Approach 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08D17" w14:textId="77777777" w:rsidR="004B4473" w:rsidRPr="004B4473" w:rsidRDefault="004B4473" w:rsidP="0061225A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 xml:space="preserve">Intuitive 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8" w:space="0" w:color="FFFFFF" w:themeColor="background1"/>
              <w:bottom w:val="single" w:sz="8" w:space="0" w:color="auto"/>
              <w:right w:val="single" w:sz="8" w:space="0" w:color="FFFFFF" w:themeColor="background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E18830" w14:textId="77777777" w:rsidR="004B4473" w:rsidRPr="004B4473" w:rsidRDefault="004B4473" w:rsidP="004B447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>Requires running a large panel of independent (convalescent) samples.</w:t>
            </w:r>
          </w:p>
          <w:p w14:paraId="2E329BAA" w14:textId="77777777" w:rsidR="004B4473" w:rsidRPr="004B4473" w:rsidRDefault="004B4473" w:rsidP="004B447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Arial" w:eastAsia="SimSun" w:hAnsi="Arial" w:cs="Arial"/>
                <w:lang w:val="en-US" w:eastAsia="zh-CN"/>
              </w:rPr>
            </w:pPr>
            <w:r w:rsidRPr="004B4473">
              <w:rPr>
                <w:rFonts w:ascii="Arial" w:eastAsia="SimSun" w:hAnsi="Arial" w:cs="Arial"/>
                <w:lang w:val="en-US" w:eastAsia="zh-CN"/>
              </w:rPr>
              <w:t xml:space="preserve">Does not account for measurement error in the assays </w:t>
            </w:r>
          </w:p>
        </w:tc>
      </w:tr>
    </w:tbl>
    <w:p w14:paraId="2D9E0E25" w14:textId="77777777" w:rsidR="004B4473" w:rsidRPr="004B4473" w:rsidRDefault="004B4473" w:rsidP="00D0468C">
      <w:pPr>
        <w:spacing w:after="60" w:line="480" w:lineRule="auto"/>
        <w:rPr>
          <w:rFonts w:ascii="Arial" w:hAnsi="Arial" w:cs="Arial"/>
          <w:lang w:val="en-US"/>
        </w:rPr>
      </w:pPr>
    </w:p>
    <w:p w14:paraId="3B122998" w14:textId="3EC008A8" w:rsidR="004C410E" w:rsidRPr="00D109AA" w:rsidRDefault="009323FA">
      <w:pPr>
        <w:rPr>
          <w:rFonts w:ascii="Arial" w:hAnsi="Arial" w:cs="Arial"/>
        </w:rPr>
      </w:pPr>
      <w:r>
        <w:rPr>
          <w:rFonts w:ascii="Arial" w:eastAsiaTheme="minorEastAsia" w:hAnsi="Arial" w:cs="Arial"/>
          <w:noProof/>
          <w:lang w:val="en-US" w:eastAsia="zh-CN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eastAsiaTheme="minorEastAsia" w:hAnsi="Arial" w:cs="Arial"/>
          <w:noProof/>
          <w:lang w:val="en-US" w:eastAsia="zh-CN"/>
        </w:rPr>
        <w:fldChar w:fldCharType="end"/>
      </w:r>
    </w:p>
    <w:sectPr w:rsidR="004C410E" w:rsidRPr="00D10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C07E6"/>
    <w:multiLevelType w:val="hybridMultilevel"/>
    <w:tmpl w:val="66A4F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1B86"/>
    <w:multiLevelType w:val="hybridMultilevel"/>
    <w:tmpl w:val="2144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C2818"/>
    <w:multiLevelType w:val="hybridMultilevel"/>
    <w:tmpl w:val="A4861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7D7D1D"/>
    <w:multiLevelType w:val="hybridMultilevel"/>
    <w:tmpl w:val="DD0CB7B2"/>
    <w:lvl w:ilvl="0" w:tplc="2D7A064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80315"/>
    <w:multiLevelType w:val="hybridMultilevel"/>
    <w:tmpl w:val="77904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4638F"/>
    <w:multiLevelType w:val="hybridMultilevel"/>
    <w:tmpl w:val="985EB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2A08FA"/>
    <w:multiLevelType w:val="hybridMultilevel"/>
    <w:tmpl w:val="0A6042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0953E5"/>
    <w:multiLevelType w:val="hybridMultilevel"/>
    <w:tmpl w:val="5D96C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C0275"/>
    <w:multiLevelType w:val="hybridMultilevel"/>
    <w:tmpl w:val="E7AE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C7D8B"/>
    <w:multiLevelType w:val="hybridMultilevel"/>
    <w:tmpl w:val="2A22A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C3744"/>
    <w:multiLevelType w:val="hybridMultilevel"/>
    <w:tmpl w:val="E632C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D61E9"/>
    <w:multiLevelType w:val="hybridMultilevel"/>
    <w:tmpl w:val="CC6E0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E714BB"/>
    <w:multiLevelType w:val="hybridMultilevel"/>
    <w:tmpl w:val="E9B0B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E61307"/>
    <w:multiLevelType w:val="hybridMultilevel"/>
    <w:tmpl w:val="46AA6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0"/>
  </w:num>
  <w:num w:numId="5">
    <w:abstractNumId w:val="4"/>
  </w:num>
  <w:num w:numId="6">
    <w:abstractNumId w:val="8"/>
  </w:num>
  <w:num w:numId="7">
    <w:abstractNumId w:val="13"/>
  </w:num>
  <w:num w:numId="8">
    <w:abstractNumId w:val="0"/>
  </w:num>
  <w:num w:numId="9">
    <w:abstractNumId w:val="5"/>
  </w:num>
  <w:num w:numId="10">
    <w:abstractNumId w:val="12"/>
  </w:num>
  <w:num w:numId="11">
    <w:abstractNumId w:val="6"/>
  </w:num>
  <w:num w:numId="12">
    <w:abstractNumId w:val="2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Biotechn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99x0waah29zs6e0zarx92xitw00vfv0zavs&quot;&gt;PsV neut ms&lt;record-ids&gt;&lt;item&gt;24&lt;/item&gt;&lt;item&gt;25&lt;/item&gt;&lt;/record-ids&gt;&lt;/item&gt;&lt;/Libraries&gt;"/>
  </w:docVars>
  <w:rsids>
    <w:rsidRoot w:val="000643D0"/>
    <w:rsid w:val="00006A91"/>
    <w:rsid w:val="00007362"/>
    <w:rsid w:val="00010B94"/>
    <w:rsid w:val="00020D5F"/>
    <w:rsid w:val="000524EE"/>
    <w:rsid w:val="000579DA"/>
    <w:rsid w:val="000643D0"/>
    <w:rsid w:val="000833A9"/>
    <w:rsid w:val="00086832"/>
    <w:rsid w:val="00096789"/>
    <w:rsid w:val="000E0235"/>
    <w:rsid w:val="000E0405"/>
    <w:rsid w:val="000E243E"/>
    <w:rsid w:val="000E5D73"/>
    <w:rsid w:val="00110685"/>
    <w:rsid w:val="00126E32"/>
    <w:rsid w:val="001358C8"/>
    <w:rsid w:val="001553C3"/>
    <w:rsid w:val="001C34C1"/>
    <w:rsid w:val="001E0C91"/>
    <w:rsid w:val="001E13E9"/>
    <w:rsid w:val="00206231"/>
    <w:rsid w:val="0024390B"/>
    <w:rsid w:val="00256626"/>
    <w:rsid w:val="002C28D3"/>
    <w:rsid w:val="00335D1C"/>
    <w:rsid w:val="00341F64"/>
    <w:rsid w:val="00362AB4"/>
    <w:rsid w:val="00386066"/>
    <w:rsid w:val="003870BA"/>
    <w:rsid w:val="00401607"/>
    <w:rsid w:val="00405837"/>
    <w:rsid w:val="0041571C"/>
    <w:rsid w:val="00424789"/>
    <w:rsid w:val="004328DF"/>
    <w:rsid w:val="004B4473"/>
    <w:rsid w:val="004C410E"/>
    <w:rsid w:val="004E2F69"/>
    <w:rsid w:val="005128C4"/>
    <w:rsid w:val="00520ED7"/>
    <w:rsid w:val="005677C4"/>
    <w:rsid w:val="005C2952"/>
    <w:rsid w:val="005E1F9B"/>
    <w:rsid w:val="0061225A"/>
    <w:rsid w:val="00641651"/>
    <w:rsid w:val="00642EB3"/>
    <w:rsid w:val="00650141"/>
    <w:rsid w:val="006D396C"/>
    <w:rsid w:val="006E2D17"/>
    <w:rsid w:val="006F1767"/>
    <w:rsid w:val="00744FB9"/>
    <w:rsid w:val="00780FCB"/>
    <w:rsid w:val="00782FBA"/>
    <w:rsid w:val="007C2049"/>
    <w:rsid w:val="007C31C9"/>
    <w:rsid w:val="007E724A"/>
    <w:rsid w:val="00801167"/>
    <w:rsid w:val="00802301"/>
    <w:rsid w:val="00823A9A"/>
    <w:rsid w:val="00880D2E"/>
    <w:rsid w:val="008C6BF0"/>
    <w:rsid w:val="008D1F4F"/>
    <w:rsid w:val="00927D0C"/>
    <w:rsid w:val="009323FA"/>
    <w:rsid w:val="00953D1F"/>
    <w:rsid w:val="009A15CF"/>
    <w:rsid w:val="009A600A"/>
    <w:rsid w:val="009B4C93"/>
    <w:rsid w:val="009D162F"/>
    <w:rsid w:val="009F17D0"/>
    <w:rsid w:val="00A32308"/>
    <w:rsid w:val="00A336F1"/>
    <w:rsid w:val="00A77EC8"/>
    <w:rsid w:val="00AA58FA"/>
    <w:rsid w:val="00AB7DA8"/>
    <w:rsid w:val="00AD0C07"/>
    <w:rsid w:val="00AD1E22"/>
    <w:rsid w:val="00AE2F25"/>
    <w:rsid w:val="00AE6A2C"/>
    <w:rsid w:val="00B61090"/>
    <w:rsid w:val="00B66EED"/>
    <w:rsid w:val="00B71FAA"/>
    <w:rsid w:val="00BC3923"/>
    <w:rsid w:val="00BC5F78"/>
    <w:rsid w:val="00BD0CEE"/>
    <w:rsid w:val="00C458F4"/>
    <w:rsid w:val="00CD2C7B"/>
    <w:rsid w:val="00CE25F9"/>
    <w:rsid w:val="00D0468C"/>
    <w:rsid w:val="00D109AA"/>
    <w:rsid w:val="00D144A5"/>
    <w:rsid w:val="00D20254"/>
    <w:rsid w:val="00D21B14"/>
    <w:rsid w:val="00D3267F"/>
    <w:rsid w:val="00D35532"/>
    <w:rsid w:val="00D60606"/>
    <w:rsid w:val="00D903C2"/>
    <w:rsid w:val="00D93C89"/>
    <w:rsid w:val="00DA28EC"/>
    <w:rsid w:val="00DF3001"/>
    <w:rsid w:val="00E03D53"/>
    <w:rsid w:val="00E25B01"/>
    <w:rsid w:val="00EA46DA"/>
    <w:rsid w:val="00EB7EDF"/>
    <w:rsid w:val="00EE4C0B"/>
    <w:rsid w:val="00F31F8F"/>
    <w:rsid w:val="00F54235"/>
    <w:rsid w:val="00F65219"/>
    <w:rsid w:val="01AA6364"/>
    <w:rsid w:val="066141B7"/>
    <w:rsid w:val="06B832CC"/>
    <w:rsid w:val="0DEF927D"/>
    <w:rsid w:val="1897F3E4"/>
    <w:rsid w:val="1CD603A6"/>
    <w:rsid w:val="1CEE948B"/>
    <w:rsid w:val="1D5DA8D9"/>
    <w:rsid w:val="2095499B"/>
    <w:rsid w:val="2256CB15"/>
    <w:rsid w:val="2344ADB2"/>
    <w:rsid w:val="2479563E"/>
    <w:rsid w:val="25ED9B14"/>
    <w:rsid w:val="26E0C6B4"/>
    <w:rsid w:val="30FBBD97"/>
    <w:rsid w:val="32EEF707"/>
    <w:rsid w:val="3321D85C"/>
    <w:rsid w:val="33A3BA1A"/>
    <w:rsid w:val="38A54473"/>
    <w:rsid w:val="3AE9145D"/>
    <w:rsid w:val="3CAA99D7"/>
    <w:rsid w:val="4318E365"/>
    <w:rsid w:val="431ED3C9"/>
    <w:rsid w:val="446F8718"/>
    <w:rsid w:val="45587B2C"/>
    <w:rsid w:val="4D427BC0"/>
    <w:rsid w:val="511CDDED"/>
    <w:rsid w:val="5C24231C"/>
    <w:rsid w:val="60193E4C"/>
    <w:rsid w:val="60A016C6"/>
    <w:rsid w:val="611E7449"/>
    <w:rsid w:val="71D730EE"/>
    <w:rsid w:val="7238E294"/>
    <w:rsid w:val="72CCD16D"/>
    <w:rsid w:val="74E3AAC0"/>
    <w:rsid w:val="76A6A5A6"/>
    <w:rsid w:val="76FE9C0E"/>
    <w:rsid w:val="7AB5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051ED"/>
  <w15:chartTrackingRefBased/>
  <w15:docId w15:val="{D02A3241-EE00-4D96-9229-35CAB6E4C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D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2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1F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FAA"/>
    <w:pPr>
      <w:spacing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1FAA"/>
    <w:rPr>
      <w:rFonts w:eastAsiaTheme="minorEastAsia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C91"/>
    <w:rPr>
      <w:rFonts w:eastAsiaTheme="minorHAnsi"/>
      <w:b/>
      <w:bCs/>
      <w:lang w:val="en-CA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C91"/>
    <w:rPr>
      <w:rFonts w:eastAsiaTheme="minorEastAsia"/>
      <w:b/>
      <w:bCs/>
      <w:sz w:val="20"/>
      <w:szCs w:val="20"/>
      <w:lang w:val="en-US" w:eastAsia="zh-CN"/>
    </w:rPr>
  </w:style>
  <w:style w:type="paragraph" w:styleId="ListParagraph">
    <w:name w:val="List Paragraph"/>
    <w:basedOn w:val="Normal"/>
    <w:uiPriority w:val="34"/>
    <w:qFormat/>
    <w:rsid w:val="004C410E"/>
    <w:pPr>
      <w:ind w:left="720"/>
      <w:contextualSpacing/>
    </w:pPr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C2049"/>
    <w:pPr>
      <w:spacing w:line="240" w:lineRule="auto"/>
    </w:pPr>
    <w:rPr>
      <w:rFonts w:ascii="Calibri" w:eastAsiaTheme="minorEastAsia" w:hAnsi="Calibri" w:cs="Calibri"/>
      <w:noProof/>
      <w:lang w:val="en-US"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7C2049"/>
    <w:rPr>
      <w:rFonts w:ascii="Calibri" w:eastAsiaTheme="minorEastAsia" w:hAnsi="Calibri" w:cs="Calibri"/>
      <w:noProof/>
      <w:lang w:val="en-US" w:eastAsia="zh-CN"/>
    </w:rPr>
  </w:style>
  <w:style w:type="paragraph" w:styleId="BodyText">
    <w:name w:val="Body Text"/>
    <w:basedOn w:val="Normal"/>
    <w:link w:val="BodyTextChar"/>
    <w:uiPriority w:val="1"/>
    <w:qFormat/>
    <w:rsid w:val="007C204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C2049"/>
    <w:rPr>
      <w:rFonts w:ascii="Arial" w:eastAsia="Arial" w:hAnsi="Arial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1553C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553C3"/>
    <w:rPr>
      <w:color w:val="2B579A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9323F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EndNoteBibliographyChar"/>
    <w:link w:val="EndNoteBibliographyTitle"/>
    <w:rsid w:val="009323FA"/>
    <w:rPr>
      <w:rFonts w:ascii="Calibri" w:eastAsiaTheme="minorEastAsia" w:hAnsi="Calibri" w:cs="Calibri"/>
      <w:noProof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95BF7-53AF-4AC2-BEC3-45EA969B7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368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Carpp, Lindsay N</dc:creator>
  <cp:keywords/>
  <dc:description/>
  <cp:lastModifiedBy>Carpp, Lindsay N</cp:lastModifiedBy>
  <cp:revision>34</cp:revision>
  <dcterms:created xsi:type="dcterms:W3CDTF">2021-08-18T20:58:00Z</dcterms:created>
  <dcterms:modified xsi:type="dcterms:W3CDTF">2021-08-30T18:56:00Z</dcterms:modified>
</cp:coreProperties>
</file>