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24D3" w14:textId="467CB2E0" w:rsidR="007D0ECA" w:rsidRDefault="007D0ECA" w:rsidP="007D0ECA">
      <w:pPr>
        <w:spacing w:line="480" w:lineRule="auto"/>
        <w:jc w:val="both"/>
        <w:rPr>
          <w:rFonts w:asciiTheme="minorHAnsi" w:hAnsiTheme="minorHAnsi" w:cstheme="minorHAnsi"/>
          <w:bCs/>
          <w:iCs/>
        </w:rPr>
      </w:pPr>
      <w:r w:rsidRPr="007D0ECA">
        <w:rPr>
          <w:rFonts w:asciiTheme="minorHAnsi" w:hAnsiTheme="minorHAnsi" w:cstheme="minorHAnsi"/>
          <w:lang w:val="en-GB"/>
        </w:rPr>
        <w:t>Supplemental Methods</w:t>
      </w:r>
      <w:r>
        <w:rPr>
          <w:rFonts w:asciiTheme="minorHAnsi" w:hAnsiTheme="minorHAnsi" w:cstheme="minorHAnsi"/>
          <w:lang w:val="en-GB"/>
        </w:rPr>
        <w:t xml:space="preserve">: </w:t>
      </w:r>
      <w:r w:rsidRPr="007D0ECA">
        <w:rPr>
          <w:rFonts w:asciiTheme="minorHAnsi" w:hAnsiTheme="minorHAnsi" w:cstheme="minorHAnsi"/>
          <w:bCs/>
          <w:iCs/>
        </w:rPr>
        <w:t>Genetic underpinnings of the transition from alcohol consumption to</w:t>
      </w:r>
      <w:r>
        <w:rPr>
          <w:rFonts w:asciiTheme="minorHAnsi" w:hAnsiTheme="minorHAnsi" w:cstheme="minorHAnsi"/>
          <w:bCs/>
          <w:iCs/>
        </w:rPr>
        <w:t xml:space="preserve"> alcohol use disorder: </w:t>
      </w:r>
      <w:r w:rsidRPr="000330EE">
        <w:rPr>
          <w:rFonts w:asciiTheme="minorHAnsi" w:hAnsiTheme="minorHAnsi" w:cstheme="minorHAnsi"/>
          <w:bCs/>
          <w:iCs/>
        </w:rPr>
        <w:t xml:space="preserve">Shared and unique genetic architectures </w:t>
      </w:r>
      <w:r>
        <w:rPr>
          <w:rFonts w:asciiTheme="minorHAnsi" w:hAnsiTheme="minorHAnsi" w:cstheme="minorHAnsi"/>
          <w:bCs/>
          <w:iCs/>
        </w:rPr>
        <w:t>in a cross-ancestry sample</w:t>
      </w:r>
    </w:p>
    <w:p w14:paraId="38E71E22" w14:textId="157BC144" w:rsidR="007D0ECA" w:rsidRDefault="007D0ECA" w:rsidP="007D0ECA">
      <w:pPr>
        <w:spacing w:line="480" w:lineRule="auto"/>
        <w:jc w:val="both"/>
        <w:rPr>
          <w:rFonts w:asciiTheme="minorHAnsi" w:hAnsiTheme="minorHAnsi" w:cstheme="minorHAnsi"/>
          <w:bCs/>
          <w:iCs/>
        </w:rPr>
      </w:pPr>
    </w:p>
    <w:p w14:paraId="2F149321" w14:textId="2F152350" w:rsidR="00C90BD9" w:rsidRPr="000330EE" w:rsidRDefault="00C90BD9" w:rsidP="00C90BD9">
      <w:pPr>
        <w:spacing w:line="480" w:lineRule="auto"/>
        <w:jc w:val="both"/>
        <w:rPr>
          <w:rFonts w:asciiTheme="minorHAnsi" w:hAnsiTheme="minorHAnsi" w:cstheme="minorHAnsi"/>
          <w:bCs/>
          <w:i/>
        </w:rPr>
      </w:pPr>
      <w:r w:rsidRPr="000330EE">
        <w:rPr>
          <w:rFonts w:asciiTheme="minorHAnsi" w:hAnsiTheme="minorHAnsi" w:cstheme="minorHAnsi"/>
          <w:bCs/>
          <w:i/>
        </w:rPr>
        <w:t>Million Veteran Program Cohort</w:t>
      </w:r>
    </w:p>
    <w:p w14:paraId="435D160E" w14:textId="0D0E0629" w:rsidR="00C90BD9" w:rsidRDefault="00C90BD9" w:rsidP="00C90BD9">
      <w:pPr>
        <w:spacing w:line="480" w:lineRule="auto"/>
        <w:jc w:val="both"/>
        <w:rPr>
          <w:rFonts w:asciiTheme="minorHAnsi" w:hAnsiTheme="minorHAnsi" w:cstheme="minorHAnsi"/>
          <w:bCs/>
          <w:iCs/>
        </w:rPr>
      </w:pPr>
      <w:r w:rsidRPr="000330EE">
        <w:rPr>
          <w:rFonts w:asciiTheme="minorHAnsi" w:hAnsiTheme="minorHAnsi" w:cstheme="minorHAnsi"/>
          <w:bCs/>
          <w:iCs/>
        </w:rPr>
        <w:tab/>
        <w:t xml:space="preserve">Recruitment for MVP began in 2011 and is ongoing, with approximately 830,000 participants enrolled at 63 VA medical centers nationwide as of June 2021. </w:t>
      </w:r>
      <w:r>
        <w:rPr>
          <w:rFonts w:asciiTheme="minorHAnsi" w:hAnsiTheme="minorHAnsi" w:cstheme="minorHAnsi"/>
          <w:bCs/>
          <w:iCs/>
        </w:rPr>
        <w:t>Written i</w:t>
      </w:r>
      <w:r w:rsidRPr="000330EE">
        <w:rPr>
          <w:rFonts w:asciiTheme="minorHAnsi" w:hAnsiTheme="minorHAnsi" w:cstheme="minorHAnsi"/>
          <w:bCs/>
          <w:iCs/>
        </w:rPr>
        <w:t xml:space="preserve">nformed consent was obtained from all MVP study participants. Following consent, Veterans provided </w:t>
      </w:r>
      <w:r>
        <w:rPr>
          <w:rFonts w:asciiTheme="minorHAnsi" w:hAnsiTheme="minorHAnsi" w:cstheme="minorHAnsi"/>
          <w:bCs/>
          <w:iCs/>
        </w:rPr>
        <w:t xml:space="preserve">a </w:t>
      </w:r>
      <w:r w:rsidRPr="000330EE">
        <w:rPr>
          <w:rFonts w:asciiTheme="minorHAnsi" w:hAnsiTheme="minorHAnsi" w:cstheme="minorHAnsi"/>
          <w:bCs/>
          <w:iCs/>
        </w:rPr>
        <w:t xml:space="preserve">blood sample for DNA extraction and genotyping, </w:t>
      </w:r>
      <w:r>
        <w:rPr>
          <w:rFonts w:asciiTheme="minorHAnsi" w:hAnsiTheme="minorHAnsi" w:cstheme="minorHAnsi"/>
          <w:bCs/>
          <w:iCs/>
        </w:rPr>
        <w:t xml:space="preserve">many </w:t>
      </w:r>
      <w:r w:rsidRPr="000330EE">
        <w:rPr>
          <w:rFonts w:asciiTheme="minorHAnsi" w:hAnsiTheme="minorHAnsi" w:cstheme="minorHAnsi"/>
          <w:bCs/>
          <w:iCs/>
        </w:rPr>
        <w:t xml:space="preserve">completed surveys about health and lifestyle, and </w:t>
      </w:r>
      <w:r>
        <w:rPr>
          <w:rFonts w:asciiTheme="minorHAnsi" w:hAnsiTheme="minorHAnsi" w:cstheme="minorHAnsi"/>
          <w:bCs/>
          <w:iCs/>
        </w:rPr>
        <w:t xml:space="preserve">all </w:t>
      </w:r>
      <w:r w:rsidRPr="000330EE">
        <w:rPr>
          <w:rFonts w:asciiTheme="minorHAnsi" w:hAnsiTheme="minorHAnsi" w:cstheme="minorHAnsi"/>
          <w:bCs/>
          <w:iCs/>
        </w:rPr>
        <w:t xml:space="preserve">allowed access to their </w:t>
      </w:r>
      <w:r>
        <w:rPr>
          <w:rFonts w:asciiTheme="minorHAnsi" w:hAnsiTheme="minorHAnsi" w:cstheme="minorHAnsi"/>
          <w:bCs/>
          <w:iCs/>
        </w:rPr>
        <w:t xml:space="preserve">EHR </w:t>
      </w:r>
      <w:r w:rsidRPr="000330EE">
        <w:rPr>
          <w:rFonts w:asciiTheme="minorHAnsi" w:hAnsiTheme="minorHAnsi" w:cstheme="minorHAnsi"/>
          <w:bCs/>
          <w:iCs/>
        </w:rPr>
        <w:t>for research purposes.</w:t>
      </w:r>
      <w:r w:rsidRPr="000330EE">
        <w:rPr>
          <w:rFonts w:asciiTheme="minorHAnsi" w:hAnsiTheme="minorHAnsi" w:cstheme="minorHAnsi"/>
        </w:rPr>
        <w:t xml:space="preserve"> </w:t>
      </w:r>
      <w:r w:rsidRPr="000330EE">
        <w:rPr>
          <w:rFonts w:asciiTheme="minorHAnsi" w:hAnsiTheme="minorHAnsi" w:cstheme="minorHAnsi"/>
          <w:bCs/>
          <w:iCs/>
        </w:rPr>
        <w:t>The MVP received approval from the Central Veterans Affairs Institutional Review Board (IRB) and site-specific IRBs. All relevant ethical regulations for work with human subjects were followed in the conduct of the study.</w:t>
      </w:r>
    </w:p>
    <w:p w14:paraId="6E0F058B" w14:textId="51549D9B" w:rsidR="00484A9F" w:rsidRDefault="00484A9F" w:rsidP="00C90BD9">
      <w:pPr>
        <w:spacing w:line="480" w:lineRule="auto"/>
        <w:jc w:val="both"/>
        <w:rPr>
          <w:rFonts w:asciiTheme="minorHAnsi" w:hAnsiTheme="minorHAnsi" w:cstheme="minorHAnsi"/>
          <w:bCs/>
          <w:iCs/>
        </w:rPr>
      </w:pPr>
    </w:p>
    <w:p w14:paraId="362F23BE" w14:textId="171B852D" w:rsidR="00484A9F" w:rsidRDefault="00484A9F" w:rsidP="00C90BD9">
      <w:pPr>
        <w:spacing w:line="480" w:lineRule="auto"/>
        <w:jc w:val="both"/>
        <w:rPr>
          <w:rFonts w:asciiTheme="minorHAnsi" w:hAnsiTheme="minorHAnsi" w:cstheme="minorHAnsi"/>
          <w:bCs/>
          <w:i/>
        </w:rPr>
      </w:pPr>
      <w:r w:rsidRPr="00484A9F">
        <w:rPr>
          <w:rFonts w:asciiTheme="minorHAnsi" w:hAnsiTheme="minorHAnsi" w:cstheme="minorHAnsi"/>
          <w:bCs/>
          <w:i/>
        </w:rPr>
        <w:t>Phenotypes</w:t>
      </w:r>
    </w:p>
    <w:p w14:paraId="049E0C87" w14:textId="1C345470" w:rsidR="00754738" w:rsidRDefault="00754738" w:rsidP="00754738">
      <w:pPr>
        <w:spacing w:line="480" w:lineRule="auto"/>
        <w:ind w:firstLine="720"/>
        <w:jc w:val="both"/>
        <w:rPr>
          <w:rFonts w:asciiTheme="minorHAnsi" w:hAnsiTheme="minorHAnsi" w:cstheme="minorHAnsi"/>
        </w:rPr>
      </w:pPr>
      <w:r w:rsidRPr="00B01627">
        <w:rPr>
          <w:rFonts w:asciiTheme="minorHAnsi" w:hAnsiTheme="minorHAnsi" w:cstheme="minorHAnsi"/>
          <w:i/>
          <w:iCs/>
        </w:rPr>
        <w:t>Primary GWAS</w:t>
      </w:r>
      <w:r>
        <w:rPr>
          <w:rFonts w:asciiTheme="minorHAnsi" w:hAnsiTheme="minorHAnsi" w:cstheme="minorHAnsi"/>
        </w:rPr>
        <w:t xml:space="preserve">: </w:t>
      </w:r>
      <w:r w:rsidRPr="000330EE">
        <w:rPr>
          <w:rFonts w:asciiTheme="minorHAnsi" w:hAnsiTheme="minorHAnsi" w:cstheme="minorHAnsi"/>
        </w:rPr>
        <w:t xml:space="preserve">For the primary </w:t>
      </w:r>
      <w:r>
        <w:rPr>
          <w:rFonts w:asciiTheme="minorHAnsi" w:hAnsiTheme="minorHAnsi" w:cstheme="minorHAnsi"/>
        </w:rPr>
        <w:t xml:space="preserve">AUD </w:t>
      </w:r>
      <w:r w:rsidRPr="000330EE">
        <w:rPr>
          <w:rFonts w:asciiTheme="minorHAnsi" w:hAnsiTheme="minorHAnsi" w:cstheme="minorHAnsi"/>
        </w:rPr>
        <w:t xml:space="preserve">GWAS (“AUD [Stringent]”), the </w:t>
      </w:r>
      <w:r>
        <w:rPr>
          <w:rFonts w:asciiTheme="minorHAnsi" w:hAnsiTheme="minorHAnsi" w:cstheme="minorHAnsi"/>
        </w:rPr>
        <w:t xml:space="preserve">case </w:t>
      </w:r>
      <w:r w:rsidRPr="000330EE">
        <w:rPr>
          <w:rFonts w:asciiTheme="minorHAnsi" w:hAnsiTheme="minorHAnsi" w:cstheme="minorHAnsi"/>
        </w:rPr>
        <w:t>definition required the presence of at least one inpatient or two outpatient ICD-9/10 diagnostic codes for AUD (305.0X, 303.X, F10.1X, F10.2X) from 2000-2018, consistent with our previous work</w:t>
      </w:r>
      <w:r w:rsidRPr="000330EE">
        <w:rPr>
          <w:rFonts w:asciiTheme="minorHAnsi" w:hAnsiTheme="minorHAnsi" w:cstheme="minorHAnsi"/>
        </w:rPr>
        <w:fldChar w:fldCharType="begin"/>
      </w:r>
      <w:r w:rsidR="00B659C8">
        <w:rPr>
          <w:rFonts w:asciiTheme="minorHAnsi" w:hAnsiTheme="minorHAnsi" w:cstheme="minorHAnsi"/>
        </w:rPr>
        <w:instrText xml:space="preserve"> ADDIN ZOTERO_ITEM CSL_CITATION {"citationID":"5sdMV9Ie","properties":{"formattedCitation":"\\super 1,2\\nosupersub{}","plainCitation":"1,2","noteIndex":0},"citationItems":[{"id":5,"uris":["http://zotero.org/users/8087914/items/5DA4DXTL"],"uri":["http://zotero.org/users/8087914/items/5DA4DXTL"],"itemData":{"id":5,"type":"article-journal","abstract":"Alcohol consumption level and alcohol use disorder (AUD) diagnosis are moderately heritable traits. We conduct genome-wide association studies of these traits using longitudinal Alcohol Use Disorder Identification Test-Consumption (AUDIT-C) scores and AUD diagnoses in a multi-ancestry Million Veteran Program sample (N = 274,424). We identify 18 genome-wide significant loci: 5 associated with both traits, 8 associated with AUDIT-C only, and 5 associated with AUD diagnosis only. Polygenic Risk Scores (PRS) for both traits are associated with alcohol-related disorders in two independent samples. Although a significant genetic correlation reflects the overlap between the traits, genetic correlations for 188 non-alcohol-related traits differ significantly for the two traits, as do the phenotypes associated with the traits’ PRS. Cell type group partitioning heritability enrichment analyses also differentiate the two traits. We conclude that, although heavy drinking is a key risk factor for AUD, it is not a sufficient cause of the disorder.","container-title":"Nature Communications","DOI":"10.1038/s41467-019-09480-8","ISSN":"2041-1723","issue":"1","journalAbbreviation":"Nat Commun","language":"en","note":"number: 1\npublisher: Nature Publishing Group","page":"1499","source":"www.nature.com","title":"Genome-wide association study of alcohol consumption and use disorder in 274,424 individuals from multiple populations","volume":"10","author":[{"family":"Kranzler","given":"Henry R."},{"family":"Zhou","given":"Hang"},{"family":"Kember","given":"Rachel L."},{"family":"Vickers Smith","given":"Rachel"},{"family":"Justice","given":"Amy C."},{"family":"Damrauer","given":"Scott"},{"family":"Tsao","given":"Philip S."},{"family":"Klarin","given":"Derek"},{"family":"Baras","given":"Aris"},{"family":"Reid","given":"Jeffrey"},{"family":"Overton","given":"John"},{"family":"Rader","given":"Daniel J."},{"family":"Cheng","given":"Zhongshan"},{"family":"Tate","given":"Janet P."},{"family":"Becker","given":"William C."},{"family":"Concato","given":"John"},{"family":"Xu","given":"Ke"},{"family":"Polimanti","given":"Renato"},{"family":"Zhao","given":"Hongyu"},{"family":"Gelernter","given":"Joel"}],"issued":{"date-parts":[["2019",4,2]]}}},{"id":7,"uris":["http://zotero.org/users/8087914/items/4IY4FR2E"],"uri":["http://zotero.org/users/8087914/items/4IY4FR2E"],"itemData":{"id":7,"type":"article-journal","abstract":"Problematic alcohol use (PAU) is a leading cause of death and disability worldwide. Although genome-wide association studies have identified PAU risk genes, the genetic architecture of this trait is not fully understood. We conducted a proxy-phenotype meta-analysis of PAU, combining alcohol use disorder and problematic drinking, in 435,563 European-ancestry individuals. We identified 29 independent risk variants, 19 of them novel. PAU was genetically correlated with 138 phenotypes, including substance use and psychiatric traits. Phenome-wide polygenic risk score analysis in an independent biobank sample (BioVU, n = 67,589) confirmed the genetic correlations between PAU and substance use and psychiatric disorders. Genetic heritability of PAU was enriched in brain and in conserved and regulatory genomic regions. Mendelian randomization suggested causal effects on liability to PAU of substance use, psychiatric status, risk-taking behavior and cognitive performance. In summary, this large PAU meta-analysis identified novel risk loci and revealed genetic relationships with numerous other traits.","container-title":"Nature Neuroscience","DOI":"10.1038/s41593-020-0643-5","ISSN":"1546-1726","issue":"7","journalAbbreviation":"Nat Neurosci","language":"en","note":"number: 7\npublisher: Nature Publishing Group","page":"809-818","source":"www.nature.com","title":"Genome-wide meta-analysis of problematic alcohol use in 435,563 individuals yields insights into biology and relationships with other traits","volume":"23","author":[{"family":"Zhou","given":"Hang"},{"family":"Sealock","given":"Julia M."},{"family":"Sanchez-Roige","given":"Sandra"},{"family":"Clarke","given":"Toni-Kim"},{"family":"Levey","given":"Daniel F."},{"family":"Cheng","given":"Zhongshan"},{"family":"Li","given":"Boyang"},{"family":"Polimanti","given":"Renato"},{"family":"Kember","given":"Rachel L."},{"family":"Smith","given":"Rachel Vickers"},{"family":"Thygesen","given":"Johan H."},{"family":"Morgan","given":"Marsha Y."},{"family":"Atkinson","given":"Stephen R."},{"family":"Thursz","given":"Mark R."},{"family":"Nyegaard","given":"Mette"},{"family":"Mattheisen","given":"Manuel"},{"family":"Børglum","given":"Anders D."},{"family":"Johnson","given":"Emma C."},{"family":"Justice","given":"Amy C."},{"family":"Palmer","given":"Abraham A."},{"family":"McQuillin","given":"Andrew"},{"family":"Davis","given":"Lea K."},{"family":"Edenberg","given":"Howard J."},{"family":"Agrawal","given":"Arpana"},{"family":"Kranzler","given":"Henry R."},{"family":"Gelernter","given":"Joel"}],"issued":{"date-parts":[["2020",7]]}}}],"schema":"https://github.com/citation-style-language/schema/raw/master/csl-citation.json"} </w:instrText>
      </w:r>
      <w:r w:rsidRPr="000330EE">
        <w:rPr>
          <w:rFonts w:asciiTheme="minorHAnsi" w:hAnsiTheme="minorHAnsi" w:cstheme="minorHAnsi"/>
        </w:rPr>
        <w:fldChar w:fldCharType="separate"/>
      </w:r>
      <w:r w:rsidR="00B659C8" w:rsidRPr="00B659C8">
        <w:rPr>
          <w:rFonts w:ascii="Calibri" w:hAnsiTheme="minorHAnsi" w:cs="Calibri"/>
          <w:vertAlign w:val="superscript"/>
        </w:rPr>
        <w:t>1,2</w:t>
      </w:r>
      <w:r w:rsidRPr="000330EE">
        <w:rPr>
          <w:rFonts w:asciiTheme="minorHAnsi" w:hAnsiTheme="minorHAnsi" w:cstheme="minorHAnsi"/>
        </w:rPr>
        <w:fldChar w:fldCharType="end"/>
      </w:r>
      <w:r w:rsidRPr="000330EE">
        <w:rPr>
          <w:rFonts w:asciiTheme="minorHAnsi" w:hAnsiTheme="minorHAnsi" w:cstheme="minorHAnsi"/>
        </w:rPr>
        <w:t xml:space="preserve">. </w:t>
      </w:r>
      <w:r>
        <w:rPr>
          <w:rFonts w:asciiTheme="minorHAnsi" w:hAnsiTheme="minorHAnsi" w:cstheme="minorHAnsi"/>
        </w:rPr>
        <w:t>This approach is generally preferred when using diagnostic codes in the outpatient setting because these codes are sometimes incorrectly used in the process of ruling out the condition rather than establishing the condition. Thus, i</w:t>
      </w:r>
      <w:r w:rsidRPr="000330EE">
        <w:rPr>
          <w:rFonts w:asciiTheme="minorHAnsi" w:hAnsiTheme="minorHAnsi" w:cstheme="minorHAnsi"/>
        </w:rPr>
        <w:t>ndividuals with only one outpatient diagno</w:t>
      </w:r>
      <w:r>
        <w:rPr>
          <w:rFonts w:asciiTheme="minorHAnsi" w:hAnsiTheme="minorHAnsi" w:cstheme="minorHAnsi"/>
        </w:rPr>
        <w:t>stic</w:t>
      </w:r>
      <w:r w:rsidRPr="000330EE">
        <w:rPr>
          <w:rFonts w:asciiTheme="minorHAnsi" w:hAnsiTheme="minorHAnsi" w:cstheme="minorHAnsi"/>
        </w:rPr>
        <w:t xml:space="preserve"> code for AUD were excluded from the analysis.</w:t>
      </w:r>
      <w:r w:rsidRPr="00B01627">
        <w:rPr>
          <w:rFonts w:asciiTheme="minorHAnsi" w:hAnsiTheme="minorHAnsi" w:cstheme="minorHAnsi"/>
        </w:rPr>
        <w:t xml:space="preserve"> </w:t>
      </w:r>
      <w:r w:rsidRPr="000330EE">
        <w:rPr>
          <w:rFonts w:asciiTheme="minorHAnsi" w:hAnsiTheme="minorHAnsi" w:cstheme="minorHAnsi"/>
        </w:rPr>
        <w:t>Controls were individuals who had no AUD ICD-9/10 diagno</w:t>
      </w:r>
      <w:r>
        <w:rPr>
          <w:rFonts w:asciiTheme="minorHAnsi" w:hAnsiTheme="minorHAnsi" w:cstheme="minorHAnsi"/>
        </w:rPr>
        <w:t>stic</w:t>
      </w:r>
      <w:r w:rsidRPr="000330EE">
        <w:rPr>
          <w:rFonts w:asciiTheme="minorHAnsi" w:hAnsiTheme="minorHAnsi" w:cstheme="minorHAnsi"/>
        </w:rPr>
        <w:t xml:space="preserve"> </w:t>
      </w:r>
      <w:r w:rsidRPr="000330EE">
        <w:rPr>
          <w:rFonts w:asciiTheme="minorHAnsi" w:hAnsiTheme="minorHAnsi" w:cstheme="minorHAnsi"/>
        </w:rPr>
        <w:lastRenderedPageBreak/>
        <w:t xml:space="preserve">code in the EHR. </w:t>
      </w:r>
      <w:r>
        <w:rPr>
          <w:rFonts w:asciiTheme="minorHAnsi" w:hAnsiTheme="minorHAnsi" w:cstheme="minorHAnsi"/>
        </w:rPr>
        <w:t>For the primary AUDIT-C GWAS, maximum AUDIT-C score was used as a measure of alcohol consumption (“AUDIT-C”).</w:t>
      </w:r>
    </w:p>
    <w:p w14:paraId="3E534367" w14:textId="3CED5F33" w:rsidR="00754738" w:rsidRPr="000330EE" w:rsidRDefault="00754738" w:rsidP="00754738">
      <w:pPr>
        <w:spacing w:line="480" w:lineRule="auto"/>
        <w:ind w:firstLine="720"/>
        <w:jc w:val="both"/>
        <w:rPr>
          <w:rFonts w:asciiTheme="minorHAnsi" w:hAnsiTheme="minorHAnsi" w:cstheme="minorHAnsi"/>
        </w:rPr>
      </w:pPr>
      <w:r w:rsidRPr="00B01627">
        <w:rPr>
          <w:rFonts w:asciiTheme="minorHAnsi" w:hAnsiTheme="minorHAnsi" w:cstheme="minorHAnsi"/>
          <w:i/>
          <w:iCs/>
        </w:rPr>
        <w:t>Secondary GWAS</w:t>
      </w:r>
      <w:r>
        <w:rPr>
          <w:rFonts w:asciiTheme="minorHAnsi" w:hAnsiTheme="minorHAnsi" w:cstheme="minorHAnsi"/>
        </w:rPr>
        <w:t xml:space="preserve">: </w:t>
      </w:r>
      <w:r w:rsidRPr="000330EE">
        <w:rPr>
          <w:rFonts w:asciiTheme="minorHAnsi" w:hAnsiTheme="minorHAnsi" w:cstheme="minorHAnsi"/>
        </w:rPr>
        <w:t xml:space="preserve">For the secondary </w:t>
      </w:r>
      <w:r>
        <w:rPr>
          <w:rFonts w:asciiTheme="minorHAnsi" w:hAnsiTheme="minorHAnsi" w:cstheme="minorHAnsi"/>
        </w:rPr>
        <w:t xml:space="preserve">AUD </w:t>
      </w:r>
      <w:r w:rsidRPr="000330EE">
        <w:rPr>
          <w:rFonts w:asciiTheme="minorHAnsi" w:hAnsiTheme="minorHAnsi" w:cstheme="minorHAnsi"/>
        </w:rPr>
        <w:t>GWAS</w:t>
      </w:r>
      <w:r>
        <w:rPr>
          <w:rFonts w:asciiTheme="minorHAnsi" w:hAnsiTheme="minorHAnsi" w:cstheme="minorHAnsi"/>
        </w:rPr>
        <w:t>s</w:t>
      </w:r>
      <w:r w:rsidRPr="000330EE">
        <w:rPr>
          <w:rFonts w:asciiTheme="minorHAnsi" w:hAnsiTheme="minorHAnsi" w:cstheme="minorHAnsi"/>
        </w:rPr>
        <w:t xml:space="preserve"> we </w:t>
      </w:r>
      <w:r>
        <w:rPr>
          <w:rFonts w:asciiTheme="minorHAnsi" w:hAnsiTheme="minorHAnsi" w:cstheme="minorHAnsi"/>
        </w:rPr>
        <w:t xml:space="preserve">created 1) </w:t>
      </w:r>
      <w:r w:rsidRPr="000330EE">
        <w:rPr>
          <w:rFonts w:asciiTheme="minorHAnsi" w:hAnsiTheme="minorHAnsi" w:cstheme="minorHAnsi"/>
        </w:rPr>
        <w:t>a less stringent definition of AUD (“AUD [Less stringent]”) that required just one inpatient or outpatient ICD-9/10 diagnostic code for AUD in the EHR</w:t>
      </w:r>
      <w:r>
        <w:rPr>
          <w:rFonts w:asciiTheme="minorHAnsi" w:hAnsiTheme="minorHAnsi" w:cstheme="minorHAnsi"/>
        </w:rPr>
        <w:t>, and</w:t>
      </w:r>
      <w:r w:rsidRPr="000330EE">
        <w:rPr>
          <w:rFonts w:asciiTheme="minorHAnsi" w:hAnsiTheme="minorHAnsi" w:cstheme="minorHAnsi"/>
        </w:rPr>
        <w:t xml:space="preserve"> </w:t>
      </w:r>
      <w:r>
        <w:rPr>
          <w:rFonts w:asciiTheme="minorHAnsi" w:hAnsiTheme="minorHAnsi" w:cstheme="minorHAnsi"/>
        </w:rPr>
        <w:t xml:space="preserve">2) </w:t>
      </w:r>
      <w:r w:rsidRPr="000330EE">
        <w:rPr>
          <w:rFonts w:asciiTheme="minorHAnsi" w:hAnsiTheme="minorHAnsi" w:cstheme="minorHAnsi"/>
        </w:rPr>
        <w:t>removed cases and controls with a</w:t>
      </w:r>
      <w:r>
        <w:rPr>
          <w:rFonts w:asciiTheme="minorHAnsi" w:hAnsiTheme="minorHAnsi" w:cstheme="minorHAnsi"/>
        </w:rPr>
        <w:t xml:space="preserve"> maximum</w:t>
      </w:r>
      <w:r w:rsidRPr="000330EE">
        <w:rPr>
          <w:rFonts w:asciiTheme="minorHAnsi" w:hAnsiTheme="minorHAnsi" w:cstheme="minorHAnsi"/>
        </w:rPr>
        <w:t xml:space="preserve"> AUDIT-C=0 </w:t>
      </w:r>
      <w:r>
        <w:rPr>
          <w:rFonts w:asciiTheme="minorHAnsi" w:hAnsiTheme="minorHAnsi" w:cstheme="minorHAnsi"/>
        </w:rPr>
        <w:t>(</w:t>
      </w:r>
      <w:r w:rsidRPr="000330EE">
        <w:rPr>
          <w:rFonts w:asciiTheme="minorHAnsi" w:hAnsiTheme="minorHAnsi" w:cstheme="minorHAnsi"/>
        </w:rPr>
        <w:t>thus, all individuals remaining in the analysis reported alcohol consumption; “AUD [AUDIT-C&gt;0]”). Controls were individuals who had no AUD ICD-9/10 diagno</w:t>
      </w:r>
      <w:r>
        <w:rPr>
          <w:rFonts w:asciiTheme="minorHAnsi" w:hAnsiTheme="minorHAnsi" w:cstheme="minorHAnsi"/>
        </w:rPr>
        <w:t>stic</w:t>
      </w:r>
      <w:r w:rsidRPr="000330EE">
        <w:rPr>
          <w:rFonts w:asciiTheme="minorHAnsi" w:hAnsiTheme="minorHAnsi" w:cstheme="minorHAnsi"/>
        </w:rPr>
        <w:t xml:space="preserve"> code in the EHR. </w:t>
      </w:r>
      <w:r>
        <w:rPr>
          <w:rFonts w:asciiTheme="minorHAnsi" w:hAnsiTheme="minorHAnsi" w:cstheme="minorHAnsi"/>
        </w:rPr>
        <w:t xml:space="preserve">For the </w:t>
      </w:r>
      <w:r w:rsidRPr="000330EE">
        <w:rPr>
          <w:rFonts w:asciiTheme="minorHAnsi" w:hAnsiTheme="minorHAnsi" w:cstheme="minorHAnsi"/>
        </w:rPr>
        <w:t xml:space="preserve">secondary </w:t>
      </w:r>
      <w:r>
        <w:rPr>
          <w:rFonts w:asciiTheme="minorHAnsi" w:hAnsiTheme="minorHAnsi" w:cstheme="minorHAnsi"/>
        </w:rPr>
        <w:t xml:space="preserve">AUDIT-C </w:t>
      </w:r>
      <w:r w:rsidRPr="000330EE">
        <w:rPr>
          <w:rFonts w:asciiTheme="minorHAnsi" w:hAnsiTheme="minorHAnsi" w:cstheme="minorHAnsi"/>
        </w:rPr>
        <w:t>GWAS, we removed individuals with a</w:t>
      </w:r>
      <w:r>
        <w:rPr>
          <w:rFonts w:asciiTheme="minorHAnsi" w:hAnsiTheme="minorHAnsi" w:cstheme="minorHAnsi"/>
        </w:rPr>
        <w:t xml:space="preserve"> maximum</w:t>
      </w:r>
      <w:r w:rsidRPr="000330EE">
        <w:rPr>
          <w:rFonts w:asciiTheme="minorHAnsi" w:hAnsiTheme="minorHAnsi" w:cstheme="minorHAnsi"/>
        </w:rPr>
        <w:t xml:space="preserve"> AUDIT-C=0 ( “AUDIT-C&gt;0”), </w:t>
      </w:r>
      <w:r w:rsidRPr="000330EE">
        <w:rPr>
          <w:rFonts w:asciiTheme="minorHAnsi" w:hAnsiTheme="minorHAnsi" w:cstheme="minorHAnsi"/>
          <w:bCs/>
          <w:iCs/>
        </w:rPr>
        <w:t>to avoid the confounding effects of a prior history of heavy drinking despite current abstinenc</w:t>
      </w:r>
      <w:r>
        <w:rPr>
          <w:rFonts w:asciiTheme="minorHAnsi" w:hAnsiTheme="minorHAnsi" w:cstheme="minorHAnsi"/>
          <w:bCs/>
          <w:iCs/>
        </w:rPr>
        <w:t>e</w:t>
      </w:r>
      <w:r>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{"citationID":"kjfEEApf","properties":{"formattedCitation":"\\super 3\\nosupersub{}","plainCitation":"3","noteIndex":0},"citationItems":[{"id":3,"uris":["http://zotero.org/users/8087914/items/6PMHGHV6"],"uri":["http://zotero.org/users/8087914/items/6PMHGHV6"],"itemData":{"id":3,"type":"article-journal","abstract":"Background and aims The Alcohol Use Disorders Identification Test-Consumption (AUDIT-C) questionnaire screens for harmful drinking using a 12-month timeframe. A score of 0 is assigned to individuals who report abstaining from alcohol in the past year. However, many middle-age individuals reporting current abstinence are former drinkers (FDs). Because FDs may be more genetically prone to harmful alcohol use than lifelong abstainers (LAs) and are often combined with LAs, we evaluated the impact of differentiating them on the identification of genetic association. Design and Setting The United Kingdom Biobank (UKBB) includes AUDIT-C and alcohol drinker status. Participants 131 510 Europeans, including 5135 FDs. Measurements We compared three genome-wide association (GWAS) analyses to explore the effects of removing FDs: the full AUDIT-C data, AUDIT-C data without FDs, and data from a random sample numerically matched to the data without FDs. Because prior studies show a consistent association of the ADH1B polymorphism rs1229984 with both alcohol consumption and alcohol use disorder, we compared allele frequencies for rs1229984 stratified by AUDIT-C value and FD versus LA status. Additionally, we calculated polygenic risk scores (PRS) of related diseases. Findings The rs1229984 allele frequencies among FDs were numerically comparable to those with high AUDIT-C scores and very different from those of LAs. Removing FDs from GWAS yielded a stronger association with rs1229984 (P value after removal: 1.9 × 10−70 vs 1.7 × 10−65 and 2.5 × 10−62), more statistically significant single nucleotide polymorphisms (SNPs) (after removal: 11 vs 9 and 8), and genomic loci (after removal: 11 vs 9 and 7). Additional independent SNPs were identified after removal of FDs: rs2817866 (PTGER3), rs7105867 (ANO3), and rs17601612 (DRD2). For PRS of alcohol use disorder and major depressive disorder, there are statistically significant differences between FDs and LAs. Conclusions Differentiating between former drinkers and lifelong abstainers can improve Alcohol Use Disorders Identification Test-Consumption (AUDIT-C) genome-wide association results.","container-title":"Addiction","DOI":"https://doi.org/10.1111/add.15511","ISSN":"1360-0443","issue":"n/a","language":"en","note":"_eprint: https://onlinelibrary.wiley.com/doi/pdf/10.1111/add.15511","source":"Wiley Online Library","title":"The impact of removing former drinkers from genome-wide association studies of AUDIT-C","URL":"https://onlinelibrary.wiley.com/doi/abs/10.1111/add.15511","volume":"n/a","author":[{"family":"Dao","given":"Cecilia"},{"family":"Zhou","given":"Hang"},{"family":"Small","given":"Aeron"},{"family":"Gordon","given":"Kirsha S."},{"family":"Li","given":"Boyang"},{"family":"Kember","given":"Rachel L."},{"family":"Ye","given":"Yixuan"},{"family":"Gelernter","given":"Joel"},{"family":"Xu","given":"Ke"},{"family":"Kranzler","given":"Henry R."},{"family":"Zhao","given":"Hongyu"},{"family":"Justice","given":"Amy C."}],"accessed":{"date-parts":[["2021",6,4]]}}}],"schema":"https://github.com/citation-style-language/schema/raw/master/csl-citation.json"} </w:instrText>
      </w:r>
      <w:r>
        <w:rPr>
          <w:rFonts w:asciiTheme="minorHAnsi" w:hAnsiTheme="minorHAnsi" w:cstheme="minorHAnsi"/>
          <w:bCs/>
          <w:iCs/>
        </w:rPr>
        <w:fldChar w:fldCharType="separate"/>
      </w:r>
      <w:r w:rsidR="00B659C8" w:rsidRPr="00B659C8">
        <w:rPr>
          <w:rFonts w:ascii="Calibri" w:hAnsiTheme="minorHAnsi" w:cs="Calibri"/>
          <w:vertAlign w:val="superscript"/>
        </w:rPr>
        <w:t>3</w:t>
      </w:r>
      <w:r>
        <w:rPr>
          <w:rFonts w:asciiTheme="minorHAnsi" w:hAnsiTheme="minorHAnsi" w:cstheme="minorHAnsi"/>
          <w:bCs/>
          <w:iCs/>
        </w:rPr>
        <w:fldChar w:fldCharType="end"/>
      </w:r>
      <w:r w:rsidRPr="000330EE">
        <w:rPr>
          <w:rFonts w:asciiTheme="minorHAnsi" w:hAnsiTheme="minorHAnsi" w:cstheme="minorHAnsi"/>
          <w:bCs/>
          <w:iCs/>
        </w:rPr>
        <w:t>.</w:t>
      </w:r>
    </w:p>
    <w:p w14:paraId="1B4D8E47" w14:textId="11E09350" w:rsidR="00754738" w:rsidRDefault="00754738" w:rsidP="00754738">
      <w:pPr>
        <w:spacing w:line="480" w:lineRule="auto"/>
        <w:ind w:firstLine="720"/>
        <w:jc w:val="both"/>
        <w:rPr>
          <w:rFonts w:asciiTheme="minorHAnsi" w:hAnsiTheme="minorHAnsi" w:cstheme="minorHAnsi"/>
        </w:rPr>
      </w:pPr>
      <w:r w:rsidRPr="00B01627">
        <w:rPr>
          <w:rFonts w:asciiTheme="minorHAnsi" w:hAnsiTheme="minorHAnsi" w:cstheme="minorHAnsi"/>
          <w:i/>
          <w:iCs/>
        </w:rPr>
        <w:t>Mediation analyses</w:t>
      </w:r>
      <w:r>
        <w:rPr>
          <w:rFonts w:asciiTheme="minorHAnsi" w:hAnsiTheme="minorHAnsi" w:cstheme="minorHAnsi"/>
        </w:rPr>
        <w:t xml:space="preserve">: </w:t>
      </w:r>
      <w:r w:rsidRPr="000330EE">
        <w:rPr>
          <w:rFonts w:asciiTheme="minorHAnsi" w:hAnsiTheme="minorHAnsi" w:cstheme="minorHAnsi"/>
        </w:rPr>
        <w:t>For mediation analyses,</w:t>
      </w:r>
      <w:r>
        <w:rPr>
          <w:rFonts w:asciiTheme="minorHAnsi" w:hAnsiTheme="minorHAnsi" w:cstheme="minorHAnsi"/>
        </w:rPr>
        <w:t xml:space="preserve"> cases were defined as those meeting the stringent definition for AUD. As in previous analyses, controls were individuals who did not have an AUD ICD-9/10 diagnostic code in the EHR. We excluded abstainers (individuals with </w:t>
      </w:r>
      <w:r w:rsidRPr="000330EE">
        <w:rPr>
          <w:rFonts w:asciiTheme="minorHAnsi" w:hAnsiTheme="minorHAnsi" w:cstheme="minorHAnsi"/>
        </w:rPr>
        <w:t>AUDIT-C score</w:t>
      </w:r>
      <w:r>
        <w:rPr>
          <w:rFonts w:asciiTheme="minorHAnsi" w:hAnsiTheme="minorHAnsi" w:cstheme="minorHAnsi"/>
        </w:rPr>
        <w:t>=0) from the analysis because this group is heterogenous, consisting of both never- and former drinkers, of which the latter group could give rise to reverse causal effects</w:t>
      </w:r>
      <w:r w:rsidRPr="000330EE">
        <w:rPr>
          <w:rFonts w:asciiTheme="minorHAnsi" w:hAnsiTheme="minorHAnsi" w:cstheme="minorHAnsi"/>
        </w:rPr>
        <w:t xml:space="preserve">. </w:t>
      </w:r>
      <w:r>
        <w:rPr>
          <w:rFonts w:asciiTheme="minorHAnsi" w:hAnsiTheme="minorHAnsi" w:cstheme="minorHAnsi"/>
        </w:rPr>
        <w:t>For AUD cases, w</w:t>
      </w:r>
      <w:r w:rsidRPr="000330EE">
        <w:rPr>
          <w:rFonts w:asciiTheme="minorHAnsi" w:hAnsiTheme="minorHAnsi" w:cstheme="minorHAnsi"/>
        </w:rPr>
        <w:t xml:space="preserve">e required that the AUDIT-C score </w:t>
      </w:r>
      <w:r>
        <w:rPr>
          <w:rFonts w:asciiTheme="minorHAnsi" w:hAnsiTheme="minorHAnsi" w:cstheme="minorHAnsi"/>
        </w:rPr>
        <w:t>pre-date</w:t>
      </w:r>
      <w:r w:rsidRPr="000330EE">
        <w:rPr>
          <w:rFonts w:asciiTheme="minorHAnsi" w:hAnsiTheme="minorHAnsi" w:cstheme="minorHAnsi"/>
        </w:rPr>
        <w:t xml:space="preserve"> the AUD diagnosis</w:t>
      </w:r>
      <w:r>
        <w:rPr>
          <w:rFonts w:asciiTheme="minorHAnsi" w:hAnsiTheme="minorHAnsi" w:cstheme="minorHAnsi"/>
        </w:rPr>
        <w:t xml:space="preserve"> to minimize the possibility of reverse causality. Therefore, for AUD cases we used</w:t>
      </w:r>
      <w:r w:rsidRPr="000330EE">
        <w:rPr>
          <w:rFonts w:asciiTheme="minorHAnsi" w:hAnsiTheme="minorHAnsi" w:cstheme="minorHAnsi"/>
        </w:rPr>
        <w:t xml:space="preserve"> maximum AUDIT-C score prior to the date of the first ICD-9/10 AUD code</w:t>
      </w:r>
      <w:r>
        <w:rPr>
          <w:rFonts w:asciiTheme="minorHAnsi" w:hAnsiTheme="minorHAnsi" w:cstheme="minorHAnsi"/>
        </w:rPr>
        <w:t xml:space="preserve"> as their exposure variable</w:t>
      </w:r>
      <w:r w:rsidRPr="000330EE">
        <w:rPr>
          <w:rFonts w:asciiTheme="minorHAnsi" w:hAnsiTheme="minorHAnsi" w:cstheme="minorHAnsi"/>
        </w:rPr>
        <w:t>. For controls, we used the maximum AUDIT-C score</w:t>
      </w:r>
      <w:r>
        <w:rPr>
          <w:rFonts w:asciiTheme="minorHAnsi" w:hAnsiTheme="minorHAnsi" w:cstheme="minorHAnsi"/>
        </w:rPr>
        <w:t xml:space="preserve"> ever measured</w:t>
      </w:r>
      <w:r w:rsidRPr="000330EE">
        <w:rPr>
          <w:rFonts w:asciiTheme="minorHAnsi" w:hAnsiTheme="minorHAnsi" w:cstheme="minorHAnsi"/>
        </w:rPr>
        <w:t>. If either cases or controls had multiple instances of the maximum AUDIT-C score, the first instance</w:t>
      </w:r>
      <w:r>
        <w:rPr>
          <w:rFonts w:asciiTheme="minorHAnsi" w:hAnsiTheme="minorHAnsi" w:cstheme="minorHAnsi"/>
        </w:rPr>
        <w:t xml:space="preserve"> was used</w:t>
      </w:r>
      <w:r w:rsidRPr="000330EE">
        <w:rPr>
          <w:rFonts w:asciiTheme="minorHAnsi" w:hAnsiTheme="minorHAnsi" w:cstheme="minorHAnsi"/>
        </w:rPr>
        <w:t xml:space="preserve">. </w:t>
      </w:r>
    </w:p>
    <w:p w14:paraId="6F8017C3" w14:textId="77777777" w:rsidR="00BF48A4" w:rsidRDefault="00BF48A4" w:rsidP="00754738">
      <w:pPr>
        <w:spacing w:line="480" w:lineRule="auto"/>
        <w:ind w:firstLine="720"/>
        <w:jc w:val="both"/>
        <w:rPr>
          <w:rFonts w:asciiTheme="minorHAnsi" w:hAnsiTheme="minorHAnsi" w:cstheme="minorHAnsi"/>
        </w:rPr>
      </w:pPr>
    </w:p>
    <w:p w14:paraId="453AEAFD" w14:textId="77777777" w:rsidR="00BF48A4" w:rsidRPr="000330EE" w:rsidRDefault="00BF48A4" w:rsidP="00BF48A4">
      <w:pPr>
        <w:spacing w:line="480" w:lineRule="auto"/>
        <w:jc w:val="both"/>
        <w:rPr>
          <w:rFonts w:asciiTheme="minorHAnsi" w:hAnsiTheme="minorHAnsi" w:cstheme="minorHAnsi"/>
          <w:bCs/>
          <w:i/>
        </w:rPr>
      </w:pPr>
      <w:r w:rsidRPr="000330EE">
        <w:rPr>
          <w:rFonts w:asciiTheme="minorHAnsi" w:hAnsiTheme="minorHAnsi" w:cstheme="minorHAnsi"/>
          <w:bCs/>
          <w:i/>
        </w:rPr>
        <w:t>Genotyping and imputation</w:t>
      </w:r>
    </w:p>
    <w:p w14:paraId="0055B2B9" w14:textId="77777777" w:rsidR="00BF48A4" w:rsidRPr="000330EE" w:rsidRDefault="00BF48A4" w:rsidP="00BF48A4">
      <w:pPr>
        <w:spacing w:line="480" w:lineRule="auto"/>
        <w:ind w:firstLine="720"/>
        <w:jc w:val="both"/>
        <w:rPr>
          <w:rFonts w:asciiTheme="minorHAnsi" w:hAnsiTheme="minorHAnsi" w:cstheme="minorHAnsi"/>
          <w:bCs/>
          <w:iCs/>
        </w:rPr>
      </w:pPr>
      <w:r w:rsidRPr="000330EE">
        <w:rPr>
          <w:rFonts w:asciiTheme="minorHAnsi" w:hAnsiTheme="minorHAnsi" w:cstheme="minorHAnsi"/>
          <w:bCs/>
          <w:iCs/>
        </w:rPr>
        <w:lastRenderedPageBreak/>
        <w:t xml:space="preserve">Genotyping was performed using a custom Affymetrix Axiom Biobank Array. Genotyping data for MVP have been released in batches as </w:t>
      </w:r>
      <w:r>
        <w:rPr>
          <w:rFonts w:asciiTheme="minorHAnsi" w:hAnsiTheme="minorHAnsi" w:cstheme="minorHAnsi"/>
          <w:bCs/>
          <w:iCs/>
        </w:rPr>
        <w:t>recruitment is ongoing</w:t>
      </w:r>
      <w:r w:rsidRPr="000330EE">
        <w:rPr>
          <w:rFonts w:asciiTheme="minorHAnsi" w:hAnsiTheme="minorHAnsi" w:cstheme="minorHAnsi"/>
          <w:bCs/>
          <w:iCs/>
        </w:rPr>
        <w:t xml:space="preserve">; analyses presented in this paper used MVP Release 3 data. Quality control was performed by the MVP Genomics working group prior to imputation. Samples with excessive heterozygosity or missing call rate &gt; 2.5% or variants with low call rate or deviation from expected allele frequency were removed, leaving 455,789 individuals and 668,280 markers. </w:t>
      </w:r>
    </w:p>
    <w:p w14:paraId="72B60945" w14:textId="06EDE7A2" w:rsidR="00BF48A4" w:rsidRPr="000330EE" w:rsidRDefault="00BF48A4" w:rsidP="00BF48A4">
      <w:pPr>
        <w:spacing w:line="480" w:lineRule="auto"/>
        <w:ind w:firstLine="720"/>
        <w:jc w:val="both"/>
        <w:rPr>
          <w:rFonts w:asciiTheme="minorHAnsi" w:hAnsiTheme="minorHAnsi" w:cstheme="minorHAnsi"/>
          <w:bCs/>
          <w:iCs/>
        </w:rPr>
      </w:pPr>
      <w:r w:rsidRPr="000330EE">
        <w:rPr>
          <w:rFonts w:asciiTheme="minorHAnsi" w:hAnsiTheme="minorHAnsi" w:cstheme="minorHAnsi"/>
          <w:bCs/>
          <w:iCs/>
        </w:rPr>
        <w:t>Genotypes were phased and imputed with EAGLE v2</w:t>
      </w:r>
      <w:r w:rsidRPr="000330EE">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{"citationID":"6SoDeSN8","properties":{"formattedCitation":"\\super 4\\nosupersub{}","plainCitation":"4","noteIndex":0},"citationItems":[{"id":10,"uris":["http://zotero.org/users/8087914/items/YW7SXWI7"],"uri":["http://zotero.org/users/8087914/items/YW7SXWI7"],"itemData":{"id":10,"type":"article-journal","abstract":"Po-Ru Loh, Alkes Price and colleagues present Eagle2, a reference-based phasing algorithm that allows for highly accurate and efficient phasing of genotypes across a broad range of cohort sizes. They demonstrate an approximately 10% improvement in accuracy and 20% improvement in speed compared to a competing method, SHAPEIT2.","container-title":"Nature Genetics","DOI":"10.1038/ng.3679","ISSN":"1546-1718","issue":"11","journalAbbreviation":"Nat Genet","language":"en","note":"number: 11\npublisher: Nature Publishing Group","page":"1443-1448","source":"www.nature.com","title":"Reference-based phasing using the Haplotype Reference Consortium panel","volume":"48","author":[{"family":"Loh","given":"Po-Ru"},{"family":"Danecek","given":"Petr"},{"family":"Palamara","given":"Pier Francesco"},{"family":"Fuchsberger","given":"Christian"},{"family":"Reshef","given":"Yakir A."},{"family":"Finucane","given":"Hilary K."},{"family":"Schoenherr","given":"Sebastian"},{"family":"Forer","given":"Lukas"},{"family":"McCarthy","given":"Shane"},{"family":"Abecasis","given":"Goncalo R."},{"family":"Durbin","given":"Richard"},{"family":"Price","given":"Alkes L."}],"issued":{"date-parts":[["2016",11]]}}}],"schema":"https://github.com/citation-style-language/schema/raw/master/csl-citation.json"} </w:instrText>
      </w:r>
      <w:r w:rsidRPr="000330EE">
        <w:rPr>
          <w:rFonts w:asciiTheme="minorHAnsi" w:hAnsiTheme="minorHAnsi" w:cstheme="minorHAnsi"/>
          <w:bCs/>
          <w:iCs/>
        </w:rPr>
        <w:fldChar w:fldCharType="separate"/>
      </w:r>
      <w:r w:rsidR="00B659C8" w:rsidRPr="00B659C8">
        <w:rPr>
          <w:rFonts w:ascii="Calibri" w:hAnsiTheme="minorHAnsi" w:cs="Calibri"/>
          <w:vertAlign w:val="superscript"/>
        </w:rPr>
        <w:t>4</w:t>
      </w:r>
      <w:r w:rsidRPr="000330EE">
        <w:rPr>
          <w:rFonts w:asciiTheme="minorHAnsi" w:hAnsiTheme="minorHAnsi" w:cstheme="minorHAnsi"/>
          <w:bCs/>
          <w:iCs/>
        </w:rPr>
        <w:fldChar w:fldCharType="end"/>
      </w:r>
      <w:r w:rsidRPr="000330EE">
        <w:rPr>
          <w:rFonts w:asciiTheme="minorHAnsi" w:hAnsiTheme="minorHAnsi" w:cstheme="minorHAnsi"/>
          <w:bCs/>
          <w:iCs/>
        </w:rPr>
        <w:t xml:space="preserve"> and Minimac4</w:t>
      </w:r>
      <w:r w:rsidRPr="000330EE">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{"citationID":"Y8p3PGVb","properties":{"formattedCitation":"\\super 5\\nosupersub{}","plainCitation":"5","noteIndex":0},"citationItems":[{"id":13,"uris":["http://zotero.org/users/8087914/items/K2BKM8JS"],"uri":["http://zotero.org/users/8087914/items/K2BKM8JS"],"itemData":{"id":13,"type":"article-journal","abstract":"Genotype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productivity.","container-title":"Nature genetics","DOI":"10.1038/ng.3656","ISSN":"1061-4036","issue":"10","journalAbbreviation":"Nat Genet","note":"PMID: 27571263\nPMCID: PMC5157836","page":"1284-1287","source":"PubMed Central","title":"Next-generation genotype imputation service and methods","volume":"48","author":[{"family":"Das","given":"Sayantan"},{"family":"Forer","given":"Lukas"},{"family":"Schönherr","given":"Sebastian"},{"family":"Sidore","given":"Carlo"},{"family":"Locke","given":"Adam E"},{"family":"Kwong","given":"Alan"},{"family":"Vrieze","given":"Scott I"},{"family":"Chew","given":"Emily Y"},{"family":"Levy","given":"Shawn"},{"family":"McGue","given":"Matt"},{"family":"Schlessinger","given":"David"},{"family":"Stambolian","given":"Dwight"},{"family":"Loh","given":"Po-Ru"},{"family":"Iacono","given":"William G"},{"family":"Swaroop","given":"Anand"},{"family":"Scott","given":"Laura J"},{"family":"Cucca","given":"Francesco"},{"family":"Kronenberg","given":"Florian"},{"family":"Boehnke","given":"Michael"},{"family":"Abecasis","given":"Gonçalo R"},{"family":"Fuchsberger","given":"Christian"}],"issued":{"date-parts":[["2016",10]]}}}],"schema":"https://github.com/citation-style-language/schema/raw/master/csl-citation.json"} </w:instrText>
      </w:r>
      <w:r w:rsidRPr="000330EE">
        <w:rPr>
          <w:rFonts w:asciiTheme="minorHAnsi" w:hAnsiTheme="minorHAnsi" w:cstheme="minorHAnsi"/>
          <w:bCs/>
          <w:iCs/>
        </w:rPr>
        <w:fldChar w:fldCharType="separate"/>
      </w:r>
      <w:r w:rsidR="00B659C8" w:rsidRPr="00B659C8">
        <w:rPr>
          <w:rFonts w:ascii="Calibri" w:hAnsiTheme="minorHAnsi" w:cs="Calibri"/>
          <w:vertAlign w:val="superscript"/>
        </w:rPr>
        <w:t>5</w:t>
      </w:r>
      <w:r w:rsidRPr="000330EE">
        <w:rPr>
          <w:rFonts w:asciiTheme="minorHAnsi" w:hAnsiTheme="minorHAnsi" w:cstheme="minorHAnsi"/>
          <w:bCs/>
          <w:iCs/>
        </w:rPr>
        <w:fldChar w:fldCharType="end"/>
      </w:r>
      <w:r w:rsidRPr="000330EE">
        <w:rPr>
          <w:rFonts w:asciiTheme="minorHAnsi" w:hAnsiTheme="minorHAnsi" w:cstheme="minorHAnsi"/>
          <w:bCs/>
          <w:iCs/>
        </w:rPr>
        <w:t>, with the 1000 Genomes Project phase 3, version 5</w:t>
      </w:r>
      <w:r w:rsidRPr="000330EE">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{"citationID":"7OWQXxkg","properties":{"formattedCitation":"\\super 6\\nosupersub{}","plainCitation":"6","noteIndex":0},"citationItems":[{"id":16,"uris":["http://zotero.org/users/8087914/items/95ATUG22"],"uri":["http://zotero.org/users/8087914/items/95ATUG22"],"itemData":{"id":16,"type":"article-journal","abstract":"The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studies.","container-title":"Nature","DOI":"10.1038/nature15393","ISSN":"1476-4687","issue":"7571","language":"en","note":"number: 7571\npublisher: Nature Publishing Group","page":"68-74","source":"www.nature.com","title":"A global reference for human genetic variation","volume":"526","author":[{"family":"Auton","given":"Adam"},{"family":"Abecasis","given":"Gonçalo R."},{"family":"Altshuler","given":"David M."},{"family":"Durbin","given":"Richard M."},{"family":"Abecasis","given":"Gonçalo R."},{"family":"Bentley","given":"David R."},{"family":"Chakravarti","given":"Aravinda"},{"family":"Clark","given":"Andrew G."},{"family":"Donnelly","given":"Peter"},{"family":"Eichler","given":"Evan E."},{"family":"Flicek","given":"Paul"},{"family":"Gabriel","given":"Stacey B."},{"family":"Gibbs","given":"Richard A."},{"family":"Green","given":"Eric D."},{"family":"Hurles","given":"Matthew E."},{"family":"Knoppers","given":"Bartha M."},{"family":"Korbel","given":"Jan O."},{"family":"Lander","given":"Eric S."},{"family":"Lee","given":"Charles"},{"family":"Lehrach","given":"Hans"},{"family":"Mardis","given":"Elaine R."},{"family":"Marth","given":"Gabor T."},{"family":"McVean","given":"Gil A."},{"family":"Nickerson","given":"Deborah A."},{"family":"Schmidt","given":"Jeanette P."},{"family":"Sherry","given":"Stephen T."},{"family":"Wang","given":"Jun"},{"family":"Wilson","given":"Richard K."},{"family":"Gibbs","given":"Richard A."},{"family":"Boerwinkle","given":"Eric"},{"family":"Doddapaneni","given":"Harsha"},{"family":"Han","given":"Yi"},{"family":"Korchina","given":"Viktoriya"},{"family":"Kovar","given":"Christie"},{"family":"Lee","given":"Sandra"},{"family":"Muzny","given":"Donna"},{"family":"Reid","given":"Jeffrey G."},{"family":"Zhu","given":"Yiming"},{"family":"Wang","given":"Jun"},{"family":"Chang","given":"Yuqi"},{"family":"Feng","given":"Qiang"},{"family":"Fang","given":"Xiaodong"},{"family":"Guo","given":"Xiaosen"},{"family":"Jian","given":"Min"},{"family":"Jiang","given":"Hui"},{"family":"Jin","given":"Xin"},{"family":"Lan","given":"Tianming"},{"family":"Li","given":"Guoqing"},{"family":"Li","given":"Jingxiang"},{"family":"Li","given":"Yingrui"},{"family":"Liu","given":"Shengmao"},{"family":"Liu","given":"Xiao"},{"family":"Lu","given":"Yao"},{"family":"Ma","given":"Xuedi"},{"family":"Tang","given":"Meifang"},{"family":"Wang","given":"Bo"},{"family":"Wang","given":"Guangbiao"},{"family":"Wu","given":"Honglong"},{"family":"Wu","given":"Renhua"},{"family":"Xu","given":"Xun"},{"family":"Yin","given":"Ye"},{"family":"Zhang","given":"Dandan"},{"family":"Zhang","given":"Wenwei"},{"family":"Zhao","given":"Jiao"},{"family":"Zhao","given":"Meiru"},{"family":"Zheng","given":"Xiaole"},{"family":"Lander","given":"Eric S."},{"family":"Altshuler","given":"David M."},{"family":"Gabriel","given":"Stacey B."},{"family":"Gupta","given":"Namrata"},{"family":"Gharani","given":"Neda"},{"family":"Toji","given":"Lorraine H."},{"family":"Gerry","given":"Norman P."},{"family":"Resch","given":"Alissa M."},{"family":"Flicek","given":"Paul"},{"family":"Barker","given":"Jonathan"},{"family":"Clarke","given":"Laura"},{"family":"Gil","given":"Laurent"},{"family":"Hunt","given":"Sarah E."},{"family":"Kelman","given":"Gavin"},{"family":"Kulesha","given":"Eugene"},{"family":"Leinonen","given":"Rasko"},{"family":"McLaren","given":"William M."},{"family":"Radhakrishnan","given":"Rajesh"},{"family":"Roa","given":"Asier"},{"family":"Smirnov","given":"Dmitriy"},{"family":"Smith","given":"Richard E."},{"family":"Streeter","given":"Ian"},{"family":"Thormann","given":"Anja"},{"family":"Toneva","given":"Iliana"},{"family":"Vaughan","given":"Brendan"},{"family":"Zheng-Bradley","given":"Xiangqun"},{"family":"Bentley","given":"David R."},{"family":"Grocock","given":"Russell"},{"family":"Humphray","given":"Sean"},{"family":"James","given":"Terena"},{"family":"Kingsbury","given":"Zoya"},{"family":"Lehrach","given":"Hans"},{"family":"Sudbrak","given":"Ralf"},{"family":"Albrecht","given":"Marcus W."},{"family":"Amstislavskiy","given":"Vyacheslav S."},{"family":"Borodina","given":"Tatiana A."},{"family":"Lienhard","given":"Matthias"},{"family":"Mertes","given":"Florian"},{"family":"Sultan","given":"Marc"},{"family":"Timmermann","given":"Bernd"},{"family":"Yaspo","given":"Marie-Laure"},{"family":"Mardis","given":"Elaine R."},{"family":"Wilson","given":"Richard K."},{"family":"Fulton","given":"Lucinda"},{"family":"Fulton","given":"Robert"},{"family":"Sherry","given":"Stephen T."},{"family":"Ananiev","given":"Victor"},{"family":"Belaia","given":"Zinaida"},{"family":"Beloslyudtsev","given":"Dimitriy"},{"family":"Bouk","given":"Nathan"},{"family":"Chen","given":"Chao"},{"family":"Church","given":"Deanna"},{"family":"Cohen","given":"Robert"},{"family":"Cook","given":"Charles"},{"family":"Garner","given":"John"},{"family":"Hefferon","given":"Timothy"},{"family":"Kimelman","given":"Mikhail"},{"family":"Liu","given":"Chunlei"},{"family":"Lopez","given":"John"},{"family":"Meric","given":"Peter"},{"family":"O’Sullivan","given":"Chris"},{"family":"Ostapchuk","given":"Yuri"},{"family":"Phan","given":"Lon"},{"family":"Ponomarov","given":"Sergiy"},{"family":"Schneider","given":"Valerie"},{"family":"Shekhtman","given":"Eugene"},{"family":"Sirotkin","given":"Karl"},{"family":"Slotta","given":"Douglas"},{"family":"Zhang","given":"Hua"},{"family":"McVean","given":"Gil A."},{"family":"Durbin","given":"Richard M."},{"family":"Balasubramaniam","given":"Senduran"},{"family":"Burton","given":"John"},{"family":"Danecek","given":"Petr"},{"family":"Keane","given":"Thomas M."},{"family":"Kolb-Kokocinski","given":"Anja"},{"family":"McCarthy","given":"Shane"},{"family":"Stalker","given":"James"},{"family":"Quail","given":"Michael"},{"family":"Schmidt","given":"Jeanette P."},{"family":"Davies","given":"Christopher J."},{"family":"Gollub","given":"Jeremy"},{"family":"Webster","given":"Teresa"},{"family":"Wong","given":"Brant"},{"family":"Zhan","given":"Yiping"},{"family":"Auton","given":"Adam"},{"family":"Campbell","given":"Christopher L."},{"family":"Kong","given":"Yu"},{"family":"Marcketta","given":"Anthony"},{"family":"Gibbs","given":"Richard A."},{"family":"Yu","given":"Fuli"},{"family":"Antunes","given":"Lilian"},{"family":"Bainbridge","given":"Matthew"},{"family":"Muzny","given":"Donna"},{"family":"Sabo","given":"Aniko"},{"family":"Huang","given":"Zhuoyi"},{"family":"Wang","given":"Jun"},{"family":"Coin","given":"Lachlan J. M."},{"family":"Fang","given":"Lin"},{"family":"Guo","given":"Xiaosen"},{"family":"Jin","given":"Xin"},{"family":"Li","given":"Guoqing"},{"family":"Li","given":"Qibin"},{"family":"Li","given":"Yingrui"},{"family":"Li","given":"Zhenyu"},{"family":"Lin","given":"Haoxiang"},{"family":"Liu","given":"Binghang"},{"family":"Luo","given":"Ruibang"},{"family":"Shao","given":"Haojing"},{"family":"Xie","given":"Yinlong"},{"family":"Ye","given":"Chen"},{"family":"Yu","given":"Chang"},{"family":"Zhang","given":"Fan"},{"family":"Zheng","given":"Hancheng"},{"family":"Zhu","given":"Hongmei"},{"family":"Alkan","given":"Can"},{"family":"Dal","given":"Elif"},{"family":"Kahveci","given":"Fatma"},{"family":"Marth","given":"Gabor T."},{"family":"Garrison","given":"Erik P."},{"family":"Kural","given":"Deniz"},{"family":"Lee","given":"Wan-Ping"},{"family":"Fung Leong","given":"Wen"},{"family":"Stromberg","given":"Michael"},{"family":"Ward","given":"Alistair N."},{"family":"Wu","given":"Jiantao"},{"family":"Zhang","given":"Mengyao"},{"family":"Daly","given":"Mark J."},{"family":"DePristo","given":"Mark A."},{"family":"Handsaker","given":"Robert E."},{"family":"Altshuler","given":"David M."},{"family":"Banks","given":"Eric"},{"family":"Bhatia","given":"Gaurav"},{"family":"Angel","given":"Guillermo","non-dropping-particle":"del"},{"family":"Gabriel","given":"Stacey B."},{"family":"Genovese","given":"Giulio"},{"family":"Gupta","given":"Namrata"},{"family":"Li","given":"Heng"},{"family":"Kashin","given":"Seva"},{"family":"Lander","given":"Eric S."},{"family":"McCarroll","given":"Steven A."},{"family":"Nemesh","given":"James C."},{"family":"Poplin","given":"Ryan E."},{"family":"Yoon","given":"Seungtai C."},{"family":"Lihm","given":"Jayon"},{"family":"Makarov","given":"Vladimir"},{"family":"Clark","given":"Andrew G."},{"family":"Gottipati","given":"Srikanth"},{"family":"Keinan","given":"Alon"},{"family":"Rodriguez-Flores","given":"Juan L."},{"family":"Korbel","given":"Jan O."},{"family":"Rausch","given":"Tobias"},{"family":"Fritz","given":"Markus H."},{"family":"Stütz","given":"Adrian M."},{"family":"Flicek","given":"Paul"},{"family":"Beal","given":"Kathryn"},{"family":"Clarke","given":"Laura"},{"family":"Datta","given":"Avik"},{"family":"Herrero","given":"Javier"},{"family":"McLaren","given":"William M."},{"family":"Ritchie","given":"Graham R. S."},{"family":"Smith","given":"Richard E."},{"family":"Zerbino","given":"Daniel"},{"family":"Zheng-Bradley","given":"Xiangqun"},{"family":"Sabeti","given":"Pardis C."},{"family":"Shlyakhter","given":"Ilya"},{"family":"Schaffner","given":"Stephen F."},{"family":"Vitti","given":"Joseph"},{"family":"Cooper","given":"David N."},{"family":"Ball","given":"Edward V."},{"family":"Stenson","given":"Peter D."},{"family":"Bentley","given":"David R."},{"family":"Barnes","given":"Bret"},{"family":"Bauer","given":"Markus"},{"family":"Keira Cheetham","given":"R."},{"family":"Cox","given":"Anthony"},{"family":"Eberle","given":"Michael"},{"family":"Humphray","given":"Sean"},{"family":"Kahn","given":"Scott"},{"family":"Murray","given":"Lisa"},{"family":"Peden","given":"John"},{"family":"Shaw","given":"Richard"},{"family":"Kenny","given":"Eimear E."},{"family":"Batzer","given":"Mark A."},{"family":"Konkel","given":"Miriam K."},{"family":"Walker","given":"Jerilyn A."},{"family":"MacArthur","given":"Daniel G."},{"family":"Lek","given":"Monkol"},{"family":"Sudbrak","given":"Ralf"},{"family":"Amstislavskiy","given":"Vyacheslav S."},{"family":"Herwig","given":"Ralf"},{"family":"Mardis","given":"Elaine R."},{"family":"Ding","given":"Li"},{"family":"Koboldt","given":"Daniel C."},{"family":"Larson","given":"David"},{"family":"Ye","given":"Kai"},{"family":"Gravel","given":"Simon"},{"literal":"The 1000 Genomes Project Consortium"},{"literal":"Corresponding authors"},{"literal":"Steering committee"},{"literal":"Production group"},{"literal":"Baylor College of Medicine"},{"literal":"BGI-Shenzhen"},{"literal":"Broad Institute of MIT and Harvard"},{"literal":"Coriell Institute for Medical Research"},{"family":"European Molecular Biology Laboratory","given":"European Bioinformatics Institute"},{"literal":"Illumina"},{"literal":"Max Planck Institute for Molecular Genetics"},{"literal":"McDonnell Genome Institute at Washington University"},{"literal":"US National Institutes of Health"},{"literal":"University of Oxford"},{"literal":"Wellcome Trust Sanger Institute"},{"literal":"Analysis group"},{"literal":"Affymetrix"},{"literal":"Albert Einstein College of Medicine"},{"literal":"Bilkent University"},{"literal":"Boston College"},{"literal":"Cold Spring Harbor Laboratory"},{"literal":"Cornell University"},{"literal":"European Molecular Biology Laboratory"},{"literal":"Harvard University"},{"literal":"Human Gene Mutation Database"},{"literal":"Icahn School of Medicine at Mount Sinai"},{"literal":"Louisiana State University"},{"literal":"Massachusetts General Hospital"},{"literal":"McGill University"},{"family":"National Eye Institute","given":"NIH"}],"issued":{"date-parts":[["2015",10]]}}}],"schema":"https://github.com/citation-style-language/schema/raw/master/csl-citation.json"} </w:instrText>
      </w:r>
      <w:r w:rsidRPr="000330EE">
        <w:rPr>
          <w:rFonts w:asciiTheme="minorHAnsi" w:hAnsiTheme="minorHAnsi" w:cstheme="minorHAnsi"/>
          <w:bCs/>
          <w:iCs/>
        </w:rPr>
        <w:fldChar w:fldCharType="separate"/>
      </w:r>
      <w:r w:rsidR="00B659C8" w:rsidRPr="00B659C8">
        <w:rPr>
          <w:rFonts w:ascii="Calibri" w:hAnsiTheme="minorHAnsi" w:cs="Calibri"/>
          <w:vertAlign w:val="superscript"/>
        </w:rPr>
        <w:t>6</w:t>
      </w:r>
      <w:r w:rsidRPr="000330EE">
        <w:rPr>
          <w:rFonts w:asciiTheme="minorHAnsi" w:hAnsiTheme="minorHAnsi" w:cstheme="minorHAnsi"/>
          <w:bCs/>
          <w:iCs/>
        </w:rPr>
        <w:fldChar w:fldCharType="end"/>
      </w:r>
      <w:r w:rsidRPr="000330EE">
        <w:rPr>
          <w:rFonts w:asciiTheme="minorHAnsi" w:hAnsiTheme="minorHAnsi" w:cstheme="minorHAnsi"/>
          <w:bCs/>
          <w:iCs/>
        </w:rPr>
        <w:t xml:space="preserve"> reference panel. Principal components (PCs) were computed using FlashPCA</w:t>
      </w:r>
      <w:r w:rsidRPr="000330EE">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{"citationID":"Ybtzpk7t","properties":{"formattedCitation":"\\super 7\\nosupersub{}","plainCitation":"7","noteIndex":0},"citationItems":[{"id":23,"uris":["http://zotero.org/users/8087914/items/4X79CCQB"],"uri":["http://zotero.org/users/8087914/items/4X79CCQB"],"itemData":{"id":23,"type":"article-journal","abstract":"Motivation: Principal component analysis (PCA) is a crucial step in quality control of genomic data and a common approach for understanding population genetic structure. With the advent of large genotyping studies involving hundreds of thousands of individuals, standard approaches are no longer feasible. However, when the full decomposition is not required, substantial computational savings can be made.","container-title":"Bioinformatics","DOI":"10.1093/bioinformatics/btx299","ISSN":"1367-4803, 1460-2059","issue":"17","language":"en","page":"2776-2778","source":"DOI.org (Crossref)","title":"FlashPCA2: principal component analysis of Biobank-scale genotype datasets","title-short":"FlashPCA2","volume":"33","author":[{"family":"Abraham","given":"Gad"},{"family":"Qiu","given":"Yixuan"},{"family":"Inouye","given":"Michael"}],"editor":[{"family":"Stegle","given":"Oliver"}],"issued":{"date-parts":[["2017",9,1]]}}}],"schema":"https://github.com/citation-style-language/schema/raw/master/csl-citation.json"} </w:instrText>
      </w:r>
      <w:r w:rsidRPr="000330EE">
        <w:rPr>
          <w:rFonts w:asciiTheme="minorHAnsi" w:hAnsiTheme="minorHAnsi" w:cstheme="minorHAnsi"/>
          <w:bCs/>
          <w:iCs/>
        </w:rPr>
        <w:fldChar w:fldCharType="separate"/>
      </w:r>
      <w:r w:rsidR="00B659C8" w:rsidRPr="00B659C8">
        <w:rPr>
          <w:rFonts w:ascii="Calibri" w:hAnsiTheme="minorHAnsi" w:cs="Calibri"/>
          <w:vertAlign w:val="superscript"/>
        </w:rPr>
        <w:t>7</w:t>
      </w:r>
      <w:r w:rsidRPr="000330EE">
        <w:rPr>
          <w:rFonts w:asciiTheme="minorHAnsi" w:hAnsiTheme="minorHAnsi" w:cstheme="minorHAnsi"/>
          <w:bCs/>
          <w:iCs/>
        </w:rPr>
        <w:fldChar w:fldCharType="end"/>
      </w:r>
      <w:r w:rsidRPr="000330EE">
        <w:rPr>
          <w:rFonts w:asciiTheme="minorHAnsi" w:hAnsiTheme="minorHAnsi" w:cstheme="minorHAnsi"/>
          <w:bCs/>
          <w:iCs/>
        </w:rPr>
        <w:t xml:space="preserve"> on all MVP participants and 2,504 individuals from 1000 Genomes. These were used to </w:t>
      </w:r>
      <w:r>
        <w:rPr>
          <w:rFonts w:asciiTheme="minorHAnsi" w:hAnsiTheme="minorHAnsi" w:cstheme="minorHAnsi"/>
          <w:bCs/>
          <w:iCs/>
        </w:rPr>
        <w:t>infer</w:t>
      </w:r>
      <w:r w:rsidRPr="000330EE">
        <w:rPr>
          <w:rFonts w:asciiTheme="minorHAnsi" w:hAnsiTheme="minorHAnsi" w:cstheme="minorHAnsi"/>
          <w:bCs/>
          <w:iCs/>
        </w:rPr>
        <w:t xml:space="preserve"> genetic ancestry, which was unified with self-identified race/ethnicity using the HARE (Harmonizing Genetic Ancestry and Self-identified Race/Ethnicity) method </w:t>
      </w:r>
      <w:r w:rsidRPr="000330EE">
        <w:rPr>
          <w:rFonts w:asciiTheme="minorHAnsi" w:hAnsiTheme="minorHAnsi" w:cstheme="minorHAnsi"/>
          <w:bCs/>
          <w:iCs/>
        </w:rPr>
        <w:fldChar w:fldCharType="begin"/>
      </w:r>
      <w:r w:rsidR="00B659C8">
        <w:rPr>
          <w:rFonts w:asciiTheme="minorHAnsi" w:hAnsiTheme="minorHAnsi" w:cstheme="minorHAnsi"/>
          <w:bCs/>
          <w:iCs/>
        </w:rPr>
        <w:instrText xml:space="preserve"> ADDIN ZOTERO_ITEM CSL_CITATION {"citationID":"IxBwkJ8D","properties":{"formattedCitation":"\\super 8\\nosupersub{}","plainCitation":"8","noteIndex":0},"citationItems":[{"id":19,"uris":["http://zotero.org/users/8087914/items/6MSYTQ62"],"uri":["http://zotero.org/users/8087914/items/6MSYTQ62"],"itemData":{"id":19,"type":"article-journal","abstract":"Large-scale multi-ethnic cohorts offer unprecedented opportunities to elucidate the genetic factors influencing complex traits related to health and disease among minority populations. At the same time, the genetic diversity in these cohorts presents new challenges for analysis and interpretation. We consider the utility of race and/or ethnicity categories in genome-wide association studies (GWASs) of multi-ethnic cohorts. We demonstrate that race/ethnicity information enhances the ability to understand population-specific genetic architecture. To address the practical issue that self-identified racial/ethnic information may be incomplete, we propose a machine learning algorithm that produces a surrogate variable, termed HARE. We use height as a model trait to demonstrate the utility of HARE and ethnicity-specific GWASs.","container-title":"The American Journal of Human Genetics","DOI":"10.1016/j.ajhg.2019.08.012","ISSN":"0002-9297","issue":"4","journalAbbreviation":"The American Journal of Human Genetics","language":"en","page":"763-772","source":"ScienceDirect","title":"Harmonizing Genetic Ancestry and Self-identified Race/Ethnicity in Genome-wide Association Studies","volume":"105","author":[{"family":"Fang","given":"Huaying"},{"family":"Hui","given":"Qin"},{"family":"Lynch","given":"Julie"},{"family":"Honerlaw","given":"Jacqueline"},{"family":"Assimes","given":"Themistocles L."},{"family":"Huang","given":"Jie"},{"family":"Vujkovic","given":"Marijana"},{"family":"Damrauer","given":"Scott M."},{"family":"Pyarajan","given":"Saiju"},{"family":"Gaziano","given":"J. Michael"},{"family":"DuVall","given":"Scott L."},{"family":"O’Donnell","given":"Christopher J."},{"family":"Cho","given":"Kelly"},{"family":"Chang","given":"Kyong-Mi"},{"family":"Wilson","given":"Peter W. F."},{"family":"Tsao","given":"Philip S."},{"family":"Gaziano","given":"J. Michael"},{"family":"Ramoni","given":"Rachel"},{"family":"Breeling","given":"Jim"},{"family":"Chang","given":"Kyong-Mi"},{"family":"Huang","given":"Grant"},{"family":"Muralidhar","given":"Sumitra"},{"family":"O’Donnell","given":"Christopher J."},{"family":"Tsao","given":"Philip S."},{"family":"Muralidhar","given":"Sumitra"},{"family":"Moser","given":"Jennifer"},{"family":"Whitbourne","given":"Stacey B."},{"family":"Brewer","given":"Jessica V."},{"family":"Concato","given":"John"},{"family":"Warren","given":"Stuart"},{"family":"Argyres","given":"Dean P."},{"family":"Stephens","given":"Brady"},{"family":"Brophy","given":"Mary T."},{"family":"Humphries","given":"Donald E."},{"family":"Do","given":"Nhan"},{"family":"Shayan","given":"Shahpoor"},{"family":"Nguyen","given":"Xuan-Mai T."},{"family":"Pyarajan","given":"Saiju"},{"family":"Cho","given":"Kelly"},{"family":"Hauser","given":"Elizabeth"},{"family":"Sun","given":"Yan"},{"family":"Zhao","given":"Hongyu"},{"family":"Wilson","given":"Peter"},{"family":"McArdle","given":"Rachel"},{"family":"Dellitalia","given":"Louis"},{"family":"Harley","given":"John"},{"family":"Whittle","given":"Jeffrey"},{"family":"Beckham","given":"Jean"},{"family":"Wells","given":"John"},{"family":"Gutierrez","given":"Salvador"},{"family":"Gibson","given":"Gretchen"},{"family":"Kaminsky","given":"Laurence"},{"family":"Villareal","given":"Gerardo"},{"family":"Kinlay","given":"Scott"},{"family":"Xu","given":"Junzhe"},{"family":"Hamner","given":"Mark"},{"family":"Haddock","given":"Kathlyn Sue"},{"family":"Bhushan","given":"Sujata"},{"family":"Iruvanti","given":"Pran"},{"family":"Godschalk","given":"Michael"},{"family":"Ballas","given":"Zuhair"},{"family":"Buford","given":"Malcolm"},{"family":"Mastorides","given":"Stephen"},{"family":"Klein","given":"Jon"},{"family":"Ratcliffe","given":"Nora"},{"family":"Florez","given":"Hermes"},{"family":"Swann","given":"Alan"},{"family":"Murdoch","given":"Maureen"},{"family":"Sriram","given":"Peruvemba"},{"family":"Yeh","given":"Shing Shing"},{"family":"Washburn","given":"Ronald"},{"family":"Jhala","given":"Darshana"},{"family":"Aguayo","given":"Samuel"},{"family":"Cohen","given":"David"},{"family":"Sharma","given":"Satish"},{"family":"Callaghan","given":"John"},{"family":"Oursler","given":"Kris Ann"},{"family":"Whooley","given":"Mary"},{"family":"Ahuja","given":"Sunil"},{"family":"Gutierrez","given":"Amparo"},{"family":"Schifman","given":"Ronald"},{"family":"Greco","given":"Jennifer"},{"family":"Rauchman","given":"Michael"},{"family":"Servatius","given":"Richard"},{"family":"Oehlert","given":"Mary"},{"family":"Wallbom","given":"Agnes"},{"family":"Fernando","given":"Ronald"},{"family":"Morgan","given":"Timothy"},{"family":"Stapley","given":"Todd"},{"family":"Sherman","given":"Scott"},{"family":"Anderson","given":"Gwenevere"},{"family":"Sonel","given":"Elif"},{"family":"Boyko","given":"Edward"},{"family":"Meyer","given":"Laurence"},{"family":"Gupta","given":"Samir"},{"family":"Fayad","given":"Joseph"},{"family":"Hung","given":"Adriana"},{"family":"Lichy","given":"Jack"},{"family":"Hurley","given":"Robin"},{"family":"Robey","given":"Brooks"},{"family":"Striker","given":"Robert"},{"family":"Sun","given":"Yan V."},{"family":"Tang","given":"Hua"}],"issued":{"date-parts":[["2019",10,3]]}}}],"schema":"https://github.com/citation-style-language/schema/raw/master/csl-citation.json"} </w:instrText>
      </w:r>
      <w:r w:rsidRPr="000330EE">
        <w:rPr>
          <w:rFonts w:asciiTheme="minorHAnsi" w:hAnsiTheme="minorHAnsi" w:cstheme="minorHAnsi"/>
          <w:bCs/>
          <w:iCs/>
        </w:rPr>
        <w:fldChar w:fldCharType="separate"/>
      </w:r>
      <w:r w:rsidR="00B659C8" w:rsidRPr="00B659C8">
        <w:rPr>
          <w:rFonts w:ascii="Calibri" w:hAnsiTheme="minorHAnsi" w:cs="Calibri"/>
          <w:vertAlign w:val="superscript"/>
        </w:rPr>
        <w:t>8</w:t>
      </w:r>
      <w:r w:rsidRPr="000330EE">
        <w:rPr>
          <w:rFonts w:asciiTheme="minorHAnsi" w:hAnsiTheme="minorHAnsi" w:cstheme="minorHAnsi"/>
          <w:bCs/>
          <w:iCs/>
        </w:rPr>
        <w:fldChar w:fldCharType="end"/>
      </w:r>
      <w:r w:rsidRPr="000330EE">
        <w:rPr>
          <w:rFonts w:asciiTheme="minorHAnsi" w:hAnsiTheme="minorHAnsi" w:cstheme="minorHAnsi"/>
          <w:bCs/>
          <w:iCs/>
        </w:rPr>
        <w:t xml:space="preserve"> to construct ancestry groups. A total of 87,169 </w:t>
      </w:r>
      <w:r>
        <w:rPr>
          <w:rFonts w:asciiTheme="minorHAnsi" w:hAnsiTheme="minorHAnsi" w:cstheme="minorHAnsi"/>
          <w:bCs/>
          <w:iCs/>
        </w:rPr>
        <w:t>African Americans (</w:t>
      </w:r>
      <w:r w:rsidRPr="000330EE">
        <w:rPr>
          <w:rFonts w:asciiTheme="minorHAnsi" w:hAnsiTheme="minorHAnsi" w:cstheme="minorHAnsi"/>
          <w:bCs/>
          <w:iCs/>
        </w:rPr>
        <w:t>AAs</w:t>
      </w:r>
      <w:r>
        <w:rPr>
          <w:rFonts w:asciiTheme="minorHAnsi" w:hAnsiTheme="minorHAnsi" w:cstheme="minorHAnsi"/>
          <w:bCs/>
          <w:iCs/>
        </w:rPr>
        <w:t>);</w:t>
      </w:r>
      <w:r w:rsidRPr="000330EE">
        <w:rPr>
          <w:rFonts w:asciiTheme="minorHAnsi" w:hAnsiTheme="minorHAnsi" w:cstheme="minorHAnsi"/>
          <w:bCs/>
          <w:iCs/>
        </w:rPr>
        <w:t xml:space="preserve"> 318,725 </w:t>
      </w:r>
      <w:r>
        <w:rPr>
          <w:rFonts w:asciiTheme="minorHAnsi" w:hAnsiTheme="minorHAnsi" w:cstheme="minorHAnsi"/>
          <w:bCs/>
          <w:iCs/>
        </w:rPr>
        <w:t>European Americans (</w:t>
      </w:r>
      <w:r w:rsidRPr="000330EE">
        <w:rPr>
          <w:rFonts w:asciiTheme="minorHAnsi" w:hAnsiTheme="minorHAnsi" w:cstheme="minorHAnsi"/>
          <w:bCs/>
          <w:iCs/>
        </w:rPr>
        <w:t>EAs</w:t>
      </w:r>
      <w:r>
        <w:rPr>
          <w:rFonts w:asciiTheme="minorHAnsi" w:hAnsiTheme="minorHAnsi" w:cstheme="minorHAnsi"/>
          <w:bCs/>
          <w:iCs/>
        </w:rPr>
        <w:t>);</w:t>
      </w:r>
      <w:r w:rsidRPr="000330EE">
        <w:rPr>
          <w:rFonts w:asciiTheme="minorHAnsi" w:hAnsiTheme="minorHAnsi" w:cstheme="minorHAnsi"/>
          <w:bCs/>
          <w:iCs/>
        </w:rPr>
        <w:t xml:space="preserve"> and 34,160 </w:t>
      </w:r>
      <w:r>
        <w:rPr>
          <w:rFonts w:asciiTheme="minorHAnsi" w:hAnsiTheme="minorHAnsi" w:cstheme="minorHAnsi"/>
          <w:bCs/>
          <w:iCs/>
        </w:rPr>
        <w:t>Hispanic American (HAs)</w:t>
      </w:r>
      <w:r w:rsidRPr="000330EE">
        <w:rPr>
          <w:rFonts w:asciiTheme="minorHAnsi" w:hAnsiTheme="minorHAnsi" w:cstheme="minorHAnsi"/>
          <w:bCs/>
          <w:iCs/>
        </w:rPr>
        <w:t xml:space="preserve"> were identified.</w:t>
      </w:r>
      <w:r>
        <w:rPr>
          <w:rFonts w:asciiTheme="minorHAnsi" w:hAnsiTheme="minorHAnsi" w:cstheme="minorHAnsi"/>
          <w:bCs/>
          <w:iCs/>
        </w:rPr>
        <w:t xml:space="preserve"> We did not include individuals from other population groups due to their small numbers.</w:t>
      </w:r>
    </w:p>
    <w:p w14:paraId="4C8E8065" w14:textId="16812EBD" w:rsidR="00BF48A4" w:rsidRPr="000330EE" w:rsidRDefault="00BF48A4" w:rsidP="00BF48A4">
      <w:pPr>
        <w:spacing w:line="480" w:lineRule="auto"/>
        <w:ind w:firstLine="720"/>
        <w:jc w:val="both"/>
        <w:rPr>
          <w:rFonts w:asciiTheme="minorHAnsi" w:hAnsiTheme="minorHAnsi" w:cstheme="minorHAnsi"/>
        </w:rPr>
      </w:pPr>
      <w:r w:rsidRPr="000330EE">
        <w:rPr>
          <w:rFonts w:asciiTheme="minorHAnsi" w:hAnsiTheme="minorHAnsi" w:cstheme="minorHAnsi"/>
        </w:rPr>
        <w:t xml:space="preserve">Quality control of variants and individuals was conducted within each ancestry group. We excluded one individual randomly from each pair of related individuals (kinship coefficient=0.0884). Variants were excluded based on minor allele frequency (AA &lt; 0.001; EA &lt; 0.0005; HA &lt; 0.005), genotype call rate ≤ 0.95, and Hardy-Weinberg equilibrium </w:t>
      </w:r>
      <w:r>
        <w:rPr>
          <w:rFonts w:asciiTheme="minorHAnsi" w:hAnsiTheme="minorHAnsi" w:cstheme="minorHAnsi"/>
        </w:rPr>
        <w:t xml:space="preserve">p-value </w:t>
      </w:r>
      <w:r w:rsidRPr="000330EE">
        <w:rPr>
          <w:rFonts w:asciiTheme="minorHAnsi" w:hAnsiTheme="minorHAnsi" w:cstheme="minorHAnsi"/>
        </w:rPr>
        <w:t>≤ 1x10</w:t>
      </w:r>
      <w:r w:rsidRPr="000330EE">
        <w:rPr>
          <w:rFonts w:asciiTheme="minorHAnsi" w:hAnsiTheme="minorHAnsi" w:cstheme="minorHAnsi"/>
          <w:vertAlign w:val="superscript"/>
        </w:rPr>
        <w:t>-6</w:t>
      </w:r>
      <w:r w:rsidRPr="000330EE">
        <w:rPr>
          <w:rFonts w:asciiTheme="minorHAnsi" w:hAnsiTheme="minorHAnsi" w:cstheme="minorHAnsi"/>
        </w:rPr>
        <w:t>. Population-specific imputation INFO scores were calculated using SNPTEST v2</w:t>
      </w:r>
      <w:r w:rsidRPr="000330EE">
        <w:rPr>
          <w:rFonts w:asciiTheme="minorHAnsi" w:hAnsiTheme="minorHAnsi" w:cstheme="minorHAnsi"/>
        </w:rPr>
        <w:fldChar w:fldCharType="begin"/>
      </w:r>
      <w:r w:rsidR="00B659C8">
        <w:rPr>
          <w:rFonts w:asciiTheme="minorHAnsi" w:hAnsiTheme="minorHAnsi" w:cstheme="minorHAnsi"/>
        </w:rPr>
        <w:instrText xml:space="preserve"> ADDIN ZOTERO_ITEM CSL_CITATION {"citationID":"UzxNlmuk","properties":{"formattedCitation":"\\super 9\\nosupersub{}","plainCitation":"9","noteIndex":0},"citationItems":[{"id":24,"uris":["http://zotero.org/users/8087914/items/GGH468AL"],"uri":["http://zotero.org/users/8087914/items/GGH468AL"],"itemData":{"id":24,"type":"article-journal","abstract":"We review the statistical methods available for carrying out genotype imputation and compare their properties and performance.We also review the downstream uses of imputation, including boosting the power of genome-wide association studies, fine-mapping and allowing comparisons between studies.Several factors influence imputation accuracy, such as reference panel and study sample combination, sample size, genotyping chip and allele frequency.Both Bayesian and frequentist methods can be used to impute SNP genotypes to test for association.We review and compare the information metrics that are commonly used when carrying out quality control of imputed genotype data.","container-title":"Nature Reviews Genetics","DOI":"10.1038/nrg2796","ISSN":"1471-0064","issue":"7","journalAbbreviation":"Nat Rev Genet","language":"en","note":"number: 7\npublisher: Nature Publishing Group","page":"499-511","source":"www.nature.com","title":"Genotype imputation for genome-wide association studies","volume":"11","author":[{"family":"Marchini","given":"Jonathan"},{"family":"Howie","given":"Bryan"}],"issued":{"date-parts":[["2010",7]]}}}],"schema":"https://github.com/citation-style-language/schema/raw/master/csl-citation.json"} </w:instrText>
      </w:r>
      <w:r w:rsidRPr="000330EE">
        <w:rPr>
          <w:rFonts w:asciiTheme="minorHAnsi" w:hAnsiTheme="minorHAnsi" w:cstheme="minorHAnsi"/>
        </w:rPr>
        <w:fldChar w:fldCharType="separate"/>
      </w:r>
      <w:r w:rsidR="00B659C8" w:rsidRPr="00B659C8">
        <w:rPr>
          <w:rFonts w:ascii="Calibri" w:hAnsiTheme="minorHAnsi" w:cs="Calibri"/>
          <w:vertAlign w:val="superscript"/>
        </w:rPr>
        <w:t>9</w:t>
      </w:r>
      <w:r w:rsidRPr="000330EE">
        <w:rPr>
          <w:rFonts w:asciiTheme="minorHAnsi" w:hAnsiTheme="minorHAnsi" w:cstheme="minorHAnsi"/>
        </w:rPr>
        <w:fldChar w:fldCharType="end"/>
      </w:r>
      <w:r w:rsidRPr="000330EE">
        <w:rPr>
          <w:rFonts w:asciiTheme="minorHAnsi" w:hAnsiTheme="minorHAnsi" w:cstheme="minorHAnsi"/>
        </w:rPr>
        <w:t xml:space="preserve"> and variants with INFO scores &lt; 0.3 were removed. The number of variants remaining was approximately 19.5 million in AAs, 11.8 million in EAs, and 8.8 million in HAs.</w:t>
      </w:r>
    </w:p>
    <w:p w14:paraId="15D0C18D" w14:textId="5AD1A4C5" w:rsidR="00754738" w:rsidRDefault="00754738" w:rsidP="00C90BD9">
      <w:pPr>
        <w:spacing w:line="480" w:lineRule="auto"/>
        <w:jc w:val="both"/>
        <w:rPr>
          <w:rFonts w:asciiTheme="minorHAnsi" w:hAnsiTheme="minorHAnsi" w:cstheme="minorHAnsi"/>
          <w:i/>
        </w:rPr>
      </w:pPr>
    </w:p>
    <w:p w14:paraId="37AAFE7F" w14:textId="267669BD" w:rsidR="005B4A26" w:rsidRDefault="005B4A26" w:rsidP="00C90BD9">
      <w:pPr>
        <w:spacing w:line="480" w:lineRule="auto"/>
        <w:jc w:val="both"/>
        <w:rPr>
          <w:rFonts w:asciiTheme="minorHAnsi" w:hAnsiTheme="minorHAnsi" w:cstheme="minorHAnsi"/>
          <w:i/>
        </w:rPr>
      </w:pPr>
      <w:r>
        <w:rPr>
          <w:rFonts w:asciiTheme="minorHAnsi" w:hAnsiTheme="minorHAnsi" w:cstheme="minorHAnsi"/>
          <w:i/>
        </w:rPr>
        <w:lastRenderedPageBreak/>
        <w:t>Independent variants</w:t>
      </w:r>
    </w:p>
    <w:p w14:paraId="0906A51A" w14:textId="483E01C3" w:rsidR="005B4A26" w:rsidRPr="000330EE" w:rsidRDefault="005B4A26" w:rsidP="005B4A26">
      <w:pPr>
        <w:spacing w:line="480" w:lineRule="auto"/>
        <w:ind w:firstLine="720"/>
        <w:jc w:val="both"/>
        <w:rPr>
          <w:rFonts w:asciiTheme="minorHAnsi" w:hAnsiTheme="minorHAnsi" w:cstheme="minorHAnsi"/>
        </w:rPr>
      </w:pPr>
      <w:r w:rsidRPr="000330EE">
        <w:rPr>
          <w:rFonts w:asciiTheme="minorHAnsi" w:hAnsiTheme="minorHAnsi" w:cstheme="minorHAnsi"/>
        </w:rPr>
        <w:t>To identify independent variants in a region, we performed LD-clumping using a range of 3000 kb and r</w:t>
      </w:r>
      <w:r w:rsidRPr="000330EE">
        <w:rPr>
          <w:rFonts w:asciiTheme="minorHAnsi" w:hAnsiTheme="minorHAnsi" w:cstheme="minorHAnsi"/>
          <w:vertAlign w:val="superscript"/>
        </w:rPr>
        <w:t>2</w:t>
      </w:r>
      <w:r w:rsidRPr="000330EE">
        <w:rPr>
          <w:rFonts w:asciiTheme="minorHAnsi" w:hAnsiTheme="minorHAnsi" w:cstheme="minorHAnsi"/>
        </w:rPr>
        <w:t xml:space="preserve"> &gt; 0.1, with the matched 1000 Genomes reference panel as the background. If independent variants were located &lt; 1Mb apart they were merged into a single locus. Due to the known long-range LD in the ADH gene cluster on chromosome 4, all variants within chr4q23-q24 (~97.2-102.6 Mb) were merged into a single locus. If a locus contained multiple variants, we conducted conditional analyses using GCTA-COJO</w:t>
      </w:r>
      <w:r w:rsidRPr="000330EE">
        <w:rPr>
          <w:rFonts w:asciiTheme="minorHAnsi" w:hAnsiTheme="minorHAnsi" w:cstheme="minorHAnsi"/>
        </w:rPr>
        <w:fldChar w:fldCharType="begin"/>
      </w:r>
      <w:r w:rsidR="00AA1BC2">
        <w:rPr>
          <w:rFonts w:asciiTheme="minorHAnsi" w:hAnsiTheme="minorHAnsi" w:cstheme="minorHAnsi"/>
        </w:rPr>
        <w:instrText xml:space="preserve"> ADDIN ZOTERO_ITEM CSL_CITATION {"citationID":"9WFrHBan","properties":{"formattedCitation":"\\super 10\\nosupersub{}","plainCitation":"10","noteIndex":0},"citationItems":[{"id":32,"uris":["http://zotero.org/users/8087914/items/Q2XRZJXS"],"uri":["http://zotero.org/users/8087914/items/Q2XRZJXS"],"itemData":{"id":32,"type":"article-journal","abstract":"Peter Visscher and colleagues report a new method for approximate conditional and joint association analysis that makes use of summary statistics from meta-analysis of GWAS. They apply this to meta-analysis summary data for height, body mass index and type 2 diabetes.","container-title":"Nature Genetics","DOI":"10.1038/ng.2213","ISSN":"1546-1718","issue":"4","journalAbbreviation":"Nat Genet","language":"en","note":"number: 4\npublisher: Nature Publishing Group","page":"369-375","source":"www.nature.com","title":"Conditional and joint multiple-SNP analysis of GWAS summary statistics identifies additional variants influencing complex traits","volume":"44","author":[{"family":"Yang","given":"Jian"},{"family":"Ferreira","given":"Teresa"},{"family":"Morris","given":"Andrew P."},{"family":"Medland","given":"Sarah E."},{"family":"Madden","given":"Pamela A. F."},{"family":"Heath","given":"Andrew C."},{"family":"Martin","given":"Nicholas G."},{"family":"Montgomery","given":"Grant W."},{"family":"Weedon","given":"Michael N."},{"family":"Loos","given":"Ruth J."},{"family":"Frayling","given":"Timothy M."},{"family":"McCarthy","given":"Mark I."},{"family":"Hirschhorn","given":"Joel N."},{"family":"Goddard","given":"Michael E."},{"family":"Visscher","given":"Peter M."}],"issued":{"date-parts":[["2012",4]]}}}],"schema":"https://github.com/citation-style-language/schema/raw/master/csl-citation.json"} </w:instrText>
      </w:r>
      <w:r w:rsidRPr="000330EE">
        <w:rPr>
          <w:rFonts w:asciiTheme="minorHAnsi" w:hAnsiTheme="minorHAnsi" w:cstheme="minorHAnsi"/>
        </w:rPr>
        <w:fldChar w:fldCharType="separate"/>
      </w:r>
      <w:r w:rsidR="00AA1BC2" w:rsidRPr="00AA1BC2">
        <w:rPr>
          <w:rFonts w:ascii="Calibri" w:hAnsiTheme="minorHAnsi" w:cs="Calibri"/>
          <w:vertAlign w:val="superscript"/>
        </w:rPr>
        <w:t>10</w:t>
      </w:r>
      <w:r w:rsidRPr="000330EE">
        <w:rPr>
          <w:rFonts w:asciiTheme="minorHAnsi" w:hAnsiTheme="minorHAnsi" w:cstheme="minorHAnsi"/>
        </w:rPr>
        <w:fldChar w:fldCharType="end"/>
      </w:r>
      <w:r w:rsidRPr="000330EE">
        <w:rPr>
          <w:rFonts w:asciiTheme="minorHAnsi" w:hAnsiTheme="minorHAnsi" w:cstheme="minorHAnsi"/>
        </w:rPr>
        <w:t xml:space="preserve"> to define conditionally independent variants. For each locus, the most significant (index) variant was conditioned on</w:t>
      </w:r>
      <w:r>
        <w:rPr>
          <w:rFonts w:asciiTheme="minorHAnsi" w:hAnsiTheme="minorHAnsi" w:cstheme="minorHAnsi"/>
        </w:rPr>
        <w:t>,</w:t>
      </w:r>
      <w:r w:rsidRPr="000330EE">
        <w:rPr>
          <w:rFonts w:asciiTheme="minorHAnsi" w:hAnsiTheme="minorHAnsi" w:cstheme="minorHAnsi"/>
        </w:rPr>
        <w:t xml:space="preserve"> using the matched ancestry </w:t>
      </w:r>
      <w:r>
        <w:rPr>
          <w:rFonts w:asciiTheme="minorHAnsi" w:hAnsiTheme="minorHAnsi" w:cstheme="minorHAnsi"/>
        </w:rPr>
        <w:t xml:space="preserve">subjects </w:t>
      </w:r>
      <w:r w:rsidRPr="000330EE">
        <w:rPr>
          <w:rFonts w:asciiTheme="minorHAnsi" w:hAnsiTheme="minorHAnsi" w:cstheme="minorHAnsi"/>
        </w:rPr>
        <w:t>from 1000 Genomes as the LD reference sample. Variants that remained significant following conditioning (p &lt; 5x10</w:t>
      </w:r>
      <w:r w:rsidRPr="000330EE">
        <w:rPr>
          <w:rFonts w:asciiTheme="minorHAnsi" w:hAnsiTheme="minorHAnsi" w:cstheme="minorHAnsi"/>
          <w:vertAlign w:val="superscript"/>
        </w:rPr>
        <w:t>-8</w:t>
      </w:r>
      <w:r w:rsidRPr="000330EE">
        <w:rPr>
          <w:rFonts w:asciiTheme="minorHAnsi" w:hAnsiTheme="minorHAnsi" w:cstheme="minorHAnsi"/>
        </w:rPr>
        <w:t>) were subject to another round of conditional analyses by including the next most significant variant in an iterative process until all independent variants were identified.</w:t>
      </w:r>
    </w:p>
    <w:p w14:paraId="27C343A4" w14:textId="35F4E895" w:rsidR="005B4A26" w:rsidRDefault="005B4A26" w:rsidP="00C90BD9">
      <w:pPr>
        <w:spacing w:line="480" w:lineRule="auto"/>
        <w:jc w:val="both"/>
        <w:rPr>
          <w:rFonts w:asciiTheme="minorHAnsi" w:hAnsiTheme="minorHAnsi" w:cstheme="minorHAnsi"/>
          <w:i/>
        </w:rPr>
      </w:pPr>
    </w:p>
    <w:p w14:paraId="70D563D2" w14:textId="77777777" w:rsidR="00AA1BC2" w:rsidRPr="000330EE" w:rsidRDefault="00AA1BC2" w:rsidP="00AA1BC2">
      <w:pPr>
        <w:spacing w:line="480" w:lineRule="auto"/>
        <w:jc w:val="both"/>
        <w:rPr>
          <w:rFonts w:asciiTheme="minorHAnsi" w:hAnsiTheme="minorHAnsi" w:cstheme="minorHAnsi"/>
          <w:bCs/>
          <w:i/>
        </w:rPr>
      </w:pPr>
      <w:r w:rsidRPr="000330EE">
        <w:rPr>
          <w:rFonts w:asciiTheme="minorHAnsi" w:hAnsiTheme="minorHAnsi" w:cstheme="minorHAnsi"/>
          <w:bCs/>
          <w:i/>
        </w:rPr>
        <w:t>Heritability analyses and genetic correlation</w:t>
      </w:r>
    </w:p>
    <w:p w14:paraId="4563599D" w14:textId="38B9946B" w:rsidR="00AA1BC2" w:rsidRPr="000330EE" w:rsidRDefault="00AA1BC2" w:rsidP="00AA1BC2">
      <w:pPr>
        <w:spacing w:line="480" w:lineRule="auto"/>
        <w:ind w:firstLine="720"/>
        <w:jc w:val="both"/>
        <w:rPr>
          <w:rFonts w:asciiTheme="minorHAnsi" w:hAnsiTheme="minorHAnsi" w:cstheme="minorHAnsi"/>
          <w:bCs/>
          <w:iCs/>
        </w:rPr>
      </w:pPr>
      <w:r w:rsidRPr="000330EE">
        <w:rPr>
          <w:rFonts w:asciiTheme="minorHAnsi" w:hAnsiTheme="minorHAnsi" w:cstheme="minorHAnsi"/>
          <w:bCs/>
          <w:iCs/>
        </w:rPr>
        <w:t>Population-specific LD scores were calculated based on the 1000 Genomes Phase 3 dataset for African and European ancestr</w:t>
      </w:r>
      <w:r>
        <w:rPr>
          <w:rFonts w:asciiTheme="minorHAnsi" w:hAnsiTheme="minorHAnsi" w:cstheme="minorHAnsi"/>
          <w:bCs/>
          <w:iCs/>
        </w:rPr>
        <w:t>ies</w:t>
      </w:r>
      <w:r w:rsidRPr="000330EE">
        <w:rPr>
          <w:rFonts w:asciiTheme="minorHAnsi" w:hAnsiTheme="minorHAnsi" w:cstheme="minorHAnsi"/>
          <w:bCs/>
          <w:iCs/>
        </w:rPr>
        <w:t>, limited to HapMap3</w:t>
      </w:r>
      <w:r w:rsidRPr="000330EE">
        <w:rPr>
          <w:rFonts w:asciiTheme="minorHAnsi" w:hAnsiTheme="minorHAnsi" w:cstheme="minorHAnsi"/>
          <w:bCs/>
          <w:iCs/>
        </w:rPr>
        <w:fldChar w:fldCharType="begin"/>
      </w:r>
      <w:r>
        <w:rPr>
          <w:rFonts w:asciiTheme="minorHAnsi" w:hAnsiTheme="minorHAnsi" w:cstheme="minorHAnsi"/>
          <w:bCs/>
          <w:iCs/>
        </w:rPr>
        <w:instrText xml:space="preserve"> ADDIN ZOTERO_ITEM CSL_CITATION {"citationID":"YYMxhaD7","properties":{"formattedCitation":"\\super 11\\nosupersub{}","plainCitation":"11","noteIndex":0},"citationItems":[{"id":44,"uris":["http://zotero.org/users/8087914/items/J6CNNWT4"],"uri":["http://zotero.org/users/8087914/items/J6CNNWT4"],"itemData":{"id":44,"type":"article-journal","abstract":"Despite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variation.","container-title":"Nature","DOI":"10.1038/nature09298","ISSN":"1476-4687","issue":"7311","language":"en","note":"number: 7311\npublisher: Nature Publishing Group","page":"52-58","source":"www.nature.com","title":"Integrating common and rare genetic variation in diverse human populations","volume":"467","author":[{"family":"Altshuler","given":"David M."},{"family":"Gibbs","given":"Richard A."},{"family":"Peltonen","given":"Leena"},{"family":"Altshuler","given":"David M."},{"family":"Gibbs","given":"Richard A."},{"family":"Peltonen","given":"Leena"},{"family":"Dermitzakis","given":"Emmanouil"},{"family":"Schaffner","given":"Stephen F."},{"family":"Yu","given":"Fuli"},{"family":"Peltonen","given":"Leena"},{"family":"Dermitzakis","given":"Emmanouil"},{"family":"Bonnen","given":"Penelope E."},{"family":"Altshuler","given":"David M."},{"family":"Gibbs","given":"Richard A."},{"family":"Bakker","given":"Paul I. W.","non-dropping-particle":"de"},{"family":"Deloukas","given":"Panos"},{"family":"Gabriel","given":"Stacey B."},{"family":"Gwilliam","given":"Rhian"},{"family":"Hunt","given":"Sarah"},{"family":"Inouye","given":"Michael"},{"family":"Jia","given":"Xiaoming"},{"family":"Palotie","given":"Aarno"},{"family":"Parkin","given":"Melissa"},{"family":"Whittaker","given":"Pamela"},{"family":"Yu","given":"Fuli"},{"family":"Chang","given":"Kyle"},{"family":"Hawes","given":"Alicia"},{"family":"Lewis","given":"Lora R."},{"family":"Ren","given":"Yanru"},{"family":"Wheeler","given":"David"},{"family":"Gibbs","given":"Richard A."},{"family":"Marie Muzny","given":"Donna"},{"family":"Barnes","given":"Chris"},{"family":"Darvishi","given":"Katayoon"},{"family":"Hurles","given":"Matthew"},{"family":"Korn","given":"Joshua M."},{"family":"Kristiansson","given":"Kati"},{"family":"Lee","given":"Charles"},{"family":"McCarroll","given":"Steven A."},{"family":"Nemesh","given":"James"},{"family":"Dermitzakis","given":"Emmanouil"},{"family":"Keinan","given":"Alon"},{"family":"Montgomery","given":"Stephen B."},{"family":"Pollack","given":"Samuela"},{"family":"Price","given":"Alkes L."},{"family":"Soranzo","given":"Nicole"},{"family":"Bonnen","given":"Penelope E."},{"family":"Gibbs","given":"Richard A."},{"family":"Gonzaga-Jauregui","given":"Claudia"},{"family":"Keinan","given":"Alon"},{"family":"Price","given":"Alkes L."},{"family":"Yu","given":"Fuli"},{"family":"Anttila","given":"Verneri"},{"family":"Brodeur","given":"Wendy"},{"family":"Daly","given":"Mark J."},{"family":"Leslie","given":"Stephen"},{"family":"McVean","given":"Gil"},{"family":"Moutsianas","given":"Loukas"},{"family":"Nguyen","given":"Huy"},{"family":"Schaffner","given":"Stephen F."},{"family":"Zhang","given":"Qingrun"},{"family":"Ghori","given":"Mohammed J. R."},{"family":"McGinnis","given":"Ralph"},{"family":"McLaren","given":"William"},{"family":"Pollack","given":"Samuela"},{"family":"Price","given":"Alkes L."},{"family":"Schaffner","given":"Stephen F."},{"family":"Takeuchi","given":"Fumihiko"},{"family":"Grossman","given":"Sharon R."},{"family":"Shlyakhter","given":"Ilya"},{"family":"Hostetter","given":"Elizabeth B."},{"family":"Sabeti","given":"Pardis C."},{"family":"Adebamowo","given":"Clement A."},{"family":"Foster","given":"Morris W."},{"family":"Gordon","given":"Deborah R."},{"family":"Licinio","given":"Julio"},{"family":"Cristina Manca","given":"Maria"},{"family":"Marshall","given":"Patricia A."},{"family":"Matsuda","given":"Ichiro"},{"family":"Ngare","given":"Duncan"},{"family":"Ota Wang","given":"Vivian"},{"family":"Reddy","given":"Deepa"},{"family":"Rotimi","given":"Charles N."},{"family":"Royal","given":"Charmaine D."},{"family":"Sharp","given":"Richard R."},{"family":"Zeng","given":"Changqing"},{"family":"Brooks","given":"Lisa D."},{"family":"McEwen","given":"Jean E."},{"literal":"The International HapMap 3 Consortium"},{"literal":"Principal investigators"},{"literal":"Project coordination leaders"},{"literal":"Manuscript writing group"},{"literal":"Genotyping and QC"},{"literal":"ENCODE 3 sequencing and SNP discovery"},{"literal":"Copy number variation typing and analysis"},{"literal":"Population analysis"},{"literal":"Low frequency variation analysis"},{"literal":"Linkage disequilibrium and haplotype sharing analysis"},{"literal":"Imputation"},{"literal":"Natural selection"},{"literal":"Community engagement and sample collection groups"},{"literal":"Scientific management"}],"issued":{"date-parts":[["2010",9]]}}}],"schema":"https://github.com/citation-style-language/schema/raw/master/csl-citation.json"} </w:instrText>
      </w:r>
      <w:r w:rsidRPr="000330EE">
        <w:rPr>
          <w:rFonts w:asciiTheme="minorHAnsi" w:hAnsiTheme="minorHAnsi" w:cstheme="minorHAnsi"/>
          <w:bCs/>
          <w:iCs/>
        </w:rPr>
        <w:fldChar w:fldCharType="separate"/>
      </w:r>
      <w:r w:rsidRPr="00AA1BC2">
        <w:rPr>
          <w:rFonts w:ascii="Calibri" w:hAnsiTheme="minorHAnsi" w:cs="Calibri"/>
          <w:vertAlign w:val="superscript"/>
        </w:rPr>
        <w:t>11</w:t>
      </w:r>
      <w:r w:rsidRPr="000330EE">
        <w:rPr>
          <w:rFonts w:asciiTheme="minorHAnsi" w:hAnsiTheme="minorHAnsi" w:cstheme="minorHAnsi"/>
          <w:bCs/>
          <w:iCs/>
        </w:rPr>
        <w:fldChar w:fldCharType="end"/>
      </w:r>
      <w:r w:rsidRPr="000330EE">
        <w:rPr>
          <w:rFonts w:asciiTheme="minorHAnsi" w:hAnsiTheme="minorHAnsi" w:cstheme="minorHAnsi"/>
          <w:bCs/>
          <w:iCs/>
        </w:rPr>
        <w:t xml:space="preserve"> variants following removal of the major histocompatibility complex region (chr6:26-34 Mb). LD scores were calculated for 226,116 variants in AAs and 399,040 variants in EAs.</w:t>
      </w:r>
      <w:r>
        <w:rPr>
          <w:rFonts w:asciiTheme="minorHAnsi" w:hAnsiTheme="minorHAnsi" w:cstheme="minorHAnsi"/>
          <w:bCs/>
          <w:iCs/>
        </w:rPr>
        <w:t xml:space="preserve"> LD scores were not calculated for the HA group due to the smaller sample size.</w:t>
      </w:r>
      <w:r w:rsidRPr="000330EE">
        <w:rPr>
          <w:rFonts w:asciiTheme="minorHAnsi" w:hAnsiTheme="minorHAnsi" w:cstheme="minorHAnsi"/>
          <w:bCs/>
          <w:iCs/>
        </w:rPr>
        <w:t xml:space="preserve"> Summary statistics for each phenotype were limited to HapMap3 variants and used to estimate h</w:t>
      </w:r>
      <w:r w:rsidRPr="000330EE">
        <w:rPr>
          <w:rFonts w:asciiTheme="minorHAnsi" w:hAnsiTheme="minorHAnsi" w:cstheme="minorHAnsi"/>
          <w:bCs/>
          <w:iCs/>
          <w:vertAlign w:val="superscript"/>
        </w:rPr>
        <w:t>2</w:t>
      </w:r>
      <w:r w:rsidRPr="000330EE">
        <w:rPr>
          <w:rFonts w:asciiTheme="minorHAnsi" w:hAnsiTheme="minorHAnsi" w:cstheme="minorHAnsi"/>
          <w:bCs/>
          <w:iCs/>
          <w:vertAlign w:val="subscript"/>
        </w:rPr>
        <w:t>SNP</w:t>
      </w:r>
      <w:r w:rsidRPr="000330EE">
        <w:rPr>
          <w:rFonts w:asciiTheme="minorHAnsi" w:hAnsiTheme="minorHAnsi" w:cstheme="minorHAnsi"/>
          <w:bCs/>
          <w:iCs/>
        </w:rPr>
        <w:t>. Genetic correlation (</w:t>
      </w:r>
      <w:proofErr w:type="spellStart"/>
      <w:r w:rsidRPr="000330EE">
        <w:rPr>
          <w:rFonts w:asciiTheme="minorHAnsi" w:hAnsiTheme="minorHAnsi" w:cstheme="minorHAnsi"/>
          <w:bCs/>
          <w:iCs/>
        </w:rPr>
        <w:t>r</w:t>
      </w:r>
      <w:r w:rsidRPr="000330EE">
        <w:rPr>
          <w:rFonts w:asciiTheme="minorHAnsi" w:hAnsiTheme="minorHAnsi" w:cstheme="minorHAnsi"/>
          <w:bCs/>
          <w:iCs/>
          <w:vertAlign w:val="subscript"/>
        </w:rPr>
        <w:t>g</w:t>
      </w:r>
      <w:proofErr w:type="spellEnd"/>
      <w:r w:rsidRPr="000330EE">
        <w:rPr>
          <w:rFonts w:asciiTheme="minorHAnsi" w:hAnsiTheme="minorHAnsi" w:cstheme="minorHAnsi"/>
          <w:bCs/>
          <w:iCs/>
        </w:rPr>
        <w:t xml:space="preserve">) between phenotypes within each ancestry was estimated using LDSC and the corresponding 1000 Genomes population as the reference panel. Cross-ancestry genetic correlations between AAs and EAs within </w:t>
      </w:r>
      <w:r w:rsidRPr="000330EE">
        <w:rPr>
          <w:rFonts w:asciiTheme="minorHAnsi" w:hAnsiTheme="minorHAnsi" w:cstheme="minorHAnsi"/>
          <w:bCs/>
          <w:iCs/>
        </w:rPr>
        <w:lastRenderedPageBreak/>
        <w:t>phenotypes were estimated using POPCORN</w:t>
      </w:r>
      <w:r w:rsidRPr="000330EE">
        <w:rPr>
          <w:rFonts w:asciiTheme="minorHAnsi" w:hAnsiTheme="minorHAnsi" w:cstheme="minorHAnsi"/>
          <w:bCs/>
          <w:iCs/>
        </w:rPr>
        <w:fldChar w:fldCharType="begin"/>
      </w:r>
      <w:r>
        <w:rPr>
          <w:rFonts w:asciiTheme="minorHAnsi" w:hAnsiTheme="minorHAnsi" w:cstheme="minorHAnsi"/>
          <w:bCs/>
          <w:iCs/>
        </w:rPr>
        <w:instrText xml:space="preserve"> ADDIN ZOTERO_ITEM CSL_CITATION {"citationID":"3lY8jutm","properties":{"formattedCitation":"\\super 12\\nosupersub{}","plainCitation":"12","noteIndex":0},"citationItems":[{"id":47,"uris":["http://zotero.org/users/8087914/items/8UGKV6Z4"],"uri":["http://zotero.org/users/8087914/items/8UGKV6Z4"],"itemData":{"id":47,"type":"article-journal","abstract":"The increasing number of genetic association studies conducted in multiple populations provides an unprecedented opportunity to study how the genetic architecture of complex phenotypes varies between populations, a problem important for both medical and population genetics. Here, we have developed a method for estimating the transethnic genetic correlation: the correlation of causal-variant effect sizes at SNPs common in populations. This methods takes advantage of the entire spectrum of SNP associations and uses only summary-level data from genome-wide association studies. This avoids the computational costs and privacy concerns associated with genotype-level information while remaining scalable to hundreds of thousands of individuals and millions of SNPs. We applied our method to data on gene expression, rheumatoid arthritis, and type 2 diabetes and overwhelmingly found that the genetic correlation was significantly less than 1. Our method is implemented in a Python package called Popcorn.","container-title":"American Journal of Human Genetics","DOI":"10.1016/j.ajhg.2016.05.001","ISSN":"1537-6605","issue":"1","journalAbbreviation":"Am J Hum Genet","language":"eng","note":"PMID: 27321947\nPMCID: PMC5005434","page":"76-88","source":"PubMed","title":"Transethnic Genetic-Correlation Estimates from Summary Statistics","volume":"99","author":[{"family":"Brown","given":"Brielin C."},{"literal":"Asian Genetic Epidemiology Network Type 2 Diabetes Consortium"},{"family":"Ye","given":"Chun Jimmie"},{"family":"Price","given":"Alkes L."},{"family":"Zaitlen","given":"Noah"}],"issued":{"date-parts":[["2016",7,7]]}}}],"schema":"https://github.com/citation-style-language/schema/raw/master/csl-citation.json"} </w:instrText>
      </w:r>
      <w:r w:rsidRPr="000330EE">
        <w:rPr>
          <w:rFonts w:asciiTheme="minorHAnsi" w:hAnsiTheme="minorHAnsi" w:cstheme="minorHAnsi"/>
          <w:bCs/>
          <w:iCs/>
        </w:rPr>
        <w:fldChar w:fldCharType="separate"/>
      </w:r>
      <w:r w:rsidRPr="00AA1BC2">
        <w:rPr>
          <w:rFonts w:ascii="Calibri" w:hAnsiTheme="minorHAnsi" w:cs="Calibri"/>
          <w:vertAlign w:val="superscript"/>
        </w:rPr>
        <w:t>12</w:t>
      </w:r>
      <w:r w:rsidRPr="000330EE">
        <w:rPr>
          <w:rFonts w:asciiTheme="minorHAnsi" w:hAnsiTheme="minorHAnsi" w:cstheme="minorHAnsi"/>
          <w:bCs/>
          <w:iCs/>
        </w:rPr>
        <w:fldChar w:fldCharType="end"/>
      </w:r>
      <w:r w:rsidRPr="000330EE">
        <w:rPr>
          <w:rFonts w:asciiTheme="minorHAnsi" w:hAnsiTheme="minorHAnsi" w:cstheme="minorHAnsi"/>
          <w:bCs/>
          <w:iCs/>
        </w:rPr>
        <w:t>. Genetic correlations with 257 published traits were estimated using LD Hub</w:t>
      </w:r>
      <w:r w:rsidRPr="000330EE">
        <w:rPr>
          <w:rFonts w:asciiTheme="minorHAnsi" w:hAnsiTheme="minorHAnsi" w:cstheme="minorHAnsi"/>
          <w:bCs/>
          <w:iCs/>
        </w:rPr>
        <w:fldChar w:fldCharType="begin"/>
      </w:r>
      <w:r>
        <w:rPr>
          <w:rFonts w:asciiTheme="minorHAnsi" w:hAnsiTheme="minorHAnsi" w:cstheme="minorHAnsi"/>
          <w:bCs/>
          <w:iCs/>
        </w:rPr>
        <w:instrText xml:space="preserve"> ADDIN ZOTERO_ITEM CSL_CITATION {"citationID":"dPDq21lk","properties":{"formattedCitation":"\\super 13\\nosupersub{}","plainCitation":"13","noteIndex":0},"citationItems":[{"id":50,"uris":["http://zotero.org/users/8087914/items/545Q7SXR"],"uri":["http://zotero.org/users/8087914/items/545Q7SXR"],"itemData":{"id":50,"type":"article-journal","abstract":"Motivation\nLD score regression is a reliable and efficient method of using genome-wide association study (GWAS) summary-level results data to estimate the SNP heritability of complex traits and diseases, partition this heritability into functional categories, and estimate the genetic correlation between different phenotypes. Because the method relies on summary level results data, LD score regression is computationally tractable even for very large sample sizes. However, publicly available GWAS summary-level data are typically stored in different databases and have different formats, making it difficult to apply LD score regression to estimate genetic correlations across many different traits simultaneously.\n\nResults\nIn this manuscript, we describe LD Hub - a centralized database of summary-level GWAS results for 173 diseases/traits from different publicly available resources/consortia and a web interface that automates the LD score regression analysis pipeline. To demonstrate functionality and validate our software, we replicated previously reported LD score regression analyses of 49 traits/diseases using LD Hub; and estimated SNP heritability and the genetic correlation across the different phenotypes. We also present new results obtained by uploading a recent atopic dermatitis GWAS meta-analysis to examine the genetic correlation between the condition and other potentially related traits. In response to the growing availability of publicly accessible GWAS summary-level results data, our database and the accompanying web interface will ensure maximal uptake of the LD score regression methodology, provide a useful database for the public dissemination of GWAS results, and provide a method for easily screening hundreds of traits for overlapping genetic aetiologies.\n\nAvailability and Implementation\nThe web interface and instructions for using LD Hub are available at http://ldsc.broadinstitute.org/\n\nSupplementary information\n\n are available at Bioinformatics online.","container-title":"Bioinformatics","DOI":"10.1093/bioinformatics/btw613","ISSN":"1367-4803","issue":"2","journalAbbreviation":"Bioinformatics","note":"PMID: 27663502\nPMCID: PMC5542030","page":"272-279","source":"PubMed Central","title":"LD Hub: a centralized database and web interface to perform LD score regression that maximizes the potential of summary level GWAS data for SNP heritability and genetic correlation analysis","title-short":"LD Hub","volume":"33","author":[{"family":"Zheng","given":"Jie"},{"family":"Erzurumluoglu","given":"A Mesut"},{"family":"Elsworth","given":"Benjamin L"},{"family":"Kemp","given":"John P"},{"family":"Howe","given":"Laurence"},{"family":"Haycock","given":"Philip C"},{"family":"Hemani","given":"Gibran"},{"family":"Tansey","given":"Katherine"},{"family":"Laurin","given":"Charles"},{"family":"Pourcain","given":"Beate St"},{"family":"Warrington","given":"Nicole M"},{"family":"Finucane","given":"Hilary K"},{"family":"Price","given":"Alkes L"},{"family":"Bulik-Sullivan","given":"Brendan K"},{"family":"Anttila","given":"Verneri"},{"family":"Paternoster","given":"Lavinia"},{"family":"Gaunt","given":"Tom R"},{"family":"Evans","given":"David M"},{"family":"Neale","given":"Benjamin M"}],"issued":{"date-parts":[["2017",1,15]]}}}],"schema":"https://github.com/citation-style-language/schema/raw/master/csl-citation.json"} </w:instrText>
      </w:r>
      <w:r w:rsidRPr="000330EE">
        <w:rPr>
          <w:rFonts w:asciiTheme="minorHAnsi" w:hAnsiTheme="minorHAnsi" w:cstheme="minorHAnsi"/>
          <w:bCs/>
          <w:iCs/>
        </w:rPr>
        <w:fldChar w:fldCharType="separate"/>
      </w:r>
      <w:r w:rsidRPr="00AA1BC2">
        <w:rPr>
          <w:rFonts w:ascii="Calibri" w:hAnsiTheme="minorHAnsi" w:cs="Calibri"/>
          <w:vertAlign w:val="superscript"/>
        </w:rPr>
        <w:t>13</w:t>
      </w:r>
      <w:r w:rsidRPr="000330EE">
        <w:rPr>
          <w:rFonts w:asciiTheme="minorHAnsi" w:hAnsiTheme="minorHAnsi" w:cstheme="minorHAnsi"/>
          <w:bCs/>
          <w:iCs/>
        </w:rPr>
        <w:fldChar w:fldCharType="end"/>
      </w:r>
      <w:r w:rsidRPr="000330EE">
        <w:rPr>
          <w:rFonts w:asciiTheme="minorHAnsi" w:hAnsiTheme="minorHAnsi" w:cstheme="minorHAnsi"/>
          <w:bCs/>
          <w:iCs/>
        </w:rPr>
        <w:t xml:space="preserve"> and the EA summary statistics for each phenotype. Correlations were considered significant </w:t>
      </w:r>
      <w:r>
        <w:rPr>
          <w:rFonts w:asciiTheme="minorHAnsi" w:hAnsiTheme="minorHAnsi" w:cstheme="minorHAnsi"/>
          <w:bCs/>
          <w:iCs/>
        </w:rPr>
        <w:t>using</w:t>
      </w:r>
      <w:r w:rsidRPr="000330EE">
        <w:rPr>
          <w:rFonts w:asciiTheme="minorHAnsi" w:hAnsiTheme="minorHAnsi" w:cstheme="minorHAnsi"/>
          <w:bCs/>
          <w:iCs/>
        </w:rPr>
        <w:t xml:space="preserve"> a Bonferroni-corrected p-value (1.95x10</w:t>
      </w:r>
      <w:r w:rsidRPr="000330EE">
        <w:rPr>
          <w:rFonts w:asciiTheme="minorHAnsi" w:hAnsiTheme="minorHAnsi" w:cstheme="minorHAnsi"/>
          <w:bCs/>
          <w:iCs/>
          <w:vertAlign w:val="superscript"/>
        </w:rPr>
        <w:t>-3</w:t>
      </w:r>
      <w:r w:rsidRPr="000330EE">
        <w:rPr>
          <w:rFonts w:asciiTheme="minorHAnsi" w:hAnsiTheme="minorHAnsi" w:cstheme="minorHAnsi"/>
          <w:bCs/>
          <w:iCs/>
        </w:rPr>
        <w:t>).</w:t>
      </w:r>
    </w:p>
    <w:p w14:paraId="0F8B5F58" w14:textId="77777777" w:rsidR="00AA1BC2" w:rsidRPr="00484A9F" w:rsidRDefault="00AA1BC2" w:rsidP="00C90BD9">
      <w:pPr>
        <w:spacing w:line="480" w:lineRule="auto"/>
        <w:jc w:val="both"/>
        <w:rPr>
          <w:rFonts w:asciiTheme="minorHAnsi" w:hAnsiTheme="minorHAnsi" w:cstheme="minorHAnsi"/>
          <w:i/>
        </w:rPr>
      </w:pPr>
    </w:p>
    <w:p w14:paraId="436FC722" w14:textId="77777777" w:rsidR="00AA1BC2" w:rsidRPr="00AA1BC2" w:rsidRDefault="00B659C8" w:rsidP="00AA1BC2">
      <w:pPr>
        <w:pStyle w:val="Bibliography"/>
        <w:rPr>
          <w:rFonts w:ascii="Calibri" w:hAnsiTheme="minorHAnsi" w:cs="Calibri"/>
        </w:rPr>
      </w:pPr>
      <w:r>
        <w:rPr>
          <w:rFonts w:asciiTheme="minorHAnsi" w:hAnsiTheme="minorHAnsi" w:cstheme="minorHAnsi"/>
          <w:lang w:val="en-GB"/>
        </w:rPr>
        <w:fldChar w:fldCharType="begin"/>
      </w:r>
      <w:r w:rsidR="00AA1BC2">
        <w:rPr>
          <w:rFonts w:asciiTheme="minorHAnsi" w:hAnsiTheme="minorHAnsi" w:cstheme="minorHAnsi"/>
          <w:lang w:val="en-GB"/>
        </w:rPr>
        <w:instrText xml:space="preserve"> ADDIN ZOTERO_BIBL {"uncited":[],"omitted":[],"custom":[]} CSL_BIBLIOGRAPHY </w:instrText>
      </w:r>
      <w:r>
        <w:rPr>
          <w:rFonts w:asciiTheme="minorHAnsi" w:hAnsiTheme="minorHAnsi" w:cstheme="minorHAnsi"/>
          <w:lang w:val="en-GB"/>
        </w:rPr>
        <w:fldChar w:fldCharType="separate"/>
      </w:r>
      <w:r w:rsidR="00AA1BC2" w:rsidRPr="00AA1BC2">
        <w:rPr>
          <w:rFonts w:ascii="Calibri" w:hAnsiTheme="minorHAnsi" w:cs="Calibri"/>
        </w:rPr>
        <w:t>1.</w:t>
      </w:r>
      <w:r w:rsidR="00AA1BC2" w:rsidRPr="00AA1BC2">
        <w:rPr>
          <w:rFonts w:ascii="Calibri" w:hAnsiTheme="minorHAnsi" w:cs="Calibri"/>
        </w:rPr>
        <w:tab/>
      </w:r>
      <w:proofErr w:type="spellStart"/>
      <w:r w:rsidR="00AA1BC2" w:rsidRPr="00AA1BC2">
        <w:rPr>
          <w:rFonts w:ascii="Calibri" w:hAnsiTheme="minorHAnsi" w:cs="Calibri"/>
        </w:rPr>
        <w:t>Kranzler</w:t>
      </w:r>
      <w:proofErr w:type="spellEnd"/>
      <w:r w:rsidR="00AA1BC2" w:rsidRPr="00AA1BC2">
        <w:rPr>
          <w:rFonts w:ascii="Calibri" w:hAnsiTheme="minorHAnsi" w:cs="Calibri"/>
        </w:rPr>
        <w:t xml:space="preserve">, H. R. </w:t>
      </w:r>
      <w:r w:rsidR="00AA1BC2" w:rsidRPr="00AA1BC2">
        <w:rPr>
          <w:rFonts w:ascii="Calibri" w:hAnsiTheme="minorHAnsi" w:cs="Calibri"/>
          <w:i/>
          <w:iCs/>
        </w:rPr>
        <w:t>et al.</w:t>
      </w:r>
      <w:r w:rsidR="00AA1BC2" w:rsidRPr="00AA1BC2">
        <w:rPr>
          <w:rFonts w:ascii="Calibri" w:hAnsiTheme="minorHAnsi" w:cs="Calibri"/>
        </w:rPr>
        <w:t xml:space="preserve"> Genome-wide association study of alcohol consumption and use disorder in 274,424 individuals from multiple populations. </w:t>
      </w:r>
      <w:r w:rsidR="00AA1BC2" w:rsidRPr="00AA1BC2">
        <w:rPr>
          <w:rFonts w:ascii="Calibri" w:hAnsiTheme="minorHAnsi" w:cs="Calibri"/>
          <w:i/>
          <w:iCs/>
        </w:rPr>
        <w:t xml:space="preserve">Nat. </w:t>
      </w:r>
      <w:proofErr w:type="spellStart"/>
      <w:r w:rsidR="00AA1BC2" w:rsidRPr="00AA1BC2">
        <w:rPr>
          <w:rFonts w:ascii="Calibri" w:hAnsiTheme="minorHAnsi" w:cs="Calibri"/>
          <w:i/>
          <w:iCs/>
        </w:rPr>
        <w:t>Commun</w:t>
      </w:r>
      <w:proofErr w:type="spellEnd"/>
      <w:r w:rsidR="00AA1BC2" w:rsidRPr="00AA1BC2">
        <w:rPr>
          <w:rFonts w:ascii="Calibri" w:hAnsiTheme="minorHAnsi" w:cs="Calibri"/>
          <w:i/>
          <w:iCs/>
        </w:rPr>
        <w:t>.</w:t>
      </w:r>
      <w:r w:rsidR="00AA1BC2" w:rsidRPr="00AA1BC2">
        <w:rPr>
          <w:rFonts w:ascii="Calibri" w:hAnsiTheme="minorHAnsi" w:cs="Calibri"/>
        </w:rPr>
        <w:t xml:space="preserve"> </w:t>
      </w:r>
      <w:r w:rsidR="00AA1BC2" w:rsidRPr="00AA1BC2">
        <w:rPr>
          <w:rFonts w:ascii="Calibri" w:hAnsiTheme="minorHAnsi" w:cs="Calibri"/>
          <w:b/>
          <w:bCs/>
        </w:rPr>
        <w:t>10</w:t>
      </w:r>
      <w:r w:rsidR="00AA1BC2" w:rsidRPr="00AA1BC2">
        <w:rPr>
          <w:rFonts w:ascii="Calibri" w:hAnsiTheme="minorHAnsi" w:cs="Calibri"/>
        </w:rPr>
        <w:t>, 1499 (2019).</w:t>
      </w:r>
    </w:p>
    <w:p w14:paraId="323737B9" w14:textId="77777777" w:rsidR="00AA1BC2" w:rsidRPr="00AA1BC2" w:rsidRDefault="00AA1BC2" w:rsidP="00AA1BC2">
      <w:pPr>
        <w:pStyle w:val="Bibliography"/>
        <w:rPr>
          <w:rFonts w:ascii="Calibri" w:hAnsiTheme="minorHAnsi" w:cs="Calibri"/>
        </w:rPr>
      </w:pPr>
      <w:r w:rsidRPr="00AA1BC2">
        <w:rPr>
          <w:rFonts w:ascii="Calibri" w:hAnsiTheme="minorHAnsi" w:cs="Calibri"/>
        </w:rPr>
        <w:t>2.</w:t>
      </w:r>
      <w:r w:rsidRPr="00AA1BC2">
        <w:rPr>
          <w:rFonts w:ascii="Calibri" w:hAnsiTheme="minorHAnsi" w:cs="Calibri"/>
        </w:rPr>
        <w:tab/>
        <w:t xml:space="preserve">Zhou, H. </w:t>
      </w:r>
      <w:r w:rsidRPr="00AA1BC2">
        <w:rPr>
          <w:rFonts w:ascii="Calibri" w:hAnsiTheme="minorHAnsi" w:cs="Calibri"/>
          <w:i/>
          <w:iCs/>
        </w:rPr>
        <w:t>et al.</w:t>
      </w:r>
      <w:r w:rsidRPr="00AA1BC2">
        <w:rPr>
          <w:rFonts w:ascii="Calibri" w:hAnsiTheme="minorHAnsi" w:cs="Calibri"/>
        </w:rPr>
        <w:t xml:space="preserve"> Genome-wide meta-analysis of problematic alcohol use in 435,563 individuals yields insights into biology and relationships with other traits. </w:t>
      </w:r>
      <w:r w:rsidRPr="00AA1BC2">
        <w:rPr>
          <w:rFonts w:ascii="Calibri" w:hAnsiTheme="minorHAnsi" w:cs="Calibri"/>
          <w:i/>
          <w:iCs/>
        </w:rPr>
        <w:t xml:space="preserve">Nat. </w:t>
      </w:r>
      <w:proofErr w:type="spellStart"/>
      <w:r w:rsidRPr="00AA1BC2">
        <w:rPr>
          <w:rFonts w:ascii="Calibri" w:hAnsiTheme="minorHAnsi" w:cs="Calibri"/>
          <w:i/>
          <w:iCs/>
        </w:rPr>
        <w:t>Neurosci</w:t>
      </w:r>
      <w:proofErr w:type="spellEnd"/>
      <w:r w:rsidRPr="00AA1BC2">
        <w:rPr>
          <w:rFonts w:ascii="Calibri" w:hAnsiTheme="minorHAnsi" w:cs="Calibri"/>
          <w:i/>
          <w:iCs/>
        </w:rPr>
        <w:t>.</w:t>
      </w:r>
      <w:r w:rsidRPr="00AA1BC2">
        <w:rPr>
          <w:rFonts w:ascii="Calibri" w:hAnsiTheme="minorHAnsi" w:cs="Calibri"/>
        </w:rPr>
        <w:t xml:space="preserve"> </w:t>
      </w:r>
      <w:r w:rsidRPr="00AA1BC2">
        <w:rPr>
          <w:rFonts w:ascii="Calibri" w:hAnsiTheme="minorHAnsi" w:cs="Calibri"/>
          <w:b/>
          <w:bCs/>
        </w:rPr>
        <w:t>23</w:t>
      </w:r>
      <w:r w:rsidRPr="00AA1BC2">
        <w:rPr>
          <w:rFonts w:ascii="Calibri" w:hAnsiTheme="minorHAnsi" w:cs="Calibri"/>
        </w:rPr>
        <w:t>, 809–818 (2020).</w:t>
      </w:r>
    </w:p>
    <w:p w14:paraId="0B617BEB" w14:textId="77777777" w:rsidR="00AA1BC2" w:rsidRPr="00AA1BC2" w:rsidRDefault="00AA1BC2" w:rsidP="00AA1BC2">
      <w:pPr>
        <w:pStyle w:val="Bibliography"/>
        <w:rPr>
          <w:rFonts w:ascii="Calibri" w:hAnsiTheme="minorHAnsi" w:cs="Calibri"/>
        </w:rPr>
      </w:pPr>
      <w:r w:rsidRPr="00AA1BC2">
        <w:rPr>
          <w:rFonts w:ascii="Calibri" w:hAnsiTheme="minorHAnsi" w:cs="Calibri"/>
        </w:rPr>
        <w:t>3.</w:t>
      </w:r>
      <w:r w:rsidRPr="00AA1BC2">
        <w:rPr>
          <w:rFonts w:ascii="Calibri" w:hAnsiTheme="minorHAnsi" w:cs="Calibri"/>
        </w:rPr>
        <w:tab/>
        <w:t xml:space="preserve">Dao, C. </w:t>
      </w:r>
      <w:r w:rsidRPr="00AA1BC2">
        <w:rPr>
          <w:rFonts w:ascii="Calibri" w:hAnsiTheme="minorHAnsi" w:cs="Calibri"/>
          <w:i/>
          <w:iCs/>
        </w:rPr>
        <w:t>et al.</w:t>
      </w:r>
      <w:r w:rsidRPr="00AA1BC2">
        <w:rPr>
          <w:rFonts w:ascii="Calibri" w:hAnsiTheme="minorHAnsi" w:cs="Calibri"/>
        </w:rPr>
        <w:t xml:space="preserve"> The impact of removing former drinkers from genome-wide association studies of AUDIT-C. </w:t>
      </w:r>
      <w:r w:rsidRPr="00AA1BC2">
        <w:rPr>
          <w:rFonts w:ascii="Calibri" w:hAnsiTheme="minorHAnsi" w:cs="Calibri"/>
          <w:i/>
          <w:iCs/>
        </w:rPr>
        <w:t>Addiction</w:t>
      </w:r>
      <w:r w:rsidRPr="00AA1BC2">
        <w:rPr>
          <w:rFonts w:ascii="Calibri" w:hAnsiTheme="minorHAnsi" w:cs="Calibri"/>
        </w:rPr>
        <w:t xml:space="preserve"> </w:t>
      </w:r>
      <w:r w:rsidRPr="00AA1BC2">
        <w:rPr>
          <w:rFonts w:ascii="Calibri" w:hAnsiTheme="minorHAnsi" w:cs="Calibri"/>
          <w:b/>
          <w:bCs/>
        </w:rPr>
        <w:t>n/</w:t>
      </w:r>
      <w:proofErr w:type="gramStart"/>
      <w:r w:rsidRPr="00AA1BC2">
        <w:rPr>
          <w:rFonts w:ascii="Calibri" w:hAnsiTheme="minorHAnsi" w:cs="Calibri"/>
          <w:b/>
          <w:bCs/>
        </w:rPr>
        <w:t>a</w:t>
      </w:r>
      <w:r w:rsidRPr="00AA1BC2">
        <w:rPr>
          <w:rFonts w:ascii="Calibri" w:hAnsiTheme="minorHAnsi" w:cs="Calibri"/>
        </w:rPr>
        <w:t>,.</w:t>
      </w:r>
      <w:proofErr w:type="gramEnd"/>
    </w:p>
    <w:p w14:paraId="35DB9354" w14:textId="77777777" w:rsidR="00AA1BC2" w:rsidRPr="00AA1BC2" w:rsidRDefault="00AA1BC2" w:rsidP="00AA1BC2">
      <w:pPr>
        <w:pStyle w:val="Bibliography"/>
        <w:rPr>
          <w:rFonts w:ascii="Calibri" w:hAnsiTheme="minorHAnsi" w:cs="Calibri"/>
        </w:rPr>
      </w:pPr>
      <w:r w:rsidRPr="00AA1BC2">
        <w:rPr>
          <w:rFonts w:ascii="Calibri" w:hAnsiTheme="minorHAnsi" w:cs="Calibri"/>
        </w:rPr>
        <w:t>4.</w:t>
      </w:r>
      <w:r w:rsidRPr="00AA1BC2">
        <w:rPr>
          <w:rFonts w:ascii="Calibri" w:hAnsiTheme="minorHAnsi" w:cs="Calibri"/>
        </w:rPr>
        <w:tab/>
      </w:r>
      <w:proofErr w:type="spellStart"/>
      <w:r w:rsidRPr="00AA1BC2">
        <w:rPr>
          <w:rFonts w:ascii="Calibri" w:hAnsiTheme="minorHAnsi" w:cs="Calibri"/>
        </w:rPr>
        <w:t>Loh</w:t>
      </w:r>
      <w:proofErr w:type="spellEnd"/>
      <w:r w:rsidRPr="00AA1BC2">
        <w:rPr>
          <w:rFonts w:ascii="Calibri" w:hAnsiTheme="minorHAnsi" w:cs="Calibri"/>
        </w:rPr>
        <w:t xml:space="preserve">, P.-R. </w:t>
      </w:r>
      <w:r w:rsidRPr="00AA1BC2">
        <w:rPr>
          <w:rFonts w:ascii="Calibri" w:hAnsiTheme="minorHAnsi" w:cs="Calibri"/>
          <w:i/>
          <w:iCs/>
        </w:rPr>
        <w:t>et al.</w:t>
      </w:r>
      <w:r w:rsidRPr="00AA1BC2">
        <w:rPr>
          <w:rFonts w:ascii="Calibri" w:hAnsiTheme="minorHAnsi" w:cs="Calibri"/>
        </w:rPr>
        <w:t xml:space="preserve"> Reference-based phasing using the Haplotype Reference Consortium panel. </w:t>
      </w:r>
      <w:r w:rsidRPr="00AA1BC2">
        <w:rPr>
          <w:rFonts w:ascii="Calibri" w:hAnsiTheme="minorHAnsi" w:cs="Calibri"/>
          <w:i/>
          <w:iCs/>
        </w:rPr>
        <w:t>Nat. Genet.</w:t>
      </w:r>
      <w:r w:rsidRPr="00AA1BC2">
        <w:rPr>
          <w:rFonts w:ascii="Calibri" w:hAnsiTheme="minorHAnsi" w:cs="Calibri"/>
        </w:rPr>
        <w:t xml:space="preserve"> </w:t>
      </w:r>
      <w:r w:rsidRPr="00AA1BC2">
        <w:rPr>
          <w:rFonts w:ascii="Calibri" w:hAnsiTheme="minorHAnsi" w:cs="Calibri"/>
          <w:b/>
          <w:bCs/>
        </w:rPr>
        <w:t>48</w:t>
      </w:r>
      <w:r w:rsidRPr="00AA1BC2">
        <w:rPr>
          <w:rFonts w:ascii="Calibri" w:hAnsiTheme="minorHAnsi" w:cs="Calibri"/>
        </w:rPr>
        <w:t>, 1443–1448 (2016).</w:t>
      </w:r>
    </w:p>
    <w:p w14:paraId="43AFD6C1" w14:textId="77777777" w:rsidR="00AA1BC2" w:rsidRPr="00AA1BC2" w:rsidRDefault="00AA1BC2" w:rsidP="00AA1BC2">
      <w:pPr>
        <w:pStyle w:val="Bibliography"/>
        <w:rPr>
          <w:rFonts w:ascii="Calibri" w:hAnsiTheme="minorHAnsi" w:cs="Calibri"/>
        </w:rPr>
      </w:pPr>
      <w:r w:rsidRPr="00AA1BC2">
        <w:rPr>
          <w:rFonts w:ascii="Calibri" w:hAnsiTheme="minorHAnsi" w:cs="Calibri"/>
        </w:rPr>
        <w:t>5.</w:t>
      </w:r>
      <w:r w:rsidRPr="00AA1BC2">
        <w:rPr>
          <w:rFonts w:ascii="Calibri" w:hAnsiTheme="minorHAnsi" w:cs="Calibri"/>
        </w:rPr>
        <w:tab/>
        <w:t xml:space="preserve">Das, S. </w:t>
      </w:r>
      <w:r w:rsidRPr="00AA1BC2">
        <w:rPr>
          <w:rFonts w:ascii="Calibri" w:hAnsiTheme="minorHAnsi" w:cs="Calibri"/>
          <w:i/>
          <w:iCs/>
        </w:rPr>
        <w:t>et al.</w:t>
      </w:r>
      <w:r w:rsidRPr="00AA1BC2">
        <w:rPr>
          <w:rFonts w:ascii="Calibri" w:hAnsiTheme="minorHAnsi" w:cs="Calibri"/>
        </w:rPr>
        <w:t xml:space="preserve"> Next-generation genotype imputation service and methods. </w:t>
      </w:r>
      <w:r w:rsidRPr="00AA1BC2">
        <w:rPr>
          <w:rFonts w:ascii="Calibri" w:hAnsiTheme="minorHAnsi" w:cs="Calibri"/>
          <w:i/>
          <w:iCs/>
        </w:rPr>
        <w:t>Nat. Genet.</w:t>
      </w:r>
      <w:r w:rsidRPr="00AA1BC2">
        <w:rPr>
          <w:rFonts w:ascii="Calibri" w:hAnsiTheme="minorHAnsi" w:cs="Calibri"/>
        </w:rPr>
        <w:t xml:space="preserve"> </w:t>
      </w:r>
      <w:r w:rsidRPr="00AA1BC2">
        <w:rPr>
          <w:rFonts w:ascii="Calibri" w:hAnsiTheme="minorHAnsi" w:cs="Calibri"/>
          <w:b/>
          <w:bCs/>
        </w:rPr>
        <w:t>48</w:t>
      </w:r>
      <w:r w:rsidRPr="00AA1BC2">
        <w:rPr>
          <w:rFonts w:ascii="Calibri" w:hAnsiTheme="minorHAnsi" w:cs="Calibri"/>
        </w:rPr>
        <w:t>, 1284–1287 (2016).</w:t>
      </w:r>
    </w:p>
    <w:p w14:paraId="4BCE90C4" w14:textId="77777777" w:rsidR="00AA1BC2" w:rsidRPr="00AA1BC2" w:rsidRDefault="00AA1BC2" w:rsidP="00AA1BC2">
      <w:pPr>
        <w:pStyle w:val="Bibliography"/>
        <w:rPr>
          <w:rFonts w:ascii="Calibri" w:hAnsiTheme="minorHAnsi" w:cs="Calibri"/>
        </w:rPr>
      </w:pPr>
      <w:r w:rsidRPr="00AA1BC2">
        <w:rPr>
          <w:rFonts w:ascii="Calibri" w:hAnsiTheme="minorHAnsi" w:cs="Calibri"/>
        </w:rPr>
        <w:t>6.</w:t>
      </w:r>
      <w:r w:rsidRPr="00AA1BC2">
        <w:rPr>
          <w:rFonts w:ascii="Calibri" w:hAnsiTheme="minorHAnsi" w:cs="Calibri"/>
        </w:rPr>
        <w:tab/>
      </w:r>
      <w:proofErr w:type="spellStart"/>
      <w:r w:rsidRPr="00AA1BC2">
        <w:rPr>
          <w:rFonts w:ascii="Calibri" w:hAnsiTheme="minorHAnsi" w:cs="Calibri"/>
        </w:rPr>
        <w:t>Auton</w:t>
      </w:r>
      <w:proofErr w:type="spellEnd"/>
      <w:r w:rsidRPr="00AA1BC2">
        <w:rPr>
          <w:rFonts w:ascii="Calibri" w:hAnsiTheme="minorHAnsi" w:cs="Calibri"/>
        </w:rPr>
        <w:t xml:space="preserve">, A. </w:t>
      </w:r>
      <w:r w:rsidRPr="00AA1BC2">
        <w:rPr>
          <w:rFonts w:ascii="Calibri" w:hAnsiTheme="minorHAnsi" w:cs="Calibri"/>
          <w:i/>
          <w:iCs/>
        </w:rPr>
        <w:t>et al.</w:t>
      </w:r>
      <w:r w:rsidRPr="00AA1BC2">
        <w:rPr>
          <w:rFonts w:ascii="Calibri" w:hAnsiTheme="minorHAnsi" w:cs="Calibri"/>
        </w:rPr>
        <w:t xml:space="preserve"> A global reference for human genetic variation. </w:t>
      </w:r>
      <w:r w:rsidRPr="00AA1BC2">
        <w:rPr>
          <w:rFonts w:ascii="Calibri" w:hAnsiTheme="minorHAnsi" w:cs="Calibri"/>
          <w:i/>
          <w:iCs/>
        </w:rPr>
        <w:t>Nature</w:t>
      </w:r>
      <w:r w:rsidRPr="00AA1BC2">
        <w:rPr>
          <w:rFonts w:ascii="Calibri" w:hAnsiTheme="minorHAnsi" w:cs="Calibri"/>
        </w:rPr>
        <w:t xml:space="preserve"> </w:t>
      </w:r>
      <w:r w:rsidRPr="00AA1BC2">
        <w:rPr>
          <w:rFonts w:ascii="Calibri" w:hAnsiTheme="minorHAnsi" w:cs="Calibri"/>
          <w:b/>
          <w:bCs/>
        </w:rPr>
        <w:t>526</w:t>
      </w:r>
      <w:r w:rsidRPr="00AA1BC2">
        <w:rPr>
          <w:rFonts w:ascii="Calibri" w:hAnsiTheme="minorHAnsi" w:cs="Calibri"/>
        </w:rPr>
        <w:t>, 68–74 (2015).</w:t>
      </w:r>
    </w:p>
    <w:p w14:paraId="4E948332" w14:textId="77777777" w:rsidR="00AA1BC2" w:rsidRPr="00AA1BC2" w:rsidRDefault="00AA1BC2" w:rsidP="00AA1BC2">
      <w:pPr>
        <w:pStyle w:val="Bibliography"/>
        <w:rPr>
          <w:rFonts w:ascii="Calibri" w:hAnsiTheme="minorHAnsi" w:cs="Calibri"/>
        </w:rPr>
      </w:pPr>
      <w:r w:rsidRPr="00AA1BC2">
        <w:rPr>
          <w:rFonts w:ascii="Calibri" w:hAnsiTheme="minorHAnsi" w:cs="Calibri"/>
        </w:rPr>
        <w:t>7.</w:t>
      </w:r>
      <w:r w:rsidRPr="00AA1BC2">
        <w:rPr>
          <w:rFonts w:ascii="Calibri" w:hAnsiTheme="minorHAnsi" w:cs="Calibri"/>
        </w:rPr>
        <w:tab/>
        <w:t xml:space="preserve">Abraham, G., </w:t>
      </w:r>
      <w:proofErr w:type="spellStart"/>
      <w:r w:rsidRPr="00AA1BC2">
        <w:rPr>
          <w:rFonts w:ascii="Calibri" w:hAnsiTheme="minorHAnsi" w:cs="Calibri"/>
        </w:rPr>
        <w:t>Qiu</w:t>
      </w:r>
      <w:proofErr w:type="spellEnd"/>
      <w:r w:rsidRPr="00AA1BC2">
        <w:rPr>
          <w:rFonts w:ascii="Calibri" w:hAnsiTheme="minorHAnsi" w:cs="Calibri"/>
        </w:rPr>
        <w:t xml:space="preserve">, Y. &amp; Inouye, M. FlashPCA2: principal component analysis of Biobank-scale genotype datasets. </w:t>
      </w:r>
      <w:r w:rsidRPr="00AA1BC2">
        <w:rPr>
          <w:rFonts w:ascii="Calibri" w:hAnsiTheme="minorHAnsi" w:cs="Calibri"/>
          <w:i/>
          <w:iCs/>
        </w:rPr>
        <w:t>Bioinformatics</w:t>
      </w:r>
      <w:r w:rsidRPr="00AA1BC2">
        <w:rPr>
          <w:rFonts w:ascii="Calibri" w:hAnsiTheme="minorHAnsi" w:cs="Calibri"/>
        </w:rPr>
        <w:t xml:space="preserve"> </w:t>
      </w:r>
      <w:r w:rsidRPr="00AA1BC2">
        <w:rPr>
          <w:rFonts w:ascii="Calibri" w:hAnsiTheme="minorHAnsi" w:cs="Calibri"/>
          <w:b/>
          <w:bCs/>
        </w:rPr>
        <w:t>33</w:t>
      </w:r>
      <w:r w:rsidRPr="00AA1BC2">
        <w:rPr>
          <w:rFonts w:ascii="Calibri" w:hAnsiTheme="minorHAnsi" w:cs="Calibri"/>
        </w:rPr>
        <w:t>, 2776–2778 (2017).</w:t>
      </w:r>
    </w:p>
    <w:p w14:paraId="327A06C2" w14:textId="77777777" w:rsidR="00AA1BC2" w:rsidRPr="00AA1BC2" w:rsidRDefault="00AA1BC2" w:rsidP="00AA1BC2">
      <w:pPr>
        <w:pStyle w:val="Bibliography"/>
        <w:rPr>
          <w:rFonts w:ascii="Calibri" w:hAnsiTheme="minorHAnsi" w:cs="Calibri"/>
        </w:rPr>
      </w:pPr>
      <w:r w:rsidRPr="00AA1BC2">
        <w:rPr>
          <w:rFonts w:ascii="Calibri" w:hAnsiTheme="minorHAnsi" w:cs="Calibri"/>
        </w:rPr>
        <w:t>8.</w:t>
      </w:r>
      <w:r w:rsidRPr="00AA1BC2">
        <w:rPr>
          <w:rFonts w:ascii="Calibri" w:hAnsiTheme="minorHAnsi" w:cs="Calibri"/>
        </w:rPr>
        <w:tab/>
        <w:t xml:space="preserve">Fang, H. </w:t>
      </w:r>
      <w:r w:rsidRPr="00AA1BC2">
        <w:rPr>
          <w:rFonts w:ascii="Calibri" w:hAnsiTheme="minorHAnsi" w:cs="Calibri"/>
          <w:i/>
          <w:iCs/>
        </w:rPr>
        <w:t>et al.</w:t>
      </w:r>
      <w:r w:rsidRPr="00AA1BC2">
        <w:rPr>
          <w:rFonts w:ascii="Calibri" w:hAnsiTheme="minorHAnsi" w:cs="Calibri"/>
        </w:rPr>
        <w:t xml:space="preserve"> Harmonizing Genetic Ancestry and Self-identified Race/Ethnicity in Genome-wide Association Studies. </w:t>
      </w:r>
      <w:r w:rsidRPr="00AA1BC2">
        <w:rPr>
          <w:rFonts w:ascii="Calibri" w:hAnsiTheme="minorHAnsi" w:cs="Calibri"/>
          <w:i/>
          <w:iCs/>
        </w:rPr>
        <w:t>Am. J. Hum. Genet.</w:t>
      </w:r>
      <w:r w:rsidRPr="00AA1BC2">
        <w:rPr>
          <w:rFonts w:ascii="Calibri" w:hAnsiTheme="minorHAnsi" w:cs="Calibri"/>
        </w:rPr>
        <w:t xml:space="preserve"> </w:t>
      </w:r>
      <w:r w:rsidRPr="00AA1BC2">
        <w:rPr>
          <w:rFonts w:ascii="Calibri" w:hAnsiTheme="minorHAnsi" w:cs="Calibri"/>
          <w:b/>
          <w:bCs/>
        </w:rPr>
        <w:t>105</w:t>
      </w:r>
      <w:r w:rsidRPr="00AA1BC2">
        <w:rPr>
          <w:rFonts w:ascii="Calibri" w:hAnsiTheme="minorHAnsi" w:cs="Calibri"/>
        </w:rPr>
        <w:t>, 763–772 (2019).</w:t>
      </w:r>
    </w:p>
    <w:p w14:paraId="0E62020B" w14:textId="77777777" w:rsidR="00AA1BC2" w:rsidRPr="00AA1BC2" w:rsidRDefault="00AA1BC2" w:rsidP="00AA1BC2">
      <w:pPr>
        <w:pStyle w:val="Bibliography"/>
        <w:rPr>
          <w:rFonts w:ascii="Calibri" w:hAnsiTheme="minorHAnsi" w:cs="Calibri"/>
        </w:rPr>
      </w:pPr>
      <w:r w:rsidRPr="00AA1BC2">
        <w:rPr>
          <w:rFonts w:ascii="Calibri" w:hAnsiTheme="minorHAnsi" w:cs="Calibri"/>
        </w:rPr>
        <w:t>9.</w:t>
      </w:r>
      <w:r w:rsidRPr="00AA1BC2">
        <w:rPr>
          <w:rFonts w:ascii="Calibri" w:hAnsiTheme="minorHAnsi" w:cs="Calibri"/>
        </w:rPr>
        <w:tab/>
      </w:r>
      <w:proofErr w:type="spellStart"/>
      <w:r w:rsidRPr="00AA1BC2">
        <w:rPr>
          <w:rFonts w:ascii="Calibri" w:hAnsiTheme="minorHAnsi" w:cs="Calibri"/>
        </w:rPr>
        <w:t>Marchini</w:t>
      </w:r>
      <w:proofErr w:type="spellEnd"/>
      <w:r w:rsidRPr="00AA1BC2">
        <w:rPr>
          <w:rFonts w:ascii="Calibri" w:hAnsiTheme="minorHAnsi" w:cs="Calibri"/>
        </w:rPr>
        <w:t xml:space="preserve">, J. &amp; Howie, B. Genotype imputation for genome-wide association studies. </w:t>
      </w:r>
      <w:r w:rsidRPr="00AA1BC2">
        <w:rPr>
          <w:rFonts w:ascii="Calibri" w:hAnsiTheme="minorHAnsi" w:cs="Calibri"/>
          <w:i/>
          <w:iCs/>
        </w:rPr>
        <w:t>Nat. Rev. Genet.</w:t>
      </w:r>
      <w:r w:rsidRPr="00AA1BC2">
        <w:rPr>
          <w:rFonts w:ascii="Calibri" w:hAnsiTheme="minorHAnsi" w:cs="Calibri"/>
        </w:rPr>
        <w:t xml:space="preserve"> </w:t>
      </w:r>
      <w:r w:rsidRPr="00AA1BC2">
        <w:rPr>
          <w:rFonts w:ascii="Calibri" w:hAnsiTheme="minorHAnsi" w:cs="Calibri"/>
          <w:b/>
          <w:bCs/>
        </w:rPr>
        <w:t>11</w:t>
      </w:r>
      <w:r w:rsidRPr="00AA1BC2">
        <w:rPr>
          <w:rFonts w:ascii="Calibri" w:hAnsiTheme="minorHAnsi" w:cs="Calibri"/>
        </w:rPr>
        <w:t>, 499–511 (2010).</w:t>
      </w:r>
    </w:p>
    <w:p w14:paraId="60F510FF" w14:textId="77777777" w:rsidR="00AA1BC2" w:rsidRPr="00AA1BC2" w:rsidRDefault="00AA1BC2" w:rsidP="00AA1BC2">
      <w:pPr>
        <w:pStyle w:val="Bibliography"/>
        <w:rPr>
          <w:rFonts w:ascii="Calibri" w:hAnsiTheme="minorHAnsi" w:cs="Calibri"/>
        </w:rPr>
      </w:pPr>
      <w:r w:rsidRPr="00AA1BC2">
        <w:rPr>
          <w:rFonts w:ascii="Calibri" w:hAnsiTheme="minorHAnsi" w:cs="Calibri"/>
        </w:rPr>
        <w:lastRenderedPageBreak/>
        <w:t>10.</w:t>
      </w:r>
      <w:r w:rsidRPr="00AA1BC2">
        <w:rPr>
          <w:rFonts w:ascii="Calibri" w:hAnsiTheme="minorHAnsi" w:cs="Calibri"/>
        </w:rPr>
        <w:tab/>
        <w:t xml:space="preserve">Yang, J. </w:t>
      </w:r>
      <w:r w:rsidRPr="00AA1BC2">
        <w:rPr>
          <w:rFonts w:ascii="Calibri" w:hAnsiTheme="minorHAnsi" w:cs="Calibri"/>
          <w:i/>
          <w:iCs/>
        </w:rPr>
        <w:t>et al.</w:t>
      </w:r>
      <w:r w:rsidRPr="00AA1BC2">
        <w:rPr>
          <w:rFonts w:ascii="Calibri" w:hAnsiTheme="minorHAnsi" w:cs="Calibri"/>
        </w:rPr>
        <w:t xml:space="preserve"> Conditional and joint multiple-SNP analysis of GWAS summary statistics identifies additional variants influencing complex traits. </w:t>
      </w:r>
      <w:r w:rsidRPr="00AA1BC2">
        <w:rPr>
          <w:rFonts w:ascii="Calibri" w:hAnsiTheme="minorHAnsi" w:cs="Calibri"/>
          <w:i/>
          <w:iCs/>
        </w:rPr>
        <w:t>Nat. Genet.</w:t>
      </w:r>
      <w:r w:rsidRPr="00AA1BC2">
        <w:rPr>
          <w:rFonts w:ascii="Calibri" w:hAnsiTheme="minorHAnsi" w:cs="Calibri"/>
        </w:rPr>
        <w:t xml:space="preserve"> </w:t>
      </w:r>
      <w:r w:rsidRPr="00AA1BC2">
        <w:rPr>
          <w:rFonts w:ascii="Calibri" w:hAnsiTheme="minorHAnsi" w:cs="Calibri"/>
          <w:b/>
          <w:bCs/>
        </w:rPr>
        <w:t>44</w:t>
      </w:r>
      <w:r w:rsidRPr="00AA1BC2">
        <w:rPr>
          <w:rFonts w:ascii="Calibri" w:hAnsiTheme="minorHAnsi" w:cs="Calibri"/>
        </w:rPr>
        <w:t>, 369–375 (2012).</w:t>
      </w:r>
    </w:p>
    <w:p w14:paraId="3499FEE6" w14:textId="77777777" w:rsidR="00AA1BC2" w:rsidRPr="00AA1BC2" w:rsidRDefault="00AA1BC2" w:rsidP="00AA1BC2">
      <w:pPr>
        <w:pStyle w:val="Bibliography"/>
        <w:rPr>
          <w:rFonts w:ascii="Calibri" w:hAnsiTheme="minorHAnsi" w:cs="Calibri"/>
        </w:rPr>
      </w:pPr>
      <w:r w:rsidRPr="00AA1BC2">
        <w:rPr>
          <w:rFonts w:ascii="Calibri" w:hAnsiTheme="minorHAnsi" w:cs="Calibri"/>
        </w:rPr>
        <w:t>11.</w:t>
      </w:r>
      <w:r w:rsidRPr="00AA1BC2">
        <w:rPr>
          <w:rFonts w:ascii="Calibri" w:hAnsiTheme="minorHAnsi" w:cs="Calibri"/>
        </w:rPr>
        <w:tab/>
      </w:r>
      <w:proofErr w:type="spellStart"/>
      <w:r w:rsidRPr="00AA1BC2">
        <w:rPr>
          <w:rFonts w:ascii="Calibri" w:hAnsiTheme="minorHAnsi" w:cs="Calibri"/>
        </w:rPr>
        <w:t>Altshuler</w:t>
      </w:r>
      <w:proofErr w:type="spellEnd"/>
      <w:r w:rsidRPr="00AA1BC2">
        <w:rPr>
          <w:rFonts w:ascii="Calibri" w:hAnsiTheme="minorHAnsi" w:cs="Calibri"/>
        </w:rPr>
        <w:t xml:space="preserve">, D. M. </w:t>
      </w:r>
      <w:r w:rsidRPr="00AA1BC2">
        <w:rPr>
          <w:rFonts w:ascii="Calibri" w:hAnsiTheme="minorHAnsi" w:cs="Calibri"/>
          <w:i/>
          <w:iCs/>
        </w:rPr>
        <w:t>et al.</w:t>
      </w:r>
      <w:r w:rsidRPr="00AA1BC2">
        <w:rPr>
          <w:rFonts w:ascii="Calibri" w:hAnsiTheme="minorHAnsi" w:cs="Calibri"/>
        </w:rPr>
        <w:t xml:space="preserve"> Integrating common and rare genetic variation in diverse human populations. </w:t>
      </w:r>
      <w:r w:rsidRPr="00AA1BC2">
        <w:rPr>
          <w:rFonts w:ascii="Calibri" w:hAnsiTheme="minorHAnsi" w:cs="Calibri"/>
          <w:i/>
          <w:iCs/>
        </w:rPr>
        <w:t>Nature</w:t>
      </w:r>
      <w:r w:rsidRPr="00AA1BC2">
        <w:rPr>
          <w:rFonts w:ascii="Calibri" w:hAnsiTheme="minorHAnsi" w:cs="Calibri"/>
        </w:rPr>
        <w:t xml:space="preserve"> </w:t>
      </w:r>
      <w:r w:rsidRPr="00AA1BC2">
        <w:rPr>
          <w:rFonts w:ascii="Calibri" w:hAnsiTheme="minorHAnsi" w:cs="Calibri"/>
          <w:b/>
          <w:bCs/>
        </w:rPr>
        <w:t>467</w:t>
      </w:r>
      <w:r w:rsidRPr="00AA1BC2">
        <w:rPr>
          <w:rFonts w:ascii="Calibri" w:hAnsiTheme="minorHAnsi" w:cs="Calibri"/>
        </w:rPr>
        <w:t>, 52–58 (2010).</w:t>
      </w:r>
    </w:p>
    <w:p w14:paraId="12D4857D" w14:textId="77777777" w:rsidR="00AA1BC2" w:rsidRPr="00AA1BC2" w:rsidRDefault="00AA1BC2" w:rsidP="00AA1BC2">
      <w:pPr>
        <w:pStyle w:val="Bibliography"/>
        <w:rPr>
          <w:rFonts w:ascii="Calibri" w:hAnsiTheme="minorHAnsi" w:cs="Calibri"/>
        </w:rPr>
      </w:pPr>
      <w:r w:rsidRPr="00AA1BC2">
        <w:rPr>
          <w:rFonts w:ascii="Calibri" w:hAnsiTheme="minorHAnsi" w:cs="Calibri"/>
        </w:rPr>
        <w:t>12.</w:t>
      </w:r>
      <w:r w:rsidRPr="00AA1BC2">
        <w:rPr>
          <w:rFonts w:ascii="Calibri" w:hAnsiTheme="minorHAnsi" w:cs="Calibri"/>
        </w:rPr>
        <w:tab/>
        <w:t xml:space="preserve">Brown, B. C., Asian Genetic Epidemiology Network Type 2 Diabetes Consortium, Ye, C. J., Price, A. L. &amp; </w:t>
      </w:r>
      <w:proofErr w:type="spellStart"/>
      <w:r w:rsidRPr="00AA1BC2">
        <w:rPr>
          <w:rFonts w:ascii="Calibri" w:hAnsiTheme="minorHAnsi" w:cs="Calibri"/>
        </w:rPr>
        <w:t>Zaitlen</w:t>
      </w:r>
      <w:proofErr w:type="spellEnd"/>
      <w:r w:rsidRPr="00AA1BC2">
        <w:rPr>
          <w:rFonts w:ascii="Calibri" w:hAnsiTheme="minorHAnsi" w:cs="Calibri"/>
        </w:rPr>
        <w:t xml:space="preserve">, N. Transethnic Genetic-Correlation Estimates from Summary Statistics. </w:t>
      </w:r>
      <w:r w:rsidRPr="00AA1BC2">
        <w:rPr>
          <w:rFonts w:ascii="Calibri" w:hAnsiTheme="minorHAnsi" w:cs="Calibri"/>
          <w:i/>
          <w:iCs/>
        </w:rPr>
        <w:t>Am. J. Hum. Genet.</w:t>
      </w:r>
      <w:r w:rsidRPr="00AA1BC2">
        <w:rPr>
          <w:rFonts w:ascii="Calibri" w:hAnsiTheme="minorHAnsi" w:cs="Calibri"/>
        </w:rPr>
        <w:t xml:space="preserve"> </w:t>
      </w:r>
      <w:r w:rsidRPr="00AA1BC2">
        <w:rPr>
          <w:rFonts w:ascii="Calibri" w:hAnsiTheme="minorHAnsi" w:cs="Calibri"/>
          <w:b/>
          <w:bCs/>
        </w:rPr>
        <w:t>99</w:t>
      </w:r>
      <w:r w:rsidRPr="00AA1BC2">
        <w:rPr>
          <w:rFonts w:ascii="Calibri" w:hAnsiTheme="minorHAnsi" w:cs="Calibri"/>
        </w:rPr>
        <w:t>, 76–88 (2016).</w:t>
      </w:r>
    </w:p>
    <w:p w14:paraId="7E11CE45" w14:textId="77777777" w:rsidR="00AA1BC2" w:rsidRPr="00AA1BC2" w:rsidRDefault="00AA1BC2" w:rsidP="00AA1BC2">
      <w:pPr>
        <w:pStyle w:val="Bibliography"/>
        <w:rPr>
          <w:rFonts w:ascii="Calibri" w:hAnsiTheme="minorHAnsi" w:cs="Calibri"/>
        </w:rPr>
      </w:pPr>
      <w:r w:rsidRPr="00AA1BC2">
        <w:rPr>
          <w:rFonts w:ascii="Calibri" w:hAnsiTheme="minorHAnsi" w:cs="Calibri"/>
        </w:rPr>
        <w:t>13.</w:t>
      </w:r>
      <w:r w:rsidRPr="00AA1BC2">
        <w:rPr>
          <w:rFonts w:ascii="Calibri" w:hAnsiTheme="minorHAnsi" w:cs="Calibri"/>
        </w:rPr>
        <w:tab/>
        <w:t xml:space="preserve">Zheng, J. </w:t>
      </w:r>
      <w:r w:rsidRPr="00AA1BC2">
        <w:rPr>
          <w:rFonts w:ascii="Calibri" w:hAnsiTheme="minorHAnsi" w:cs="Calibri"/>
          <w:i/>
          <w:iCs/>
        </w:rPr>
        <w:t>et al.</w:t>
      </w:r>
      <w:r w:rsidRPr="00AA1BC2">
        <w:rPr>
          <w:rFonts w:ascii="Calibri" w:hAnsiTheme="minorHAnsi" w:cs="Calibri"/>
        </w:rPr>
        <w:t xml:space="preserve"> LD Hub: a centralized database and web interface to perform LD score regression that maximizes the potential of summary level GWAS data for SNP heritability and genetic correlation analysis. </w:t>
      </w:r>
      <w:r w:rsidRPr="00AA1BC2">
        <w:rPr>
          <w:rFonts w:ascii="Calibri" w:hAnsiTheme="minorHAnsi" w:cs="Calibri"/>
          <w:i/>
          <w:iCs/>
        </w:rPr>
        <w:t>Bioinformatics</w:t>
      </w:r>
      <w:r w:rsidRPr="00AA1BC2">
        <w:rPr>
          <w:rFonts w:ascii="Calibri" w:hAnsiTheme="minorHAnsi" w:cs="Calibri"/>
        </w:rPr>
        <w:t xml:space="preserve"> </w:t>
      </w:r>
      <w:r w:rsidRPr="00AA1BC2">
        <w:rPr>
          <w:rFonts w:ascii="Calibri" w:hAnsiTheme="minorHAnsi" w:cs="Calibri"/>
          <w:b/>
          <w:bCs/>
        </w:rPr>
        <w:t>33</w:t>
      </w:r>
      <w:r w:rsidRPr="00AA1BC2">
        <w:rPr>
          <w:rFonts w:ascii="Calibri" w:hAnsiTheme="minorHAnsi" w:cs="Calibri"/>
        </w:rPr>
        <w:t>, 272–279 (2017).</w:t>
      </w:r>
    </w:p>
    <w:p w14:paraId="47B2090C" w14:textId="3A9B3843" w:rsidR="007D0ECA" w:rsidRPr="007D0ECA" w:rsidRDefault="00B659C8" w:rsidP="007D0ECA">
      <w:pPr>
        <w:spacing w:line="480" w:lineRule="auto"/>
        <w:jc w:val="both"/>
        <w:rPr>
          <w:rFonts w:asciiTheme="minorHAnsi" w:hAnsiTheme="minorHAnsi" w:cstheme="minorHAnsi"/>
          <w:lang w:val="en-GB"/>
        </w:rPr>
      </w:pPr>
      <w:r>
        <w:rPr>
          <w:rFonts w:asciiTheme="minorHAnsi" w:hAnsiTheme="minorHAnsi" w:cstheme="minorHAnsi"/>
          <w:lang w:val="en-GB"/>
        </w:rPr>
        <w:fldChar w:fldCharType="end"/>
      </w:r>
    </w:p>
    <w:p w14:paraId="5D0158A0" w14:textId="17B1CBAB" w:rsidR="007D0ECA" w:rsidRDefault="007D0ECA" w:rsidP="007D0ECA">
      <w:pPr>
        <w:spacing w:line="480" w:lineRule="auto"/>
        <w:jc w:val="both"/>
        <w:rPr>
          <w:rFonts w:asciiTheme="minorHAnsi" w:hAnsiTheme="minorHAnsi" w:cstheme="minorHAnsi"/>
          <w:bCs/>
          <w:iCs/>
        </w:rPr>
      </w:pPr>
    </w:p>
    <w:p w14:paraId="0C010D29" w14:textId="1EE58F91" w:rsidR="00D61B84" w:rsidRPr="007D0ECA" w:rsidRDefault="00D61B84">
      <w:pPr>
        <w:rPr>
          <w:lang w:val="en-GB"/>
        </w:rPr>
      </w:pPr>
    </w:p>
    <w:sectPr w:rsidR="00D61B84" w:rsidRPr="007D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CA"/>
    <w:rsid w:val="00484A9F"/>
    <w:rsid w:val="005B4A26"/>
    <w:rsid w:val="00754738"/>
    <w:rsid w:val="007D0ECA"/>
    <w:rsid w:val="00AA1BC2"/>
    <w:rsid w:val="00B659C8"/>
    <w:rsid w:val="00BF48A4"/>
    <w:rsid w:val="00C90BD9"/>
    <w:rsid w:val="00D6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456A9"/>
  <w15:chartTrackingRefBased/>
  <w15:docId w15:val="{D358EA03-E9FF-A443-8A6C-C76F8359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659C8"/>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8528</Words>
  <Characters>48612</Characters>
  <Application>Microsoft Office Word</Application>
  <DocSecurity>0</DocSecurity>
  <Lines>405</Lines>
  <Paragraphs>114</Paragraphs>
  <ScaleCrop>false</ScaleCrop>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Kember, Rachel</dc:creator>
  <cp:keywords/>
  <dc:description/>
  <cp:lastModifiedBy>Kember, Rachel</cp:lastModifiedBy>
  <cp:revision>9</cp:revision>
  <dcterms:created xsi:type="dcterms:W3CDTF">2021-08-13T21:59:00Z</dcterms:created>
  <dcterms:modified xsi:type="dcterms:W3CDTF">2021-08-13T23:33:00Z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id="DlT80a26"/&gt;&lt;style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