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731B" w14:textId="77777777" w:rsidR="005E3FA3" w:rsidRPr="005C296D" w:rsidRDefault="005E3FA3" w:rsidP="005E3FA3">
      <w:pPr>
        <w:rPr>
          <w:rFonts w:ascii="Arial" w:hAnsi="Arial" w:cs="Arial"/>
          <w:b/>
          <w:bCs/>
          <w:u w:val="single"/>
        </w:rPr>
      </w:pPr>
      <w:r w:rsidRPr="005C296D">
        <w:rPr>
          <w:rFonts w:ascii="Arial" w:hAnsi="Arial" w:cs="Arial"/>
          <w:b/>
          <w:bCs/>
          <w:u w:val="single"/>
        </w:rPr>
        <w:t xml:space="preserve">Additional file </w:t>
      </w:r>
      <w:r>
        <w:rPr>
          <w:rFonts w:ascii="Arial" w:hAnsi="Arial" w:cs="Arial"/>
          <w:b/>
          <w:bCs/>
          <w:u w:val="single"/>
        </w:rPr>
        <w:t>4</w:t>
      </w:r>
    </w:p>
    <w:p w14:paraId="0109A635" w14:textId="77777777" w:rsidR="005E3FA3" w:rsidRDefault="005E3FA3" w:rsidP="005E3FA3">
      <w:pPr>
        <w:rPr>
          <w:rFonts w:ascii="Arial" w:hAnsi="Arial" w:cs="Arial"/>
          <w:b/>
          <w:bCs/>
        </w:rPr>
      </w:pPr>
    </w:p>
    <w:p w14:paraId="6A39F919" w14:textId="77777777" w:rsidR="005E3FA3" w:rsidRPr="005C296D" w:rsidRDefault="005E3FA3" w:rsidP="005E3FA3">
      <w:pPr>
        <w:rPr>
          <w:rFonts w:ascii="Arial" w:hAnsi="Arial" w:cs="Arial"/>
          <w:b/>
          <w:bCs/>
        </w:rPr>
      </w:pPr>
      <w:r w:rsidRPr="005C296D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etails of</w:t>
      </w:r>
      <w:r w:rsidRPr="005C296D">
        <w:rPr>
          <w:rFonts w:ascii="Arial" w:hAnsi="Arial" w:cs="Arial"/>
          <w:b/>
          <w:bCs/>
        </w:rPr>
        <w:t xml:space="preserve"> ‘</w:t>
      </w:r>
      <w:proofErr w:type="spellStart"/>
      <w:r w:rsidRPr="005C296D">
        <w:rPr>
          <w:rFonts w:ascii="Arial" w:hAnsi="Arial" w:cs="Arial"/>
          <w:b/>
          <w:bCs/>
        </w:rPr>
        <w:t>Polymod</w:t>
      </w:r>
      <w:proofErr w:type="spellEnd"/>
      <w:r w:rsidRPr="005C296D">
        <w:rPr>
          <w:rFonts w:ascii="Arial" w:hAnsi="Arial" w:cs="Arial"/>
          <w:b/>
          <w:bCs/>
        </w:rPr>
        <w:t xml:space="preserve">’ and ‘Comix’ contact matrices </w:t>
      </w:r>
    </w:p>
    <w:p w14:paraId="4D16169D" w14:textId="77777777" w:rsidR="005E3FA3" w:rsidRDefault="005E3FA3" w:rsidP="005E3FA3">
      <w:pPr>
        <w:rPr>
          <w:rFonts w:ascii="Arial" w:hAnsi="Arial" w:cs="Arial"/>
          <w:b/>
          <w:bCs/>
        </w:rPr>
      </w:pPr>
    </w:p>
    <w:p w14:paraId="636E64DE" w14:textId="66AD6A24" w:rsidR="005E3FA3" w:rsidRPr="002B3367" w:rsidRDefault="005E3FA3" w:rsidP="005E3FA3">
      <w:pPr>
        <w:rPr>
          <w:rFonts w:ascii="Arial" w:hAnsi="Arial" w:cs="Arial"/>
        </w:rPr>
      </w:pPr>
      <w:r w:rsidRPr="002B3367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dates provided here are the corresponding dates used in Jarvis et al [2]. </w:t>
      </w:r>
    </w:p>
    <w:p w14:paraId="1D207EB4" w14:textId="77777777" w:rsidR="005E3FA3" w:rsidRDefault="005E3FA3" w:rsidP="005E3FA3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3"/>
        <w:gridCol w:w="2791"/>
        <w:gridCol w:w="2656"/>
        <w:gridCol w:w="2100"/>
      </w:tblGrid>
      <w:tr w:rsidR="005E3FA3" w:rsidRPr="00B9423B" w14:paraId="52FED0C6" w14:textId="77777777" w:rsidTr="00AE4DFD">
        <w:tc>
          <w:tcPr>
            <w:tcW w:w="1463" w:type="dxa"/>
          </w:tcPr>
          <w:p w14:paraId="02A98202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23B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791" w:type="dxa"/>
          </w:tcPr>
          <w:p w14:paraId="3BED2632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23B">
              <w:rPr>
                <w:rFonts w:ascii="Arial" w:hAnsi="Arial" w:cs="Arial"/>
                <w:b/>
                <w:bCs/>
                <w:sz w:val="20"/>
                <w:szCs w:val="20"/>
              </w:rPr>
              <w:t>Corresponding matrix</w:t>
            </w:r>
          </w:p>
        </w:tc>
        <w:tc>
          <w:tcPr>
            <w:tcW w:w="2656" w:type="dxa"/>
          </w:tcPr>
          <w:p w14:paraId="13DF3119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23B">
              <w:rPr>
                <w:rFonts w:ascii="Arial" w:hAnsi="Arial" w:cs="Arial"/>
                <w:b/>
                <w:bCs/>
                <w:sz w:val="20"/>
                <w:szCs w:val="20"/>
              </w:rPr>
              <w:t>Average number of contacts (unweighted)</w:t>
            </w:r>
          </w:p>
        </w:tc>
        <w:tc>
          <w:tcPr>
            <w:tcW w:w="2100" w:type="dxa"/>
          </w:tcPr>
          <w:p w14:paraId="746B49E5" w14:textId="77777777" w:rsidR="005E3FA3" w:rsidRPr="00A060FB" w:rsidRDefault="005E3FA3" w:rsidP="00AE4DFD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Estimate of R</w:t>
            </w:r>
            <w:r w:rsidRPr="00A060FB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5E3FA3" w:rsidRPr="00B9423B" w14:paraId="006B0288" w14:textId="77777777" w:rsidTr="00AE4DFD">
        <w:tc>
          <w:tcPr>
            <w:tcW w:w="1463" w:type="dxa"/>
          </w:tcPr>
          <w:p w14:paraId="149C1C11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9423B">
              <w:rPr>
                <w:rFonts w:ascii="Arial" w:hAnsi="Arial" w:cs="Arial"/>
                <w:sz w:val="20"/>
                <w:szCs w:val="20"/>
              </w:rPr>
              <w:t>01/01/2020</w:t>
            </w:r>
          </w:p>
        </w:tc>
        <w:tc>
          <w:tcPr>
            <w:tcW w:w="2791" w:type="dxa"/>
          </w:tcPr>
          <w:p w14:paraId="43ED6D60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9423B">
              <w:rPr>
                <w:rFonts w:ascii="Arial" w:hAnsi="Arial" w:cs="Arial"/>
                <w:sz w:val="20"/>
                <w:szCs w:val="20"/>
              </w:rPr>
              <w:t xml:space="preserve">0. </w:t>
            </w:r>
            <w:proofErr w:type="spellStart"/>
            <w:r w:rsidRPr="00B9423B">
              <w:rPr>
                <w:rFonts w:ascii="Arial" w:hAnsi="Arial" w:cs="Arial"/>
                <w:sz w:val="20"/>
                <w:szCs w:val="20"/>
              </w:rPr>
              <w:t>Polym</w:t>
            </w:r>
            <w:proofErr w:type="spellEnd"/>
          </w:p>
        </w:tc>
        <w:tc>
          <w:tcPr>
            <w:tcW w:w="2656" w:type="dxa"/>
          </w:tcPr>
          <w:p w14:paraId="0689D45F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9423B">
              <w:rPr>
                <w:rFonts w:ascii="Arial" w:hAnsi="Arial" w:cs="Arial"/>
                <w:sz w:val="20"/>
                <w:szCs w:val="20"/>
              </w:rPr>
              <w:t>11.12</w:t>
            </w:r>
          </w:p>
        </w:tc>
        <w:tc>
          <w:tcPr>
            <w:tcW w:w="2100" w:type="dxa"/>
          </w:tcPr>
          <w:p w14:paraId="70A4E17A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1.81</w:t>
            </w:r>
          </w:p>
        </w:tc>
      </w:tr>
      <w:tr w:rsidR="005E3FA3" w:rsidRPr="00B9423B" w14:paraId="75715B62" w14:textId="77777777" w:rsidTr="00AE4DFD">
        <w:tc>
          <w:tcPr>
            <w:tcW w:w="1463" w:type="dxa"/>
          </w:tcPr>
          <w:p w14:paraId="244CBC9A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9423B">
              <w:rPr>
                <w:rFonts w:ascii="Arial" w:hAnsi="Arial" w:cs="Arial"/>
                <w:sz w:val="20"/>
                <w:szCs w:val="20"/>
              </w:rPr>
              <w:t>23/03/2020</w:t>
            </w:r>
          </w:p>
        </w:tc>
        <w:tc>
          <w:tcPr>
            <w:tcW w:w="2791" w:type="dxa"/>
          </w:tcPr>
          <w:p w14:paraId="2EEC2555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9423B">
              <w:rPr>
                <w:rFonts w:ascii="Arial" w:hAnsi="Arial" w:cs="Arial"/>
                <w:sz w:val="20"/>
                <w:szCs w:val="20"/>
              </w:rPr>
              <w:t>1. Lockdown 1</w:t>
            </w:r>
          </w:p>
        </w:tc>
        <w:tc>
          <w:tcPr>
            <w:tcW w:w="2656" w:type="dxa"/>
          </w:tcPr>
          <w:p w14:paraId="3460F480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9423B">
              <w:rPr>
                <w:rFonts w:ascii="Arial" w:hAnsi="Arial" w:cs="Arial"/>
                <w:sz w:val="20"/>
                <w:szCs w:val="20"/>
              </w:rPr>
              <w:t>3.23</w:t>
            </w:r>
          </w:p>
        </w:tc>
        <w:tc>
          <w:tcPr>
            <w:tcW w:w="2100" w:type="dxa"/>
          </w:tcPr>
          <w:p w14:paraId="0690A0B1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</w:tr>
      <w:tr w:rsidR="005E3FA3" w:rsidRPr="00B9423B" w14:paraId="37B8FCD3" w14:textId="77777777" w:rsidTr="00AE4DFD">
        <w:tc>
          <w:tcPr>
            <w:tcW w:w="1463" w:type="dxa"/>
          </w:tcPr>
          <w:p w14:paraId="18CBC630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23B">
              <w:rPr>
                <w:rFonts w:ascii="Arial" w:hAnsi="Arial" w:cs="Arial"/>
                <w:sz w:val="20"/>
                <w:szCs w:val="20"/>
              </w:rPr>
              <w:t>04/06/2020</w:t>
            </w:r>
          </w:p>
        </w:tc>
        <w:tc>
          <w:tcPr>
            <w:tcW w:w="2791" w:type="dxa"/>
          </w:tcPr>
          <w:p w14:paraId="5C7ED9CE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9423B">
              <w:rPr>
                <w:rFonts w:ascii="Arial" w:hAnsi="Arial" w:cs="Arial"/>
                <w:sz w:val="20"/>
                <w:szCs w:val="20"/>
              </w:rPr>
              <w:t>2. Lockdown 1 easing</w:t>
            </w:r>
          </w:p>
        </w:tc>
        <w:tc>
          <w:tcPr>
            <w:tcW w:w="2656" w:type="dxa"/>
          </w:tcPr>
          <w:p w14:paraId="0976A0C9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9423B">
              <w:rPr>
                <w:rFonts w:ascii="Arial" w:hAnsi="Arial" w:cs="Arial"/>
                <w:sz w:val="20"/>
                <w:szCs w:val="20"/>
              </w:rPr>
              <w:t>3.96</w:t>
            </w:r>
          </w:p>
        </w:tc>
        <w:tc>
          <w:tcPr>
            <w:tcW w:w="2100" w:type="dxa"/>
          </w:tcPr>
          <w:p w14:paraId="2702F68B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</w:tr>
      <w:tr w:rsidR="005E3FA3" w:rsidRPr="00B9423B" w14:paraId="06824EDD" w14:textId="77777777" w:rsidTr="00AE4DFD">
        <w:tc>
          <w:tcPr>
            <w:tcW w:w="1463" w:type="dxa"/>
          </w:tcPr>
          <w:p w14:paraId="4EC80BAF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23B">
              <w:rPr>
                <w:rFonts w:ascii="Arial" w:hAnsi="Arial" w:cs="Arial"/>
                <w:sz w:val="20"/>
                <w:szCs w:val="20"/>
              </w:rPr>
              <w:t>30/07/2020</w:t>
            </w:r>
          </w:p>
        </w:tc>
        <w:tc>
          <w:tcPr>
            <w:tcW w:w="2791" w:type="dxa"/>
          </w:tcPr>
          <w:p w14:paraId="6B751B07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9423B">
              <w:rPr>
                <w:rFonts w:ascii="Arial" w:hAnsi="Arial" w:cs="Arial"/>
                <w:sz w:val="20"/>
                <w:szCs w:val="20"/>
              </w:rPr>
              <w:t>3. Relaxed restrictions</w:t>
            </w:r>
          </w:p>
        </w:tc>
        <w:tc>
          <w:tcPr>
            <w:tcW w:w="2656" w:type="dxa"/>
          </w:tcPr>
          <w:p w14:paraId="069ACF50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9423B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2100" w:type="dxa"/>
          </w:tcPr>
          <w:p w14:paraId="7C0FD599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</w:tr>
      <w:tr w:rsidR="005E3FA3" w:rsidRPr="00B9423B" w14:paraId="73DEC3FE" w14:textId="77777777" w:rsidTr="00AE4DFD">
        <w:tc>
          <w:tcPr>
            <w:tcW w:w="1463" w:type="dxa"/>
          </w:tcPr>
          <w:p w14:paraId="50182690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23B">
              <w:rPr>
                <w:rFonts w:ascii="Arial" w:hAnsi="Arial" w:cs="Arial"/>
                <w:sz w:val="20"/>
                <w:szCs w:val="20"/>
              </w:rPr>
              <w:t>04/09/2020</w:t>
            </w:r>
          </w:p>
        </w:tc>
        <w:tc>
          <w:tcPr>
            <w:tcW w:w="2791" w:type="dxa"/>
          </w:tcPr>
          <w:p w14:paraId="498C3795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9423B">
              <w:rPr>
                <w:rFonts w:ascii="Arial" w:hAnsi="Arial" w:cs="Arial"/>
                <w:sz w:val="20"/>
                <w:szCs w:val="20"/>
              </w:rPr>
              <w:t>4. School reopening</w:t>
            </w:r>
          </w:p>
        </w:tc>
        <w:tc>
          <w:tcPr>
            <w:tcW w:w="2656" w:type="dxa"/>
          </w:tcPr>
          <w:p w14:paraId="233D1DBB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9423B">
              <w:rPr>
                <w:rFonts w:ascii="Arial" w:hAnsi="Arial" w:cs="Arial"/>
                <w:sz w:val="20"/>
                <w:szCs w:val="20"/>
              </w:rPr>
              <w:t>7.79</w:t>
            </w:r>
          </w:p>
        </w:tc>
        <w:tc>
          <w:tcPr>
            <w:tcW w:w="2100" w:type="dxa"/>
          </w:tcPr>
          <w:p w14:paraId="7AAA5729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1.29</w:t>
            </w:r>
          </w:p>
        </w:tc>
      </w:tr>
      <w:tr w:rsidR="005E3FA3" w:rsidRPr="00B9423B" w14:paraId="605CA698" w14:textId="77777777" w:rsidTr="00AE4DFD">
        <w:tc>
          <w:tcPr>
            <w:tcW w:w="1463" w:type="dxa"/>
          </w:tcPr>
          <w:p w14:paraId="4411CA1B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23B">
              <w:rPr>
                <w:rFonts w:ascii="Arial" w:hAnsi="Arial" w:cs="Arial"/>
                <w:sz w:val="20"/>
                <w:szCs w:val="20"/>
              </w:rPr>
              <w:t>05/11/2020</w:t>
            </w:r>
          </w:p>
        </w:tc>
        <w:tc>
          <w:tcPr>
            <w:tcW w:w="2791" w:type="dxa"/>
          </w:tcPr>
          <w:p w14:paraId="798337C2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9423B">
              <w:rPr>
                <w:rFonts w:ascii="Arial" w:hAnsi="Arial" w:cs="Arial"/>
                <w:sz w:val="20"/>
                <w:szCs w:val="20"/>
              </w:rPr>
              <w:t>5. Lockdown 2</w:t>
            </w:r>
          </w:p>
        </w:tc>
        <w:tc>
          <w:tcPr>
            <w:tcW w:w="2656" w:type="dxa"/>
          </w:tcPr>
          <w:p w14:paraId="39FF1865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9423B">
              <w:rPr>
                <w:rFonts w:ascii="Arial" w:hAnsi="Arial" w:cs="Arial"/>
                <w:sz w:val="20"/>
                <w:szCs w:val="20"/>
              </w:rPr>
              <w:t>5.87</w:t>
            </w:r>
          </w:p>
        </w:tc>
        <w:tc>
          <w:tcPr>
            <w:tcW w:w="2100" w:type="dxa"/>
          </w:tcPr>
          <w:p w14:paraId="0A57AB8B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</w:tr>
      <w:tr w:rsidR="005E3FA3" w:rsidRPr="00B9423B" w14:paraId="6A0016FD" w14:textId="77777777" w:rsidTr="00AE4DFD">
        <w:tc>
          <w:tcPr>
            <w:tcW w:w="1463" w:type="dxa"/>
          </w:tcPr>
          <w:p w14:paraId="5D7010C6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23B">
              <w:rPr>
                <w:rFonts w:ascii="Arial" w:hAnsi="Arial" w:cs="Arial"/>
                <w:sz w:val="20"/>
                <w:szCs w:val="20"/>
              </w:rPr>
              <w:t>03/12/2020</w:t>
            </w:r>
          </w:p>
        </w:tc>
        <w:tc>
          <w:tcPr>
            <w:tcW w:w="2791" w:type="dxa"/>
          </w:tcPr>
          <w:p w14:paraId="2F4069ED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9423B">
              <w:rPr>
                <w:rFonts w:ascii="Arial" w:hAnsi="Arial" w:cs="Arial"/>
                <w:sz w:val="20"/>
                <w:szCs w:val="20"/>
              </w:rPr>
              <w:t>6. Lockdown 2 easing</w:t>
            </w:r>
          </w:p>
        </w:tc>
        <w:tc>
          <w:tcPr>
            <w:tcW w:w="2656" w:type="dxa"/>
          </w:tcPr>
          <w:p w14:paraId="552C7573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9423B">
              <w:rPr>
                <w:rFonts w:ascii="Arial" w:hAnsi="Arial" w:cs="Arial"/>
                <w:sz w:val="20"/>
                <w:szCs w:val="20"/>
              </w:rPr>
              <w:t>6.61</w:t>
            </w:r>
          </w:p>
        </w:tc>
        <w:tc>
          <w:tcPr>
            <w:tcW w:w="2100" w:type="dxa"/>
          </w:tcPr>
          <w:p w14:paraId="25A29A24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1.07</w:t>
            </w:r>
          </w:p>
        </w:tc>
      </w:tr>
      <w:tr w:rsidR="005E3FA3" w:rsidRPr="00B9423B" w14:paraId="33F96503" w14:textId="77777777" w:rsidTr="00AE4DFD">
        <w:tc>
          <w:tcPr>
            <w:tcW w:w="1463" w:type="dxa"/>
          </w:tcPr>
          <w:p w14:paraId="207EE5CB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9423B">
              <w:rPr>
                <w:rFonts w:ascii="Arial" w:hAnsi="Arial" w:cs="Arial"/>
                <w:sz w:val="20"/>
                <w:szCs w:val="20"/>
              </w:rPr>
              <w:t>20/12/2020</w:t>
            </w:r>
          </w:p>
        </w:tc>
        <w:tc>
          <w:tcPr>
            <w:tcW w:w="2791" w:type="dxa"/>
          </w:tcPr>
          <w:p w14:paraId="3F425637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9423B">
              <w:rPr>
                <w:rFonts w:ascii="Arial" w:hAnsi="Arial" w:cs="Arial"/>
                <w:sz w:val="20"/>
                <w:szCs w:val="20"/>
              </w:rPr>
              <w:t>7. Christmas</w:t>
            </w:r>
          </w:p>
        </w:tc>
        <w:tc>
          <w:tcPr>
            <w:tcW w:w="2656" w:type="dxa"/>
          </w:tcPr>
          <w:p w14:paraId="6EF26208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9423B">
              <w:rPr>
                <w:rFonts w:ascii="Arial" w:hAnsi="Arial" w:cs="Arial"/>
                <w:sz w:val="20"/>
                <w:szCs w:val="20"/>
              </w:rPr>
              <w:t>3.51</w:t>
            </w:r>
          </w:p>
        </w:tc>
        <w:tc>
          <w:tcPr>
            <w:tcW w:w="2100" w:type="dxa"/>
          </w:tcPr>
          <w:p w14:paraId="63A7B5E1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</w:tr>
      <w:tr w:rsidR="005E3FA3" w:rsidRPr="00B9423B" w14:paraId="5C679F30" w14:textId="77777777" w:rsidTr="00AE4DFD">
        <w:tc>
          <w:tcPr>
            <w:tcW w:w="1463" w:type="dxa"/>
          </w:tcPr>
          <w:p w14:paraId="01A4E9A1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23B">
              <w:rPr>
                <w:rFonts w:ascii="Arial" w:hAnsi="Arial" w:cs="Arial"/>
                <w:sz w:val="20"/>
                <w:szCs w:val="20"/>
              </w:rPr>
              <w:t>05/01/2021</w:t>
            </w:r>
          </w:p>
        </w:tc>
        <w:tc>
          <w:tcPr>
            <w:tcW w:w="2791" w:type="dxa"/>
          </w:tcPr>
          <w:p w14:paraId="2EA3682E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9423B">
              <w:rPr>
                <w:rFonts w:ascii="Arial" w:hAnsi="Arial" w:cs="Arial"/>
                <w:sz w:val="20"/>
                <w:szCs w:val="20"/>
              </w:rPr>
              <w:t xml:space="preserve">8. Lockdown 3     </w:t>
            </w:r>
          </w:p>
        </w:tc>
        <w:tc>
          <w:tcPr>
            <w:tcW w:w="2656" w:type="dxa"/>
          </w:tcPr>
          <w:p w14:paraId="4DE08A5F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9423B">
              <w:rPr>
                <w:rFonts w:ascii="Arial" w:hAnsi="Arial" w:cs="Arial"/>
                <w:sz w:val="20"/>
                <w:szCs w:val="20"/>
              </w:rPr>
              <w:t>3.47</w:t>
            </w:r>
          </w:p>
        </w:tc>
        <w:tc>
          <w:tcPr>
            <w:tcW w:w="2100" w:type="dxa"/>
          </w:tcPr>
          <w:p w14:paraId="3A2945CD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</w:tr>
      <w:tr w:rsidR="005E3FA3" w:rsidRPr="00B9423B" w14:paraId="47A48636" w14:textId="77777777" w:rsidTr="00AE4DFD">
        <w:tc>
          <w:tcPr>
            <w:tcW w:w="1463" w:type="dxa"/>
          </w:tcPr>
          <w:p w14:paraId="0E52ECDA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23B">
              <w:rPr>
                <w:rFonts w:ascii="Arial" w:hAnsi="Arial" w:cs="Arial"/>
                <w:sz w:val="20"/>
                <w:szCs w:val="20"/>
              </w:rPr>
              <w:t>09/03/2021</w:t>
            </w:r>
          </w:p>
        </w:tc>
        <w:tc>
          <w:tcPr>
            <w:tcW w:w="2791" w:type="dxa"/>
          </w:tcPr>
          <w:p w14:paraId="1E5516B4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9423B">
              <w:rPr>
                <w:rFonts w:ascii="Arial" w:hAnsi="Arial" w:cs="Arial"/>
                <w:sz w:val="20"/>
                <w:szCs w:val="20"/>
              </w:rPr>
              <w:t>9. Lockdown 3 + schools</w:t>
            </w:r>
          </w:p>
        </w:tc>
        <w:tc>
          <w:tcPr>
            <w:tcW w:w="2656" w:type="dxa"/>
          </w:tcPr>
          <w:p w14:paraId="4154B103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9423B">
              <w:rPr>
                <w:rFonts w:ascii="Arial" w:hAnsi="Arial" w:cs="Arial"/>
                <w:sz w:val="20"/>
                <w:szCs w:val="20"/>
              </w:rPr>
              <w:t>5.65</w:t>
            </w:r>
          </w:p>
        </w:tc>
        <w:tc>
          <w:tcPr>
            <w:tcW w:w="2100" w:type="dxa"/>
          </w:tcPr>
          <w:p w14:paraId="69178DB7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</w:tr>
      <w:tr w:rsidR="005E3FA3" w:rsidRPr="00B9423B" w14:paraId="5EA2174F" w14:textId="77777777" w:rsidTr="00AE4DFD">
        <w:tc>
          <w:tcPr>
            <w:tcW w:w="1463" w:type="dxa"/>
          </w:tcPr>
          <w:p w14:paraId="0DBDB291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23B">
              <w:rPr>
                <w:rFonts w:ascii="Arial" w:hAnsi="Arial" w:cs="Arial"/>
                <w:sz w:val="20"/>
                <w:szCs w:val="20"/>
              </w:rPr>
              <w:t>17/05/2021</w:t>
            </w:r>
          </w:p>
        </w:tc>
        <w:tc>
          <w:tcPr>
            <w:tcW w:w="2791" w:type="dxa"/>
          </w:tcPr>
          <w:p w14:paraId="41781C33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9423B">
              <w:rPr>
                <w:rFonts w:ascii="Arial" w:hAnsi="Arial" w:cs="Arial"/>
                <w:sz w:val="20"/>
                <w:szCs w:val="20"/>
              </w:rPr>
              <w:t>10. School reopening</w:t>
            </w:r>
          </w:p>
        </w:tc>
        <w:tc>
          <w:tcPr>
            <w:tcW w:w="2656" w:type="dxa"/>
          </w:tcPr>
          <w:p w14:paraId="37DE9ADB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9423B">
              <w:rPr>
                <w:rFonts w:ascii="Arial" w:hAnsi="Arial" w:cs="Arial"/>
                <w:sz w:val="20"/>
                <w:szCs w:val="20"/>
              </w:rPr>
              <w:t>7.79</w:t>
            </w:r>
          </w:p>
        </w:tc>
        <w:tc>
          <w:tcPr>
            <w:tcW w:w="2100" w:type="dxa"/>
          </w:tcPr>
          <w:p w14:paraId="71E7A497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1.28</w:t>
            </w:r>
          </w:p>
        </w:tc>
      </w:tr>
      <w:tr w:rsidR="005E3FA3" w:rsidRPr="00B9423B" w14:paraId="3E5C04C6" w14:textId="77777777" w:rsidTr="00AE4DFD">
        <w:tc>
          <w:tcPr>
            <w:tcW w:w="1463" w:type="dxa"/>
          </w:tcPr>
          <w:p w14:paraId="0B65259E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23B">
              <w:rPr>
                <w:rFonts w:ascii="Arial" w:hAnsi="Arial" w:cs="Arial"/>
                <w:sz w:val="20"/>
                <w:szCs w:val="20"/>
              </w:rPr>
              <w:t>19/07/2021</w:t>
            </w:r>
          </w:p>
        </w:tc>
        <w:tc>
          <w:tcPr>
            <w:tcW w:w="2791" w:type="dxa"/>
          </w:tcPr>
          <w:p w14:paraId="4260D1CD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9423B">
              <w:rPr>
                <w:rFonts w:ascii="Arial" w:hAnsi="Arial" w:cs="Arial"/>
                <w:sz w:val="20"/>
                <w:szCs w:val="20"/>
              </w:rPr>
              <w:t xml:space="preserve">11. </w:t>
            </w:r>
            <w:proofErr w:type="spellStart"/>
            <w:r w:rsidRPr="00B9423B">
              <w:rPr>
                <w:rFonts w:ascii="Arial" w:hAnsi="Arial" w:cs="Arial"/>
                <w:sz w:val="20"/>
                <w:szCs w:val="20"/>
              </w:rPr>
              <w:t>Polym</w:t>
            </w:r>
            <w:proofErr w:type="spellEnd"/>
            <w:r w:rsidRPr="00B9423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B9423B">
              <w:rPr>
                <w:rFonts w:ascii="Arial" w:hAnsi="Arial" w:cs="Arial"/>
                <w:sz w:val="20"/>
                <w:szCs w:val="20"/>
              </w:rPr>
              <w:t>80% of contacts in adults)</w:t>
            </w:r>
          </w:p>
        </w:tc>
        <w:tc>
          <w:tcPr>
            <w:tcW w:w="2656" w:type="dxa"/>
          </w:tcPr>
          <w:p w14:paraId="175D702E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9423B">
              <w:rPr>
                <w:rFonts w:ascii="Arial" w:hAnsi="Arial" w:cs="Arial"/>
                <w:sz w:val="20"/>
                <w:szCs w:val="20"/>
              </w:rPr>
              <w:t>9.17</w:t>
            </w:r>
          </w:p>
        </w:tc>
        <w:tc>
          <w:tcPr>
            <w:tcW w:w="2100" w:type="dxa"/>
          </w:tcPr>
          <w:p w14:paraId="76A54BDB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1.52</w:t>
            </w:r>
          </w:p>
        </w:tc>
      </w:tr>
      <w:tr w:rsidR="005E3FA3" w:rsidRPr="00B9423B" w14:paraId="3FB487A7" w14:textId="77777777" w:rsidTr="00AE4DFD">
        <w:tc>
          <w:tcPr>
            <w:tcW w:w="1463" w:type="dxa"/>
          </w:tcPr>
          <w:p w14:paraId="6B2FEF47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23B">
              <w:rPr>
                <w:rFonts w:ascii="Arial" w:hAnsi="Arial" w:cs="Arial"/>
                <w:sz w:val="20"/>
                <w:szCs w:val="20"/>
              </w:rPr>
              <w:t>1/07/2023</w:t>
            </w:r>
          </w:p>
        </w:tc>
        <w:tc>
          <w:tcPr>
            <w:tcW w:w="2791" w:type="dxa"/>
          </w:tcPr>
          <w:p w14:paraId="28FB5E58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9423B">
              <w:rPr>
                <w:rFonts w:ascii="Arial" w:hAnsi="Arial" w:cs="Arial"/>
                <w:sz w:val="20"/>
                <w:szCs w:val="20"/>
              </w:rPr>
              <w:t>End of simulation</w:t>
            </w:r>
          </w:p>
        </w:tc>
        <w:tc>
          <w:tcPr>
            <w:tcW w:w="2656" w:type="dxa"/>
          </w:tcPr>
          <w:p w14:paraId="4E5F3102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</w:tcPr>
          <w:p w14:paraId="34E7E7CE" w14:textId="77777777" w:rsidR="005E3FA3" w:rsidRPr="00B9423B" w:rsidRDefault="005E3FA3" w:rsidP="00AE4D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C4E5E4" w14:textId="77777777" w:rsidR="005E3FA3" w:rsidRDefault="005E3FA3" w:rsidP="005E3FA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R</w:t>
      </w:r>
      <w:r w:rsidRPr="00452872">
        <w:rPr>
          <w:rFonts w:ascii="Arial" w:hAnsi="Arial" w:cs="Arial"/>
          <w:sz w:val="22"/>
          <w:szCs w:val="22"/>
          <w:vertAlign w:val="subscript"/>
        </w:rPr>
        <w:t>0</w:t>
      </w:r>
      <w:r>
        <w:rPr>
          <w:rFonts w:ascii="Arial" w:hAnsi="Arial" w:cs="Arial"/>
          <w:sz w:val="22"/>
          <w:szCs w:val="22"/>
        </w:rPr>
        <w:t xml:space="preserve"> is estimated for each period of time by finding the proportional difference in the dominant eigenvalue of the symmetrical contact matrix when compare to the “</w:t>
      </w:r>
      <w:proofErr w:type="spellStart"/>
      <w:r>
        <w:rPr>
          <w:rFonts w:ascii="Arial" w:hAnsi="Arial" w:cs="Arial"/>
          <w:sz w:val="22"/>
          <w:szCs w:val="22"/>
        </w:rPr>
        <w:t>Polymod</w:t>
      </w:r>
      <w:proofErr w:type="spellEnd"/>
      <w:r>
        <w:rPr>
          <w:rFonts w:ascii="Arial" w:hAnsi="Arial" w:cs="Arial"/>
          <w:sz w:val="22"/>
          <w:szCs w:val="22"/>
        </w:rPr>
        <w:t>” contact matrix used prior to NPIs associated with the COVID-19 pandemic.</w:t>
      </w:r>
    </w:p>
    <w:p w14:paraId="1BB4159A" w14:textId="77777777" w:rsidR="005E3FA3" w:rsidRDefault="005E3FA3" w:rsidP="005E3FA3">
      <w:pPr>
        <w:spacing w:line="276" w:lineRule="auto"/>
        <w:rPr>
          <w:rFonts w:ascii="Arial" w:hAnsi="Arial" w:cs="Arial"/>
          <w:sz w:val="22"/>
          <w:szCs w:val="22"/>
        </w:rPr>
      </w:pPr>
    </w:p>
    <w:p w14:paraId="10E5EAF2" w14:textId="77777777" w:rsidR="00F95A1E" w:rsidRDefault="00F95A1E"/>
    <w:sectPr w:rsidR="00F95A1E" w:rsidSect="00F84FC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A3"/>
    <w:rsid w:val="00454958"/>
    <w:rsid w:val="005E3FA3"/>
    <w:rsid w:val="00750202"/>
    <w:rsid w:val="00F84FCC"/>
    <w:rsid w:val="00F9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715081"/>
  <w15:chartTrackingRefBased/>
  <w15:docId w15:val="{687E1064-10A6-1549-92DB-059BF699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O'Reilly</dc:creator>
  <cp:keywords/>
  <dc:description/>
  <cp:lastModifiedBy>Kathleen O'Reilly</cp:lastModifiedBy>
  <cp:revision>1</cp:revision>
  <dcterms:created xsi:type="dcterms:W3CDTF">2021-09-01T10:30:00Z</dcterms:created>
  <dcterms:modified xsi:type="dcterms:W3CDTF">2021-09-01T10:30:00Z</dcterms:modified>
</cp:coreProperties>
</file>