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FA9F" w14:textId="77777777" w:rsidR="00195C85" w:rsidRPr="005C296D" w:rsidRDefault="00195C85" w:rsidP="00195C85">
      <w:pPr>
        <w:rPr>
          <w:rFonts w:ascii="Arial" w:hAnsi="Arial" w:cs="Arial"/>
          <w:b/>
          <w:bCs/>
          <w:u w:val="single"/>
        </w:rPr>
      </w:pPr>
      <w:r w:rsidRPr="005C296D">
        <w:rPr>
          <w:rFonts w:ascii="Arial" w:hAnsi="Arial" w:cs="Arial"/>
          <w:b/>
          <w:bCs/>
          <w:u w:val="single"/>
        </w:rPr>
        <w:t>Additional file 1</w:t>
      </w:r>
    </w:p>
    <w:p w14:paraId="7EB779FA" w14:textId="77777777" w:rsidR="00195C85" w:rsidRDefault="00195C85" w:rsidP="00195C85">
      <w:pPr>
        <w:rPr>
          <w:rFonts w:ascii="Arial" w:hAnsi="Arial" w:cs="Arial"/>
          <w:b/>
          <w:bCs/>
        </w:rPr>
      </w:pPr>
    </w:p>
    <w:p w14:paraId="5FCF7251" w14:textId="77777777" w:rsidR="00195C85" w:rsidRPr="005C296D" w:rsidRDefault="00195C85" w:rsidP="00195C85">
      <w:pPr>
        <w:rPr>
          <w:rFonts w:ascii="Arial" w:hAnsi="Arial" w:cs="Arial"/>
          <w:b/>
          <w:bCs/>
        </w:rPr>
      </w:pPr>
      <w:r w:rsidRPr="005C296D">
        <w:rPr>
          <w:rFonts w:ascii="Arial" w:hAnsi="Arial" w:cs="Arial"/>
          <w:b/>
          <w:bCs/>
        </w:rPr>
        <w:t>Full description of the mathematical model for norovirus</w:t>
      </w:r>
    </w:p>
    <w:p w14:paraId="34616910" w14:textId="77777777" w:rsidR="00195C85" w:rsidRPr="005A7B5F" w:rsidRDefault="00195C85" w:rsidP="00195C85">
      <w:pPr>
        <w:rPr>
          <w:rFonts w:ascii="Arial" w:hAnsi="Arial" w:cs="Arial"/>
        </w:rPr>
      </w:pPr>
    </w:p>
    <w:p w14:paraId="18086A46" w14:textId="4FC64518" w:rsidR="00195C85" w:rsidRPr="005A7B5F" w:rsidRDefault="00195C85" w:rsidP="00195C85">
      <w:pPr>
        <w:spacing w:line="276" w:lineRule="auto"/>
        <w:rPr>
          <w:rFonts w:ascii="Arial" w:hAnsi="Arial" w:cs="Arial"/>
          <w:sz w:val="22"/>
          <w:szCs w:val="22"/>
        </w:rPr>
      </w:pPr>
      <w:r w:rsidRPr="005A7B5F">
        <w:rPr>
          <w:rFonts w:ascii="Arial" w:hAnsi="Arial" w:cs="Arial"/>
          <w:sz w:val="22"/>
          <w:szCs w:val="22"/>
        </w:rPr>
        <w:t>We built an age-structured SEIR-like model that follows a previously developed model for norovirus, focussing on GII.4 infections</w:t>
      </w:r>
      <w:r w:rsidR="00D263D0">
        <w:rPr>
          <w:rFonts w:ascii="Arial" w:hAnsi="Arial" w:cs="Arial"/>
          <w:sz w:val="22"/>
          <w:szCs w:val="22"/>
        </w:rPr>
        <w:t xml:space="preserve"> [21]</w:t>
      </w:r>
      <w:r w:rsidRPr="005A7B5F">
        <w:rPr>
          <w:rFonts w:ascii="Arial" w:hAnsi="Arial" w:cs="Arial"/>
          <w:sz w:val="22"/>
          <w:szCs w:val="22"/>
        </w:rPr>
        <w:t xml:space="preserve">. We assume a population of 100,000 individuals with age-structure similar to that reported in England, and that 20% of the population remain resistant to norovirus GII.4 infection due to </w:t>
      </w:r>
      <w:proofErr w:type="spellStart"/>
      <w:r w:rsidRPr="005A7B5F">
        <w:rPr>
          <w:rFonts w:ascii="Arial" w:hAnsi="Arial" w:cs="Arial"/>
          <w:sz w:val="22"/>
          <w:szCs w:val="22"/>
        </w:rPr>
        <w:t>nonsecretor</w:t>
      </w:r>
      <w:proofErr w:type="spellEnd"/>
      <w:r w:rsidRPr="005A7B5F">
        <w:rPr>
          <w:rFonts w:ascii="Arial" w:hAnsi="Arial" w:cs="Arial"/>
          <w:sz w:val="22"/>
          <w:szCs w:val="22"/>
        </w:rPr>
        <w:t xml:space="preserve"> status of human </w:t>
      </w:r>
      <w:proofErr w:type="spellStart"/>
      <w:r w:rsidRPr="005A7B5F">
        <w:rPr>
          <w:rFonts w:ascii="Arial" w:hAnsi="Arial" w:cs="Arial"/>
          <w:sz w:val="22"/>
          <w:szCs w:val="22"/>
        </w:rPr>
        <w:t>histoblood</w:t>
      </w:r>
      <w:proofErr w:type="spellEnd"/>
      <w:r w:rsidRPr="005A7B5F">
        <w:rPr>
          <w:rFonts w:ascii="Arial" w:hAnsi="Arial" w:cs="Arial"/>
          <w:sz w:val="22"/>
          <w:szCs w:val="22"/>
        </w:rPr>
        <w:t xml:space="preserve"> group antigen carbohydrates</w:t>
      </w:r>
      <w:r w:rsidR="00D263D0">
        <w:rPr>
          <w:rFonts w:ascii="Arial" w:hAnsi="Arial" w:cs="Arial"/>
          <w:sz w:val="22"/>
          <w:szCs w:val="22"/>
        </w:rPr>
        <w:t xml:space="preserve"> [22]</w:t>
      </w:r>
      <w:r w:rsidRPr="005A7B5F">
        <w:rPr>
          <w:rFonts w:ascii="Arial" w:hAnsi="Arial" w:cs="Arial"/>
          <w:sz w:val="22"/>
          <w:szCs w:val="22"/>
        </w:rPr>
        <w:t>. Births are assumed to either enter the genetically resistant class with probability g (G in Figure 1), or the susceptible class (S) with probability 1-g. Upon infection individuals are assumed to enter a short stage of exposure (or pro-</w:t>
      </w:r>
      <w:proofErr w:type="spellStart"/>
      <w:r w:rsidRPr="005A7B5F">
        <w:rPr>
          <w:rFonts w:ascii="Arial" w:hAnsi="Arial" w:cs="Arial"/>
          <w:sz w:val="22"/>
          <w:szCs w:val="22"/>
        </w:rPr>
        <w:t>dromal</w:t>
      </w:r>
      <w:proofErr w:type="spellEnd"/>
      <w:r w:rsidRPr="005A7B5F">
        <w:rPr>
          <w:rFonts w:ascii="Arial" w:hAnsi="Arial" w:cs="Arial"/>
          <w:sz w:val="22"/>
          <w:szCs w:val="22"/>
        </w:rPr>
        <w:t xml:space="preserve"> infection), and then become fully infectious and symptomatic for on average 2 days</w:t>
      </w:r>
      <w:r w:rsidR="00D263D0">
        <w:rPr>
          <w:rFonts w:ascii="Arial" w:hAnsi="Arial" w:cs="Arial"/>
          <w:sz w:val="22"/>
          <w:szCs w:val="22"/>
        </w:rPr>
        <w:t xml:space="preserve"> [23, 24]</w:t>
      </w:r>
      <w:r w:rsidRPr="005A7B5F">
        <w:rPr>
          <w:rFonts w:ascii="Arial" w:hAnsi="Arial" w:cs="Arial"/>
          <w:sz w:val="22"/>
          <w:szCs w:val="22"/>
        </w:rPr>
        <w:t xml:space="preserve">. The rate of infection is assumed to be a function of the proportion of individuals in the symptomatic and infectious class and the asymptomatic, where the relative contribution of the asymptomatic individuals is defined by </w:t>
      </w:r>
      <m:oMath>
        <m:r>
          <w:rPr>
            <w:rFonts w:ascii="Cambria Math" w:hAnsi="Cambria Math" w:cs="Arial"/>
            <w:sz w:val="22"/>
            <w:szCs w:val="22"/>
          </w:rPr>
          <m:t>δ</m:t>
        </m:r>
      </m:oMath>
      <w:r w:rsidR="00550E64">
        <w:rPr>
          <w:rFonts w:ascii="Arial" w:eastAsiaTheme="minorEastAsia" w:hAnsi="Arial" w:cs="Arial"/>
          <w:sz w:val="22"/>
          <w:szCs w:val="22"/>
        </w:rPr>
        <w:t xml:space="preserve"> [25]</w:t>
      </w:r>
      <w:r w:rsidRPr="005A7B5F">
        <w:rPr>
          <w:rFonts w:ascii="Arial" w:eastAsiaTheme="minorEastAsia" w:hAnsi="Arial" w:cs="Arial"/>
          <w:sz w:val="22"/>
          <w:szCs w:val="22"/>
        </w:rPr>
        <w:t>.</w:t>
      </w:r>
      <w:r w:rsidRPr="005A7B5F">
        <w:rPr>
          <w:rFonts w:ascii="Arial" w:hAnsi="Arial" w:cs="Arial"/>
          <w:sz w:val="22"/>
          <w:szCs w:val="22"/>
        </w:rPr>
        <w:t xml:space="preserve"> Individuals then enter the asymptomatic stage, where they remain moderately infectious for on average 15 days when compared to the symptomatic stage but have no symptoms of disease</w:t>
      </w:r>
      <w:r w:rsidR="00D263D0">
        <w:rPr>
          <w:rFonts w:ascii="Arial" w:hAnsi="Arial" w:cs="Arial"/>
          <w:sz w:val="22"/>
          <w:szCs w:val="22"/>
        </w:rPr>
        <w:t xml:space="preserve"> [26]</w:t>
      </w:r>
      <w:r w:rsidRPr="005A7B5F">
        <w:rPr>
          <w:rFonts w:ascii="Arial" w:hAnsi="Arial" w:cs="Arial"/>
          <w:sz w:val="22"/>
          <w:szCs w:val="22"/>
        </w:rPr>
        <w:t>. Asymptomatic infection is assumed to correspond with norovirus shedding in stool that can be detected using PCR. Upon recovery, individuals are immune to further symptomatic infection, but can develop asymptomatic infection. After an average of 5.1 years individuals are assumed to return to the susceptible class where re-infection will be symptomatic again</w:t>
      </w:r>
      <w:r w:rsidR="00D263D0">
        <w:rPr>
          <w:rFonts w:ascii="Arial" w:hAnsi="Arial" w:cs="Arial"/>
          <w:sz w:val="22"/>
          <w:szCs w:val="22"/>
        </w:rPr>
        <w:t xml:space="preserve"> [21]</w:t>
      </w:r>
      <w:r w:rsidRPr="005A7B5F">
        <w:rPr>
          <w:rFonts w:ascii="Arial" w:hAnsi="Arial" w:cs="Arial"/>
          <w:sz w:val="22"/>
          <w:szCs w:val="22"/>
        </w:rPr>
        <w:t>. We make the simplistic assumption of there being one norovirus variant present in the population where immunity to further infection impacts only the probability of being symptomatic.</w:t>
      </w:r>
    </w:p>
    <w:p w14:paraId="15E1C2A5" w14:textId="77777777" w:rsidR="00195C85" w:rsidRPr="005A7B5F" w:rsidRDefault="00195C85" w:rsidP="00195C85">
      <w:pPr>
        <w:spacing w:line="276" w:lineRule="auto"/>
        <w:rPr>
          <w:rFonts w:ascii="Arial" w:hAnsi="Arial" w:cs="Arial"/>
          <w:sz w:val="22"/>
          <w:szCs w:val="22"/>
        </w:rPr>
      </w:pPr>
    </w:p>
    <w:p w14:paraId="10F4E4CC" w14:textId="77777777" w:rsidR="00195C85" w:rsidRPr="005A7B5F" w:rsidRDefault="00195C85" w:rsidP="00195C85">
      <w:pPr>
        <w:spacing w:line="276" w:lineRule="auto"/>
        <w:rPr>
          <w:rFonts w:ascii="Arial" w:hAnsi="Arial" w:cs="Arial"/>
          <w:sz w:val="22"/>
          <w:szCs w:val="22"/>
        </w:rPr>
      </w:pPr>
      <w:r w:rsidRPr="005A7B5F">
        <w:rPr>
          <w:rFonts w:ascii="Arial" w:hAnsi="Arial" w:cs="Arial"/>
          <w:noProof/>
          <w:sz w:val="22"/>
          <w:szCs w:val="22"/>
        </w:rPr>
        <w:lastRenderedPageBreak/>
        <w:drawing>
          <wp:inline distT="0" distB="0" distL="0" distR="0" wp14:anchorId="204EB04B" wp14:editId="05CDDEA1">
            <wp:extent cx="5749047" cy="54216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4">
                      <a:extLst>
                        <a:ext uri="{28A0092B-C50C-407E-A947-70E740481C1C}">
                          <a14:useLocalDpi xmlns:a14="http://schemas.microsoft.com/office/drawing/2010/main" val="0"/>
                        </a:ext>
                      </a:extLst>
                    </a:blip>
                    <a:srcRect l="20043" t="14436" r="17099" b="39758"/>
                    <a:stretch/>
                  </pic:blipFill>
                  <pic:spPr bwMode="auto">
                    <a:xfrm>
                      <a:off x="0" y="0"/>
                      <a:ext cx="5768452" cy="5439994"/>
                    </a:xfrm>
                    <a:prstGeom prst="rect">
                      <a:avLst/>
                    </a:prstGeom>
                    <a:ln>
                      <a:noFill/>
                    </a:ln>
                    <a:extLst>
                      <a:ext uri="{53640926-AAD7-44D8-BBD7-CCE9431645EC}">
                        <a14:shadowObscured xmlns:a14="http://schemas.microsoft.com/office/drawing/2010/main"/>
                      </a:ext>
                    </a:extLst>
                  </pic:spPr>
                </pic:pic>
              </a:graphicData>
            </a:graphic>
          </wp:inline>
        </w:drawing>
      </w:r>
    </w:p>
    <w:p w14:paraId="1DFA2A12" w14:textId="77777777" w:rsidR="00195C85" w:rsidRPr="005A7B5F" w:rsidRDefault="00195C85" w:rsidP="00195C85">
      <w:pPr>
        <w:spacing w:line="276" w:lineRule="auto"/>
        <w:jc w:val="both"/>
        <w:rPr>
          <w:rFonts w:ascii="Arial" w:hAnsi="Arial" w:cs="Arial"/>
          <w:sz w:val="22"/>
          <w:szCs w:val="22"/>
        </w:rPr>
      </w:pPr>
    </w:p>
    <w:p w14:paraId="212CC4B7" w14:textId="77777777" w:rsidR="00195C85" w:rsidRPr="005A7B5F" w:rsidRDefault="00195C85" w:rsidP="00195C85">
      <w:pPr>
        <w:spacing w:line="276" w:lineRule="auto"/>
        <w:rPr>
          <w:rFonts w:ascii="Arial" w:hAnsi="Arial" w:cs="Arial"/>
          <w:sz w:val="22"/>
          <w:szCs w:val="22"/>
        </w:rPr>
      </w:pPr>
      <w:r w:rsidRPr="005A7B5F">
        <w:rPr>
          <w:rFonts w:ascii="Arial" w:hAnsi="Arial" w:cs="Arial"/>
          <w:sz w:val="22"/>
          <w:szCs w:val="22"/>
        </w:rPr>
        <w:br w:type="textWrapping" w:clear="all"/>
      </w:r>
    </w:p>
    <w:p w14:paraId="4D836198" w14:textId="77777777" w:rsidR="00195C85" w:rsidRPr="005A7B5F" w:rsidRDefault="00195C85" w:rsidP="00195C85">
      <w:pPr>
        <w:spacing w:line="276" w:lineRule="auto"/>
        <w:rPr>
          <w:rFonts w:ascii="Arial" w:hAnsi="Arial" w:cs="Arial"/>
          <w:sz w:val="22"/>
          <w:szCs w:val="22"/>
        </w:rPr>
      </w:pPr>
    </w:p>
    <w:p w14:paraId="4443D823" w14:textId="77777777" w:rsidR="00195C85" w:rsidRDefault="00195C85" w:rsidP="00195C85">
      <w:pPr>
        <w:rPr>
          <w:rFonts w:ascii="Arial" w:hAnsi="Arial" w:cs="Arial"/>
          <w:i/>
          <w:iCs/>
          <w:color w:val="44546A" w:themeColor="text2"/>
          <w:sz w:val="18"/>
          <w:szCs w:val="18"/>
        </w:rPr>
      </w:pPr>
      <w:r>
        <w:rPr>
          <w:rFonts w:ascii="Arial" w:hAnsi="Arial" w:cs="Arial"/>
        </w:rPr>
        <w:br w:type="page"/>
      </w:r>
    </w:p>
    <w:p w14:paraId="79C7A156" w14:textId="77777777" w:rsidR="00195C85" w:rsidRPr="004C1693" w:rsidRDefault="00195C85" w:rsidP="00195C85">
      <w:pPr>
        <w:pStyle w:val="Caption"/>
        <w:keepNext/>
        <w:rPr>
          <w:rFonts w:ascii="Arial" w:hAnsi="Arial" w:cs="Arial"/>
          <w:b/>
          <w:bCs/>
          <w:color w:val="000000" w:themeColor="text1"/>
        </w:rPr>
      </w:pPr>
      <w:r w:rsidRPr="004C1693">
        <w:rPr>
          <w:rFonts w:ascii="Arial" w:hAnsi="Arial" w:cs="Arial"/>
          <w:b/>
          <w:bCs/>
          <w:color w:val="000000" w:themeColor="text1"/>
        </w:rPr>
        <w:lastRenderedPageBreak/>
        <w:t>Table S1. Parameters within the mathematical model for norovirus and sources of values used.</w:t>
      </w:r>
    </w:p>
    <w:tbl>
      <w:tblPr>
        <w:tblStyle w:val="PlainTable1"/>
        <w:tblW w:w="8860" w:type="dxa"/>
        <w:tblLook w:val="04A0" w:firstRow="1" w:lastRow="0" w:firstColumn="1" w:lastColumn="0" w:noHBand="0" w:noVBand="1"/>
      </w:tblPr>
      <w:tblGrid>
        <w:gridCol w:w="1717"/>
        <w:gridCol w:w="4374"/>
        <w:gridCol w:w="2769"/>
      </w:tblGrid>
      <w:tr w:rsidR="00195C85" w:rsidRPr="009911DB" w14:paraId="29769AF0" w14:textId="77777777" w:rsidTr="00AE4DF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717" w:type="dxa"/>
            <w:hideMark/>
          </w:tcPr>
          <w:p w14:paraId="7A854C49" w14:textId="77777777" w:rsidR="00195C85" w:rsidRPr="009911DB" w:rsidRDefault="00195C85" w:rsidP="00AE4DFD">
            <w:pPr>
              <w:spacing w:line="276" w:lineRule="auto"/>
              <w:jc w:val="center"/>
              <w:rPr>
                <w:rFonts w:ascii="Arial" w:hAnsi="Arial" w:cs="Arial"/>
                <w:sz w:val="20"/>
                <w:szCs w:val="20"/>
              </w:rPr>
            </w:pPr>
            <w:r w:rsidRPr="009911DB">
              <w:rPr>
                <w:rFonts w:ascii="Arial" w:hAnsi="Arial" w:cs="Arial"/>
                <w:sz w:val="20"/>
                <w:szCs w:val="20"/>
              </w:rPr>
              <w:t>Symbol</w:t>
            </w:r>
          </w:p>
        </w:tc>
        <w:tc>
          <w:tcPr>
            <w:tcW w:w="4374" w:type="dxa"/>
            <w:hideMark/>
          </w:tcPr>
          <w:p w14:paraId="66CC8A06" w14:textId="77777777" w:rsidR="00195C85" w:rsidRPr="009911DB" w:rsidRDefault="00195C85" w:rsidP="00AE4DF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911DB">
              <w:rPr>
                <w:rFonts w:ascii="Arial" w:hAnsi="Arial" w:cs="Arial"/>
                <w:sz w:val="20"/>
                <w:szCs w:val="20"/>
              </w:rPr>
              <w:t>Parameter</w:t>
            </w:r>
          </w:p>
        </w:tc>
        <w:tc>
          <w:tcPr>
            <w:tcW w:w="2769" w:type="dxa"/>
            <w:hideMark/>
          </w:tcPr>
          <w:p w14:paraId="4FD7EB9C" w14:textId="77777777" w:rsidR="00195C85" w:rsidRPr="009911DB" w:rsidRDefault="00195C85" w:rsidP="00AE4DF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911DB">
              <w:rPr>
                <w:rFonts w:ascii="Arial" w:hAnsi="Arial" w:cs="Arial"/>
                <w:sz w:val="20"/>
                <w:szCs w:val="20"/>
              </w:rPr>
              <w:t xml:space="preserve">Values </w:t>
            </w:r>
            <w:r w:rsidRPr="005A7B5F">
              <w:rPr>
                <w:rFonts w:ascii="Arial" w:hAnsi="Arial" w:cs="Arial"/>
                <w:sz w:val="20"/>
                <w:szCs w:val="20"/>
              </w:rPr>
              <w:t>assumed</w:t>
            </w:r>
            <w:r w:rsidRPr="009911DB">
              <w:rPr>
                <w:rFonts w:ascii="Arial" w:hAnsi="Arial" w:cs="Arial"/>
                <w:sz w:val="20"/>
                <w:szCs w:val="20"/>
              </w:rPr>
              <w:t xml:space="preserve"> here</w:t>
            </w:r>
            <w:r w:rsidRPr="005A7B5F">
              <w:rPr>
                <w:rFonts w:ascii="Arial" w:hAnsi="Arial" w:cs="Arial"/>
                <w:sz w:val="20"/>
                <w:szCs w:val="20"/>
              </w:rPr>
              <w:t xml:space="preserve"> and source</w:t>
            </w:r>
            <w:r>
              <w:rPr>
                <w:rFonts w:ascii="Arial" w:hAnsi="Arial" w:cs="Arial"/>
                <w:sz w:val="20"/>
                <w:szCs w:val="20"/>
              </w:rPr>
              <w:t xml:space="preserve"> </w:t>
            </w:r>
            <w:r w:rsidRPr="00DF4597">
              <w:rPr>
                <w:rFonts w:ascii="Arial" w:hAnsi="Arial" w:cs="Arial"/>
                <w:b w:val="0"/>
                <w:bCs w:val="0"/>
                <w:sz w:val="20"/>
                <w:szCs w:val="20"/>
              </w:rPr>
              <w:t>(brackets indicate source</w:t>
            </w:r>
            <w:r>
              <w:rPr>
                <w:rFonts w:ascii="Arial" w:hAnsi="Arial" w:cs="Arial"/>
                <w:b w:val="0"/>
                <w:bCs w:val="0"/>
                <w:sz w:val="20"/>
                <w:szCs w:val="20"/>
              </w:rPr>
              <w:t xml:space="preserve"> from main paper</w:t>
            </w:r>
            <w:r w:rsidRPr="00DF4597">
              <w:rPr>
                <w:rFonts w:ascii="Arial" w:hAnsi="Arial" w:cs="Arial"/>
                <w:b w:val="0"/>
                <w:bCs w:val="0"/>
                <w:sz w:val="20"/>
                <w:szCs w:val="20"/>
              </w:rPr>
              <w:t>)</w:t>
            </w:r>
          </w:p>
        </w:tc>
      </w:tr>
      <w:tr w:rsidR="00195C85" w:rsidRPr="005A7B5F" w14:paraId="69BB53A8" w14:textId="77777777" w:rsidTr="00AE4DF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17" w:type="dxa"/>
            <w:hideMark/>
          </w:tcPr>
          <w:p w14:paraId="4622A5CE" w14:textId="77777777" w:rsidR="00195C85" w:rsidRPr="009911DB" w:rsidRDefault="00550E64" w:rsidP="00AE4DFD">
            <w:pPr>
              <w:spacing w:line="276" w:lineRule="auto"/>
              <w:rPr>
                <w:rFonts w:ascii="Arial" w:hAnsi="Arial" w:cs="Arial"/>
                <w:sz w:val="20"/>
                <w:szCs w:val="20"/>
              </w:rPr>
            </w:pPr>
            <m:oMathPara>
              <m:oMathParaPr>
                <m:jc m:val="centerGroup"/>
              </m:oMathParaPr>
              <m:oMath>
                <m:sSub>
                  <m:sSubPr>
                    <m:ctrlPr>
                      <w:rPr>
                        <w:rFonts w:ascii="Cambria Math" w:hAnsi="Cambria Math" w:cs="Arial"/>
                        <w:i/>
                        <w:iCs/>
                        <w:sz w:val="20"/>
                        <w:szCs w:val="20"/>
                      </w:rPr>
                    </m:ctrlPr>
                  </m:sSubPr>
                  <m:e>
                    <m:r>
                      <m:rPr>
                        <m:sty m:val="b"/>
                      </m:rPr>
                      <w:rPr>
                        <w:rFonts w:ascii="Cambria Math" w:hAnsi="Cambria Math" w:cs="Arial"/>
                        <w:sz w:val="20"/>
                        <w:szCs w:val="20"/>
                      </w:rPr>
                      <m:t>1/</m:t>
                    </m:r>
                    <m:r>
                      <m:rPr>
                        <m:sty m:val="bi"/>
                      </m:rPr>
                      <w:rPr>
                        <w:rFonts w:ascii="Cambria Math" w:hAnsi="Cambria Math" w:cs="Arial"/>
                        <w:sz w:val="20"/>
                        <w:szCs w:val="20"/>
                      </w:rPr>
                      <m:t>μ</m:t>
                    </m:r>
                  </m:e>
                  <m:sub>
                    <m:r>
                      <m:rPr>
                        <m:sty m:val="bi"/>
                      </m:rPr>
                      <w:rPr>
                        <w:rFonts w:ascii="Cambria Math" w:hAnsi="Cambria Math" w:cs="Arial"/>
                        <w:sz w:val="20"/>
                        <w:szCs w:val="20"/>
                      </w:rPr>
                      <m:t>s</m:t>
                    </m:r>
                  </m:sub>
                </m:sSub>
              </m:oMath>
            </m:oMathPara>
          </w:p>
        </w:tc>
        <w:tc>
          <w:tcPr>
            <w:tcW w:w="4374" w:type="dxa"/>
            <w:hideMark/>
          </w:tcPr>
          <w:p w14:paraId="3A3FA7A7" w14:textId="77777777" w:rsidR="00195C85" w:rsidRPr="009911DB"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911DB">
              <w:rPr>
                <w:rFonts w:ascii="Arial" w:hAnsi="Arial" w:cs="Arial"/>
                <w:sz w:val="20"/>
                <w:szCs w:val="20"/>
              </w:rPr>
              <w:t xml:space="preserve">Duration of incubation </w:t>
            </w:r>
          </w:p>
        </w:tc>
        <w:tc>
          <w:tcPr>
            <w:tcW w:w="2769" w:type="dxa"/>
            <w:hideMark/>
          </w:tcPr>
          <w:p w14:paraId="370F8703" w14:textId="77777777" w:rsidR="00195C85" w:rsidRPr="009911DB"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911DB">
              <w:rPr>
                <w:rFonts w:ascii="Arial" w:hAnsi="Arial" w:cs="Arial"/>
                <w:sz w:val="20"/>
                <w:szCs w:val="20"/>
              </w:rPr>
              <w:t>1 day</w:t>
            </w:r>
          </w:p>
        </w:tc>
      </w:tr>
      <w:tr w:rsidR="00195C85" w:rsidRPr="009911DB" w14:paraId="1D97E5F9" w14:textId="77777777" w:rsidTr="00AE4DFD">
        <w:trPr>
          <w:trHeight w:val="307"/>
        </w:trPr>
        <w:tc>
          <w:tcPr>
            <w:cnfStyle w:val="001000000000" w:firstRow="0" w:lastRow="0" w:firstColumn="1" w:lastColumn="0" w:oddVBand="0" w:evenVBand="0" w:oddHBand="0" w:evenHBand="0" w:firstRowFirstColumn="0" w:firstRowLastColumn="0" w:lastRowFirstColumn="0" w:lastRowLastColumn="0"/>
            <w:tcW w:w="1717" w:type="dxa"/>
            <w:hideMark/>
          </w:tcPr>
          <w:p w14:paraId="52853E81" w14:textId="77777777" w:rsidR="00195C85" w:rsidRPr="009911DB" w:rsidRDefault="00550E64" w:rsidP="00AE4DFD">
            <w:pPr>
              <w:spacing w:line="276" w:lineRule="auto"/>
              <w:rPr>
                <w:rFonts w:ascii="Arial" w:hAnsi="Arial" w:cs="Arial"/>
                <w:sz w:val="20"/>
                <w:szCs w:val="20"/>
              </w:rPr>
            </w:pPr>
            <m:oMathPara>
              <m:oMathParaPr>
                <m:jc m:val="centerGroup"/>
              </m:oMathParaPr>
              <m:oMath>
                <m:sSub>
                  <m:sSubPr>
                    <m:ctrlPr>
                      <w:rPr>
                        <w:rFonts w:ascii="Cambria Math" w:hAnsi="Cambria Math" w:cs="Arial"/>
                        <w:i/>
                        <w:iCs/>
                        <w:sz w:val="20"/>
                        <w:szCs w:val="20"/>
                      </w:rPr>
                    </m:ctrlPr>
                  </m:sSubPr>
                  <m:e>
                    <m:r>
                      <m:rPr>
                        <m:sty m:val="b"/>
                      </m:rPr>
                      <w:rPr>
                        <w:rFonts w:ascii="Cambria Math" w:hAnsi="Cambria Math" w:cs="Arial"/>
                        <w:sz w:val="20"/>
                        <w:szCs w:val="20"/>
                      </w:rPr>
                      <m:t>1/</m:t>
                    </m:r>
                    <m:r>
                      <m:rPr>
                        <m:sty m:val="bi"/>
                      </m:rPr>
                      <w:rPr>
                        <w:rFonts w:ascii="Cambria Math" w:hAnsi="Cambria Math" w:cs="Arial"/>
                        <w:sz w:val="20"/>
                        <w:szCs w:val="20"/>
                      </w:rPr>
                      <m:t>μ</m:t>
                    </m:r>
                  </m:e>
                  <m:sub>
                    <m:r>
                      <m:rPr>
                        <m:sty m:val="bi"/>
                      </m:rPr>
                      <w:rPr>
                        <w:rFonts w:ascii="Cambria Math" w:hAnsi="Cambria Math" w:cs="Arial"/>
                        <w:sz w:val="20"/>
                        <w:szCs w:val="20"/>
                      </w:rPr>
                      <m:t>a</m:t>
                    </m:r>
                  </m:sub>
                </m:sSub>
              </m:oMath>
            </m:oMathPara>
          </w:p>
        </w:tc>
        <w:tc>
          <w:tcPr>
            <w:tcW w:w="4374" w:type="dxa"/>
            <w:hideMark/>
          </w:tcPr>
          <w:p w14:paraId="5CBBB8F9" w14:textId="77777777" w:rsidR="00195C85" w:rsidRPr="009911DB"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11DB">
              <w:rPr>
                <w:rFonts w:ascii="Arial" w:hAnsi="Arial" w:cs="Arial"/>
                <w:sz w:val="20"/>
                <w:szCs w:val="20"/>
              </w:rPr>
              <w:t>Duration of symptoms</w:t>
            </w:r>
          </w:p>
        </w:tc>
        <w:tc>
          <w:tcPr>
            <w:tcW w:w="2769" w:type="dxa"/>
            <w:hideMark/>
          </w:tcPr>
          <w:p w14:paraId="28B407B1" w14:textId="48119804" w:rsidR="00195C85" w:rsidRPr="009911DB"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11DB">
              <w:rPr>
                <w:rFonts w:ascii="Arial" w:hAnsi="Arial" w:cs="Arial"/>
                <w:sz w:val="20"/>
                <w:szCs w:val="20"/>
              </w:rPr>
              <w:t>2 days</w:t>
            </w:r>
            <w:r>
              <w:rPr>
                <w:rFonts w:ascii="Arial" w:hAnsi="Arial" w:cs="Arial"/>
                <w:sz w:val="20"/>
                <w:szCs w:val="20"/>
              </w:rPr>
              <w:t xml:space="preserve"> [</w:t>
            </w:r>
            <w:r w:rsidR="00D263D0">
              <w:rPr>
                <w:rFonts w:ascii="Arial" w:hAnsi="Arial" w:cs="Arial"/>
                <w:sz w:val="20"/>
                <w:szCs w:val="20"/>
              </w:rPr>
              <w:t>24</w:t>
            </w:r>
            <w:r>
              <w:rPr>
                <w:rFonts w:ascii="Arial" w:hAnsi="Arial" w:cs="Arial"/>
                <w:sz w:val="20"/>
                <w:szCs w:val="20"/>
              </w:rPr>
              <w:t xml:space="preserve">, </w:t>
            </w:r>
            <w:r w:rsidR="00D263D0">
              <w:rPr>
                <w:rFonts w:ascii="Arial" w:hAnsi="Arial" w:cs="Arial"/>
                <w:sz w:val="20"/>
                <w:szCs w:val="20"/>
              </w:rPr>
              <w:t>25</w:t>
            </w:r>
            <w:r>
              <w:rPr>
                <w:rFonts w:ascii="Arial" w:hAnsi="Arial" w:cs="Arial"/>
                <w:sz w:val="20"/>
                <w:szCs w:val="20"/>
              </w:rPr>
              <w:t>]</w:t>
            </w:r>
          </w:p>
        </w:tc>
      </w:tr>
      <w:tr w:rsidR="00195C85" w:rsidRPr="005A7B5F" w14:paraId="761CB6A0" w14:textId="77777777" w:rsidTr="00AE4DFD">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717" w:type="dxa"/>
            <w:hideMark/>
          </w:tcPr>
          <w:p w14:paraId="675E3EAC" w14:textId="77777777" w:rsidR="00195C85" w:rsidRPr="009911DB" w:rsidRDefault="00195C85" w:rsidP="00AE4DFD">
            <w:pPr>
              <w:spacing w:line="276" w:lineRule="auto"/>
              <w:rPr>
                <w:rFonts w:ascii="Arial" w:hAnsi="Arial" w:cs="Arial"/>
                <w:sz w:val="20"/>
                <w:szCs w:val="20"/>
              </w:rPr>
            </w:pPr>
            <m:oMathPara>
              <m:oMathParaPr>
                <m:jc m:val="centerGroup"/>
              </m:oMathParaPr>
              <m:oMath>
                <m:r>
                  <m:rPr>
                    <m:sty m:val="b"/>
                  </m:rPr>
                  <w:rPr>
                    <w:rFonts w:ascii="Cambria Math" w:hAnsi="Cambria Math" w:cs="Arial"/>
                    <w:sz w:val="20"/>
                    <w:szCs w:val="20"/>
                  </w:rPr>
                  <m:t>1/</m:t>
                </m:r>
                <m:r>
                  <m:rPr>
                    <m:sty m:val="bi"/>
                  </m:rPr>
                  <w:rPr>
                    <w:rFonts w:ascii="Cambria Math" w:hAnsi="Cambria Math" w:cs="Arial"/>
                    <w:sz w:val="20"/>
                    <w:szCs w:val="20"/>
                  </w:rPr>
                  <m:t>ρ</m:t>
                </m:r>
              </m:oMath>
            </m:oMathPara>
          </w:p>
        </w:tc>
        <w:tc>
          <w:tcPr>
            <w:tcW w:w="4374" w:type="dxa"/>
            <w:hideMark/>
          </w:tcPr>
          <w:p w14:paraId="259735B0" w14:textId="77777777" w:rsidR="00195C85" w:rsidRPr="009911DB"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911DB">
              <w:rPr>
                <w:rFonts w:ascii="Arial" w:hAnsi="Arial" w:cs="Arial"/>
                <w:sz w:val="20"/>
                <w:szCs w:val="20"/>
              </w:rPr>
              <w:t>Duration of asymptomatic virus shedding</w:t>
            </w:r>
          </w:p>
        </w:tc>
        <w:tc>
          <w:tcPr>
            <w:tcW w:w="2769" w:type="dxa"/>
            <w:hideMark/>
          </w:tcPr>
          <w:p w14:paraId="34F35550" w14:textId="0D015062" w:rsidR="00195C85" w:rsidRPr="009911DB"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911DB">
              <w:rPr>
                <w:rFonts w:ascii="Arial" w:hAnsi="Arial" w:cs="Arial"/>
                <w:sz w:val="20"/>
                <w:szCs w:val="20"/>
              </w:rPr>
              <w:t>15 days</w:t>
            </w:r>
            <w:r>
              <w:rPr>
                <w:rFonts w:ascii="Arial" w:hAnsi="Arial" w:cs="Arial"/>
                <w:sz w:val="20"/>
                <w:szCs w:val="20"/>
              </w:rPr>
              <w:t xml:space="preserve"> [</w:t>
            </w:r>
            <w:r w:rsidR="00D263D0">
              <w:rPr>
                <w:rFonts w:ascii="Arial" w:hAnsi="Arial" w:cs="Arial"/>
                <w:sz w:val="20"/>
                <w:szCs w:val="20"/>
              </w:rPr>
              <w:t>26</w:t>
            </w:r>
            <w:r>
              <w:rPr>
                <w:rFonts w:ascii="Arial" w:hAnsi="Arial" w:cs="Arial"/>
                <w:sz w:val="20"/>
                <w:szCs w:val="20"/>
              </w:rPr>
              <w:t>]</w:t>
            </w:r>
          </w:p>
        </w:tc>
      </w:tr>
      <w:tr w:rsidR="00195C85" w:rsidRPr="009911DB" w14:paraId="31BC7FE8" w14:textId="77777777" w:rsidTr="00AE4DFD">
        <w:trPr>
          <w:trHeight w:val="613"/>
        </w:trPr>
        <w:tc>
          <w:tcPr>
            <w:cnfStyle w:val="001000000000" w:firstRow="0" w:lastRow="0" w:firstColumn="1" w:lastColumn="0" w:oddVBand="0" w:evenVBand="0" w:oddHBand="0" w:evenHBand="0" w:firstRowFirstColumn="0" w:firstRowLastColumn="0" w:lastRowFirstColumn="0" w:lastRowLastColumn="0"/>
            <w:tcW w:w="1717" w:type="dxa"/>
            <w:hideMark/>
          </w:tcPr>
          <w:p w14:paraId="46970CCA" w14:textId="77777777" w:rsidR="00195C85" w:rsidRPr="009911DB" w:rsidRDefault="00195C85" w:rsidP="00AE4DFD">
            <w:pPr>
              <w:spacing w:line="276" w:lineRule="auto"/>
              <w:jc w:val="center"/>
              <w:rPr>
                <w:rFonts w:ascii="Arial" w:hAnsi="Arial" w:cs="Arial"/>
                <w:sz w:val="20"/>
                <w:szCs w:val="20"/>
              </w:rPr>
            </w:pPr>
            <m:oMathPara>
              <m:oMath>
                <m:r>
                  <m:rPr>
                    <m:sty m:val="bi"/>
                  </m:rPr>
                  <w:rPr>
                    <w:rFonts w:ascii="Cambria Math" w:hAnsi="Cambria Math" w:cs="Arial"/>
                    <w:sz w:val="22"/>
                    <w:szCs w:val="22"/>
                  </w:rPr>
                  <m:t>δ</m:t>
                </m:r>
              </m:oMath>
            </m:oMathPara>
          </w:p>
        </w:tc>
        <w:tc>
          <w:tcPr>
            <w:tcW w:w="4374" w:type="dxa"/>
            <w:hideMark/>
          </w:tcPr>
          <w:p w14:paraId="2BD2742E" w14:textId="77777777" w:rsidR="00195C85" w:rsidRPr="009911DB"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11DB">
              <w:rPr>
                <w:rFonts w:ascii="Arial" w:hAnsi="Arial" w:cs="Arial"/>
                <w:sz w:val="20"/>
                <w:szCs w:val="20"/>
              </w:rPr>
              <w:t>Relativeness infectiousness during incubation</w:t>
            </w:r>
            <w:r w:rsidRPr="005A7B5F">
              <w:rPr>
                <w:rFonts w:ascii="Arial" w:hAnsi="Arial" w:cs="Arial"/>
                <w:sz w:val="20"/>
                <w:szCs w:val="20"/>
              </w:rPr>
              <w:t xml:space="preserve"> and asymptomatic</w:t>
            </w:r>
            <w:r w:rsidRPr="009911DB">
              <w:rPr>
                <w:rFonts w:ascii="Arial" w:hAnsi="Arial" w:cs="Arial"/>
                <w:sz w:val="20"/>
                <w:szCs w:val="20"/>
              </w:rPr>
              <w:t xml:space="preserve"> period</w:t>
            </w:r>
          </w:p>
        </w:tc>
        <w:tc>
          <w:tcPr>
            <w:tcW w:w="2769" w:type="dxa"/>
            <w:hideMark/>
          </w:tcPr>
          <w:p w14:paraId="43BFD789" w14:textId="4C911EEB" w:rsidR="00195C85" w:rsidRPr="009911DB"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11DB">
              <w:rPr>
                <w:rFonts w:ascii="Arial" w:hAnsi="Arial" w:cs="Arial"/>
                <w:sz w:val="20"/>
                <w:szCs w:val="20"/>
              </w:rPr>
              <w:t>0.05</w:t>
            </w:r>
            <w:r>
              <w:rPr>
                <w:rFonts w:ascii="Arial" w:hAnsi="Arial" w:cs="Arial"/>
                <w:sz w:val="20"/>
                <w:szCs w:val="20"/>
              </w:rPr>
              <w:t xml:space="preserve"> [</w:t>
            </w:r>
            <w:r w:rsidR="00550E64">
              <w:rPr>
                <w:rFonts w:ascii="Arial" w:hAnsi="Arial" w:cs="Arial"/>
                <w:sz w:val="20"/>
                <w:szCs w:val="20"/>
              </w:rPr>
              <w:t>2</w:t>
            </w:r>
            <w:r w:rsidR="00D263D0">
              <w:rPr>
                <w:rFonts w:ascii="Arial" w:hAnsi="Arial" w:cs="Arial"/>
                <w:sz w:val="20"/>
                <w:szCs w:val="20"/>
              </w:rPr>
              <w:t>5</w:t>
            </w:r>
            <w:r>
              <w:rPr>
                <w:rFonts w:ascii="Arial" w:hAnsi="Arial" w:cs="Arial"/>
                <w:sz w:val="20"/>
                <w:szCs w:val="20"/>
              </w:rPr>
              <w:t>]</w:t>
            </w:r>
          </w:p>
        </w:tc>
      </w:tr>
      <w:tr w:rsidR="00195C85" w:rsidRPr="005A7B5F" w14:paraId="367DD24C" w14:textId="77777777" w:rsidTr="00AE4DF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717" w:type="dxa"/>
            <w:hideMark/>
          </w:tcPr>
          <w:p w14:paraId="2783B8A8" w14:textId="77777777" w:rsidR="00195C85" w:rsidRPr="009911DB" w:rsidRDefault="00195C85" w:rsidP="00AE4DFD">
            <w:pPr>
              <w:spacing w:line="276" w:lineRule="auto"/>
              <w:rPr>
                <w:rFonts w:ascii="Arial" w:hAnsi="Arial" w:cs="Arial"/>
                <w:sz w:val="20"/>
                <w:szCs w:val="20"/>
              </w:rPr>
            </w:pPr>
            <m:oMathPara>
              <m:oMathParaPr>
                <m:jc m:val="centerGroup"/>
              </m:oMathParaPr>
              <m:oMath>
                <m:r>
                  <m:rPr>
                    <m:sty m:val="b"/>
                  </m:rPr>
                  <w:rPr>
                    <w:rFonts w:ascii="Cambria Math" w:hAnsi="Cambria Math" w:cs="Arial"/>
                    <w:sz w:val="20"/>
                    <w:szCs w:val="20"/>
                  </w:rPr>
                  <m:t>1/</m:t>
                </m:r>
                <m:r>
                  <m:rPr>
                    <m:sty m:val="bi"/>
                  </m:rPr>
                  <w:rPr>
                    <w:rFonts w:ascii="Cambria Math" w:hAnsi="Cambria Math" w:cs="Arial"/>
                    <w:sz w:val="20"/>
                    <w:szCs w:val="20"/>
                  </w:rPr>
                  <m:t>θ</m:t>
                </m:r>
              </m:oMath>
            </m:oMathPara>
          </w:p>
        </w:tc>
        <w:tc>
          <w:tcPr>
            <w:tcW w:w="4374" w:type="dxa"/>
            <w:hideMark/>
          </w:tcPr>
          <w:p w14:paraId="034FC28D" w14:textId="77777777" w:rsidR="00195C85" w:rsidRPr="009911DB"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911DB">
              <w:rPr>
                <w:rFonts w:ascii="Arial" w:hAnsi="Arial" w:cs="Arial"/>
                <w:sz w:val="20"/>
                <w:szCs w:val="20"/>
              </w:rPr>
              <w:t>Duration of immunity</w:t>
            </w:r>
          </w:p>
        </w:tc>
        <w:tc>
          <w:tcPr>
            <w:tcW w:w="2769" w:type="dxa"/>
            <w:hideMark/>
          </w:tcPr>
          <w:p w14:paraId="25E75392" w14:textId="07C40840" w:rsidR="00195C85" w:rsidRPr="009911DB"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911DB">
              <w:rPr>
                <w:rFonts w:ascii="Arial" w:hAnsi="Arial" w:cs="Arial"/>
                <w:sz w:val="20"/>
                <w:szCs w:val="20"/>
              </w:rPr>
              <w:t>5.1 years</w:t>
            </w:r>
            <w:r>
              <w:rPr>
                <w:rFonts w:ascii="Arial" w:hAnsi="Arial" w:cs="Arial"/>
                <w:sz w:val="20"/>
                <w:szCs w:val="20"/>
              </w:rPr>
              <w:t xml:space="preserve"> [</w:t>
            </w:r>
            <w:r w:rsidR="00D263D0">
              <w:rPr>
                <w:rFonts w:ascii="Arial" w:hAnsi="Arial" w:cs="Arial"/>
                <w:sz w:val="20"/>
                <w:szCs w:val="20"/>
              </w:rPr>
              <w:t>21</w:t>
            </w:r>
            <w:r>
              <w:rPr>
                <w:rFonts w:ascii="Arial" w:hAnsi="Arial" w:cs="Arial"/>
                <w:sz w:val="20"/>
                <w:szCs w:val="20"/>
              </w:rPr>
              <w:t>]</w:t>
            </w:r>
          </w:p>
        </w:tc>
      </w:tr>
      <w:tr w:rsidR="00195C85" w:rsidRPr="005A7B5F" w14:paraId="19706FE4" w14:textId="77777777" w:rsidTr="00AE4DFD">
        <w:trPr>
          <w:trHeight w:val="463"/>
        </w:trPr>
        <w:tc>
          <w:tcPr>
            <w:cnfStyle w:val="001000000000" w:firstRow="0" w:lastRow="0" w:firstColumn="1" w:lastColumn="0" w:oddVBand="0" w:evenVBand="0" w:oddHBand="0" w:evenHBand="0" w:firstRowFirstColumn="0" w:firstRowLastColumn="0" w:lastRowFirstColumn="0" w:lastRowLastColumn="0"/>
            <w:tcW w:w="1717" w:type="dxa"/>
          </w:tcPr>
          <w:p w14:paraId="13F97851" w14:textId="77777777" w:rsidR="00195C85" w:rsidRPr="005A7B5F" w:rsidRDefault="00195C85" w:rsidP="00AE4DFD">
            <w:pPr>
              <w:spacing w:line="276" w:lineRule="auto"/>
              <w:jc w:val="center"/>
              <w:rPr>
                <w:rFonts w:ascii="Arial" w:eastAsia="Calibri" w:hAnsi="Arial" w:cs="Arial"/>
                <w:b w:val="0"/>
                <w:bCs w:val="0"/>
                <w:sz w:val="20"/>
                <w:szCs w:val="20"/>
              </w:rPr>
            </w:pPr>
            <m:oMathPara>
              <m:oMath>
                <m:r>
                  <m:rPr>
                    <m:sty m:val="bi"/>
                  </m:rPr>
                  <w:rPr>
                    <w:rFonts w:ascii="Cambria Math" w:eastAsia="Calibri" w:hAnsi="Cambria Math" w:cs="Arial"/>
                    <w:sz w:val="20"/>
                    <w:szCs w:val="20"/>
                  </w:rPr>
                  <m:t>α</m:t>
                </m:r>
              </m:oMath>
            </m:oMathPara>
          </w:p>
        </w:tc>
        <w:tc>
          <w:tcPr>
            <w:tcW w:w="4374" w:type="dxa"/>
          </w:tcPr>
          <w:p w14:paraId="64897292" w14:textId="77777777" w:rsidR="00195C85" w:rsidRPr="005A7B5F"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7B5F">
              <w:rPr>
                <w:rFonts w:ascii="Arial" w:hAnsi="Arial" w:cs="Arial"/>
                <w:sz w:val="20"/>
                <w:szCs w:val="20"/>
              </w:rPr>
              <w:t>Relative rate of infection for individuals who have recently recovered from symptomatic infection, compared to symptomatic infection</w:t>
            </w:r>
          </w:p>
        </w:tc>
        <w:tc>
          <w:tcPr>
            <w:tcW w:w="2769" w:type="dxa"/>
          </w:tcPr>
          <w:p w14:paraId="07FD3F42" w14:textId="77777777" w:rsidR="00195C85" w:rsidRPr="005A7B5F"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7B5F">
              <w:rPr>
                <w:rFonts w:ascii="Arial" w:hAnsi="Arial" w:cs="Arial"/>
                <w:sz w:val="20"/>
                <w:szCs w:val="20"/>
              </w:rPr>
              <w:t>1</w:t>
            </w:r>
          </w:p>
        </w:tc>
      </w:tr>
      <w:tr w:rsidR="00195C85" w:rsidRPr="005A7B5F" w14:paraId="6856545F" w14:textId="77777777" w:rsidTr="00AE4DF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717" w:type="dxa"/>
          </w:tcPr>
          <w:p w14:paraId="0981380D" w14:textId="77777777" w:rsidR="00195C85" w:rsidRPr="00E20DB5" w:rsidRDefault="00195C85" w:rsidP="00AE4DFD">
            <w:pPr>
              <w:spacing w:line="276" w:lineRule="auto"/>
              <w:jc w:val="center"/>
              <w:rPr>
                <w:rFonts w:ascii="Arial" w:eastAsia="Calibri" w:hAnsi="Arial" w:cs="Arial"/>
                <w:b w:val="0"/>
                <w:bCs w:val="0"/>
                <w:i/>
                <w:iCs/>
                <w:sz w:val="20"/>
                <w:szCs w:val="20"/>
              </w:rPr>
            </w:pPr>
            <w:r w:rsidRPr="00E20DB5">
              <w:rPr>
                <w:rFonts w:ascii="Arial" w:eastAsia="Calibri" w:hAnsi="Arial" w:cs="Arial"/>
                <w:b w:val="0"/>
                <w:bCs w:val="0"/>
                <w:i/>
                <w:iCs/>
                <w:sz w:val="20"/>
                <w:szCs w:val="20"/>
              </w:rPr>
              <w:t>b</w:t>
            </w:r>
          </w:p>
        </w:tc>
        <w:tc>
          <w:tcPr>
            <w:tcW w:w="4374" w:type="dxa"/>
          </w:tcPr>
          <w:p w14:paraId="3D50035E" w14:textId="77777777" w:rsidR="00195C85" w:rsidRPr="005A7B5F"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7B5F">
              <w:rPr>
                <w:rFonts w:ascii="Arial" w:hAnsi="Arial" w:cs="Arial"/>
                <w:sz w:val="20"/>
                <w:szCs w:val="20"/>
              </w:rPr>
              <w:t>Birth rate</w:t>
            </w:r>
          </w:p>
        </w:tc>
        <w:tc>
          <w:tcPr>
            <w:tcW w:w="2769" w:type="dxa"/>
          </w:tcPr>
          <w:p w14:paraId="419E1347" w14:textId="77777777" w:rsidR="00195C85" w:rsidRPr="005A7B5F"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7B5F">
              <w:rPr>
                <w:rFonts w:ascii="Arial" w:hAnsi="Arial" w:cs="Arial"/>
                <w:sz w:val="20"/>
                <w:szCs w:val="20"/>
              </w:rPr>
              <w:t>Tuned to maintain population size of 100,000*</w:t>
            </w:r>
          </w:p>
        </w:tc>
      </w:tr>
      <w:tr w:rsidR="00195C85" w:rsidRPr="005A7B5F" w14:paraId="084315E3" w14:textId="77777777" w:rsidTr="00AE4DFD">
        <w:trPr>
          <w:trHeight w:val="463"/>
        </w:trPr>
        <w:tc>
          <w:tcPr>
            <w:cnfStyle w:val="001000000000" w:firstRow="0" w:lastRow="0" w:firstColumn="1" w:lastColumn="0" w:oddVBand="0" w:evenVBand="0" w:oddHBand="0" w:evenHBand="0" w:firstRowFirstColumn="0" w:firstRowLastColumn="0" w:lastRowFirstColumn="0" w:lastRowLastColumn="0"/>
            <w:tcW w:w="1717" w:type="dxa"/>
          </w:tcPr>
          <w:p w14:paraId="52EFA896" w14:textId="77777777" w:rsidR="00195C85" w:rsidRPr="00E20DB5" w:rsidRDefault="00195C85" w:rsidP="00AE4DFD">
            <w:pPr>
              <w:spacing w:line="276" w:lineRule="auto"/>
              <w:jc w:val="center"/>
              <w:rPr>
                <w:rFonts w:ascii="Arial" w:eastAsia="Calibri" w:hAnsi="Arial" w:cs="Arial"/>
                <w:b w:val="0"/>
                <w:bCs w:val="0"/>
                <w:i/>
                <w:iCs/>
                <w:sz w:val="20"/>
                <w:szCs w:val="20"/>
              </w:rPr>
            </w:pPr>
            <w:r w:rsidRPr="00E20DB5">
              <w:rPr>
                <w:rFonts w:ascii="Arial" w:eastAsia="Calibri" w:hAnsi="Arial" w:cs="Arial"/>
                <w:b w:val="0"/>
                <w:bCs w:val="0"/>
                <w:i/>
                <w:iCs/>
                <w:sz w:val="20"/>
                <w:szCs w:val="20"/>
              </w:rPr>
              <w:t>g</w:t>
            </w:r>
          </w:p>
        </w:tc>
        <w:tc>
          <w:tcPr>
            <w:tcW w:w="4374" w:type="dxa"/>
          </w:tcPr>
          <w:p w14:paraId="4F2367CB" w14:textId="77777777" w:rsidR="00195C85" w:rsidRPr="005A7B5F"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7B5F">
              <w:rPr>
                <w:rFonts w:ascii="Arial" w:hAnsi="Arial" w:cs="Arial"/>
                <w:sz w:val="20"/>
                <w:szCs w:val="20"/>
              </w:rPr>
              <w:t>Proportion of births assumed to be resistant to GII.4 infection</w:t>
            </w:r>
          </w:p>
        </w:tc>
        <w:tc>
          <w:tcPr>
            <w:tcW w:w="2769" w:type="dxa"/>
          </w:tcPr>
          <w:p w14:paraId="1C51C6C4" w14:textId="467E7757" w:rsidR="00195C85" w:rsidRPr="005A7B5F"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7B5F">
              <w:rPr>
                <w:rFonts w:ascii="Arial" w:hAnsi="Arial" w:cs="Arial"/>
                <w:sz w:val="20"/>
                <w:szCs w:val="20"/>
              </w:rPr>
              <w:t>0.2</w:t>
            </w:r>
            <w:r>
              <w:rPr>
                <w:rFonts w:ascii="Arial" w:hAnsi="Arial" w:cs="Arial"/>
                <w:sz w:val="20"/>
                <w:szCs w:val="20"/>
              </w:rPr>
              <w:t xml:space="preserve"> [</w:t>
            </w:r>
            <w:r w:rsidR="00D263D0">
              <w:rPr>
                <w:rFonts w:ascii="Arial" w:hAnsi="Arial" w:cs="Arial"/>
                <w:sz w:val="20"/>
                <w:szCs w:val="20"/>
              </w:rPr>
              <w:t>22</w:t>
            </w:r>
            <w:r>
              <w:rPr>
                <w:rFonts w:ascii="Arial" w:hAnsi="Arial" w:cs="Arial"/>
                <w:sz w:val="20"/>
                <w:szCs w:val="20"/>
              </w:rPr>
              <w:t>]</w:t>
            </w:r>
          </w:p>
        </w:tc>
      </w:tr>
      <w:tr w:rsidR="00195C85" w:rsidRPr="005A7B5F" w14:paraId="64DBF42D" w14:textId="77777777" w:rsidTr="00AE4DF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717" w:type="dxa"/>
          </w:tcPr>
          <w:p w14:paraId="10AB6049" w14:textId="77777777" w:rsidR="00195C85" w:rsidRPr="00E20DB5" w:rsidRDefault="00195C85" w:rsidP="00AE4DFD">
            <w:pPr>
              <w:spacing w:line="276" w:lineRule="auto"/>
              <w:jc w:val="center"/>
              <w:rPr>
                <w:rFonts w:ascii="Arial" w:eastAsia="Calibri" w:hAnsi="Arial" w:cs="Arial"/>
                <w:b w:val="0"/>
                <w:bCs w:val="0"/>
                <w:i/>
                <w:iCs/>
                <w:sz w:val="20"/>
                <w:szCs w:val="20"/>
              </w:rPr>
            </w:pPr>
            <w:r w:rsidRPr="00E20DB5">
              <w:rPr>
                <w:rFonts w:ascii="Arial" w:eastAsia="Calibri" w:hAnsi="Arial" w:cs="Arial"/>
                <w:b w:val="0"/>
                <w:bCs w:val="0"/>
                <w:i/>
                <w:iCs/>
                <w:sz w:val="20"/>
                <w:szCs w:val="20"/>
              </w:rPr>
              <w:t>f</w:t>
            </w:r>
          </w:p>
        </w:tc>
        <w:tc>
          <w:tcPr>
            <w:tcW w:w="4374" w:type="dxa"/>
          </w:tcPr>
          <w:p w14:paraId="19999A8D" w14:textId="77777777" w:rsidR="00195C85" w:rsidRPr="005A7B5F"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7B5F">
              <w:rPr>
                <w:rFonts w:ascii="Arial" w:hAnsi="Arial" w:cs="Arial"/>
                <w:sz w:val="20"/>
                <w:szCs w:val="20"/>
              </w:rPr>
              <w:t>Proportion of first infections that are assumed to be symptomatic</w:t>
            </w:r>
          </w:p>
        </w:tc>
        <w:tc>
          <w:tcPr>
            <w:tcW w:w="2769" w:type="dxa"/>
          </w:tcPr>
          <w:p w14:paraId="34CAD862" w14:textId="77777777" w:rsidR="00195C85" w:rsidRPr="005A7B5F"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7B5F">
              <w:rPr>
                <w:rFonts w:ascii="Arial" w:hAnsi="Arial" w:cs="Arial"/>
                <w:sz w:val="20"/>
                <w:szCs w:val="20"/>
              </w:rPr>
              <w:t>1, but varied as part of sensitivity analysis</w:t>
            </w:r>
          </w:p>
        </w:tc>
      </w:tr>
      <w:tr w:rsidR="00195C85" w:rsidRPr="005A7B5F" w14:paraId="65F10AB6" w14:textId="77777777" w:rsidTr="00AE4DFD">
        <w:trPr>
          <w:trHeight w:val="463"/>
        </w:trPr>
        <w:tc>
          <w:tcPr>
            <w:cnfStyle w:val="001000000000" w:firstRow="0" w:lastRow="0" w:firstColumn="1" w:lastColumn="0" w:oddVBand="0" w:evenVBand="0" w:oddHBand="0" w:evenHBand="0" w:firstRowFirstColumn="0" w:firstRowLastColumn="0" w:lastRowFirstColumn="0" w:lastRowLastColumn="0"/>
            <w:tcW w:w="1717" w:type="dxa"/>
          </w:tcPr>
          <w:p w14:paraId="6533549D" w14:textId="77777777" w:rsidR="00195C85" w:rsidRPr="005A7B5F" w:rsidRDefault="00195C85" w:rsidP="00AE4DFD">
            <w:pPr>
              <w:spacing w:line="276" w:lineRule="auto"/>
              <w:rPr>
                <w:rFonts w:ascii="Arial" w:eastAsia="Calibri" w:hAnsi="Arial" w:cs="Arial"/>
                <w:b w:val="0"/>
                <w:bCs w:val="0"/>
                <w:sz w:val="20"/>
                <w:szCs w:val="20"/>
              </w:rPr>
            </w:pPr>
            <m:oMathPara>
              <m:oMath>
                <m:r>
                  <m:rPr>
                    <m:sty m:val="bi"/>
                  </m:rPr>
                  <w:rPr>
                    <w:rFonts w:ascii="Cambria Math" w:eastAsia="Calibri" w:hAnsi="Cambria Math" w:cs="Arial"/>
                    <w:sz w:val="20"/>
                    <w:szCs w:val="20"/>
                  </w:rPr>
                  <m:t>η</m:t>
                </m:r>
              </m:oMath>
            </m:oMathPara>
          </w:p>
        </w:tc>
        <w:tc>
          <w:tcPr>
            <w:tcW w:w="4374" w:type="dxa"/>
          </w:tcPr>
          <w:p w14:paraId="7D41E4F2" w14:textId="77777777" w:rsidR="00195C85" w:rsidRPr="005A7B5F"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7B5F">
              <w:rPr>
                <w:rFonts w:ascii="Arial" w:hAnsi="Arial" w:cs="Arial"/>
                <w:sz w:val="20"/>
                <w:szCs w:val="20"/>
              </w:rPr>
              <w:t>Age-specific death rate</w:t>
            </w:r>
          </w:p>
        </w:tc>
        <w:tc>
          <w:tcPr>
            <w:tcW w:w="2769" w:type="dxa"/>
          </w:tcPr>
          <w:p w14:paraId="63F916EA" w14:textId="77777777" w:rsidR="00195C85" w:rsidRPr="005A7B5F"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7B5F">
              <w:rPr>
                <w:rFonts w:ascii="Arial" w:hAnsi="Arial" w:cs="Arial"/>
                <w:sz w:val="20"/>
                <w:szCs w:val="20"/>
              </w:rPr>
              <w:t>Tuned to fit to ONS census data</w:t>
            </w:r>
          </w:p>
        </w:tc>
      </w:tr>
      <w:tr w:rsidR="00195C85" w:rsidRPr="005A7B5F" w14:paraId="5B50D983" w14:textId="77777777" w:rsidTr="00AE4DFD">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17" w:type="dxa"/>
          </w:tcPr>
          <w:p w14:paraId="6B34E40C" w14:textId="77777777" w:rsidR="00195C85" w:rsidRPr="005A7B5F" w:rsidRDefault="00550E64" w:rsidP="00AE4DFD">
            <w:pPr>
              <w:spacing w:line="276" w:lineRule="auto"/>
              <w:jc w:val="center"/>
              <w:rPr>
                <w:rFonts w:ascii="Arial" w:hAnsi="Arial" w:cs="Arial"/>
                <w:b w:val="0"/>
                <w:bCs w:val="0"/>
                <w:sz w:val="20"/>
                <w:szCs w:val="20"/>
              </w:rPr>
            </w:pPr>
            <m:oMathPara>
              <m:oMath>
                <m:sSub>
                  <m:sSubPr>
                    <m:ctrlPr>
                      <w:rPr>
                        <w:rFonts w:ascii="Cambria Math" w:hAnsi="Cambria Math" w:cs="Arial"/>
                        <w:b w:val="0"/>
                        <w:bCs w:val="0"/>
                        <w:i/>
                        <w:sz w:val="20"/>
                        <w:szCs w:val="20"/>
                      </w:rPr>
                    </m:ctrlPr>
                  </m:sSubPr>
                  <m:e>
                    <m:r>
                      <m:rPr>
                        <m:sty m:val="bi"/>
                      </m:rPr>
                      <w:rPr>
                        <w:rFonts w:ascii="Cambria Math" w:hAnsi="Cambria Math" w:cs="Arial"/>
                        <w:sz w:val="20"/>
                        <w:szCs w:val="20"/>
                      </w:rPr>
                      <m:t>c</m:t>
                    </m:r>
                  </m:e>
                  <m:sub>
                    <m:r>
                      <m:rPr>
                        <m:sty m:val="bi"/>
                      </m:rPr>
                      <w:rPr>
                        <w:rFonts w:ascii="Cambria Math" w:hAnsi="Cambria Math" w:cs="Arial"/>
                        <w:sz w:val="20"/>
                        <w:szCs w:val="20"/>
                      </w:rPr>
                      <m:t>ij</m:t>
                    </m:r>
                  </m:sub>
                </m:sSub>
              </m:oMath>
            </m:oMathPara>
          </w:p>
        </w:tc>
        <w:tc>
          <w:tcPr>
            <w:tcW w:w="4374" w:type="dxa"/>
          </w:tcPr>
          <w:p w14:paraId="671D8AD5" w14:textId="77777777" w:rsidR="00195C85" w:rsidRPr="005A7B5F"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7B5F">
              <w:rPr>
                <w:rFonts w:ascii="Arial" w:hAnsi="Arial" w:cs="Arial"/>
                <w:sz w:val="20"/>
                <w:szCs w:val="20"/>
              </w:rPr>
              <w:t xml:space="preserve">Age-specific contact rates, where j is in contact with </w:t>
            </w:r>
            <w:proofErr w:type="spellStart"/>
            <w:r w:rsidRPr="005A7B5F">
              <w:rPr>
                <w:rFonts w:ascii="Arial" w:hAnsi="Arial" w:cs="Arial"/>
                <w:sz w:val="20"/>
                <w:szCs w:val="20"/>
              </w:rPr>
              <w:t>i</w:t>
            </w:r>
            <w:proofErr w:type="spellEnd"/>
            <w:r w:rsidRPr="005A7B5F">
              <w:rPr>
                <w:rFonts w:ascii="Arial" w:hAnsi="Arial" w:cs="Arial"/>
                <w:sz w:val="20"/>
                <w:szCs w:val="20"/>
              </w:rPr>
              <w:t xml:space="preserve"> </w:t>
            </w:r>
          </w:p>
        </w:tc>
        <w:tc>
          <w:tcPr>
            <w:tcW w:w="2769" w:type="dxa"/>
          </w:tcPr>
          <w:p w14:paraId="7363EB90" w14:textId="77777777" w:rsidR="00195C85" w:rsidRPr="005A7B5F" w:rsidRDefault="00195C85" w:rsidP="00AE4D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5A7B5F">
              <w:rPr>
                <w:rFonts w:ascii="Arial" w:hAnsi="Arial" w:cs="Arial"/>
                <w:sz w:val="20"/>
                <w:szCs w:val="20"/>
              </w:rPr>
              <w:t>Polymod</w:t>
            </w:r>
            <w:proofErr w:type="spellEnd"/>
            <w:r w:rsidRPr="005A7B5F">
              <w:rPr>
                <w:rFonts w:ascii="Arial" w:hAnsi="Arial" w:cs="Arial"/>
                <w:sz w:val="20"/>
                <w:szCs w:val="20"/>
              </w:rPr>
              <w:t xml:space="preserve"> and Comix data, assuming symmetric contact rates</w:t>
            </w:r>
          </w:p>
        </w:tc>
      </w:tr>
      <w:tr w:rsidR="00195C85" w:rsidRPr="005A7B5F" w14:paraId="55E14C6C" w14:textId="77777777" w:rsidTr="00AE4DFD">
        <w:trPr>
          <w:trHeight w:val="400"/>
        </w:trPr>
        <w:tc>
          <w:tcPr>
            <w:cnfStyle w:val="001000000000" w:firstRow="0" w:lastRow="0" w:firstColumn="1" w:lastColumn="0" w:oddVBand="0" w:evenVBand="0" w:oddHBand="0" w:evenHBand="0" w:firstRowFirstColumn="0" w:firstRowLastColumn="0" w:lastRowFirstColumn="0" w:lastRowLastColumn="0"/>
            <w:tcW w:w="1717" w:type="dxa"/>
            <w:hideMark/>
          </w:tcPr>
          <w:p w14:paraId="47B56D80" w14:textId="77777777" w:rsidR="00195C85" w:rsidRPr="009911DB" w:rsidRDefault="00195C85" w:rsidP="00AE4DFD">
            <w:pPr>
              <w:spacing w:line="276" w:lineRule="auto"/>
              <w:jc w:val="center"/>
              <w:rPr>
                <w:rFonts w:ascii="Arial" w:hAnsi="Arial" w:cs="Arial"/>
                <w:b w:val="0"/>
                <w:bCs w:val="0"/>
                <w:i/>
                <w:iCs/>
                <w:sz w:val="20"/>
                <w:szCs w:val="20"/>
              </w:rPr>
            </w:pPr>
            <w:r w:rsidRPr="009911DB">
              <w:rPr>
                <w:rFonts w:ascii="Arial" w:hAnsi="Arial" w:cs="Arial"/>
                <w:b w:val="0"/>
                <w:bCs w:val="0"/>
                <w:i/>
                <w:iCs/>
                <w:sz w:val="20"/>
                <w:szCs w:val="20"/>
              </w:rPr>
              <w:t>q</w:t>
            </w:r>
          </w:p>
        </w:tc>
        <w:tc>
          <w:tcPr>
            <w:tcW w:w="4374" w:type="dxa"/>
            <w:hideMark/>
          </w:tcPr>
          <w:p w14:paraId="1636AB75" w14:textId="77777777" w:rsidR="00195C85" w:rsidRPr="009911DB"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11DB">
              <w:rPr>
                <w:rFonts w:ascii="Arial" w:hAnsi="Arial" w:cs="Arial"/>
                <w:sz w:val="20"/>
                <w:szCs w:val="20"/>
              </w:rPr>
              <w:t>Probability of transmission per infectious contact</w:t>
            </w:r>
          </w:p>
        </w:tc>
        <w:tc>
          <w:tcPr>
            <w:tcW w:w="2769" w:type="dxa"/>
            <w:hideMark/>
          </w:tcPr>
          <w:p w14:paraId="4A5C66D1" w14:textId="77777777" w:rsidR="00195C85" w:rsidRPr="009911DB" w:rsidRDefault="00195C85" w:rsidP="00AE4DF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11DB">
              <w:rPr>
                <w:rFonts w:ascii="Arial" w:hAnsi="Arial" w:cs="Arial"/>
                <w:sz w:val="20"/>
                <w:szCs w:val="20"/>
              </w:rPr>
              <w:t>Estimated</w:t>
            </w:r>
            <w:r w:rsidRPr="005A7B5F">
              <w:rPr>
                <w:rFonts w:ascii="Arial" w:hAnsi="Arial" w:cs="Arial"/>
                <w:sz w:val="20"/>
                <w:szCs w:val="20"/>
              </w:rPr>
              <w:t xml:space="preserve"> from data</w:t>
            </w:r>
          </w:p>
        </w:tc>
      </w:tr>
    </w:tbl>
    <w:p w14:paraId="3F3DA5AC" w14:textId="77777777" w:rsidR="00195C85" w:rsidRPr="005A7B5F" w:rsidRDefault="00195C85" w:rsidP="00195C85">
      <w:pPr>
        <w:spacing w:line="276" w:lineRule="auto"/>
        <w:rPr>
          <w:rFonts w:ascii="Arial" w:hAnsi="Arial" w:cs="Arial"/>
          <w:sz w:val="20"/>
          <w:szCs w:val="20"/>
        </w:rPr>
      </w:pPr>
      <w:r w:rsidRPr="005A7B5F">
        <w:rPr>
          <w:rFonts w:ascii="Arial" w:hAnsi="Arial" w:cs="Arial"/>
          <w:sz w:val="20"/>
          <w:szCs w:val="20"/>
        </w:rPr>
        <w:t xml:space="preserve">* But note that the impact of a reduced birth rate in 2020-2021 was also trialled in simulations </w:t>
      </w:r>
    </w:p>
    <w:p w14:paraId="3B099A8A" w14:textId="7CB52961" w:rsidR="00195C85" w:rsidRDefault="00195C85" w:rsidP="00195C85">
      <w:pPr>
        <w:rPr>
          <w:rFonts w:ascii="Arial" w:hAnsi="Arial" w:cs="Arial"/>
        </w:rPr>
      </w:pPr>
    </w:p>
    <w:p w14:paraId="4863CE98" w14:textId="44DBA667" w:rsidR="00F95A1E" w:rsidRPr="00195C85" w:rsidRDefault="00F95A1E">
      <w:pPr>
        <w:rPr>
          <w:rFonts w:ascii="Arial" w:hAnsi="Arial" w:cs="Arial"/>
          <w:b/>
          <w:bCs/>
          <w:u w:val="single"/>
        </w:rPr>
      </w:pPr>
    </w:p>
    <w:sectPr w:rsidR="00F95A1E" w:rsidRPr="00195C85" w:rsidSect="00F84F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85"/>
    <w:rsid w:val="00195C85"/>
    <w:rsid w:val="00454958"/>
    <w:rsid w:val="00550E64"/>
    <w:rsid w:val="00750202"/>
    <w:rsid w:val="00CB2344"/>
    <w:rsid w:val="00D263D0"/>
    <w:rsid w:val="00F84FCC"/>
    <w:rsid w:val="00F9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B5FE31"/>
  <w15:chartTrackingRefBased/>
  <w15:docId w15:val="{D0A69C50-57DA-C345-98DC-1A5A2529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95C85"/>
    <w:pPr>
      <w:spacing w:after="200"/>
    </w:pPr>
    <w:rPr>
      <w:i/>
      <w:iCs/>
      <w:color w:val="44546A" w:themeColor="text2"/>
      <w:sz w:val="18"/>
      <w:szCs w:val="18"/>
    </w:rPr>
  </w:style>
  <w:style w:type="table" w:styleId="PlainTable1">
    <w:name w:val="Plain Table 1"/>
    <w:basedOn w:val="TableNormal"/>
    <w:uiPriority w:val="41"/>
    <w:rsid w:val="00195C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O'Reilly</dc:creator>
  <cp:keywords/>
  <dc:description/>
  <cp:lastModifiedBy>Kathleen O'Reilly</cp:lastModifiedBy>
  <cp:revision>4</cp:revision>
  <dcterms:created xsi:type="dcterms:W3CDTF">2021-09-01T10:11:00Z</dcterms:created>
  <dcterms:modified xsi:type="dcterms:W3CDTF">2021-09-01T10:29:00Z</dcterms:modified>
</cp:coreProperties>
</file>