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3ED" w:rsidRDefault="00C363ED" w:rsidP="00C363ED">
      <w:pPr>
        <w:rPr>
          <w:b/>
        </w:rPr>
      </w:pPr>
      <w:r>
        <w:rPr>
          <w:b/>
        </w:rPr>
        <w:t xml:space="preserve">Supplemental Material </w:t>
      </w:r>
    </w:p>
    <w:p w:rsidR="00C363ED" w:rsidRDefault="00C363ED" w:rsidP="00C363ED">
      <w:r>
        <w:t>For:</w:t>
      </w:r>
      <w:r>
        <w:rPr>
          <w:b/>
        </w:rPr>
        <w:t xml:space="preserve"> </w:t>
      </w:r>
      <w:r>
        <w:t xml:space="preserve">Inferring Transmission Fitness Advantage </w:t>
      </w:r>
      <w:proofErr w:type="gramStart"/>
      <w:r>
        <w:t>of  SARS</w:t>
      </w:r>
      <w:proofErr w:type="gramEnd"/>
      <w:r>
        <w:t>-CoV-2 Variants of Concern in Wastewater Using Digital PCR</w:t>
      </w:r>
    </w:p>
    <w:p w:rsidR="00C363ED" w:rsidRDefault="00C363ED" w:rsidP="00C363ED"/>
    <w:p w:rsidR="00C363ED" w:rsidRDefault="00C363ED" w:rsidP="00C363ED">
      <w:pPr>
        <w:pStyle w:val="Heading4"/>
        <w:rPr>
          <w:color w:val="191919"/>
          <w:highlight w:val="white"/>
        </w:rPr>
      </w:pPr>
      <w:bookmarkStart w:id="0" w:name="_8trrq8x8u7r5" w:colFirst="0" w:colLast="0"/>
      <w:bookmarkEnd w:id="0"/>
      <w:r>
        <w:t>Supplemental Material Contains:</w:t>
      </w:r>
    </w:p>
    <w:p w:rsidR="00C363ED" w:rsidRDefault="00C363ED" w:rsidP="00C363ED">
      <w:pPr>
        <w:rPr>
          <w:color w:val="191919"/>
          <w:highlight w:val="white"/>
        </w:rPr>
      </w:pPr>
      <w:r>
        <w:rPr>
          <w:b/>
        </w:rPr>
        <w:t>Table S1.</w:t>
      </w:r>
      <w:r>
        <w:t xml:space="preserve"> Composition of </w:t>
      </w:r>
      <w:proofErr w:type="spellStart"/>
      <w:r>
        <w:t>mastermix</w:t>
      </w:r>
      <w:proofErr w:type="spellEnd"/>
      <w:r>
        <w:t xml:space="preserve"> for both assays</w:t>
      </w:r>
    </w:p>
    <w:p w:rsidR="00C363ED" w:rsidRDefault="00C363ED" w:rsidP="00C363ED">
      <w:pPr>
        <w:rPr>
          <w:color w:val="191919"/>
          <w:highlight w:val="white"/>
        </w:rPr>
      </w:pPr>
      <w:r>
        <w:rPr>
          <w:b/>
        </w:rPr>
        <w:t xml:space="preserve">Figure S1. </w:t>
      </w:r>
      <w:r>
        <w:rPr>
          <w:color w:val="191919"/>
          <w:highlight w:val="white"/>
        </w:rPr>
        <w:t xml:space="preserve">Impact of wastewater dilutions on concentrations of SARS-CoV-2 RNA per reaction volume </w:t>
      </w:r>
    </w:p>
    <w:p w:rsidR="00C363ED" w:rsidRDefault="00C363ED" w:rsidP="00C363ED">
      <w:r>
        <w:rPr>
          <w:b/>
        </w:rPr>
        <w:t>Table S2.</w:t>
      </w:r>
      <w:r>
        <w:t xml:space="preserve"> </w:t>
      </w:r>
      <w:proofErr w:type="spellStart"/>
      <w:proofErr w:type="gramStart"/>
      <w:r>
        <w:t>dMIQE</w:t>
      </w:r>
      <w:proofErr w:type="spellEnd"/>
      <w:proofErr w:type="gramEnd"/>
      <w:r>
        <w:t xml:space="preserve"> guidelines </w:t>
      </w:r>
    </w:p>
    <w:p w:rsidR="00C363ED" w:rsidRDefault="00C363ED" w:rsidP="00C363ED">
      <w:r>
        <w:rPr>
          <w:b/>
        </w:rPr>
        <w:t xml:space="preserve">Figure S2. </w:t>
      </w:r>
      <w:r>
        <w:t>Scatterplot of positive and negative control for both assays</w:t>
      </w:r>
    </w:p>
    <w:p w:rsidR="00C363ED" w:rsidRDefault="00C363ED" w:rsidP="00C363ED">
      <w:pPr>
        <w:rPr>
          <w:color w:val="191919"/>
          <w:highlight w:val="white"/>
        </w:rPr>
      </w:pPr>
      <w:r>
        <w:rPr>
          <w:b/>
        </w:rPr>
        <w:t xml:space="preserve">Text S1. </w:t>
      </w:r>
      <w:r>
        <w:rPr>
          <w:color w:val="191919"/>
          <w:highlight w:val="white"/>
        </w:rPr>
        <w:t>Analysis of droplets in 2D scatter plot</w:t>
      </w:r>
    </w:p>
    <w:p w:rsidR="00C363ED" w:rsidRDefault="00C363ED" w:rsidP="00C363ED">
      <w:pPr>
        <w:rPr>
          <w:color w:val="191919"/>
          <w:highlight w:val="white"/>
        </w:rPr>
      </w:pPr>
      <w:r>
        <w:rPr>
          <w:b/>
        </w:rPr>
        <w:t xml:space="preserve">Figure S3. </w:t>
      </w:r>
      <w:r>
        <w:rPr>
          <w:color w:val="191919"/>
          <w:highlight w:val="white"/>
        </w:rPr>
        <w:t>Analysis of droplets in 2D scatter plot</w:t>
      </w:r>
    </w:p>
    <w:p w:rsidR="00C363ED" w:rsidRDefault="00C363ED" w:rsidP="00C363ED">
      <w:pPr>
        <w:rPr>
          <w:color w:val="191919"/>
          <w:highlight w:val="white"/>
        </w:rPr>
      </w:pPr>
      <w:r>
        <w:rPr>
          <w:b/>
          <w:color w:val="191919"/>
          <w:highlight w:val="white"/>
        </w:rPr>
        <w:t>Text S2.</w:t>
      </w:r>
      <w:r>
        <w:rPr>
          <w:color w:val="191919"/>
          <w:highlight w:val="white"/>
        </w:rPr>
        <w:t xml:space="preserve"> </w:t>
      </w:r>
      <w:r>
        <w:t>Supplementary Statistical Analysis</w:t>
      </w:r>
    </w:p>
    <w:p w:rsidR="00C363ED" w:rsidRDefault="00C363ED" w:rsidP="00C363ED">
      <w:pPr>
        <w:rPr>
          <w:color w:val="191919"/>
          <w:highlight w:val="white"/>
        </w:rPr>
      </w:pPr>
      <w:r>
        <w:rPr>
          <w:b/>
        </w:rPr>
        <w:t xml:space="preserve">Figure S4. </w:t>
      </w:r>
      <w:r>
        <w:rPr>
          <w:color w:val="191919"/>
          <w:highlight w:val="white"/>
        </w:rPr>
        <w:t>Proportion of spike Δ69-70 and ORF1a Δ3675-3677 in wastewater samples compared to clinical samples from throughout Switzerland</w:t>
      </w:r>
    </w:p>
    <w:p w:rsidR="00C363ED" w:rsidRDefault="00C363ED" w:rsidP="00C363ED">
      <w:r>
        <w:rPr>
          <w:b/>
        </w:rPr>
        <w:t xml:space="preserve">Figure S5. </w:t>
      </w:r>
      <w:proofErr w:type="spellStart"/>
      <w:r>
        <w:rPr>
          <w:color w:val="191919"/>
          <w:highlight w:val="white"/>
        </w:rPr>
        <w:t>Overdispersion</w:t>
      </w:r>
      <w:proofErr w:type="spellEnd"/>
      <w:r>
        <w:rPr>
          <w:color w:val="191919"/>
          <w:highlight w:val="white"/>
        </w:rPr>
        <w:t xml:space="preserve"> vs. Sample Size for the 2PL and 3PL models of the logistic growth of the spike Δ69-70</w:t>
      </w:r>
      <w:r>
        <w:t xml:space="preserve"> and ORF1a Δ3675-3677 deletions in wastewater and B.1.1.7 in clinical samples</w:t>
      </w:r>
    </w:p>
    <w:p w:rsidR="00C363ED" w:rsidRDefault="00C363ED" w:rsidP="00C363ED">
      <w:pPr>
        <w:rPr>
          <w:b/>
        </w:rPr>
      </w:pPr>
      <w:r>
        <w:rPr>
          <w:b/>
        </w:rPr>
        <w:t xml:space="preserve">Figure S6. </w:t>
      </w:r>
      <w:r>
        <w:t xml:space="preserve">Proportion of amplicons containing either the </w:t>
      </w:r>
      <w:r>
        <w:rPr>
          <w:color w:val="191919"/>
          <w:highlight w:val="white"/>
        </w:rPr>
        <w:t>spike Δ69-70 or ORF1a Δ3675-3677 deletions relative to expectation</w:t>
      </w:r>
    </w:p>
    <w:p w:rsidR="00C363ED" w:rsidRDefault="00C363ED" w:rsidP="00C363ED">
      <w:pPr>
        <w:rPr>
          <w:b/>
        </w:rPr>
      </w:pPr>
      <w:r>
        <w:rPr>
          <w:b/>
        </w:rPr>
        <w:t xml:space="preserve">Table S2. </w:t>
      </w:r>
      <w:r>
        <w:rPr>
          <w:color w:val="191919"/>
          <w:highlight w:val="white"/>
        </w:rPr>
        <w:t>Three parametric (3PL) and two-parametric (2PL) logistic model parameter estimates for the prevalence of spike Δ69-70 and ORF1a Δ3675-3677 in wastewater data, Swiss clinical data and Zurich clinical data</w:t>
      </w:r>
    </w:p>
    <w:p w:rsidR="00C363ED" w:rsidRDefault="00C363ED" w:rsidP="00C363ED">
      <w:pPr>
        <w:rPr>
          <w:color w:val="191919"/>
          <w:highlight w:val="white"/>
        </w:rPr>
      </w:pPr>
    </w:p>
    <w:p w:rsidR="00C363ED" w:rsidRDefault="00C363ED" w:rsidP="00C363ED">
      <w:pPr>
        <w:rPr>
          <w:color w:val="191919"/>
          <w:shd w:val="clear" w:color="auto" w:fill="E6B8AF"/>
        </w:rPr>
      </w:pPr>
    </w:p>
    <w:p w:rsidR="00C363ED" w:rsidRDefault="00C363ED" w:rsidP="00C363ED">
      <w:pPr>
        <w:rPr>
          <w:color w:val="191919"/>
          <w:highlight w:val="white"/>
        </w:rPr>
      </w:pPr>
    </w:p>
    <w:p w:rsidR="00C363ED" w:rsidRDefault="00C363ED" w:rsidP="00C363ED"/>
    <w:p w:rsidR="00C363ED" w:rsidRDefault="00C363ED" w:rsidP="00C363ED"/>
    <w:p w:rsidR="00C363ED" w:rsidRDefault="00C363ED" w:rsidP="00C363ED"/>
    <w:p w:rsidR="00C363ED" w:rsidRDefault="00C363ED" w:rsidP="00C363ED"/>
    <w:p w:rsidR="00C9527B" w:rsidRDefault="00C9527B">
      <w:pPr>
        <w:spacing w:after="160" w:line="259" w:lineRule="auto"/>
        <w:rPr>
          <w:b/>
        </w:rPr>
      </w:pPr>
      <w:r>
        <w:rPr>
          <w:b/>
        </w:rPr>
        <w:br w:type="page"/>
      </w:r>
    </w:p>
    <w:p w:rsidR="00C363ED" w:rsidRDefault="00C363ED" w:rsidP="00C363ED">
      <w:r>
        <w:rPr>
          <w:b/>
        </w:rPr>
        <w:lastRenderedPageBreak/>
        <w:t>Table S1.</w:t>
      </w:r>
      <w:r>
        <w:t xml:space="preserve"> Composition of </w:t>
      </w:r>
      <w:proofErr w:type="spellStart"/>
      <w:r>
        <w:t>mastermix</w:t>
      </w:r>
      <w:proofErr w:type="spellEnd"/>
      <w:r>
        <w:t xml:space="preserve"> for both assays, </w:t>
      </w:r>
      <w:r>
        <w:rPr>
          <w:color w:val="191919"/>
          <w:highlight w:val="white"/>
        </w:rPr>
        <w:t>spike Δ69-70 and ORF1a Δ3675-3677.</w:t>
      </w:r>
    </w:p>
    <w:tbl>
      <w:tblPr>
        <w:tblW w:w="8370" w:type="dxa"/>
        <w:tblLayout w:type="fixed"/>
        <w:tblLook w:val="0600" w:firstRow="0" w:lastRow="0" w:firstColumn="0" w:lastColumn="0" w:noHBand="1" w:noVBand="1"/>
      </w:tblPr>
      <w:tblGrid>
        <w:gridCol w:w="1560"/>
        <w:gridCol w:w="1560"/>
        <w:gridCol w:w="1560"/>
        <w:gridCol w:w="240"/>
        <w:gridCol w:w="2010"/>
        <w:gridCol w:w="1440"/>
      </w:tblGrid>
      <w:tr w:rsidR="00C363ED" w:rsidTr="000B7DDF">
        <w:trPr>
          <w:trHeight w:val="420"/>
        </w:trPr>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p>
        </w:tc>
        <w:tc>
          <w:tcPr>
            <w:tcW w:w="3120" w:type="dxa"/>
            <w:gridSpan w:val="2"/>
            <w:tcBorders>
              <w:bottom w:val="single" w:sz="12" w:space="0" w:color="000000"/>
            </w:tcBorders>
            <w:shd w:val="clear" w:color="auto" w:fill="auto"/>
            <w:tcMar>
              <w:top w:w="100" w:type="dxa"/>
              <w:left w:w="100" w:type="dxa"/>
              <w:bottom w:w="100" w:type="dxa"/>
              <w:right w:w="100" w:type="dxa"/>
            </w:tcMar>
          </w:tcPr>
          <w:p w:rsidR="00C363ED" w:rsidRDefault="00C363ED" w:rsidP="000B7DDF">
            <w:pPr>
              <w:jc w:val="center"/>
              <w:rPr>
                <w:b/>
              </w:rPr>
            </w:pPr>
            <w:r>
              <w:rPr>
                <w:b/>
                <w:color w:val="191919"/>
                <w:highlight w:val="white"/>
              </w:rPr>
              <w:t>spike Δ69-70</w:t>
            </w:r>
          </w:p>
        </w:tc>
        <w:tc>
          <w:tcPr>
            <w:tcW w:w="240" w:type="dxa"/>
            <w:shd w:val="clear" w:color="auto" w:fill="auto"/>
            <w:tcMar>
              <w:top w:w="100" w:type="dxa"/>
              <w:left w:w="100" w:type="dxa"/>
              <w:bottom w:w="100" w:type="dxa"/>
              <w:right w:w="100" w:type="dxa"/>
            </w:tcMar>
          </w:tcPr>
          <w:p w:rsidR="00C363ED" w:rsidRDefault="00C363ED" w:rsidP="000B7DDF">
            <w:pPr>
              <w:jc w:val="center"/>
              <w:rPr>
                <w:color w:val="191919"/>
                <w:highlight w:val="white"/>
              </w:rPr>
            </w:pPr>
          </w:p>
        </w:tc>
        <w:tc>
          <w:tcPr>
            <w:tcW w:w="3450" w:type="dxa"/>
            <w:gridSpan w:val="2"/>
            <w:tcBorders>
              <w:bottom w:val="single" w:sz="12" w:space="0" w:color="000000"/>
            </w:tcBorders>
            <w:shd w:val="clear" w:color="auto" w:fill="auto"/>
            <w:tcMar>
              <w:top w:w="100" w:type="dxa"/>
              <w:left w:w="100" w:type="dxa"/>
              <w:bottom w:w="100" w:type="dxa"/>
              <w:right w:w="100" w:type="dxa"/>
            </w:tcMar>
          </w:tcPr>
          <w:p w:rsidR="00C363ED" w:rsidRDefault="00C363ED" w:rsidP="000B7DDF">
            <w:pPr>
              <w:jc w:val="center"/>
              <w:rPr>
                <w:b/>
              </w:rPr>
            </w:pPr>
            <w:r>
              <w:rPr>
                <w:b/>
                <w:color w:val="191919"/>
                <w:highlight w:val="white"/>
              </w:rPr>
              <w:t>ORF1a Δ3675-3677</w:t>
            </w:r>
          </w:p>
        </w:tc>
      </w:tr>
      <w:tr w:rsidR="00C363ED" w:rsidTr="000B7DDF">
        <w:tc>
          <w:tcPr>
            <w:tcW w:w="156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pPr>
          </w:p>
        </w:tc>
        <w:tc>
          <w:tcPr>
            <w:tcW w:w="1560" w:type="dxa"/>
            <w:tcBorders>
              <w:top w:val="single" w:sz="12" w:space="0" w:color="000000"/>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Final concentration</w:t>
            </w:r>
          </w:p>
        </w:tc>
        <w:tc>
          <w:tcPr>
            <w:tcW w:w="1560" w:type="dxa"/>
            <w:tcBorders>
              <w:top w:val="single" w:sz="12" w:space="0" w:color="000000"/>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Volume 1 sample (µL)</w:t>
            </w:r>
          </w:p>
        </w:tc>
        <w:tc>
          <w:tcPr>
            <w:tcW w:w="24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tcBorders>
              <w:top w:val="single" w:sz="12" w:space="0" w:color="000000"/>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Final concentration</w:t>
            </w:r>
          </w:p>
        </w:tc>
        <w:tc>
          <w:tcPr>
            <w:tcW w:w="1440" w:type="dxa"/>
            <w:tcBorders>
              <w:top w:val="single" w:sz="12" w:space="0" w:color="000000"/>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Volume 1 sample (µL)</w:t>
            </w:r>
          </w:p>
        </w:tc>
      </w:tr>
      <w:tr w:rsidR="00C363ED" w:rsidTr="000B7DDF">
        <w:tc>
          <w:tcPr>
            <w:tcW w:w="1560" w:type="dxa"/>
            <w:tcBorders>
              <w:top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pPr>
            <w:proofErr w:type="spellStart"/>
            <w:r>
              <w:t>RNAse</w:t>
            </w:r>
            <w:proofErr w:type="spellEnd"/>
            <w:r>
              <w:t xml:space="preserve"> Free Water</w:t>
            </w:r>
          </w:p>
        </w:tc>
        <w:tc>
          <w:tcPr>
            <w:tcW w:w="1560" w:type="dxa"/>
            <w:tcBorders>
              <w:top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w:t>
            </w:r>
          </w:p>
        </w:tc>
        <w:tc>
          <w:tcPr>
            <w:tcW w:w="1560" w:type="dxa"/>
            <w:tcBorders>
              <w:top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3.915</w:t>
            </w:r>
          </w:p>
        </w:tc>
        <w:tc>
          <w:tcPr>
            <w:tcW w:w="240" w:type="dxa"/>
            <w:tcBorders>
              <w:top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tcBorders>
              <w:top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w:t>
            </w:r>
          </w:p>
        </w:tc>
        <w:tc>
          <w:tcPr>
            <w:tcW w:w="1440" w:type="dxa"/>
            <w:tcBorders>
              <w:top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3.78</w:t>
            </w:r>
          </w:p>
        </w:tc>
      </w:tr>
      <w:tr w:rsidR="00C363ED" w:rsidTr="000B7DDF">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proofErr w:type="spellStart"/>
            <w:r>
              <w:t>qScript</w:t>
            </w:r>
            <w:proofErr w:type="spellEnd"/>
            <w:r>
              <w:t xml:space="preserve"> XLT One-Step RT-qPCR </w:t>
            </w:r>
            <w:proofErr w:type="spellStart"/>
            <w:r>
              <w:t>ToughMix</w:t>
            </w:r>
            <w:proofErr w:type="spellEnd"/>
            <w:r>
              <w:t xml:space="preserve"> 2x</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1x</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13.5</w:t>
            </w:r>
          </w:p>
        </w:tc>
        <w:tc>
          <w:tcPr>
            <w:tcW w:w="2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1x</w:t>
            </w:r>
          </w:p>
        </w:tc>
        <w:tc>
          <w:tcPr>
            <w:tcW w:w="14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13.5</w:t>
            </w:r>
          </w:p>
        </w:tc>
      </w:tr>
      <w:tr w:rsidR="00C363ED" w:rsidTr="000B7DDF">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r>
              <w:t>Fluorescein 1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 xml:space="preserve">100 </w:t>
            </w:r>
            <w:proofErr w:type="spellStart"/>
            <w:r>
              <w:t>nM</w:t>
            </w:r>
            <w:proofErr w:type="spellEnd"/>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2.7</w:t>
            </w:r>
          </w:p>
        </w:tc>
        <w:tc>
          <w:tcPr>
            <w:tcW w:w="2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 xml:space="preserve">100 </w:t>
            </w:r>
            <w:proofErr w:type="spellStart"/>
            <w:r>
              <w:t>nM</w:t>
            </w:r>
            <w:proofErr w:type="spellEnd"/>
          </w:p>
        </w:tc>
        <w:tc>
          <w:tcPr>
            <w:tcW w:w="14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2.7</w:t>
            </w:r>
          </w:p>
        </w:tc>
      </w:tr>
      <w:tr w:rsidR="00C363ED" w:rsidTr="000B7DDF">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r>
              <w:t>Forward Primer (20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0.4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0.54</w:t>
            </w:r>
          </w:p>
        </w:tc>
        <w:tc>
          <w:tcPr>
            <w:tcW w:w="2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0.4 µM</w:t>
            </w:r>
          </w:p>
        </w:tc>
        <w:tc>
          <w:tcPr>
            <w:tcW w:w="14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0.54</w:t>
            </w:r>
          </w:p>
        </w:tc>
      </w:tr>
      <w:tr w:rsidR="00C363ED" w:rsidTr="000B7DDF">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r>
              <w:t>Reverse Primer (20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0.4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0.54</w:t>
            </w:r>
          </w:p>
        </w:tc>
        <w:tc>
          <w:tcPr>
            <w:tcW w:w="2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0.4 µM</w:t>
            </w:r>
          </w:p>
        </w:tc>
        <w:tc>
          <w:tcPr>
            <w:tcW w:w="14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0.54</w:t>
            </w:r>
          </w:p>
        </w:tc>
      </w:tr>
      <w:tr w:rsidR="00C363ED" w:rsidTr="000B7DDF">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r>
              <w:t>Deletion Probe (20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0.1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0.135</w:t>
            </w:r>
          </w:p>
        </w:tc>
        <w:tc>
          <w:tcPr>
            <w:tcW w:w="2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0.2 µM</w:t>
            </w:r>
          </w:p>
        </w:tc>
        <w:tc>
          <w:tcPr>
            <w:tcW w:w="14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0.27</w:t>
            </w:r>
          </w:p>
        </w:tc>
      </w:tr>
      <w:tr w:rsidR="00C363ED" w:rsidTr="000B7DDF">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pPr>
            <w:r>
              <w:t>Universal Probe (20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0.2 µM</w:t>
            </w:r>
          </w:p>
        </w:tc>
        <w:tc>
          <w:tcPr>
            <w:tcW w:w="156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0.27</w:t>
            </w:r>
          </w:p>
        </w:tc>
        <w:tc>
          <w:tcPr>
            <w:tcW w:w="2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0.2 µM</w:t>
            </w:r>
          </w:p>
        </w:tc>
        <w:tc>
          <w:tcPr>
            <w:tcW w:w="1440" w:type="dxa"/>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0.27</w:t>
            </w:r>
          </w:p>
        </w:tc>
      </w:tr>
      <w:tr w:rsidR="00C363ED" w:rsidTr="000B7DDF">
        <w:tc>
          <w:tcPr>
            <w:tcW w:w="156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pPr>
            <w:r>
              <w:t>Total</w:t>
            </w:r>
          </w:p>
        </w:tc>
        <w:tc>
          <w:tcPr>
            <w:tcW w:w="156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156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21.6</w:t>
            </w:r>
          </w:p>
        </w:tc>
        <w:tc>
          <w:tcPr>
            <w:tcW w:w="24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201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p>
        </w:tc>
        <w:tc>
          <w:tcPr>
            <w:tcW w:w="1440" w:type="dxa"/>
            <w:tcBorders>
              <w:bottom w:val="single" w:sz="12" w:space="0" w:color="000000"/>
            </w:tcBorders>
            <w:shd w:val="clear" w:color="auto" w:fill="auto"/>
            <w:tcMar>
              <w:top w:w="100" w:type="dxa"/>
              <w:left w:w="100" w:type="dxa"/>
              <w:bottom w:w="100" w:type="dxa"/>
              <w:right w:w="100" w:type="dxa"/>
            </w:tcMar>
          </w:tcPr>
          <w:p w:rsidR="00C363ED" w:rsidRDefault="00C363ED" w:rsidP="000B7DDF">
            <w:pPr>
              <w:widowControl w:val="0"/>
              <w:spacing w:line="240" w:lineRule="auto"/>
              <w:jc w:val="center"/>
            </w:pPr>
            <w:r>
              <w:t>21.6</w:t>
            </w:r>
          </w:p>
        </w:tc>
      </w:tr>
    </w:tbl>
    <w:p w:rsidR="00C363ED" w:rsidRDefault="00C363ED" w:rsidP="00C363ED"/>
    <w:p w:rsidR="00C363ED" w:rsidRDefault="00C363ED" w:rsidP="00C363ED"/>
    <w:p w:rsidR="00C363ED" w:rsidRDefault="00C363ED" w:rsidP="00C363ED">
      <w:pPr>
        <w:pStyle w:val="Heading4"/>
      </w:pPr>
      <w:bookmarkStart w:id="1" w:name="_as1ymqwvx4pf" w:colFirst="0" w:colLast="0"/>
      <w:bookmarkEnd w:id="1"/>
    </w:p>
    <w:p w:rsidR="00C363ED" w:rsidRDefault="00C363ED" w:rsidP="00C363ED"/>
    <w:p w:rsidR="00C363ED" w:rsidRDefault="00C363ED" w:rsidP="00C363ED">
      <w:r>
        <w:rPr>
          <w:noProof/>
          <w:lang w:val="de-DE"/>
        </w:rPr>
        <w:lastRenderedPageBreak/>
        <w:drawing>
          <wp:inline distT="114300" distB="114300" distL="114300" distR="114300" wp14:anchorId="70E75AED" wp14:editId="7698181A">
            <wp:extent cx="5943600" cy="35687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5943600" cy="3568700"/>
                    </a:xfrm>
                    <a:prstGeom prst="rect">
                      <a:avLst/>
                    </a:prstGeom>
                    <a:ln/>
                  </pic:spPr>
                </pic:pic>
              </a:graphicData>
            </a:graphic>
          </wp:inline>
        </w:drawing>
      </w:r>
    </w:p>
    <w:p w:rsidR="00C363ED" w:rsidRDefault="00C363ED" w:rsidP="00C363ED">
      <w:r>
        <w:rPr>
          <w:b/>
        </w:rPr>
        <w:t xml:space="preserve">Figure S1. </w:t>
      </w:r>
      <w:r>
        <w:t xml:space="preserve">Two wastewater samples (10_2020_12_24 and 10_2020_12_22, referring to samples from December 22 and 24 in 2020 from wastewater treatment plant </w:t>
      </w:r>
      <w:proofErr w:type="spellStart"/>
      <w:r>
        <w:t>Werdhölzli</w:t>
      </w:r>
      <w:proofErr w:type="spellEnd"/>
      <w:r>
        <w:t xml:space="preserve">) </w:t>
      </w:r>
      <w:proofErr w:type="gramStart"/>
      <w:r>
        <w:t>were measured</w:t>
      </w:r>
      <w:proofErr w:type="gramEnd"/>
      <w:r>
        <w:t xml:space="preserve"> using the </w:t>
      </w:r>
      <w:r>
        <w:rPr>
          <w:color w:val="191919"/>
          <w:highlight w:val="white"/>
        </w:rPr>
        <w:t>spike Δ69-70 assay</w:t>
      </w:r>
      <w:r>
        <w:t xml:space="preserve"> in three dilutions: undiluted (5 µl RNA), 1:2 diluted (2.5 µl RNA) and 1:10 diluted (0.5 µl RNA). Each dilution </w:t>
      </w:r>
      <w:proofErr w:type="gramStart"/>
      <w:r>
        <w:t>was measured</w:t>
      </w:r>
      <w:proofErr w:type="gramEnd"/>
      <w:r>
        <w:t xml:space="preserve"> in duplicate and the average was plotted. Error bars indicate the 95% confidence interval. The ordinate shows gene copies per </w:t>
      </w:r>
      <w:proofErr w:type="gramStart"/>
      <w:r>
        <w:t>25 µl</w:t>
      </w:r>
      <w:proofErr w:type="gramEnd"/>
      <w:r>
        <w:t xml:space="preserve"> reaction, indicating that a 1:2 dilution results in the highest number of detectable genes per reaction.</w:t>
      </w:r>
    </w:p>
    <w:p w:rsidR="00C363ED" w:rsidRDefault="00C363ED" w:rsidP="00C363ED">
      <w:pPr>
        <w:pStyle w:val="Heading4"/>
      </w:pPr>
      <w:bookmarkStart w:id="2" w:name="_akej3q4k1zvl" w:colFirst="0" w:colLast="0"/>
      <w:bookmarkEnd w:id="2"/>
    </w:p>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9527B" w:rsidRDefault="00C9527B">
      <w:pPr>
        <w:spacing w:after="160" w:line="259" w:lineRule="auto"/>
        <w:rPr>
          <w:b/>
        </w:rPr>
      </w:pPr>
      <w:r>
        <w:rPr>
          <w:b/>
        </w:rPr>
        <w:br w:type="page"/>
      </w:r>
    </w:p>
    <w:p w:rsidR="00C363ED" w:rsidRDefault="00C363ED" w:rsidP="00C363ED">
      <w:r>
        <w:rPr>
          <w:b/>
        </w:rPr>
        <w:lastRenderedPageBreak/>
        <w:t>Table S2.</w:t>
      </w:r>
      <w:r>
        <w:t xml:space="preserve"> </w:t>
      </w:r>
      <w:proofErr w:type="spellStart"/>
      <w:proofErr w:type="gramStart"/>
      <w:r>
        <w:t>dMIQE</w:t>
      </w:r>
      <w:proofErr w:type="spellEnd"/>
      <w:proofErr w:type="gramEnd"/>
      <w:r>
        <w:t xml:space="preserve"> guidelines </w:t>
      </w:r>
    </w:p>
    <w:p w:rsidR="00C363ED" w:rsidRDefault="00C363ED" w:rsidP="00C363ED"/>
    <w:p w:rsidR="00C363ED" w:rsidRDefault="00C363ED" w:rsidP="00C363ED"/>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3320"/>
        <w:gridCol w:w="1496"/>
        <w:gridCol w:w="4544"/>
      </w:tblGrid>
      <w:tr w:rsidR="00C363ED" w:rsidTr="000B7DDF">
        <w:trPr>
          <w:trHeight w:val="885"/>
        </w:trPr>
        <w:tc>
          <w:tcPr>
            <w:tcW w:w="3319" w:type="dxa"/>
            <w:tcBorders>
              <w:top w:val="single" w:sz="8" w:space="0" w:color="000000"/>
              <w:left w:val="single" w:sz="8" w:space="0" w:color="000000"/>
              <w:bottom w:val="single" w:sz="8" w:space="0" w:color="4BACC6"/>
              <w:right w:val="single" w:sz="4" w:space="0" w:color="4BACC6"/>
            </w:tcBorders>
            <w:tcMar>
              <w:top w:w="0" w:type="dxa"/>
              <w:left w:w="0" w:type="dxa"/>
              <w:bottom w:w="0" w:type="dxa"/>
              <w:right w:w="0" w:type="dxa"/>
            </w:tcMar>
            <w:vAlign w:val="center"/>
          </w:tcPr>
          <w:p w:rsidR="00C363ED" w:rsidRDefault="00C363ED" w:rsidP="000B7DDF">
            <w:pPr>
              <w:jc w:val="center"/>
            </w:pPr>
            <w:r>
              <w:rPr>
                <w:b/>
                <w:sz w:val="24"/>
                <w:szCs w:val="24"/>
              </w:rPr>
              <w:t>ITEM TO CHECK</w:t>
            </w:r>
          </w:p>
        </w:tc>
        <w:tc>
          <w:tcPr>
            <w:tcW w:w="1496" w:type="dxa"/>
            <w:tcMar>
              <w:top w:w="0" w:type="dxa"/>
              <w:left w:w="0" w:type="dxa"/>
              <w:bottom w:w="0" w:type="dxa"/>
              <w:right w:w="0" w:type="dxa"/>
            </w:tcMar>
            <w:vAlign w:val="center"/>
          </w:tcPr>
          <w:p w:rsidR="00C363ED" w:rsidRDefault="00C363ED" w:rsidP="000B7DDF">
            <w:pPr>
              <w:jc w:val="center"/>
            </w:pPr>
            <w:r>
              <w:rPr>
                <w:b/>
                <w:sz w:val="24"/>
                <w:szCs w:val="24"/>
              </w:rPr>
              <w:t>PROVIDED</w:t>
            </w:r>
          </w:p>
        </w:tc>
        <w:tc>
          <w:tcPr>
            <w:tcW w:w="4544" w:type="dxa"/>
            <w:tcBorders>
              <w:top w:val="single" w:sz="8" w:space="0" w:color="000000"/>
              <w:left w:val="single" w:sz="4" w:space="0" w:color="4BACC6"/>
              <w:bottom w:val="single" w:sz="8"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b/>
                <w:sz w:val="24"/>
                <w:szCs w:val="24"/>
              </w:rPr>
              <w:t>COMMENT</w:t>
            </w:r>
          </w:p>
        </w:tc>
      </w:tr>
      <w:tr w:rsidR="00C363ED" w:rsidTr="000B7DDF">
        <w:trPr>
          <w:trHeight w:val="315"/>
        </w:trPr>
        <w:tc>
          <w:tcPr>
            <w:tcW w:w="3319" w:type="dxa"/>
            <w:tcBorders>
              <w:top w:val="single" w:sz="8" w:space="0" w:color="000000"/>
              <w:left w:val="single" w:sz="8" w:space="0" w:color="000000"/>
              <w:bottom w:val="single" w:sz="8" w:space="0" w:color="4BACC6"/>
              <w:right w:val="single" w:sz="4" w:space="0" w:color="4BACC6"/>
            </w:tcBorders>
            <w:tcMar>
              <w:top w:w="0" w:type="dxa"/>
              <w:left w:w="0" w:type="dxa"/>
              <w:bottom w:w="0" w:type="dxa"/>
              <w:right w:w="0" w:type="dxa"/>
            </w:tcMar>
          </w:tcPr>
          <w:p w:rsidR="00C363ED" w:rsidRDefault="00C363ED" w:rsidP="000B7DDF">
            <w:pPr>
              <w:jc w:val="center"/>
            </w:pPr>
            <w:r>
              <w:rPr>
                <w:b/>
                <w:color w:val="FFFFFF"/>
                <w:sz w:val="24"/>
                <w:szCs w:val="24"/>
              </w:rPr>
              <w:t>Column1</w:t>
            </w:r>
          </w:p>
        </w:tc>
        <w:tc>
          <w:tcPr>
            <w:tcW w:w="1496" w:type="dxa"/>
            <w:tcBorders>
              <w:top w:val="single" w:sz="8" w:space="0" w:color="000000"/>
              <w:left w:val="single" w:sz="4" w:space="0" w:color="4BACC6"/>
              <w:bottom w:val="single" w:sz="8"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Y/N</w:t>
            </w:r>
          </w:p>
        </w:tc>
        <w:tc>
          <w:tcPr>
            <w:tcW w:w="4544" w:type="dxa"/>
            <w:tcBorders>
              <w:top w:val="single" w:sz="8" w:space="0" w:color="000000"/>
              <w:left w:val="single" w:sz="4" w:space="0" w:color="4BACC6"/>
              <w:bottom w:val="single" w:sz="8"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b/>
                <w:color w:val="FFFFFF"/>
                <w:sz w:val="24"/>
                <w:szCs w:val="24"/>
              </w:rPr>
              <w:t>Column2</w:t>
            </w:r>
          </w:p>
        </w:tc>
      </w:tr>
      <w:tr w:rsidR="00C363ED" w:rsidTr="000B7DDF">
        <w:trPr>
          <w:trHeight w:val="300"/>
        </w:trPr>
        <w:tc>
          <w:tcPr>
            <w:tcW w:w="3319" w:type="dxa"/>
            <w:tcBorders>
              <w:top w:val="single" w:sz="8" w:space="0" w:color="000000"/>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b/>
                <w:sz w:val="24"/>
                <w:szCs w:val="24"/>
              </w:rPr>
              <w:t>1. SPECIMEN</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9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Detailed description of specimen type and numbers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32 RNA extractions from </w:t>
            </w:r>
            <w:proofErr w:type="gramStart"/>
            <w:r>
              <w:rPr>
                <w:sz w:val="24"/>
                <w:szCs w:val="24"/>
              </w:rPr>
              <w:t>waste water</w:t>
            </w:r>
            <w:proofErr w:type="gramEnd"/>
            <w:r>
              <w:rPr>
                <w:sz w:val="24"/>
                <w:szCs w:val="24"/>
              </w:rPr>
              <w:t xml:space="preserve"> treatment plant </w:t>
            </w:r>
            <w:proofErr w:type="spellStart"/>
            <w:r>
              <w:rPr>
                <w:sz w:val="24"/>
                <w:szCs w:val="24"/>
              </w:rPr>
              <w:t>Werdhölzli</w:t>
            </w:r>
            <w:proofErr w:type="spellEnd"/>
            <w:r>
              <w:rPr>
                <w:sz w:val="24"/>
                <w:szCs w:val="24"/>
              </w:rPr>
              <w:t xml:space="preserve"> in Switzerland after first treatment step (rake) - 24-hour flow proportional composite samples. Samples range from December 7th to March 26th. Calibration of </w:t>
            </w:r>
            <w:proofErr w:type="spellStart"/>
            <w:r>
              <w:rPr>
                <w:sz w:val="24"/>
                <w:szCs w:val="24"/>
              </w:rPr>
              <w:t>ddPCR</w:t>
            </w:r>
            <w:proofErr w:type="spellEnd"/>
            <w:r>
              <w:rPr>
                <w:sz w:val="24"/>
                <w:szCs w:val="24"/>
              </w:rPr>
              <w:t xml:space="preserve"> assay was performed using RNA from the Wuhan-Hu-1 SARS-CoV-2 strain (wild type RNA) and RNA from the B.1.1.7 SARS-CoV-2 strain (variant RNA) - both provided by Tobias Schindler, TPH.</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Sampling procedure (including time to storage)</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24-hour flow proportional composite samples</w:t>
            </w:r>
          </w:p>
        </w:tc>
      </w:tr>
      <w:tr w:rsidR="00C363ED" w:rsidTr="000B7DDF">
        <w:trPr>
          <w:trHeight w:val="315"/>
        </w:trPr>
        <w:tc>
          <w:tcPr>
            <w:tcW w:w="3319" w:type="dxa"/>
            <w:tcBorders>
              <w:top w:val="single" w:sz="4" w:space="0" w:color="4BACC6"/>
              <w:left w:val="single" w:sz="8" w:space="0" w:color="000000"/>
              <w:bottom w:val="single" w:sz="8" w:space="0" w:color="000000"/>
              <w:right w:val="single" w:sz="4" w:space="0" w:color="4BACC6"/>
            </w:tcBorders>
            <w:tcMar>
              <w:top w:w="0" w:type="dxa"/>
              <w:left w:w="0" w:type="dxa"/>
              <w:bottom w:w="0" w:type="dxa"/>
              <w:right w:w="0" w:type="dxa"/>
            </w:tcMar>
          </w:tcPr>
          <w:p w:rsidR="00C363ED" w:rsidRDefault="00C363ED" w:rsidP="000B7DDF">
            <w:r>
              <w:rPr>
                <w:sz w:val="24"/>
                <w:szCs w:val="24"/>
              </w:rPr>
              <w:t xml:space="preserve">Sample </w:t>
            </w:r>
            <w:proofErr w:type="spellStart"/>
            <w:r>
              <w:rPr>
                <w:sz w:val="24"/>
                <w:szCs w:val="24"/>
              </w:rPr>
              <w:t>aliquotation</w:t>
            </w:r>
            <w:proofErr w:type="spellEnd"/>
            <w:r>
              <w:rPr>
                <w:sz w:val="24"/>
                <w:szCs w:val="24"/>
              </w:rPr>
              <w:t xml:space="preserve">, storage conditions and duration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8" w:space="0" w:color="000000"/>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Stored at 4°C for up to 8 days, shipped to Eawag for concentration and RNA extraction.</w:t>
            </w:r>
          </w:p>
        </w:tc>
      </w:tr>
      <w:tr w:rsidR="00C363ED" w:rsidTr="000B7DDF">
        <w:trPr>
          <w:trHeight w:val="300"/>
        </w:trPr>
        <w:tc>
          <w:tcPr>
            <w:tcW w:w="3319" w:type="dxa"/>
            <w:tcBorders>
              <w:top w:val="single" w:sz="8" w:space="0" w:color="000000"/>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b/>
                <w:sz w:val="24"/>
                <w:szCs w:val="24"/>
              </w:rPr>
              <w:t>2. NUCLEIC ACID EXTRACTION</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18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Description of extraction method including amount of sample processed</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rPr>
                <w:sz w:val="24"/>
                <w:szCs w:val="24"/>
              </w:rPr>
            </w:pPr>
            <w:r>
              <w:rPr>
                <w:sz w:val="24"/>
                <w:szCs w:val="24"/>
              </w:rPr>
              <w:t xml:space="preserve">Raw influent (50 ml) was clarified by centrifugation or filtration (0.22 </w:t>
            </w:r>
            <w:proofErr w:type="spellStart"/>
            <w:r>
              <w:rPr>
                <w:sz w:val="24"/>
                <w:szCs w:val="24"/>
              </w:rPr>
              <w:t>μM</w:t>
            </w:r>
            <w:proofErr w:type="spellEnd"/>
            <w:r>
              <w:rPr>
                <w:sz w:val="24"/>
                <w:szCs w:val="24"/>
              </w:rPr>
              <w:t xml:space="preserve"> filter)</w:t>
            </w:r>
            <w:proofErr w:type="gramStart"/>
            <w:r>
              <w:rPr>
                <w:sz w:val="24"/>
                <w:szCs w:val="24"/>
              </w:rPr>
              <w:t>,</w:t>
            </w:r>
            <w:proofErr w:type="gramEnd"/>
            <w:r>
              <w:rPr>
                <w:sz w:val="24"/>
                <w:szCs w:val="24"/>
              </w:rPr>
              <w:t xml:space="preserve"> then samples were concentrated using ultrafiltration (10 </w:t>
            </w:r>
            <w:proofErr w:type="spellStart"/>
            <w:r>
              <w:rPr>
                <w:sz w:val="24"/>
                <w:szCs w:val="24"/>
              </w:rPr>
              <w:t>kDa</w:t>
            </w:r>
            <w:proofErr w:type="spellEnd"/>
            <w:r>
              <w:rPr>
                <w:sz w:val="24"/>
                <w:szCs w:val="24"/>
              </w:rPr>
              <w:t xml:space="preserve"> </w:t>
            </w:r>
            <w:proofErr w:type="spellStart"/>
            <w:r>
              <w:rPr>
                <w:sz w:val="24"/>
                <w:szCs w:val="24"/>
              </w:rPr>
              <w:t>Centricon</w:t>
            </w:r>
            <w:proofErr w:type="spellEnd"/>
            <w:r>
              <w:rPr>
                <w:sz w:val="24"/>
                <w:szCs w:val="24"/>
              </w:rPr>
              <w:t xml:space="preserve"> Plus-70, Millipore, USA). RNA from viral concentrates was extracted using the </w:t>
            </w:r>
            <w:proofErr w:type="spellStart"/>
            <w:r>
              <w:rPr>
                <w:sz w:val="24"/>
                <w:szCs w:val="24"/>
              </w:rPr>
              <w:t>QiaAmp</w:t>
            </w:r>
            <w:proofErr w:type="spellEnd"/>
            <w:r>
              <w:rPr>
                <w:sz w:val="24"/>
                <w:szCs w:val="24"/>
              </w:rPr>
              <w:t xml:space="preserve"> Viral RNA </w:t>
            </w:r>
            <w:proofErr w:type="spellStart"/>
            <w:r>
              <w:rPr>
                <w:sz w:val="24"/>
                <w:szCs w:val="24"/>
              </w:rPr>
              <w:t>MiniKit</w:t>
            </w:r>
            <w:proofErr w:type="spellEnd"/>
            <w:r>
              <w:rPr>
                <w:sz w:val="24"/>
                <w:szCs w:val="24"/>
              </w:rPr>
              <w:t xml:space="preserve"> (</w:t>
            </w:r>
            <w:proofErr w:type="spellStart"/>
            <w:r>
              <w:rPr>
                <w:sz w:val="24"/>
                <w:szCs w:val="24"/>
              </w:rPr>
              <w:t>Qiagen</w:t>
            </w:r>
            <w:proofErr w:type="spellEnd"/>
            <w:r>
              <w:rPr>
                <w:sz w:val="24"/>
                <w:szCs w:val="24"/>
              </w:rPr>
              <w:t xml:space="preserve">, USA), eluted in 80 </w:t>
            </w:r>
            <w:proofErr w:type="spellStart"/>
            <w:r>
              <w:rPr>
                <w:sz w:val="24"/>
                <w:szCs w:val="24"/>
              </w:rPr>
              <w:t>μL</w:t>
            </w:r>
            <w:proofErr w:type="spellEnd"/>
            <w:r>
              <w:rPr>
                <w:sz w:val="24"/>
                <w:szCs w:val="24"/>
              </w:rPr>
              <w:t xml:space="preserve">, then, for samples after 14 January, further purified using </w:t>
            </w:r>
            <w:proofErr w:type="spellStart"/>
            <w:r>
              <w:rPr>
                <w:sz w:val="24"/>
                <w:szCs w:val="24"/>
              </w:rPr>
              <w:t>OneStep</w:t>
            </w:r>
            <w:proofErr w:type="spellEnd"/>
            <w:r>
              <w:rPr>
                <w:sz w:val="24"/>
                <w:szCs w:val="24"/>
              </w:rPr>
              <w:t xml:space="preserve"> PCR Inhibitor Removal Kits (</w:t>
            </w:r>
            <w:proofErr w:type="spellStart"/>
            <w:r>
              <w:rPr>
                <w:sz w:val="24"/>
                <w:szCs w:val="24"/>
              </w:rPr>
              <w:t>Zymo</w:t>
            </w:r>
            <w:proofErr w:type="spellEnd"/>
            <w:r>
              <w:rPr>
                <w:sz w:val="24"/>
                <w:szCs w:val="24"/>
              </w:rPr>
              <w:t xml:space="preserve"> Research, CND 6030) to reduce assay inhibition.</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Volume of solvent used to elute/</w:t>
            </w:r>
            <w:proofErr w:type="spellStart"/>
            <w:r>
              <w:rPr>
                <w:sz w:val="24"/>
                <w:szCs w:val="24"/>
              </w:rPr>
              <w:t>resuspend</w:t>
            </w:r>
            <w:proofErr w:type="spellEnd"/>
            <w:r>
              <w:rPr>
                <w:sz w:val="24"/>
                <w:szCs w:val="24"/>
              </w:rPr>
              <w:t xml:space="preserve"> extract</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 xml:space="preserve">80 </w:t>
            </w:r>
            <w:proofErr w:type="spellStart"/>
            <w:r>
              <w:rPr>
                <w:sz w:val="24"/>
                <w:szCs w:val="24"/>
              </w:rPr>
              <w:t>μL</w:t>
            </w:r>
            <w:proofErr w:type="spellEnd"/>
            <w:r>
              <w:rPr>
                <w:sz w:val="24"/>
                <w:szCs w:val="24"/>
              </w:rPr>
              <w:t xml:space="preserve"> eluent volume</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Number of extraction replicates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Each sample </w:t>
            </w:r>
            <w:proofErr w:type="gramStart"/>
            <w:r>
              <w:rPr>
                <w:sz w:val="24"/>
                <w:szCs w:val="24"/>
              </w:rPr>
              <w:t>was extracted</w:t>
            </w:r>
            <w:proofErr w:type="gramEnd"/>
            <w:r>
              <w:rPr>
                <w:sz w:val="24"/>
                <w:szCs w:val="24"/>
              </w:rPr>
              <w:t xml:space="preserve"> once (no replicates).</w:t>
            </w:r>
          </w:p>
        </w:tc>
      </w:tr>
      <w:tr w:rsidR="00C363ED" w:rsidTr="000B7DDF">
        <w:trPr>
          <w:trHeight w:val="405"/>
        </w:trPr>
        <w:tc>
          <w:tcPr>
            <w:tcW w:w="3319" w:type="dxa"/>
            <w:tcBorders>
              <w:top w:val="single" w:sz="4" w:space="0" w:color="4BACC6"/>
              <w:left w:val="single" w:sz="8" w:space="0" w:color="000000"/>
              <w:bottom w:val="single" w:sz="8" w:space="0" w:color="000000"/>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Extraction blanks </w:t>
            </w:r>
            <w:proofErr w:type="gramStart"/>
            <w:r>
              <w:rPr>
                <w:sz w:val="24"/>
                <w:szCs w:val="24"/>
              </w:rPr>
              <w:t>included?</w:t>
            </w:r>
            <w:proofErr w:type="gramEnd"/>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Extraction negative controls were included for every 10-14 samples.</w:t>
            </w:r>
          </w:p>
        </w:tc>
      </w:tr>
      <w:tr w:rsidR="00C363ED" w:rsidTr="000B7DDF">
        <w:trPr>
          <w:trHeight w:val="300"/>
        </w:trPr>
        <w:tc>
          <w:tcPr>
            <w:tcW w:w="3319" w:type="dxa"/>
            <w:tcBorders>
              <w:top w:val="single" w:sz="8" w:space="0" w:color="000000"/>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b/>
                <w:sz w:val="24"/>
                <w:szCs w:val="24"/>
              </w:rPr>
              <w:lastRenderedPageBreak/>
              <w:t>3. NUCLEIC ACID ASSESSMENT AND STORAGE</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Method to evaluate quality of nucleic acids</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Not done</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Method to evaluate quantity of nucleic acids (including molecular weight and calculations when using mass)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Not done</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Pr="00D67575" w:rsidRDefault="00C363ED" w:rsidP="000B7DDF">
            <w:pPr>
              <w:rPr>
                <w:lang w:val="fr-CH"/>
              </w:rPr>
            </w:pPr>
            <w:r w:rsidRPr="00D67575">
              <w:rPr>
                <w:sz w:val="24"/>
                <w:szCs w:val="24"/>
                <w:lang w:val="fr-CH"/>
              </w:rPr>
              <w:t xml:space="preserve">Storage conditions: </w:t>
            </w:r>
            <w:proofErr w:type="spellStart"/>
            <w:r w:rsidRPr="00D67575">
              <w:rPr>
                <w:sz w:val="24"/>
                <w:szCs w:val="24"/>
                <w:lang w:val="fr-CH"/>
              </w:rPr>
              <w:t>temperature</w:t>
            </w:r>
            <w:proofErr w:type="spellEnd"/>
            <w:r w:rsidRPr="00D67575">
              <w:rPr>
                <w:sz w:val="24"/>
                <w:szCs w:val="24"/>
                <w:lang w:val="fr-CH"/>
              </w:rPr>
              <w:t xml:space="preserve">, concentration, duration, buffer, </w:t>
            </w:r>
            <w:proofErr w:type="spellStart"/>
            <w:r w:rsidRPr="00D67575">
              <w:rPr>
                <w:sz w:val="24"/>
                <w:szCs w:val="24"/>
                <w:lang w:val="fr-CH"/>
              </w:rPr>
              <w:t>aliquots</w:t>
            </w:r>
            <w:proofErr w:type="spellEnd"/>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 xml:space="preserve">RNA extracts were stored at </w:t>
            </w:r>
            <w:proofErr w:type="gramStart"/>
            <w:r>
              <w:rPr>
                <w:sz w:val="24"/>
                <w:szCs w:val="24"/>
              </w:rPr>
              <w:t>-80°C</w:t>
            </w:r>
            <w:proofErr w:type="gramEnd"/>
            <w:r>
              <w:rPr>
                <w:sz w:val="24"/>
                <w:szCs w:val="24"/>
              </w:rPr>
              <w:t xml:space="preserve"> for up to 4 months before quantification on </w:t>
            </w:r>
            <w:proofErr w:type="spellStart"/>
            <w:r>
              <w:rPr>
                <w:sz w:val="24"/>
                <w:szCs w:val="24"/>
              </w:rPr>
              <w:t>dPCR</w:t>
            </w:r>
            <w:proofErr w:type="spellEnd"/>
            <w:r>
              <w:rPr>
                <w:sz w:val="24"/>
                <w:szCs w:val="24"/>
              </w:rPr>
              <w:t xml:space="preserve">.  </w:t>
            </w:r>
          </w:p>
        </w:tc>
      </w:tr>
      <w:tr w:rsidR="00C363ED" w:rsidTr="000B7DDF">
        <w:trPr>
          <w:trHeight w:val="315"/>
        </w:trPr>
        <w:tc>
          <w:tcPr>
            <w:tcW w:w="3319" w:type="dxa"/>
            <w:tcBorders>
              <w:top w:val="single" w:sz="4" w:space="0" w:color="4BACC6"/>
              <w:left w:val="single" w:sz="8" w:space="0" w:color="000000"/>
              <w:bottom w:val="single" w:sz="8" w:space="0" w:color="000000"/>
              <w:right w:val="single" w:sz="4" w:space="0" w:color="4BACC6"/>
            </w:tcBorders>
            <w:tcMar>
              <w:top w:w="0" w:type="dxa"/>
              <w:left w:w="0" w:type="dxa"/>
              <w:bottom w:w="0" w:type="dxa"/>
              <w:right w:w="0" w:type="dxa"/>
            </w:tcMar>
          </w:tcPr>
          <w:p w:rsidR="00C363ED" w:rsidRDefault="00C363ED" w:rsidP="000B7DDF">
            <w:r>
              <w:rPr>
                <w:sz w:val="24"/>
                <w:szCs w:val="24"/>
              </w:rPr>
              <w:t xml:space="preserve">Clear description of dilution steps used to prepare working DNA solution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RNA extracts from wastewater were diluted 1:2 (1 part RNA extract with 1 part </w:t>
            </w:r>
            <w:proofErr w:type="spellStart"/>
            <w:r>
              <w:rPr>
                <w:sz w:val="24"/>
                <w:szCs w:val="24"/>
              </w:rPr>
              <w:t>RNAse</w:t>
            </w:r>
            <w:proofErr w:type="spellEnd"/>
            <w:r>
              <w:rPr>
                <w:sz w:val="24"/>
                <w:szCs w:val="24"/>
              </w:rPr>
              <w:t xml:space="preserve"> free water) to maximize the number of gene copies per reaction, which is influenced by sample inhibition.</w:t>
            </w:r>
          </w:p>
        </w:tc>
      </w:tr>
      <w:tr w:rsidR="00C363ED" w:rsidTr="000B7DDF">
        <w:trPr>
          <w:trHeight w:val="330"/>
        </w:trPr>
        <w:tc>
          <w:tcPr>
            <w:tcW w:w="3319" w:type="dxa"/>
            <w:tcBorders>
              <w:top w:val="single" w:sz="8" w:space="0" w:color="000000"/>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b/>
                <w:sz w:val="24"/>
                <w:szCs w:val="24"/>
              </w:rPr>
              <w:t>4. NUCLEIC ACID MODIFICATION</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33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Pr="00D67575" w:rsidRDefault="00C363ED" w:rsidP="000B7DDF">
            <w:pPr>
              <w:rPr>
                <w:lang w:val="fr-CH"/>
              </w:rPr>
            </w:pPr>
            <w:r w:rsidRPr="00D67575">
              <w:rPr>
                <w:sz w:val="24"/>
                <w:szCs w:val="24"/>
                <w:lang w:val="fr-CH"/>
              </w:rPr>
              <w:t xml:space="preserve">Template modification (digestion, </w:t>
            </w:r>
            <w:proofErr w:type="spellStart"/>
            <w:r w:rsidRPr="00D67575">
              <w:rPr>
                <w:sz w:val="24"/>
                <w:szCs w:val="24"/>
                <w:lang w:val="fr-CH"/>
              </w:rPr>
              <w:t>sonication</w:t>
            </w:r>
            <w:proofErr w:type="spellEnd"/>
            <w:r w:rsidRPr="00D67575">
              <w:rPr>
                <w:sz w:val="24"/>
                <w:szCs w:val="24"/>
                <w:lang w:val="fr-CH"/>
              </w:rPr>
              <w:t xml:space="preserve">, </w:t>
            </w:r>
            <w:proofErr w:type="spellStart"/>
            <w:r w:rsidRPr="00D67575">
              <w:rPr>
                <w:sz w:val="24"/>
                <w:szCs w:val="24"/>
                <w:lang w:val="fr-CH"/>
              </w:rPr>
              <w:t>pre</w:t>
            </w:r>
            <w:proofErr w:type="spellEnd"/>
            <w:r w:rsidRPr="00D67575">
              <w:rPr>
                <w:sz w:val="24"/>
                <w:szCs w:val="24"/>
                <w:lang w:val="fr-CH"/>
              </w:rPr>
              <w:t xml:space="preserve">-amplification, </w:t>
            </w:r>
            <w:proofErr w:type="spellStart"/>
            <w:r w:rsidRPr="00D67575">
              <w:rPr>
                <w:sz w:val="24"/>
                <w:szCs w:val="24"/>
                <w:lang w:val="fr-CH"/>
              </w:rPr>
              <w:t>bisulphite</w:t>
            </w:r>
            <w:proofErr w:type="spellEnd"/>
            <w:r w:rsidRPr="00D67575">
              <w:rPr>
                <w:sz w:val="24"/>
                <w:szCs w:val="24"/>
                <w:lang w:val="fr-CH"/>
              </w:rPr>
              <w:t xml:space="preserve"> etc.)</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Not applicable</w:t>
            </w:r>
          </w:p>
        </w:tc>
      </w:tr>
      <w:tr w:rsidR="00C363ED" w:rsidTr="000B7DDF">
        <w:trPr>
          <w:trHeight w:val="375"/>
        </w:trPr>
        <w:tc>
          <w:tcPr>
            <w:tcW w:w="3319" w:type="dxa"/>
            <w:tcBorders>
              <w:top w:val="single" w:sz="4" w:space="0" w:color="4BACC6"/>
              <w:left w:val="single" w:sz="8" w:space="0" w:color="000000"/>
              <w:bottom w:val="single" w:sz="8" w:space="0" w:color="000000"/>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Details of </w:t>
            </w:r>
            <w:proofErr w:type="spellStart"/>
            <w:r>
              <w:rPr>
                <w:sz w:val="24"/>
                <w:szCs w:val="24"/>
              </w:rPr>
              <w:t>repurification</w:t>
            </w:r>
            <w:proofErr w:type="spellEnd"/>
            <w:r>
              <w:rPr>
                <w:sz w:val="24"/>
                <w:szCs w:val="24"/>
              </w:rPr>
              <w:t xml:space="preserve"> following modification if performed </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Not applicable</w:t>
            </w:r>
          </w:p>
        </w:tc>
      </w:tr>
      <w:tr w:rsidR="00C363ED" w:rsidTr="000B7DDF">
        <w:trPr>
          <w:trHeight w:val="390"/>
        </w:trPr>
        <w:tc>
          <w:tcPr>
            <w:tcW w:w="3319" w:type="dxa"/>
            <w:tcBorders>
              <w:top w:val="single" w:sz="8" w:space="0" w:color="000000"/>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b/>
                <w:sz w:val="24"/>
                <w:szCs w:val="24"/>
              </w:rPr>
              <w:t>5. REVERSE TRANSCRIPTION</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cDNA priming method and concentration</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Not applicable</w:t>
            </w:r>
          </w:p>
        </w:tc>
      </w:tr>
      <w:tr w:rsidR="00C363ED" w:rsidTr="000B7DDF">
        <w:trPr>
          <w:trHeight w:val="33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One or two step protocol (include reaction details for two step)</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One-step protocol</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Amount of RNA added per reaction</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 xml:space="preserve">5 </w:t>
            </w:r>
            <w:proofErr w:type="spellStart"/>
            <w:r>
              <w:rPr>
                <w:sz w:val="24"/>
                <w:szCs w:val="24"/>
              </w:rPr>
              <w:t>μl</w:t>
            </w:r>
            <w:proofErr w:type="spellEnd"/>
            <w:r>
              <w:rPr>
                <w:sz w:val="24"/>
                <w:szCs w:val="24"/>
              </w:rPr>
              <w:t xml:space="preserve"> RNA extract 1:2 diluted per 25 </w:t>
            </w:r>
            <w:proofErr w:type="spellStart"/>
            <w:r>
              <w:rPr>
                <w:sz w:val="24"/>
                <w:szCs w:val="24"/>
              </w:rPr>
              <w:t>μl</w:t>
            </w:r>
            <w:proofErr w:type="spellEnd"/>
            <w:r>
              <w:rPr>
                <w:sz w:val="24"/>
                <w:szCs w:val="24"/>
              </w:rPr>
              <w:t xml:space="preserve"> PCR assay</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Detailed reaction components and conditions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See below (7. </w:t>
            </w:r>
            <w:proofErr w:type="spellStart"/>
            <w:r>
              <w:rPr>
                <w:sz w:val="24"/>
                <w:szCs w:val="24"/>
              </w:rPr>
              <w:t>dPCR</w:t>
            </w:r>
            <w:proofErr w:type="spellEnd"/>
            <w:r>
              <w:rPr>
                <w:sz w:val="24"/>
                <w:szCs w:val="24"/>
              </w:rPr>
              <w:t xml:space="preserve"> PROTOCOL)</w:t>
            </w:r>
          </w:p>
        </w:tc>
      </w:tr>
      <w:tr w:rsidR="00C363ED" w:rsidTr="000B7DDF">
        <w:trPr>
          <w:trHeight w:val="34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Estimated copies measured with and without addition of RT*</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Not done</w:t>
            </w:r>
          </w:p>
        </w:tc>
      </w:tr>
      <w:tr w:rsidR="00C363ED" w:rsidTr="000B7DDF">
        <w:trPr>
          <w:trHeight w:val="33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Manufacturer of reagents used with catalogue and lot numbers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See below (7. </w:t>
            </w:r>
            <w:proofErr w:type="spellStart"/>
            <w:r>
              <w:rPr>
                <w:sz w:val="24"/>
                <w:szCs w:val="24"/>
              </w:rPr>
              <w:t>dPCR</w:t>
            </w:r>
            <w:proofErr w:type="spellEnd"/>
            <w:r>
              <w:rPr>
                <w:sz w:val="24"/>
                <w:szCs w:val="24"/>
              </w:rPr>
              <w:t xml:space="preserve"> PROTOCOL)</w:t>
            </w:r>
          </w:p>
        </w:tc>
      </w:tr>
      <w:tr w:rsidR="00C363ED" w:rsidTr="000B7DDF">
        <w:trPr>
          <w:trHeight w:val="37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lastRenderedPageBreak/>
              <w:t>Storage of cDNA: temperature, concentration, duration, buffer and aliquots</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Not applicable: cDNA was used directly for PCR step</w:t>
            </w:r>
          </w:p>
        </w:tc>
      </w:tr>
      <w:tr w:rsidR="00C363ED" w:rsidTr="000B7DDF">
        <w:trPr>
          <w:trHeight w:val="300"/>
        </w:trPr>
        <w:tc>
          <w:tcPr>
            <w:tcW w:w="3319" w:type="dxa"/>
            <w:tcBorders>
              <w:top w:val="single" w:sz="8" w:space="0" w:color="000000"/>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b/>
                <w:sz w:val="24"/>
                <w:szCs w:val="24"/>
              </w:rPr>
              <w:t xml:space="preserve">6. </w:t>
            </w:r>
            <w:proofErr w:type="spellStart"/>
            <w:r>
              <w:rPr>
                <w:b/>
                <w:sz w:val="24"/>
                <w:szCs w:val="24"/>
              </w:rPr>
              <w:t>dPCR</w:t>
            </w:r>
            <w:proofErr w:type="spellEnd"/>
            <w:r>
              <w:rPr>
                <w:b/>
                <w:sz w:val="24"/>
                <w:szCs w:val="24"/>
              </w:rPr>
              <w:t xml:space="preserve"> OLIGONUCLEOTIDES DESIGN AND TARGET INFORMATION</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vAlign w:val="bottom"/>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Sequence accession number or official gene symbol</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color w:val="191919"/>
                <w:sz w:val="24"/>
                <w:szCs w:val="24"/>
              </w:rPr>
              <w:t>spike Δ69-70 and ORF1a Δ3675-3677</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Method (software) used for design and</w:t>
            </w:r>
            <w:r>
              <w:rPr>
                <w:i/>
                <w:sz w:val="24"/>
                <w:szCs w:val="24"/>
              </w:rPr>
              <w:t xml:space="preserve"> in </w:t>
            </w:r>
            <w:proofErr w:type="spellStart"/>
            <w:r>
              <w:rPr>
                <w:i/>
                <w:sz w:val="24"/>
                <w:szCs w:val="24"/>
              </w:rPr>
              <w:t>silico</w:t>
            </w:r>
            <w:proofErr w:type="spellEnd"/>
            <w:r>
              <w:rPr>
                <w:sz w:val="24"/>
                <w:szCs w:val="24"/>
              </w:rPr>
              <w:t xml:space="preserve"> verification</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IDT oligo analyzer</w:t>
            </w:r>
          </w:p>
        </w:tc>
      </w:tr>
      <w:tr w:rsidR="00C363ED" w:rsidTr="000B7DDF">
        <w:trPr>
          <w:trHeight w:val="6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Location of amplicon</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color w:val="191919"/>
                <w:sz w:val="24"/>
                <w:szCs w:val="24"/>
              </w:rPr>
              <w:t xml:space="preserve">spike Δ69-70: 21'710-21'817 </w:t>
            </w:r>
            <w:proofErr w:type="spellStart"/>
            <w:r>
              <w:rPr>
                <w:color w:val="191919"/>
                <w:sz w:val="24"/>
                <w:szCs w:val="24"/>
              </w:rPr>
              <w:t>bp</w:t>
            </w:r>
            <w:proofErr w:type="spellEnd"/>
            <w:r>
              <w:rPr>
                <w:color w:val="191919"/>
                <w:sz w:val="24"/>
                <w:szCs w:val="24"/>
              </w:rPr>
              <w:t xml:space="preserve">, ORF1a Δ3675-3677: 11'229-11'356 </w:t>
            </w:r>
            <w:proofErr w:type="spellStart"/>
            <w:r>
              <w:rPr>
                <w:color w:val="191919"/>
                <w:sz w:val="24"/>
                <w:szCs w:val="24"/>
              </w:rPr>
              <w:t>bp</w:t>
            </w:r>
            <w:proofErr w:type="spellEnd"/>
            <w:r>
              <w:rPr>
                <w:color w:val="191919"/>
                <w:sz w:val="24"/>
                <w:szCs w:val="24"/>
              </w:rPr>
              <w:t xml:space="preserve"> (based on NC_045512.2:21563-25384 Severe acute respiratory syndrome coronavirus 2 isolate Wuhan-Hu-1, complete genome)</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 xml:space="preserve">Amplicon length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spike Δ69-70: 108 </w:t>
            </w:r>
            <w:proofErr w:type="spellStart"/>
            <w:r>
              <w:rPr>
                <w:sz w:val="24"/>
                <w:szCs w:val="24"/>
              </w:rPr>
              <w:t>bp</w:t>
            </w:r>
            <w:proofErr w:type="spellEnd"/>
            <w:r>
              <w:rPr>
                <w:sz w:val="24"/>
                <w:szCs w:val="24"/>
              </w:rPr>
              <w:t xml:space="preserve">, ORF1a Δ3675-3677: 128 </w:t>
            </w:r>
            <w:proofErr w:type="spellStart"/>
            <w:r>
              <w:rPr>
                <w:sz w:val="24"/>
                <w:szCs w:val="24"/>
              </w:rPr>
              <w:t>bp</w:t>
            </w:r>
            <w:proofErr w:type="spellEnd"/>
            <w:r>
              <w:rPr>
                <w:sz w:val="24"/>
                <w:szCs w:val="24"/>
              </w:rPr>
              <w:t xml:space="preserve"> </w:t>
            </w:r>
          </w:p>
        </w:tc>
      </w:tr>
      <w:tr w:rsidR="00C363ED" w:rsidTr="000B7DDF">
        <w:trPr>
          <w:trHeight w:val="124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Primer and probe sequences (or amplicon context sequence)**</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rPr>
                <w:sz w:val="24"/>
                <w:szCs w:val="24"/>
              </w:rPr>
            </w:pPr>
            <w:r>
              <w:rPr>
                <w:sz w:val="24"/>
                <w:szCs w:val="24"/>
                <w:u w:val="single"/>
              </w:rPr>
              <w:t>spike Δ69-70:</w:t>
            </w:r>
            <w:r>
              <w:rPr>
                <w:sz w:val="24"/>
                <w:szCs w:val="24"/>
              </w:rPr>
              <w:t xml:space="preserve"> Forward primer 5'-TCAACTCAGGACTTGTTCTTACCT-3’, Reverse primer 5'-TGGTAGGACAGGGTTATCAAAC-3', Deletion probe 5'-Cy5-TTCCATGCTATACATGTCTCTGGGA-BHQ2-3',</w:t>
            </w:r>
          </w:p>
          <w:p w:rsidR="00C363ED" w:rsidRDefault="00C363ED" w:rsidP="000B7DDF">
            <w:pPr>
              <w:jc w:val="center"/>
              <w:rPr>
                <w:sz w:val="24"/>
                <w:szCs w:val="24"/>
              </w:rPr>
            </w:pPr>
            <w:r>
              <w:rPr>
                <w:sz w:val="24"/>
                <w:szCs w:val="24"/>
              </w:rPr>
              <w:t xml:space="preserve"> Universal probe 5'-HEX-CCAATGGTACTAAGAG-MGBQ530-3'</w:t>
            </w:r>
          </w:p>
          <w:p w:rsidR="00C363ED" w:rsidRDefault="00C363ED" w:rsidP="000B7DDF">
            <w:pPr>
              <w:jc w:val="center"/>
              <w:rPr>
                <w:sz w:val="24"/>
                <w:szCs w:val="24"/>
              </w:rPr>
            </w:pPr>
            <w:r>
              <w:rPr>
                <w:sz w:val="24"/>
                <w:szCs w:val="24"/>
                <w:u w:val="single"/>
              </w:rPr>
              <w:t>ORF1a Δ3675-3677:</w:t>
            </w:r>
            <w:r>
              <w:rPr>
                <w:sz w:val="24"/>
                <w:szCs w:val="24"/>
              </w:rPr>
              <w:t xml:space="preserve"> Forward primer 5'-TGCCTGCTAGTTGGGTGATG-3', Reverse primer 5'-TGCTGTCATAAGGATTAGTAACACT-3', Deletion probe</w:t>
            </w:r>
          </w:p>
          <w:p w:rsidR="00C363ED" w:rsidRDefault="00C363ED" w:rsidP="000B7DDF">
            <w:pPr>
              <w:jc w:val="center"/>
              <w:rPr>
                <w:sz w:val="24"/>
                <w:szCs w:val="24"/>
              </w:rPr>
            </w:pPr>
            <w:r>
              <w:rPr>
                <w:sz w:val="24"/>
                <w:szCs w:val="24"/>
              </w:rPr>
              <w:t xml:space="preserve">5'-HEX-GTTTGTCTGGTTTTAAGCTAAAAGACTGTG-BHQ1-3', </w:t>
            </w:r>
          </w:p>
          <w:p w:rsidR="00C363ED" w:rsidRDefault="00C363ED" w:rsidP="000B7DDF">
            <w:pPr>
              <w:jc w:val="center"/>
            </w:pPr>
            <w:r>
              <w:rPr>
                <w:sz w:val="24"/>
                <w:szCs w:val="24"/>
              </w:rPr>
              <w:t>Universal probe 5'-Cy5-CGTATTATGACATGGTTGGATATGGTTGAT-BHQ2-3'</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Location and identity of any modifications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Reporter and Quencher of probes see above</w:t>
            </w:r>
          </w:p>
        </w:tc>
      </w:tr>
      <w:tr w:rsidR="00C363ED" w:rsidRPr="00C9527B" w:rsidTr="000B7DDF">
        <w:trPr>
          <w:trHeight w:val="360"/>
        </w:trPr>
        <w:tc>
          <w:tcPr>
            <w:tcW w:w="3319" w:type="dxa"/>
            <w:tcBorders>
              <w:top w:val="single" w:sz="4" w:space="0" w:color="4BACC6"/>
              <w:left w:val="single" w:sz="8" w:space="0" w:color="000000"/>
              <w:bottom w:val="single" w:sz="8" w:space="0" w:color="000000"/>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Manufacturer of oligonucleotides</w:t>
            </w:r>
          </w:p>
        </w:tc>
        <w:tc>
          <w:tcPr>
            <w:tcW w:w="1496" w:type="dxa"/>
            <w:tcBorders>
              <w:top w:val="single" w:sz="4" w:space="0" w:color="4BACC6"/>
              <w:left w:val="single" w:sz="4" w:space="0" w:color="4BACC6"/>
              <w:bottom w:val="single" w:sz="8" w:space="0" w:color="000000"/>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8" w:space="0" w:color="000000"/>
              <w:right w:val="single" w:sz="8" w:space="0" w:color="000000"/>
            </w:tcBorders>
            <w:shd w:val="clear" w:color="auto" w:fill="DAEEF3"/>
            <w:tcMar>
              <w:top w:w="0" w:type="dxa"/>
              <w:left w:w="0" w:type="dxa"/>
              <w:bottom w:w="0" w:type="dxa"/>
              <w:right w:w="0" w:type="dxa"/>
            </w:tcMar>
            <w:vAlign w:val="center"/>
          </w:tcPr>
          <w:p w:rsidR="00C363ED" w:rsidRPr="00D67575" w:rsidRDefault="00C363ED" w:rsidP="000B7DDF">
            <w:pPr>
              <w:jc w:val="center"/>
              <w:rPr>
                <w:lang w:val="de-DE"/>
              </w:rPr>
            </w:pPr>
            <w:proofErr w:type="spellStart"/>
            <w:r w:rsidRPr="00D67575">
              <w:rPr>
                <w:sz w:val="24"/>
                <w:szCs w:val="24"/>
                <w:lang w:val="de-DE"/>
              </w:rPr>
              <w:t>Microsynth</w:t>
            </w:r>
            <w:proofErr w:type="spellEnd"/>
            <w:r w:rsidRPr="00D67575">
              <w:rPr>
                <w:sz w:val="24"/>
                <w:szCs w:val="24"/>
                <w:lang w:val="de-DE"/>
              </w:rPr>
              <w:t xml:space="preserve"> AG in </w:t>
            </w:r>
            <w:proofErr w:type="spellStart"/>
            <w:r w:rsidRPr="00D67575">
              <w:rPr>
                <w:sz w:val="24"/>
                <w:szCs w:val="24"/>
                <w:lang w:val="de-DE"/>
              </w:rPr>
              <w:t>Balgach</w:t>
            </w:r>
            <w:proofErr w:type="spellEnd"/>
            <w:r w:rsidRPr="00D67575">
              <w:rPr>
                <w:sz w:val="24"/>
                <w:szCs w:val="24"/>
                <w:lang w:val="de-DE"/>
              </w:rPr>
              <w:t xml:space="preserve"> </w:t>
            </w:r>
            <w:proofErr w:type="spellStart"/>
            <w:r w:rsidRPr="00D67575">
              <w:rPr>
                <w:sz w:val="24"/>
                <w:szCs w:val="24"/>
                <w:lang w:val="de-DE"/>
              </w:rPr>
              <w:t>Switzerland</w:t>
            </w:r>
            <w:proofErr w:type="spellEnd"/>
          </w:p>
        </w:tc>
      </w:tr>
      <w:tr w:rsidR="00C363ED" w:rsidTr="000B7DDF">
        <w:trPr>
          <w:trHeight w:val="375"/>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b/>
                <w:sz w:val="24"/>
                <w:szCs w:val="24"/>
              </w:rPr>
              <w:t xml:space="preserve">7. </w:t>
            </w:r>
            <w:proofErr w:type="spellStart"/>
            <w:r>
              <w:rPr>
                <w:b/>
                <w:sz w:val="24"/>
                <w:szCs w:val="24"/>
              </w:rPr>
              <w:t>dPCR</w:t>
            </w:r>
            <w:proofErr w:type="spellEnd"/>
            <w:r>
              <w:rPr>
                <w:b/>
                <w:sz w:val="24"/>
                <w:szCs w:val="24"/>
              </w:rPr>
              <w:t xml:space="preserve"> PROTOCOL</w:t>
            </w:r>
          </w:p>
        </w:tc>
        <w:tc>
          <w:tcPr>
            <w:tcW w:w="1496" w:type="dxa"/>
            <w:tcBorders>
              <w:top w:val="single" w:sz="4" w:space="0" w:color="4BACC6"/>
              <w:left w:val="single" w:sz="4" w:space="0" w:color="4BACC6"/>
              <w:bottom w:val="single" w:sz="4" w:space="0" w:color="4BACC6"/>
              <w:right w:val="single" w:sz="4" w:space="0" w:color="4BACC6"/>
            </w:tcBorders>
            <w:shd w:val="clear" w:color="auto" w:fill="366092"/>
            <w:tcMar>
              <w:top w:w="0" w:type="dxa"/>
              <w:left w:w="0" w:type="dxa"/>
              <w:bottom w:w="0" w:type="dxa"/>
              <w:right w:w="0" w:type="dxa"/>
            </w:tcMar>
            <w:vAlign w:val="bottom"/>
          </w:tcPr>
          <w:p w:rsidR="00C363ED" w:rsidRDefault="00C363ED" w:rsidP="000B7DDF">
            <w:pPr>
              <w:jc w:val="center"/>
            </w:pPr>
            <w:r>
              <w:rPr>
                <w:sz w:val="24"/>
                <w:szCs w:val="24"/>
              </w:rPr>
              <w:t xml:space="preserve"> </w:t>
            </w:r>
          </w:p>
        </w:tc>
        <w:tc>
          <w:tcPr>
            <w:tcW w:w="4544" w:type="dxa"/>
            <w:tcBorders>
              <w:top w:val="single" w:sz="4" w:space="0" w:color="4BACC6"/>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37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lastRenderedPageBreak/>
              <w:t xml:space="preserve">Manufacturer of </w:t>
            </w:r>
            <w:proofErr w:type="spellStart"/>
            <w:r>
              <w:rPr>
                <w:sz w:val="24"/>
                <w:szCs w:val="24"/>
              </w:rPr>
              <w:t>dPCR</w:t>
            </w:r>
            <w:proofErr w:type="spellEnd"/>
            <w:r>
              <w:rPr>
                <w:sz w:val="24"/>
                <w:szCs w:val="24"/>
              </w:rPr>
              <w:t xml:space="preserve"> instrument and instrument model</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Stilla Technologies, Naica System</w:t>
            </w:r>
          </w:p>
        </w:tc>
      </w:tr>
      <w:tr w:rsidR="00C363ED" w:rsidTr="000B7DDF">
        <w:trPr>
          <w:trHeight w:val="375"/>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Buffer/kit manufacturer with catalogue and lot number</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proofErr w:type="spellStart"/>
            <w:r>
              <w:rPr>
                <w:sz w:val="24"/>
                <w:szCs w:val="24"/>
              </w:rPr>
              <w:t>qScript</w:t>
            </w:r>
            <w:proofErr w:type="spellEnd"/>
            <w:r>
              <w:rPr>
                <w:sz w:val="24"/>
                <w:szCs w:val="24"/>
              </w:rPr>
              <w:t xml:space="preserve"> XLT 1-Step RT-PCR Kit (</w:t>
            </w:r>
            <w:proofErr w:type="spellStart"/>
            <w:r>
              <w:rPr>
                <w:sz w:val="24"/>
                <w:szCs w:val="24"/>
              </w:rPr>
              <w:t>QuantaBio</w:t>
            </w:r>
            <w:proofErr w:type="spellEnd"/>
            <w:r>
              <w:rPr>
                <w:sz w:val="24"/>
                <w:szCs w:val="24"/>
              </w:rPr>
              <w:t xml:space="preserve"> 95132-500, Lot number 66171338 and 66172618 and </w:t>
            </w:r>
            <w:proofErr w:type="spellStart"/>
            <w:r>
              <w:rPr>
                <w:sz w:val="24"/>
                <w:szCs w:val="24"/>
              </w:rPr>
              <w:t>QuantaBio</w:t>
            </w:r>
            <w:proofErr w:type="spellEnd"/>
            <w:r>
              <w:rPr>
                <w:sz w:val="24"/>
                <w:szCs w:val="24"/>
              </w:rPr>
              <w:t xml:space="preserve"> 95132-02K, Lot number 661726619)</w:t>
            </w:r>
          </w:p>
        </w:tc>
      </w:tr>
      <w:tr w:rsidR="00C363ED" w:rsidTr="000B7DDF">
        <w:trPr>
          <w:trHeight w:val="37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Primer and probe concentration</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rPr>
                <w:sz w:val="24"/>
                <w:szCs w:val="24"/>
              </w:rPr>
            </w:pPr>
            <w:r>
              <w:rPr>
                <w:sz w:val="24"/>
                <w:szCs w:val="24"/>
              </w:rPr>
              <w:t xml:space="preserve">Final concentrations: </w:t>
            </w:r>
          </w:p>
          <w:p w:rsidR="00C363ED" w:rsidRDefault="00C363ED" w:rsidP="000B7DDF">
            <w:pPr>
              <w:jc w:val="center"/>
            </w:pPr>
            <w:r>
              <w:rPr>
                <w:sz w:val="24"/>
                <w:szCs w:val="24"/>
                <w:u w:val="single"/>
              </w:rPr>
              <w:t>spike Δ69-70:</w:t>
            </w:r>
            <w:r>
              <w:rPr>
                <w:sz w:val="24"/>
                <w:szCs w:val="24"/>
              </w:rPr>
              <w:t xml:space="preserve"> Primers 0.4 </w:t>
            </w:r>
            <w:proofErr w:type="spellStart"/>
            <w:r>
              <w:rPr>
                <w:sz w:val="24"/>
                <w:szCs w:val="24"/>
              </w:rPr>
              <w:t>μM</w:t>
            </w:r>
            <w:proofErr w:type="spellEnd"/>
            <w:r>
              <w:rPr>
                <w:sz w:val="24"/>
                <w:szCs w:val="24"/>
              </w:rPr>
              <w:t xml:space="preserve">, Deletion probe 0.1 </w:t>
            </w:r>
            <w:proofErr w:type="spellStart"/>
            <w:r>
              <w:rPr>
                <w:sz w:val="24"/>
                <w:szCs w:val="24"/>
              </w:rPr>
              <w:t>μM</w:t>
            </w:r>
            <w:proofErr w:type="spellEnd"/>
            <w:r>
              <w:rPr>
                <w:sz w:val="24"/>
                <w:szCs w:val="24"/>
              </w:rPr>
              <w:t xml:space="preserve">, Universal probe 0.2 </w:t>
            </w:r>
            <w:proofErr w:type="spellStart"/>
            <w:r>
              <w:rPr>
                <w:sz w:val="24"/>
                <w:szCs w:val="24"/>
              </w:rPr>
              <w:t>μM</w:t>
            </w:r>
            <w:proofErr w:type="spellEnd"/>
            <w:r>
              <w:rPr>
                <w:sz w:val="24"/>
                <w:szCs w:val="24"/>
              </w:rPr>
              <w:t xml:space="preserve"> </w:t>
            </w:r>
            <w:r>
              <w:rPr>
                <w:sz w:val="24"/>
                <w:szCs w:val="24"/>
                <w:u w:val="single"/>
              </w:rPr>
              <w:t>ORF1a Δ3675-3677:</w:t>
            </w:r>
            <w:r>
              <w:rPr>
                <w:sz w:val="24"/>
                <w:szCs w:val="24"/>
              </w:rPr>
              <w:t xml:space="preserve"> Primers 0.4 </w:t>
            </w:r>
            <w:proofErr w:type="spellStart"/>
            <w:r>
              <w:rPr>
                <w:sz w:val="24"/>
                <w:szCs w:val="24"/>
              </w:rPr>
              <w:t>μM</w:t>
            </w:r>
            <w:proofErr w:type="spellEnd"/>
            <w:r>
              <w:rPr>
                <w:sz w:val="24"/>
                <w:szCs w:val="24"/>
              </w:rPr>
              <w:t xml:space="preserve">, Probes 0.2 </w:t>
            </w:r>
            <w:proofErr w:type="spellStart"/>
            <w:r>
              <w:rPr>
                <w:sz w:val="24"/>
                <w:szCs w:val="24"/>
              </w:rPr>
              <w:t>μM</w:t>
            </w:r>
            <w:proofErr w:type="spellEnd"/>
          </w:p>
        </w:tc>
      </w:tr>
      <w:tr w:rsidR="00C363ED" w:rsidTr="000B7DDF">
        <w:trPr>
          <w:trHeight w:val="6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Pre-reaction volume and composition (incl. amount of template and if restriction enzyme added)</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Total volume of 27 </w:t>
            </w:r>
            <w:proofErr w:type="spellStart"/>
            <w:r>
              <w:rPr>
                <w:sz w:val="24"/>
                <w:szCs w:val="24"/>
              </w:rPr>
              <w:t>μl</w:t>
            </w:r>
            <w:proofErr w:type="spellEnd"/>
            <w:r>
              <w:rPr>
                <w:sz w:val="24"/>
                <w:szCs w:val="24"/>
              </w:rPr>
              <w:t xml:space="preserve">: 13.5 </w:t>
            </w:r>
            <w:proofErr w:type="spellStart"/>
            <w:r>
              <w:rPr>
                <w:sz w:val="24"/>
                <w:szCs w:val="24"/>
              </w:rPr>
              <w:t>μl</w:t>
            </w:r>
            <w:proofErr w:type="spellEnd"/>
            <w:r>
              <w:rPr>
                <w:sz w:val="24"/>
                <w:szCs w:val="24"/>
              </w:rPr>
              <w:t xml:space="preserve"> </w:t>
            </w:r>
            <w:proofErr w:type="spellStart"/>
            <w:r>
              <w:rPr>
                <w:sz w:val="24"/>
                <w:szCs w:val="24"/>
              </w:rPr>
              <w:t>qScript</w:t>
            </w:r>
            <w:proofErr w:type="spellEnd"/>
            <w:r>
              <w:rPr>
                <w:sz w:val="24"/>
                <w:szCs w:val="24"/>
              </w:rPr>
              <w:t xml:space="preserve">, 2.7 </w:t>
            </w:r>
            <w:proofErr w:type="spellStart"/>
            <w:r>
              <w:rPr>
                <w:sz w:val="24"/>
                <w:szCs w:val="24"/>
              </w:rPr>
              <w:t>μl</w:t>
            </w:r>
            <w:proofErr w:type="spellEnd"/>
            <w:r>
              <w:rPr>
                <w:sz w:val="24"/>
                <w:szCs w:val="24"/>
              </w:rPr>
              <w:t xml:space="preserve"> Fluorescein (final concentration 100 </w:t>
            </w:r>
            <w:proofErr w:type="spellStart"/>
            <w:r>
              <w:rPr>
                <w:sz w:val="24"/>
                <w:szCs w:val="24"/>
              </w:rPr>
              <w:t>nM</w:t>
            </w:r>
            <w:proofErr w:type="spellEnd"/>
            <w:r>
              <w:rPr>
                <w:sz w:val="24"/>
                <w:szCs w:val="24"/>
              </w:rPr>
              <w:t xml:space="preserve">), 0.54 </w:t>
            </w:r>
            <w:proofErr w:type="spellStart"/>
            <w:r>
              <w:rPr>
                <w:sz w:val="24"/>
                <w:szCs w:val="24"/>
              </w:rPr>
              <w:t>μl</w:t>
            </w:r>
            <w:proofErr w:type="spellEnd"/>
            <w:r>
              <w:rPr>
                <w:sz w:val="24"/>
                <w:szCs w:val="24"/>
              </w:rPr>
              <w:t xml:space="preserve"> forward primer, 0.54 </w:t>
            </w:r>
            <w:proofErr w:type="spellStart"/>
            <w:r>
              <w:rPr>
                <w:sz w:val="24"/>
                <w:szCs w:val="24"/>
              </w:rPr>
              <w:t>μl</w:t>
            </w:r>
            <w:proofErr w:type="spellEnd"/>
            <w:r>
              <w:rPr>
                <w:sz w:val="24"/>
                <w:szCs w:val="24"/>
              </w:rPr>
              <w:t xml:space="preserve"> reverse primer, 0.27 </w:t>
            </w:r>
            <w:proofErr w:type="spellStart"/>
            <w:r>
              <w:rPr>
                <w:sz w:val="24"/>
                <w:szCs w:val="24"/>
              </w:rPr>
              <w:t>μl</w:t>
            </w:r>
            <w:proofErr w:type="spellEnd"/>
            <w:r>
              <w:rPr>
                <w:sz w:val="24"/>
                <w:szCs w:val="24"/>
              </w:rPr>
              <w:t xml:space="preserve"> deletion probe (0.135 </w:t>
            </w:r>
            <w:proofErr w:type="spellStart"/>
            <w:r>
              <w:rPr>
                <w:sz w:val="24"/>
                <w:szCs w:val="24"/>
              </w:rPr>
              <w:t>μl</w:t>
            </w:r>
            <w:proofErr w:type="spellEnd"/>
            <w:r>
              <w:rPr>
                <w:sz w:val="24"/>
                <w:szCs w:val="24"/>
              </w:rPr>
              <w:t xml:space="preserve"> deletion probe for spike Δ69-70 assay), 0.27 </w:t>
            </w:r>
            <w:proofErr w:type="spellStart"/>
            <w:r>
              <w:rPr>
                <w:sz w:val="24"/>
                <w:szCs w:val="24"/>
              </w:rPr>
              <w:t>μl</w:t>
            </w:r>
            <w:proofErr w:type="spellEnd"/>
            <w:r>
              <w:rPr>
                <w:sz w:val="24"/>
                <w:szCs w:val="24"/>
              </w:rPr>
              <w:t xml:space="preserve"> universal probe, water up to a final volume of 21.6 </w:t>
            </w:r>
            <w:proofErr w:type="spellStart"/>
            <w:r>
              <w:rPr>
                <w:sz w:val="24"/>
                <w:szCs w:val="24"/>
              </w:rPr>
              <w:t>μl</w:t>
            </w:r>
            <w:proofErr w:type="spellEnd"/>
            <w:r>
              <w:rPr>
                <w:sz w:val="24"/>
                <w:szCs w:val="24"/>
              </w:rPr>
              <w:t xml:space="preserve">, 5.4 </w:t>
            </w:r>
            <w:proofErr w:type="spellStart"/>
            <w:r>
              <w:rPr>
                <w:sz w:val="24"/>
                <w:szCs w:val="24"/>
              </w:rPr>
              <w:t>μl</w:t>
            </w:r>
            <w:proofErr w:type="spellEnd"/>
            <w:r>
              <w:rPr>
                <w:sz w:val="24"/>
                <w:szCs w:val="24"/>
              </w:rPr>
              <w:t xml:space="preserve"> RNA template. 25 </w:t>
            </w:r>
            <w:proofErr w:type="spellStart"/>
            <w:r>
              <w:rPr>
                <w:sz w:val="24"/>
                <w:szCs w:val="24"/>
              </w:rPr>
              <w:t>μl</w:t>
            </w:r>
            <w:proofErr w:type="spellEnd"/>
            <w:r>
              <w:rPr>
                <w:sz w:val="24"/>
                <w:szCs w:val="24"/>
              </w:rPr>
              <w:t xml:space="preserve"> were loaded on the chip.</w:t>
            </w:r>
          </w:p>
        </w:tc>
      </w:tr>
      <w:tr w:rsidR="00C363ED" w:rsidTr="000B7DDF">
        <w:trPr>
          <w:trHeight w:val="6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Template treatment (initial heating or chemical denaturation)</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 xml:space="preserve">RNA extracts from wastewater were diluted 1:2 to maximize the number of gene copies per reaction, which is influenced by sample inhibition (2.7 </w:t>
            </w:r>
            <w:proofErr w:type="spellStart"/>
            <w:r>
              <w:rPr>
                <w:sz w:val="24"/>
                <w:szCs w:val="24"/>
              </w:rPr>
              <w:t>μl</w:t>
            </w:r>
            <w:proofErr w:type="spellEnd"/>
            <w:r>
              <w:rPr>
                <w:sz w:val="24"/>
                <w:szCs w:val="24"/>
              </w:rPr>
              <w:t xml:space="preserve"> RNA extract and 2.7 </w:t>
            </w:r>
            <w:proofErr w:type="spellStart"/>
            <w:r>
              <w:rPr>
                <w:sz w:val="24"/>
                <w:szCs w:val="24"/>
              </w:rPr>
              <w:t>μl</w:t>
            </w:r>
            <w:proofErr w:type="spellEnd"/>
            <w:r>
              <w:rPr>
                <w:sz w:val="24"/>
                <w:szCs w:val="24"/>
              </w:rPr>
              <w:t xml:space="preserve"> water)</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 xml:space="preserve">Polymerase identity and concentration, Mg++ and  </w:t>
            </w:r>
            <w:proofErr w:type="spellStart"/>
            <w:r>
              <w:rPr>
                <w:sz w:val="24"/>
                <w:szCs w:val="24"/>
              </w:rPr>
              <w:t>dNTP</w:t>
            </w:r>
            <w:proofErr w:type="spellEnd"/>
            <w:r>
              <w:rPr>
                <w:sz w:val="24"/>
                <w:szCs w:val="24"/>
              </w:rPr>
              <w:t xml:space="preserve"> concentrations***</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Based on manufacturer's preparation (not known): </w:t>
            </w:r>
            <w:proofErr w:type="spellStart"/>
            <w:r>
              <w:rPr>
                <w:sz w:val="24"/>
                <w:szCs w:val="24"/>
              </w:rPr>
              <w:t>QuantaBio</w:t>
            </w:r>
            <w:proofErr w:type="spellEnd"/>
            <w:r>
              <w:rPr>
                <w:sz w:val="24"/>
                <w:szCs w:val="24"/>
              </w:rPr>
              <w:t xml:space="preserve"> 95132-500 and </w:t>
            </w:r>
            <w:proofErr w:type="spellStart"/>
            <w:r>
              <w:rPr>
                <w:sz w:val="24"/>
                <w:szCs w:val="24"/>
              </w:rPr>
              <w:t>QuantaBio</w:t>
            </w:r>
            <w:proofErr w:type="spellEnd"/>
            <w:r>
              <w:rPr>
                <w:sz w:val="24"/>
                <w:szCs w:val="24"/>
              </w:rPr>
              <w:t xml:space="preserve"> 95132-02K</w:t>
            </w:r>
          </w:p>
        </w:tc>
      </w:tr>
      <w:tr w:rsidR="00C363ED" w:rsidTr="000B7DDF">
        <w:trPr>
          <w:trHeight w:val="31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Complete </w:t>
            </w:r>
            <w:proofErr w:type="spellStart"/>
            <w:r>
              <w:rPr>
                <w:sz w:val="24"/>
                <w:szCs w:val="24"/>
              </w:rPr>
              <w:t>thermocycling</w:t>
            </w:r>
            <w:proofErr w:type="spellEnd"/>
            <w:r>
              <w:rPr>
                <w:sz w:val="24"/>
                <w:szCs w:val="24"/>
              </w:rPr>
              <w:t xml:space="preserve"> parameters</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rPr>
                <w:sz w:val="24"/>
                <w:szCs w:val="24"/>
              </w:rPr>
            </w:pPr>
            <w:r>
              <w:rPr>
                <w:sz w:val="24"/>
                <w:szCs w:val="24"/>
              </w:rPr>
              <w:t xml:space="preserve">Partitioning 12 min/40°C // </w:t>
            </w:r>
          </w:p>
          <w:p w:rsidR="00C363ED" w:rsidRDefault="00C363ED" w:rsidP="000B7DDF">
            <w:pPr>
              <w:jc w:val="center"/>
              <w:rPr>
                <w:sz w:val="24"/>
                <w:szCs w:val="24"/>
              </w:rPr>
            </w:pPr>
            <w:r>
              <w:rPr>
                <w:sz w:val="24"/>
                <w:szCs w:val="24"/>
              </w:rPr>
              <w:t xml:space="preserve">Reverse transcription 30 min/55°C // Enzyme activation 1 min/95°C // </w:t>
            </w:r>
          </w:p>
          <w:p w:rsidR="00C363ED" w:rsidRDefault="00C363ED" w:rsidP="000B7DDF">
            <w:pPr>
              <w:jc w:val="center"/>
            </w:pPr>
            <w:r>
              <w:rPr>
                <w:sz w:val="24"/>
                <w:szCs w:val="24"/>
              </w:rPr>
              <w:t>40 cycles 10 sec/95°C and 30 sec/55°C</w:t>
            </w:r>
          </w:p>
        </w:tc>
      </w:tr>
      <w:tr w:rsidR="00C363ED" w:rsidTr="000B7DDF">
        <w:trPr>
          <w:trHeight w:val="300"/>
        </w:trPr>
        <w:tc>
          <w:tcPr>
            <w:tcW w:w="3319" w:type="dxa"/>
            <w:tcBorders>
              <w:top w:val="single" w:sz="8" w:space="0" w:color="000000"/>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b/>
                <w:sz w:val="24"/>
                <w:szCs w:val="24"/>
              </w:rPr>
              <w:t>8. ASSAY VALIDATION</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vAlign w:val="bottom"/>
          </w:tcPr>
          <w:p w:rsidR="00C363ED" w:rsidRDefault="00C363ED" w:rsidP="000B7DDF">
            <w:pPr>
              <w:jc w:val="center"/>
            </w:pPr>
            <w:r>
              <w:rPr>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sz w:val="24"/>
                <w:szCs w:val="24"/>
              </w:rPr>
              <w:t xml:space="preserve"> </w:t>
            </w:r>
          </w:p>
        </w:tc>
      </w:tr>
      <w:tr w:rsidR="00C363ED" w:rsidTr="000B7DDF">
        <w:trPr>
          <w:trHeight w:val="6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Details of </w:t>
            </w:r>
            <w:proofErr w:type="spellStart"/>
            <w:r>
              <w:rPr>
                <w:sz w:val="24"/>
                <w:szCs w:val="24"/>
              </w:rPr>
              <w:t>optimisation</w:t>
            </w:r>
            <w:proofErr w:type="spellEnd"/>
            <w:r>
              <w:rPr>
                <w:sz w:val="24"/>
                <w:szCs w:val="24"/>
              </w:rPr>
              <w:t xml:space="preserve"> performed</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rPr>
                <w:sz w:val="24"/>
                <w:szCs w:val="24"/>
              </w:rPr>
            </w:pPr>
            <w:r>
              <w:rPr>
                <w:sz w:val="24"/>
                <w:szCs w:val="24"/>
              </w:rPr>
              <w:t xml:space="preserve">Procedure for both deletions (spike Δ69-70 and ORF1a Δ3675-3677): </w:t>
            </w:r>
          </w:p>
          <w:p w:rsidR="00C363ED" w:rsidRDefault="00C363ED" w:rsidP="000B7DDF">
            <w:pPr>
              <w:jc w:val="center"/>
              <w:rPr>
                <w:sz w:val="24"/>
                <w:szCs w:val="24"/>
              </w:rPr>
            </w:pPr>
            <w:r>
              <w:rPr>
                <w:sz w:val="24"/>
                <w:szCs w:val="24"/>
              </w:rPr>
              <w:t xml:space="preserve">1. </w:t>
            </w:r>
            <w:proofErr w:type="spellStart"/>
            <w:r>
              <w:rPr>
                <w:sz w:val="24"/>
                <w:szCs w:val="24"/>
              </w:rPr>
              <w:t>Singleplex</w:t>
            </w:r>
            <w:proofErr w:type="spellEnd"/>
            <w:r>
              <w:rPr>
                <w:sz w:val="24"/>
                <w:szCs w:val="24"/>
              </w:rPr>
              <w:t xml:space="preserve"> against wild type and variant RNA individually </w:t>
            </w:r>
          </w:p>
          <w:p w:rsidR="00C363ED" w:rsidRDefault="00C363ED" w:rsidP="000B7DDF">
            <w:pPr>
              <w:jc w:val="center"/>
              <w:rPr>
                <w:sz w:val="24"/>
                <w:szCs w:val="24"/>
              </w:rPr>
            </w:pPr>
            <w:r>
              <w:rPr>
                <w:sz w:val="24"/>
                <w:szCs w:val="24"/>
              </w:rPr>
              <w:t xml:space="preserve">2. Duplex against wild type and variant RNA individually </w:t>
            </w:r>
          </w:p>
          <w:p w:rsidR="00C363ED" w:rsidRDefault="00C363ED" w:rsidP="000B7DDF">
            <w:pPr>
              <w:jc w:val="center"/>
              <w:rPr>
                <w:sz w:val="24"/>
                <w:szCs w:val="24"/>
              </w:rPr>
            </w:pPr>
            <w:r>
              <w:rPr>
                <w:sz w:val="24"/>
                <w:szCs w:val="24"/>
              </w:rPr>
              <w:t xml:space="preserve">3. Different ratios of wild type and variant RNA in duplex assays </w:t>
            </w:r>
          </w:p>
          <w:p w:rsidR="00C363ED" w:rsidRDefault="00C363ED" w:rsidP="000B7DDF">
            <w:pPr>
              <w:jc w:val="center"/>
            </w:pPr>
            <w:r>
              <w:rPr>
                <w:sz w:val="24"/>
                <w:szCs w:val="24"/>
              </w:rPr>
              <w:t>4. LOQ measurements using 25, 30 and 40 copies/reaction</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lastRenderedPageBreak/>
              <w:t>Analytical specificity (vs. related sequences) and limit of blank (LOB)</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not done</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Analytical sensitivity/</w:t>
            </w:r>
            <w:proofErr w:type="spellStart"/>
            <w:r>
              <w:rPr>
                <w:sz w:val="24"/>
                <w:szCs w:val="24"/>
              </w:rPr>
              <w:t>LoD</w:t>
            </w:r>
            <w:proofErr w:type="spellEnd"/>
            <w:r>
              <w:rPr>
                <w:sz w:val="24"/>
                <w:szCs w:val="24"/>
              </w:rPr>
              <w:t xml:space="preserve"> and how this was evaluated </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 xml:space="preserve">Negative control has less than 3 positive </w:t>
            </w:r>
            <w:proofErr w:type="gramStart"/>
            <w:r>
              <w:rPr>
                <w:sz w:val="24"/>
                <w:szCs w:val="24"/>
              </w:rPr>
              <w:t>droplets,</w:t>
            </w:r>
            <w:proofErr w:type="gramEnd"/>
            <w:r>
              <w:rPr>
                <w:sz w:val="24"/>
                <w:szCs w:val="24"/>
              </w:rPr>
              <w:t xml:space="preserve"> otherwise the experiment has to be repeated. A sample is positive with at least 3 positive droplets.</w:t>
            </w:r>
          </w:p>
        </w:tc>
      </w:tr>
      <w:tr w:rsidR="00C363ED" w:rsidTr="000B7DDF">
        <w:trPr>
          <w:trHeight w:val="615"/>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Testing for inhibitors (from biological matrix/extraction)</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2 samples (10_2020_12_22 and 10_2020_12_24) </w:t>
            </w:r>
            <w:proofErr w:type="gramStart"/>
            <w:r>
              <w:rPr>
                <w:sz w:val="24"/>
                <w:szCs w:val="24"/>
              </w:rPr>
              <w:t>were measured</w:t>
            </w:r>
            <w:proofErr w:type="gramEnd"/>
            <w:r>
              <w:rPr>
                <w:sz w:val="24"/>
                <w:szCs w:val="24"/>
              </w:rPr>
              <w:t xml:space="preserve"> using the spike Δ69-70 assay in different dilutions: undiluted, 1:2 diluted and 1:10 diluted. 1:2 dilution gave the highest gene copy numbers per reaction. For </w:t>
            </w:r>
            <w:proofErr w:type="gramStart"/>
            <w:r>
              <w:rPr>
                <w:sz w:val="24"/>
                <w:szCs w:val="24"/>
              </w:rPr>
              <w:t>details</w:t>
            </w:r>
            <w:proofErr w:type="gramEnd"/>
            <w:r>
              <w:rPr>
                <w:sz w:val="24"/>
                <w:szCs w:val="24"/>
              </w:rPr>
              <w:t xml:space="preserve"> see Supplemental Material Figure S1.</w:t>
            </w:r>
          </w:p>
        </w:tc>
      </w:tr>
      <w:tr w:rsidR="00C363ED" w:rsidTr="000B7DDF">
        <w:trPr>
          <w:trHeight w:val="300"/>
        </w:trPr>
        <w:tc>
          <w:tcPr>
            <w:tcW w:w="3319" w:type="dxa"/>
            <w:tcBorders>
              <w:top w:val="single" w:sz="8" w:space="0" w:color="000000"/>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b/>
                <w:sz w:val="24"/>
                <w:szCs w:val="24"/>
              </w:rPr>
              <w:t>9. DATA ANALYSIS</w:t>
            </w:r>
          </w:p>
        </w:tc>
        <w:tc>
          <w:tcPr>
            <w:tcW w:w="1496" w:type="dxa"/>
            <w:tcBorders>
              <w:top w:val="single" w:sz="8" w:space="0" w:color="000000"/>
              <w:left w:val="single" w:sz="4" w:space="0" w:color="4BACC6"/>
              <w:bottom w:val="single" w:sz="4" w:space="0" w:color="4BACC6"/>
              <w:right w:val="single" w:sz="4" w:space="0" w:color="4BACC6"/>
            </w:tcBorders>
            <w:shd w:val="clear" w:color="auto" w:fill="366092"/>
            <w:tcMar>
              <w:top w:w="0" w:type="dxa"/>
              <w:left w:w="0" w:type="dxa"/>
              <w:bottom w:w="0" w:type="dxa"/>
              <w:right w:w="0" w:type="dxa"/>
            </w:tcMar>
            <w:vAlign w:val="bottom"/>
          </w:tcPr>
          <w:p w:rsidR="00C363ED" w:rsidRDefault="00C363ED" w:rsidP="000B7DDF">
            <w:pPr>
              <w:jc w:val="center"/>
            </w:pPr>
            <w:r>
              <w:rPr>
                <w:color w:val="16365C"/>
                <w:sz w:val="24"/>
                <w:szCs w:val="24"/>
              </w:rPr>
              <w:t xml:space="preserve"> </w:t>
            </w:r>
          </w:p>
        </w:tc>
        <w:tc>
          <w:tcPr>
            <w:tcW w:w="4544" w:type="dxa"/>
            <w:tcBorders>
              <w:top w:val="single" w:sz="8" w:space="0" w:color="000000"/>
              <w:left w:val="single" w:sz="4" w:space="0" w:color="4BACC6"/>
              <w:bottom w:val="single" w:sz="4" w:space="0" w:color="4BACC6"/>
              <w:right w:val="single" w:sz="8" w:space="0" w:color="000000"/>
            </w:tcBorders>
            <w:shd w:val="clear" w:color="auto" w:fill="366092"/>
            <w:tcMar>
              <w:top w:w="0" w:type="dxa"/>
              <w:left w:w="0" w:type="dxa"/>
              <w:bottom w:w="0" w:type="dxa"/>
              <w:right w:w="0" w:type="dxa"/>
            </w:tcMar>
            <w:vAlign w:val="center"/>
          </w:tcPr>
          <w:p w:rsidR="00C363ED" w:rsidRDefault="00C363ED" w:rsidP="000B7DDF">
            <w:pPr>
              <w:jc w:val="center"/>
            </w:pPr>
            <w:r>
              <w:rPr>
                <w:color w:val="16365C"/>
                <w:sz w:val="24"/>
                <w:szCs w:val="24"/>
              </w:rPr>
              <w:t xml:space="preserve"> </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 xml:space="preserve">Description of </w:t>
            </w:r>
            <w:proofErr w:type="spellStart"/>
            <w:r>
              <w:rPr>
                <w:sz w:val="24"/>
                <w:szCs w:val="24"/>
              </w:rPr>
              <w:t>dPCR</w:t>
            </w:r>
            <w:proofErr w:type="spellEnd"/>
            <w:r>
              <w:rPr>
                <w:sz w:val="24"/>
                <w:szCs w:val="24"/>
              </w:rPr>
              <w:t xml:space="preserve"> experimental design</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Measuring wastewater samples over time targeting two different SARS-CoV-2 deletions: spike Δ69-70 and ORF1a Δ3675-3677</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Comprehensive details negative and positive of controls (whether applied for QC or for estimation of error)</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In each run, a negative sample (water as RNA template) and a positive sample (wild type RNA in a known concentration) were included.</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Partition classification method (</w:t>
            </w:r>
            <w:proofErr w:type="spellStart"/>
            <w:r>
              <w:rPr>
                <w:sz w:val="24"/>
                <w:szCs w:val="24"/>
              </w:rPr>
              <w:t>thresholding</w:t>
            </w:r>
            <w:proofErr w:type="spellEnd"/>
            <w:r>
              <w:rPr>
                <w:sz w:val="24"/>
                <w:szCs w:val="24"/>
              </w:rPr>
              <w:t>)</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In each run, polygons </w:t>
            </w:r>
            <w:proofErr w:type="gramStart"/>
            <w:r>
              <w:rPr>
                <w:sz w:val="24"/>
                <w:szCs w:val="24"/>
              </w:rPr>
              <w:t>were manually drawn</w:t>
            </w:r>
            <w:proofErr w:type="gramEnd"/>
            <w:r>
              <w:rPr>
                <w:sz w:val="24"/>
                <w:szCs w:val="24"/>
              </w:rPr>
              <w:t xml:space="preserve"> according to the description in Supplemental Material Text S1. </w:t>
            </w:r>
            <w:proofErr w:type="gramStart"/>
            <w:r>
              <w:rPr>
                <w:sz w:val="24"/>
                <w:szCs w:val="24"/>
              </w:rPr>
              <w:t>Basically 3</w:t>
            </w:r>
            <w:proofErr w:type="gramEnd"/>
            <w:r>
              <w:rPr>
                <w:sz w:val="24"/>
                <w:szCs w:val="24"/>
              </w:rPr>
              <w:t xml:space="preserve"> polygons were drawn: a negative, a single positive and a double positive polygon according to the Technical Note from Stilla.</w:t>
            </w:r>
          </w:p>
        </w:tc>
      </w:tr>
      <w:tr w:rsidR="00C363ED" w:rsidTr="000B7DDF">
        <w:trPr>
          <w:trHeight w:val="31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Examples of positive and negative experimental results (including fluorescence plots in supplemental material)</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See Supplemental Material, Figure S2.</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 xml:space="preserve">Description of technical replication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Each sample </w:t>
            </w:r>
            <w:proofErr w:type="gramStart"/>
            <w:r>
              <w:rPr>
                <w:sz w:val="24"/>
                <w:szCs w:val="24"/>
              </w:rPr>
              <w:t>was measured</w:t>
            </w:r>
            <w:proofErr w:type="gramEnd"/>
            <w:r>
              <w:rPr>
                <w:sz w:val="24"/>
                <w:szCs w:val="24"/>
              </w:rPr>
              <w:t xml:space="preserve"> in duplicates.</w:t>
            </w:r>
          </w:p>
        </w:tc>
      </w:tr>
      <w:tr w:rsidR="00C363ED" w:rsidTr="000B7DDF">
        <w:trPr>
          <w:trHeight w:val="6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Repeatability (intra-experiment variation)</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 xml:space="preserve">10 replicates of a known concentration (25 copies/reaction) </w:t>
            </w:r>
            <w:proofErr w:type="gramStart"/>
            <w:r>
              <w:rPr>
                <w:sz w:val="24"/>
                <w:szCs w:val="24"/>
              </w:rPr>
              <w:t>were run</w:t>
            </w:r>
            <w:proofErr w:type="gramEnd"/>
            <w:r>
              <w:rPr>
                <w:sz w:val="24"/>
                <w:szCs w:val="24"/>
              </w:rPr>
              <w:t xml:space="preserve"> on both assays. The average (and relative standard deviation) for each assay are given as: 22.65 copies/reaction (27.61%) for spike Δ69-70 and 27.38 copies/reaction (22.92%) for ORF1a Δ3675-3677</w:t>
            </w:r>
          </w:p>
        </w:tc>
      </w:tr>
      <w:tr w:rsidR="00C363ED" w:rsidTr="000B7DDF">
        <w:trPr>
          <w:trHeight w:val="9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lastRenderedPageBreak/>
              <w:t>Reproducibility (inter-experiment/user/lab etc. variation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All experiments </w:t>
            </w:r>
            <w:proofErr w:type="gramStart"/>
            <w:r>
              <w:rPr>
                <w:sz w:val="24"/>
                <w:szCs w:val="24"/>
              </w:rPr>
              <w:t>were performed</w:t>
            </w:r>
            <w:proofErr w:type="gramEnd"/>
            <w:r>
              <w:rPr>
                <w:sz w:val="24"/>
                <w:szCs w:val="24"/>
              </w:rPr>
              <w:t xml:space="preserve"> in the same lab, on the same instruments by the same person, but on different days. Performance of positive control at 1'000 copies/reaction (n=6 for each assay) for spike Δ69-70 showed a relative standard deviation of 4.16% and for ORF1a Δ3675-3677 a relative standard deviation of 4.43%.</w:t>
            </w:r>
          </w:p>
        </w:tc>
      </w:tr>
      <w:tr w:rsidR="00C363ED" w:rsidTr="000B7DDF">
        <w:trPr>
          <w:trHeight w:val="61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Number of partitions measured (average and standard deviation ) </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rPr>
                <w:sz w:val="24"/>
                <w:szCs w:val="24"/>
              </w:rPr>
            </w:pPr>
            <w:r>
              <w:rPr>
                <w:sz w:val="24"/>
                <w:szCs w:val="24"/>
                <w:u w:val="single"/>
              </w:rPr>
              <w:t>spike Δ69-70</w:t>
            </w:r>
            <w:r>
              <w:rPr>
                <w:sz w:val="24"/>
                <w:szCs w:val="24"/>
              </w:rPr>
              <w:t xml:space="preserve">: 25’205 droplets with a standard deviation of 2’289 droplets (n=162) </w:t>
            </w:r>
          </w:p>
          <w:p w:rsidR="00C363ED" w:rsidRDefault="00C363ED" w:rsidP="000B7DDF">
            <w:pPr>
              <w:jc w:val="center"/>
            </w:pPr>
            <w:r>
              <w:rPr>
                <w:sz w:val="24"/>
                <w:szCs w:val="24"/>
                <w:u w:val="single"/>
              </w:rPr>
              <w:t>ORF1a Δ3675-3677</w:t>
            </w:r>
            <w:r>
              <w:rPr>
                <w:sz w:val="24"/>
                <w:szCs w:val="24"/>
              </w:rPr>
              <w:t>: 25’716 droplets with a standard deviation of 3’103 droplets (n=143)</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 xml:space="preserve">Partition volume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 xml:space="preserve">Diameter of droplets when using </w:t>
            </w:r>
            <w:proofErr w:type="spellStart"/>
            <w:r>
              <w:rPr>
                <w:sz w:val="24"/>
                <w:szCs w:val="24"/>
              </w:rPr>
              <w:t>qScript</w:t>
            </w:r>
            <w:proofErr w:type="spellEnd"/>
            <w:r>
              <w:rPr>
                <w:sz w:val="24"/>
                <w:szCs w:val="24"/>
              </w:rPr>
              <w:t xml:space="preserve"> on Stilla is 101.53 </w:t>
            </w:r>
            <w:proofErr w:type="spellStart"/>
            <w:r>
              <w:rPr>
                <w:sz w:val="24"/>
                <w:szCs w:val="24"/>
              </w:rPr>
              <w:t>μm</w:t>
            </w:r>
            <w:proofErr w:type="spellEnd"/>
            <w:r>
              <w:rPr>
                <w:sz w:val="24"/>
                <w:szCs w:val="24"/>
              </w:rPr>
              <w:t xml:space="preserve">. This equals a </w:t>
            </w:r>
            <w:proofErr w:type="spellStart"/>
            <w:r>
              <w:rPr>
                <w:sz w:val="24"/>
                <w:szCs w:val="24"/>
              </w:rPr>
              <w:t>spheric</w:t>
            </w:r>
            <w:proofErr w:type="spellEnd"/>
            <w:r>
              <w:rPr>
                <w:sz w:val="24"/>
                <w:szCs w:val="24"/>
              </w:rPr>
              <w:t xml:space="preserve"> volume of 548001.542 μm^3 or 0.000548 </w:t>
            </w:r>
            <w:proofErr w:type="spellStart"/>
            <w:r>
              <w:rPr>
                <w:sz w:val="24"/>
                <w:szCs w:val="24"/>
              </w:rPr>
              <w:t>μl</w:t>
            </w:r>
            <w:proofErr w:type="spellEnd"/>
            <w:r>
              <w:rPr>
                <w:sz w:val="24"/>
                <w:szCs w:val="24"/>
              </w:rPr>
              <w:t>.</w:t>
            </w:r>
          </w:p>
        </w:tc>
      </w:tr>
      <w:tr w:rsidR="00C363ED" w:rsidTr="000B7DDF">
        <w:trPr>
          <w:trHeight w:val="315"/>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Copies per partition (λ or equivalent ) (average and standard deviation) </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rPr>
                <w:sz w:val="24"/>
                <w:szCs w:val="24"/>
              </w:rPr>
            </w:pPr>
            <w:r>
              <w:rPr>
                <w:sz w:val="24"/>
                <w:szCs w:val="24"/>
                <w:u w:val="single"/>
              </w:rPr>
              <w:t>spike Δ69-70</w:t>
            </w:r>
            <w:r>
              <w:rPr>
                <w:sz w:val="24"/>
                <w:szCs w:val="24"/>
              </w:rPr>
              <w:t xml:space="preserve">: λ equals 0.01177 with a relative uncertainty of 11.37% </w:t>
            </w:r>
          </w:p>
          <w:p w:rsidR="00C363ED" w:rsidRDefault="00C363ED" w:rsidP="000B7DDF">
            <w:pPr>
              <w:jc w:val="center"/>
            </w:pPr>
            <w:r>
              <w:rPr>
                <w:sz w:val="24"/>
                <w:szCs w:val="24"/>
                <w:u w:val="single"/>
              </w:rPr>
              <w:t>ORF1a Δ3675-3677</w:t>
            </w:r>
            <w:r>
              <w:rPr>
                <w:sz w:val="24"/>
                <w:szCs w:val="24"/>
              </w:rPr>
              <w:t>: λ equals 0.01389 with a relative uncertainty of 10.38%</w:t>
            </w:r>
          </w:p>
        </w:tc>
      </w:tr>
      <w:tr w:rsidR="00C363ED" w:rsidTr="000B7DDF">
        <w:trPr>
          <w:trHeight w:val="315"/>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proofErr w:type="spellStart"/>
            <w:r>
              <w:rPr>
                <w:sz w:val="24"/>
                <w:szCs w:val="24"/>
              </w:rPr>
              <w:t>dPCR</w:t>
            </w:r>
            <w:proofErr w:type="spellEnd"/>
            <w:r>
              <w:rPr>
                <w:sz w:val="24"/>
                <w:szCs w:val="24"/>
              </w:rPr>
              <w:t xml:space="preserve"> analysis program (source, version)</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proofErr w:type="spellStart"/>
            <w:r>
              <w:rPr>
                <w:sz w:val="24"/>
                <w:szCs w:val="24"/>
              </w:rPr>
              <w:t>CrystalReader</w:t>
            </w:r>
            <w:proofErr w:type="spellEnd"/>
            <w:r>
              <w:rPr>
                <w:sz w:val="24"/>
                <w:szCs w:val="24"/>
              </w:rPr>
              <w:t xml:space="preserve"> and </w:t>
            </w:r>
            <w:proofErr w:type="spellStart"/>
            <w:r>
              <w:rPr>
                <w:sz w:val="24"/>
                <w:szCs w:val="24"/>
              </w:rPr>
              <w:t>CrystalMiner</w:t>
            </w:r>
            <w:proofErr w:type="spellEnd"/>
            <w:r>
              <w:rPr>
                <w:sz w:val="24"/>
                <w:szCs w:val="24"/>
              </w:rPr>
              <w:t xml:space="preserve"> 2.4.0.3</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r>
              <w:rPr>
                <w:sz w:val="24"/>
                <w:szCs w:val="24"/>
              </w:rPr>
              <w:t xml:space="preserve">Description of </w:t>
            </w:r>
            <w:proofErr w:type="spellStart"/>
            <w:r>
              <w:rPr>
                <w:sz w:val="24"/>
                <w:szCs w:val="24"/>
              </w:rPr>
              <w:t>normalisation</w:t>
            </w:r>
            <w:proofErr w:type="spellEnd"/>
            <w:r>
              <w:rPr>
                <w:sz w:val="24"/>
                <w:szCs w:val="24"/>
              </w:rPr>
              <w:t xml:space="preserve"> method</w:t>
            </w:r>
          </w:p>
        </w:tc>
        <w:tc>
          <w:tcPr>
            <w:tcW w:w="1496" w:type="dxa"/>
            <w:tcBorders>
              <w:top w:val="single" w:sz="4" w:space="0" w:color="4BACC6"/>
              <w:left w:val="single" w:sz="4" w:space="0" w:color="4BACC6"/>
              <w:bottom w:val="single" w:sz="4" w:space="0" w:color="4BACC6"/>
              <w:right w:val="single" w:sz="4" w:space="0" w:color="4BACC6"/>
            </w:tcBorders>
            <w:shd w:val="clear" w:color="auto" w:fill="DAEEF3"/>
            <w:tcMar>
              <w:top w:w="0" w:type="dxa"/>
              <w:left w:w="0" w:type="dxa"/>
              <w:bottom w:w="0" w:type="dxa"/>
              <w:right w:w="0" w:type="dxa"/>
            </w:tcMar>
          </w:tcPr>
          <w:p w:rsidR="00C363ED" w:rsidRDefault="00C363ED" w:rsidP="000B7DDF">
            <w:pPr>
              <w:jc w:val="center"/>
            </w:pPr>
            <w:r>
              <w:rPr>
                <w:b/>
                <w:sz w:val="24"/>
                <w:szCs w:val="24"/>
              </w:rPr>
              <w:t>N</w:t>
            </w:r>
          </w:p>
        </w:tc>
        <w:tc>
          <w:tcPr>
            <w:tcW w:w="4544" w:type="dxa"/>
            <w:tcBorders>
              <w:top w:val="single" w:sz="4" w:space="0" w:color="4BACC6"/>
              <w:left w:val="single" w:sz="4" w:space="0" w:color="4BACC6"/>
              <w:bottom w:val="single" w:sz="4" w:space="0" w:color="4BACC6"/>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not applicable</w:t>
            </w:r>
          </w:p>
        </w:tc>
      </w:tr>
      <w:tr w:rsidR="00C363ED" w:rsidTr="000B7DDF">
        <w:trPr>
          <w:trHeight w:val="300"/>
        </w:trPr>
        <w:tc>
          <w:tcPr>
            <w:tcW w:w="3319" w:type="dxa"/>
            <w:tcBorders>
              <w:top w:val="single" w:sz="4" w:space="0" w:color="4BACC6"/>
              <w:left w:val="single" w:sz="8" w:space="0" w:color="000000"/>
              <w:bottom w:val="single" w:sz="4" w:space="0" w:color="4BACC6"/>
              <w:right w:val="single" w:sz="4" w:space="0" w:color="4BACC6"/>
            </w:tcBorders>
            <w:tcMar>
              <w:top w:w="0" w:type="dxa"/>
              <w:left w:w="0" w:type="dxa"/>
              <w:bottom w:w="0" w:type="dxa"/>
              <w:right w:w="0" w:type="dxa"/>
            </w:tcMar>
          </w:tcPr>
          <w:p w:rsidR="00C363ED" w:rsidRDefault="00C363ED" w:rsidP="000B7DDF">
            <w:r>
              <w:rPr>
                <w:sz w:val="24"/>
                <w:szCs w:val="24"/>
              </w:rPr>
              <w:t xml:space="preserve">Statistical methods used for analysis   </w:t>
            </w:r>
          </w:p>
        </w:tc>
        <w:tc>
          <w:tcPr>
            <w:tcW w:w="1496" w:type="dxa"/>
            <w:tcBorders>
              <w:top w:val="single" w:sz="4" w:space="0" w:color="4BACC6"/>
              <w:left w:val="single" w:sz="4" w:space="0" w:color="4BACC6"/>
              <w:bottom w:val="single" w:sz="4" w:space="0" w:color="4BACC6"/>
              <w:right w:val="single" w:sz="4" w:space="0" w:color="4BACC6"/>
            </w:tcBorders>
            <w:tcMar>
              <w:top w:w="0" w:type="dxa"/>
              <w:left w:w="0" w:type="dxa"/>
              <w:bottom w:w="0" w:type="dxa"/>
              <w:right w:w="0" w:type="dxa"/>
            </w:tcMar>
          </w:tcPr>
          <w:p w:rsidR="00C363ED" w:rsidRDefault="00C363ED" w:rsidP="000B7DDF">
            <w:pPr>
              <w:jc w:val="center"/>
            </w:pPr>
            <w:r>
              <w:rPr>
                <w:b/>
                <w:sz w:val="24"/>
                <w:szCs w:val="24"/>
              </w:rPr>
              <w:t>Y</w:t>
            </w:r>
          </w:p>
        </w:tc>
        <w:tc>
          <w:tcPr>
            <w:tcW w:w="4544" w:type="dxa"/>
            <w:tcBorders>
              <w:top w:val="single" w:sz="4" w:space="0" w:color="4BACC6"/>
              <w:left w:val="single" w:sz="4" w:space="0" w:color="4BACC6"/>
              <w:bottom w:val="single" w:sz="4" w:space="0" w:color="4BACC6"/>
              <w:right w:val="single" w:sz="8" w:space="0" w:color="000000"/>
            </w:tcBorders>
            <w:tcMar>
              <w:top w:w="0" w:type="dxa"/>
              <w:left w:w="0" w:type="dxa"/>
              <w:bottom w:w="0" w:type="dxa"/>
              <w:right w:w="0" w:type="dxa"/>
            </w:tcMar>
            <w:vAlign w:val="center"/>
          </w:tcPr>
          <w:p w:rsidR="00C363ED" w:rsidRDefault="00C363ED" w:rsidP="000B7DDF">
            <w:pPr>
              <w:jc w:val="center"/>
            </w:pPr>
            <w:r>
              <w:rPr>
                <w:sz w:val="24"/>
                <w:szCs w:val="24"/>
              </w:rPr>
              <w:t>see main text</w:t>
            </w:r>
          </w:p>
        </w:tc>
      </w:tr>
      <w:tr w:rsidR="00C363ED" w:rsidTr="00C9527B">
        <w:trPr>
          <w:trHeight w:val="315"/>
        </w:trPr>
        <w:tc>
          <w:tcPr>
            <w:tcW w:w="3319" w:type="dxa"/>
            <w:tcBorders>
              <w:top w:val="single" w:sz="4" w:space="0" w:color="4BACC6"/>
              <w:left w:val="single" w:sz="8" w:space="0" w:color="000000"/>
              <w:bottom w:val="single" w:sz="8" w:space="0" w:color="000000"/>
              <w:right w:val="single" w:sz="4" w:space="0" w:color="4BACC6"/>
            </w:tcBorders>
            <w:shd w:val="clear" w:color="auto" w:fill="auto"/>
            <w:tcMar>
              <w:top w:w="0" w:type="dxa"/>
              <w:left w:w="0" w:type="dxa"/>
              <w:bottom w:w="0" w:type="dxa"/>
              <w:right w:w="0" w:type="dxa"/>
            </w:tcMar>
          </w:tcPr>
          <w:p w:rsidR="00C363ED" w:rsidRPr="00C9527B" w:rsidRDefault="00C363ED" w:rsidP="000B7DDF">
            <w:r w:rsidRPr="00C9527B">
              <w:rPr>
                <w:sz w:val="24"/>
                <w:szCs w:val="24"/>
              </w:rPr>
              <w:t>Data transparency</w:t>
            </w:r>
          </w:p>
        </w:tc>
        <w:tc>
          <w:tcPr>
            <w:tcW w:w="1496" w:type="dxa"/>
            <w:tcBorders>
              <w:top w:val="single" w:sz="4" w:space="0" w:color="4BACC6"/>
              <w:left w:val="single" w:sz="4" w:space="0" w:color="4BACC6"/>
              <w:bottom w:val="single" w:sz="8" w:space="0" w:color="000000"/>
              <w:right w:val="single" w:sz="4" w:space="0" w:color="4BACC6"/>
            </w:tcBorders>
            <w:shd w:val="clear" w:color="auto" w:fill="DAEEF3"/>
            <w:tcMar>
              <w:top w:w="0" w:type="dxa"/>
              <w:left w:w="0" w:type="dxa"/>
              <w:bottom w:w="0" w:type="dxa"/>
              <w:right w:w="0" w:type="dxa"/>
            </w:tcMar>
          </w:tcPr>
          <w:p w:rsidR="00C363ED" w:rsidRDefault="00C363ED" w:rsidP="000B7DDF">
            <w:pPr>
              <w:jc w:val="right"/>
            </w:pPr>
            <w:r>
              <w:rPr>
                <w:sz w:val="24"/>
                <w:szCs w:val="24"/>
              </w:rPr>
              <w:t>raw data uploaded to online repository with ID:</w:t>
            </w:r>
          </w:p>
        </w:tc>
        <w:tc>
          <w:tcPr>
            <w:tcW w:w="4544" w:type="dxa"/>
            <w:tcBorders>
              <w:top w:val="single" w:sz="4" w:space="0" w:color="4BACC6"/>
              <w:left w:val="single" w:sz="4" w:space="0" w:color="4BACC6"/>
              <w:bottom w:val="single" w:sz="8" w:space="0" w:color="000000"/>
              <w:right w:val="single" w:sz="8" w:space="0" w:color="000000"/>
            </w:tcBorders>
            <w:shd w:val="clear" w:color="auto" w:fill="DAEEF3"/>
            <w:tcMar>
              <w:top w:w="0" w:type="dxa"/>
              <w:left w:w="0" w:type="dxa"/>
              <w:bottom w:w="0" w:type="dxa"/>
              <w:right w:w="0" w:type="dxa"/>
            </w:tcMar>
            <w:vAlign w:val="center"/>
          </w:tcPr>
          <w:p w:rsidR="00C363ED" w:rsidRDefault="00C363ED" w:rsidP="000B7DDF">
            <w:pPr>
              <w:jc w:val="center"/>
            </w:pPr>
            <w:r>
              <w:rPr>
                <w:sz w:val="24"/>
                <w:szCs w:val="24"/>
              </w:rPr>
              <w:t>DOI available on acceptance</w:t>
            </w:r>
          </w:p>
        </w:tc>
      </w:tr>
    </w:tbl>
    <w:p w:rsidR="00C363ED" w:rsidRDefault="00C363ED" w:rsidP="00C363ED">
      <w:r>
        <w:br w:type="page"/>
      </w:r>
    </w:p>
    <w:p w:rsidR="00C363ED" w:rsidRDefault="00C363ED" w:rsidP="00C363ED"/>
    <w:p w:rsidR="00C363ED" w:rsidRDefault="00C363ED" w:rsidP="00C363ED">
      <w:r>
        <w:rPr>
          <w:noProof/>
          <w:lang w:val="de-DE"/>
        </w:rPr>
        <w:drawing>
          <wp:anchor distT="114300" distB="114300" distL="114300" distR="114300" simplePos="0" relativeHeight="251659264" behindDoc="0" locked="0" layoutInCell="1" hidden="0" allowOverlap="1" wp14:anchorId="43E18DC3" wp14:editId="3F085678">
            <wp:simplePos x="0" y="0"/>
            <wp:positionH relativeFrom="column">
              <wp:posOffset>-95249</wp:posOffset>
            </wp:positionH>
            <wp:positionV relativeFrom="paragraph">
              <wp:posOffset>298563</wp:posOffset>
            </wp:positionV>
            <wp:extent cx="2993231" cy="1995488"/>
            <wp:effectExtent l="0" t="0" r="0" b="0"/>
            <wp:wrapTopAndBottom distT="114300" distB="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993231" cy="1995488"/>
                    </a:xfrm>
                    <a:prstGeom prst="rect">
                      <a:avLst/>
                    </a:prstGeom>
                    <a:ln/>
                  </pic:spPr>
                </pic:pic>
              </a:graphicData>
            </a:graphic>
          </wp:anchor>
        </w:drawing>
      </w:r>
    </w:p>
    <w:p w:rsidR="00C363ED" w:rsidRDefault="00C363ED" w:rsidP="00C363ED">
      <w:r>
        <w:rPr>
          <w:noProof/>
          <w:lang w:val="de-DE"/>
        </w:rPr>
        <w:drawing>
          <wp:anchor distT="114300" distB="114300" distL="114300" distR="114300" simplePos="0" relativeHeight="251660288" behindDoc="0" locked="0" layoutInCell="1" hidden="0" allowOverlap="1" wp14:anchorId="3DEA1143" wp14:editId="57A4FEBF">
            <wp:simplePos x="0" y="0"/>
            <wp:positionH relativeFrom="column">
              <wp:posOffset>2828925</wp:posOffset>
            </wp:positionH>
            <wp:positionV relativeFrom="paragraph">
              <wp:posOffset>237651</wp:posOffset>
            </wp:positionV>
            <wp:extent cx="2802929" cy="1871663"/>
            <wp:effectExtent l="0" t="0" r="0" b="0"/>
            <wp:wrapTopAndBottom distT="114300" distB="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802929" cy="1871663"/>
                    </a:xfrm>
                    <a:prstGeom prst="rect">
                      <a:avLst/>
                    </a:prstGeom>
                    <a:ln/>
                  </pic:spPr>
                </pic:pic>
              </a:graphicData>
            </a:graphic>
          </wp:anchor>
        </w:drawing>
      </w:r>
    </w:p>
    <w:p w:rsidR="00C363ED" w:rsidRDefault="00C363ED" w:rsidP="00C363ED">
      <w:r>
        <w:rPr>
          <w:noProof/>
          <w:lang w:val="de-DE"/>
        </w:rPr>
        <w:drawing>
          <wp:anchor distT="114300" distB="114300" distL="114300" distR="114300" simplePos="0" relativeHeight="251661312" behindDoc="0" locked="0" layoutInCell="1" hidden="0" allowOverlap="1" wp14:anchorId="6FCDC332" wp14:editId="43C63EE3">
            <wp:simplePos x="0" y="0"/>
            <wp:positionH relativeFrom="column">
              <wp:posOffset>-95249</wp:posOffset>
            </wp:positionH>
            <wp:positionV relativeFrom="paragraph">
              <wp:posOffset>267412</wp:posOffset>
            </wp:positionV>
            <wp:extent cx="2926476" cy="1947863"/>
            <wp:effectExtent l="0" t="0" r="0" b="0"/>
            <wp:wrapTopAndBottom distT="114300" distB="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926476" cy="1947863"/>
                    </a:xfrm>
                    <a:prstGeom prst="rect">
                      <a:avLst/>
                    </a:prstGeom>
                    <a:ln/>
                  </pic:spPr>
                </pic:pic>
              </a:graphicData>
            </a:graphic>
          </wp:anchor>
        </w:drawing>
      </w:r>
      <w:r>
        <w:rPr>
          <w:noProof/>
          <w:lang w:val="de-DE"/>
        </w:rPr>
        <w:drawing>
          <wp:anchor distT="114300" distB="114300" distL="114300" distR="114300" simplePos="0" relativeHeight="251662336" behindDoc="0" locked="0" layoutInCell="1" hidden="0" allowOverlap="1" wp14:anchorId="27676FB2" wp14:editId="4634C25A">
            <wp:simplePos x="0" y="0"/>
            <wp:positionH relativeFrom="column">
              <wp:posOffset>2828925</wp:posOffset>
            </wp:positionH>
            <wp:positionV relativeFrom="paragraph">
              <wp:posOffset>266700</wp:posOffset>
            </wp:positionV>
            <wp:extent cx="2947988" cy="1965325"/>
            <wp:effectExtent l="0" t="0" r="0" b="0"/>
            <wp:wrapTopAndBottom distT="114300" distB="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47988" cy="1965325"/>
                    </a:xfrm>
                    <a:prstGeom prst="rect">
                      <a:avLst/>
                    </a:prstGeom>
                    <a:ln/>
                  </pic:spPr>
                </pic:pic>
              </a:graphicData>
            </a:graphic>
          </wp:anchor>
        </w:drawing>
      </w:r>
    </w:p>
    <w:p w:rsidR="00C363ED" w:rsidRDefault="00C363ED" w:rsidP="00C363ED"/>
    <w:p w:rsidR="00C363ED" w:rsidRDefault="00C363ED" w:rsidP="00C363ED"/>
    <w:p w:rsidR="00C363ED" w:rsidRDefault="00C363ED" w:rsidP="00C363ED">
      <w:r>
        <w:rPr>
          <w:b/>
        </w:rPr>
        <w:t>Figure S2.</w:t>
      </w:r>
      <w:r>
        <w:t xml:space="preserve"> 2D scatter plot of digital PCR droplet fluorescence of the drop-off </w:t>
      </w:r>
      <w:proofErr w:type="spellStart"/>
      <w:r>
        <w:t>dPCR</w:t>
      </w:r>
      <w:proofErr w:type="spellEnd"/>
      <w:r>
        <w:t xml:space="preserve"> assays for  positive (top left, bottom left) and negative (top right, bottom right) controls for both the spike </w:t>
      </w:r>
      <w:r>
        <w:rPr>
          <w:color w:val="191919"/>
          <w:highlight w:val="white"/>
        </w:rPr>
        <w:t>Δ69-70 (top left, top right) and</w:t>
      </w:r>
      <w:r>
        <w:t xml:space="preserve"> </w:t>
      </w:r>
      <w:r>
        <w:rPr>
          <w:color w:val="191919"/>
          <w:highlight w:val="white"/>
        </w:rPr>
        <w:t>ORF1a Δ3675-3677 (bottom left, bottom right) assays. P</w:t>
      </w:r>
      <w:r>
        <w:t xml:space="preserve">ositive controls included SARS-CoV-2 wild type RNA at a target concentration of 100 </w:t>
      </w:r>
      <w:proofErr w:type="spellStart"/>
      <w:r>
        <w:t>gc</w:t>
      </w:r>
      <w:proofErr w:type="spellEnd"/>
      <w:r>
        <w:t>/reaction as the template. Negative controls included molecular grade water as the template. Polygons in each image represent non-fluorescing negative droplets (black), single positive droplets (green) and double positive droplets (blue). Because SARS-CoV-2 wild type RNA does not contain the target deletions, the sample is double fluorescing (blue polygon).</w:t>
      </w:r>
    </w:p>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9527B" w:rsidRDefault="00C9527B">
      <w:pPr>
        <w:spacing w:after="160" w:line="259" w:lineRule="auto"/>
        <w:rPr>
          <w:b/>
        </w:rPr>
      </w:pPr>
      <w:r>
        <w:rPr>
          <w:b/>
        </w:rPr>
        <w:br w:type="page"/>
      </w:r>
    </w:p>
    <w:p w:rsidR="00C363ED" w:rsidRDefault="00C363ED" w:rsidP="00C363ED">
      <w:r>
        <w:rPr>
          <w:b/>
        </w:rPr>
        <w:lastRenderedPageBreak/>
        <w:t>Text S1.</w:t>
      </w:r>
      <w:r>
        <w:t xml:space="preserve"> </w:t>
      </w:r>
      <w:r>
        <w:rPr>
          <w:color w:val="191919"/>
          <w:highlight w:val="white"/>
        </w:rPr>
        <w:t>Analysis of droplets in 2D scatter plot</w:t>
      </w:r>
    </w:p>
    <w:p w:rsidR="00C363ED" w:rsidRDefault="00C363ED" w:rsidP="00C363ED"/>
    <w:p w:rsidR="00C9527B" w:rsidRDefault="00C363ED" w:rsidP="00C363ED">
      <w:r>
        <w:t xml:space="preserve">Droplets </w:t>
      </w:r>
      <w:proofErr w:type="gramStart"/>
      <w:r>
        <w:t>were analyzed</w:t>
      </w:r>
      <w:proofErr w:type="gramEnd"/>
      <w:r>
        <w:t xml:space="preserve"> using the 2D scatter plot. Thresholds </w:t>
      </w:r>
      <w:proofErr w:type="gramStart"/>
      <w:r>
        <w:t>were set</w:t>
      </w:r>
      <w:proofErr w:type="gramEnd"/>
      <w:r>
        <w:t xml:space="preserve"> by drawing polygons according to the technical note of Stilla. In short, three polygons are required: one for the negative droplets, one for the single positive droplets (variants) and one for the double positive droplets (wild type). Using the Population Editor of Stilla, the negative droplets were then associated with the single positive droplets, following manufacturer recommendations (</w:t>
      </w:r>
      <w:hyperlink r:id="rId9">
        <w:r>
          <w:rPr>
            <w:color w:val="1155CC"/>
            <w:u w:val="single"/>
          </w:rPr>
          <w:t>https://www.stillatechnologies.com/how-to-quantify-drop-off-digital-pcr-assays-with-crystal-miner/</w:t>
        </w:r>
      </w:hyperlink>
      <w:r>
        <w:t>, accessed 24.07.2021).</w:t>
      </w:r>
    </w:p>
    <w:p w:rsidR="00C9527B" w:rsidRDefault="00C9527B">
      <w:pPr>
        <w:spacing w:after="160" w:line="259" w:lineRule="auto"/>
      </w:pPr>
      <w:r>
        <w:br w:type="page"/>
      </w:r>
    </w:p>
    <w:p w:rsidR="00C363ED" w:rsidRDefault="00C363ED" w:rsidP="00C363ED"/>
    <w:p w:rsidR="00C363ED" w:rsidRDefault="00C363ED" w:rsidP="00C363ED">
      <w:r>
        <w:rPr>
          <w:noProof/>
          <w:lang w:val="de-DE"/>
        </w:rPr>
        <w:drawing>
          <wp:inline distT="114300" distB="114300" distL="114300" distR="114300" wp14:anchorId="7110C37F" wp14:editId="2B28BFF2">
            <wp:extent cx="4021931" cy="268128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21931" cy="2681288"/>
                    </a:xfrm>
                    <a:prstGeom prst="rect">
                      <a:avLst/>
                    </a:prstGeom>
                    <a:ln/>
                  </pic:spPr>
                </pic:pic>
              </a:graphicData>
            </a:graphic>
          </wp:inline>
        </w:drawing>
      </w:r>
      <w:r>
        <w:rPr>
          <w:noProof/>
          <w:lang w:val="de-DE"/>
        </w:rPr>
        <w:drawing>
          <wp:inline distT="114300" distB="114300" distL="114300" distR="114300" wp14:anchorId="55587477" wp14:editId="3D78D2FF">
            <wp:extent cx="4024313" cy="267601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024313" cy="2676013"/>
                    </a:xfrm>
                    <a:prstGeom prst="rect">
                      <a:avLst/>
                    </a:prstGeom>
                    <a:ln/>
                  </pic:spPr>
                </pic:pic>
              </a:graphicData>
            </a:graphic>
          </wp:inline>
        </w:drawing>
      </w:r>
    </w:p>
    <w:p w:rsidR="00C363ED" w:rsidRDefault="00C363ED" w:rsidP="00C363ED"/>
    <w:p w:rsidR="00C363ED" w:rsidRDefault="00C363ED" w:rsidP="00C363ED"/>
    <w:p w:rsidR="00C363ED" w:rsidRDefault="00C363ED" w:rsidP="00C363ED">
      <w:r>
        <w:rPr>
          <w:b/>
        </w:rPr>
        <w:t>Figure S3.</w:t>
      </w:r>
      <w:r>
        <w:t xml:space="preserve"> 2D scatter plot of digital PCR droplet fluorescence. Polygons </w:t>
      </w:r>
      <w:proofErr w:type="gramStart"/>
      <w:r>
        <w:t>were drawn</w:t>
      </w:r>
      <w:proofErr w:type="gramEnd"/>
      <w:r>
        <w:t xml:space="preserve"> around single positive (green polygon), double positive (blue polygon) and negative droplets (black polygon). Images represent sample 10_2021_03_01, which is the sample collected from Zurich wastewater treatment plant on March 03, 2021 at 1:2 dilution (replicate b) for the </w:t>
      </w:r>
      <w:r>
        <w:rPr>
          <w:color w:val="191919"/>
          <w:highlight w:val="white"/>
        </w:rPr>
        <w:t xml:space="preserve">spike Δ69-70 </w:t>
      </w:r>
      <w:r>
        <w:t xml:space="preserve">(top) </w:t>
      </w:r>
      <w:r>
        <w:rPr>
          <w:color w:val="191919"/>
          <w:highlight w:val="white"/>
        </w:rPr>
        <w:t>and ORF1a Δ3675-3677</w:t>
      </w:r>
      <w:r>
        <w:t xml:space="preserve"> </w:t>
      </w:r>
      <w:r>
        <w:rPr>
          <w:color w:val="191919"/>
          <w:highlight w:val="white"/>
        </w:rPr>
        <w:t xml:space="preserve">(bottom) </w:t>
      </w:r>
      <w:r>
        <w:t>assay.</w:t>
      </w:r>
    </w:p>
    <w:p w:rsidR="00C9527B" w:rsidRDefault="00C9527B">
      <w:pPr>
        <w:spacing w:after="160" w:line="259" w:lineRule="auto"/>
        <w:rPr>
          <w:b/>
        </w:rPr>
      </w:pPr>
      <w:r>
        <w:rPr>
          <w:b/>
        </w:rPr>
        <w:br w:type="page"/>
      </w:r>
    </w:p>
    <w:p w:rsidR="00C9527B" w:rsidRDefault="00C363ED" w:rsidP="00C363ED">
      <w:r>
        <w:rPr>
          <w:b/>
        </w:rPr>
        <w:lastRenderedPageBreak/>
        <w:t>Text S2.</w:t>
      </w:r>
      <w:r>
        <w:t xml:space="preserve"> Supplementary Statistical Analysis</w:t>
      </w:r>
    </w:p>
    <w:p w:rsidR="00C363ED" w:rsidRDefault="00C363ED" w:rsidP="00C363ED">
      <w:pPr>
        <w:pStyle w:val="Heading5"/>
      </w:pPr>
      <w:bookmarkStart w:id="3" w:name="_al6lonwpk6y8" w:colFirst="0" w:colLast="0"/>
      <w:bookmarkEnd w:id="3"/>
      <w:r>
        <w:t xml:space="preserve">Likelihood for </w:t>
      </w:r>
      <w:proofErr w:type="spellStart"/>
      <w:r>
        <w:t>dPCR</w:t>
      </w:r>
      <w:proofErr w:type="spellEnd"/>
      <w:r>
        <w:t xml:space="preserve"> data based on independent Binomial Poisson statistics</w:t>
      </w:r>
    </w:p>
    <w:p w:rsidR="00C363ED" w:rsidRDefault="00C363ED" w:rsidP="00C363ED">
      <w:r>
        <w:t xml:space="preserve">Let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be the counts of partitions that are negative, positive for one probe, and positive for both probes, respectively. Let us denote by </w:t>
      </w:r>
      <m:oMath>
        <m:r>
          <w:rPr>
            <w:rFonts w:ascii="Cambria Math" w:hAnsi="Cambria Math"/>
          </w:rPr>
          <m:t>λ</m:t>
        </m:r>
      </m:oMath>
      <w:r>
        <w:t xml:space="preserve"> the normalized viral RNA probe (universal probe) concentration in solution and by </w:t>
      </w:r>
      <m:oMath>
        <m:r>
          <w:rPr>
            <w:rFonts w:ascii="Cambria Math" w:hAnsi="Cambria Math"/>
          </w:rPr>
          <m:t>r</m:t>
        </m:r>
      </m:oMath>
      <w:r>
        <w:t xml:space="preserve"> the proportion of the dropout probe (deletion probe). If we assume independent counts, where positivity of the droplets is as usual the outcome of Poisson statistics,</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∼Binomial(n=</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p=1-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∼Binomial(n=</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p=1-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 xml:space="preserve">) </m:t>
          </m:r>
        </m:oMath>
      </m:oMathPara>
    </w:p>
    <w:p w:rsidR="00C363ED" w:rsidRDefault="00C363ED" w:rsidP="00C363ED">
      <w:proofErr w:type="gramStart"/>
      <w:r>
        <w:t>then</w:t>
      </w:r>
      <w:proofErr w:type="gramEnd"/>
      <w:r>
        <w:t xml:space="preserve"> we can then form the likelihood</w:t>
      </w:r>
    </w:p>
    <w:p w:rsidR="00C363ED" w:rsidRDefault="00C363ED" w:rsidP="00C363ED">
      <w:pPr>
        <w:spacing w:before="180" w:after="180" w:line="240" w:lineRule="auto"/>
        <w:jc w:val="center"/>
        <w:rPr>
          <w:sz w:val="24"/>
          <w:szCs w:val="24"/>
        </w:rPr>
      </w:pPr>
      <m:oMathPara>
        <m:oMath>
          <m:r>
            <w:rPr>
              <w:rFonts w:ascii="Cambria Math" w:hAnsi="Cambria Math"/>
              <w:sz w:val="24"/>
              <w:szCs w:val="24"/>
            </w:rPr>
            <m:t>L(r,λ)∝(</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sSup>
            <m:sSupPr>
              <m:ctrlPr>
                <w:rPr>
                  <w:rFonts w:ascii="Cambria Math" w:hAnsi="Cambria Math"/>
                  <w:sz w:val="24"/>
                  <w:szCs w:val="24"/>
                </w:rPr>
              </m:ctrlPr>
            </m:sSupPr>
            <m:e>
              <m:r>
                <w:rPr>
                  <w:rFonts w:ascii="Cambria Math" w:hAnsi="Cambria Math"/>
                  <w:sz w:val="24"/>
                  <w:szCs w:val="24"/>
                </w:rPr>
                <m:t>)</m:t>
              </m:r>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sup>
          </m:sSup>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sSup>
            <m:sSupPr>
              <m:ctrlPr>
                <w:rPr>
                  <w:rFonts w:ascii="Cambria Math" w:hAnsi="Cambria Math"/>
                  <w:sz w:val="24"/>
                  <w:szCs w:val="24"/>
                </w:rPr>
              </m:ctrlPr>
            </m:sSupPr>
            <m:e>
              <m:r>
                <w:rPr>
                  <w:rFonts w:ascii="Cambria Math" w:hAnsi="Cambria Math"/>
                  <w:sz w:val="24"/>
                  <w:szCs w:val="24"/>
                </w:rPr>
                <m:t>)</m:t>
              </m:r>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sSup>
            <m:sSupPr>
              <m:ctrlPr>
                <w:rPr>
                  <w:rFonts w:ascii="Cambria Math" w:hAnsi="Cambria Math"/>
                  <w:sz w:val="24"/>
                  <w:szCs w:val="24"/>
                </w:rPr>
              </m:ctrlPr>
            </m:sSupPr>
            <m:e>
              <m:r>
                <w:rPr>
                  <w:rFonts w:ascii="Cambria Math" w:hAnsi="Cambria Math"/>
                  <w:sz w:val="24"/>
                  <w:szCs w:val="24"/>
                </w:rPr>
                <m:t>)</m:t>
              </m:r>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sup>
          </m:sSup>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sSup>
            <m:sSupPr>
              <m:ctrlPr>
                <w:rPr>
                  <w:rFonts w:ascii="Cambria Math" w:hAnsi="Cambria Math"/>
                  <w:sz w:val="24"/>
                  <w:szCs w:val="24"/>
                </w:rPr>
              </m:ctrlPr>
            </m:sSupPr>
            <m:e>
              <m:r>
                <w:rPr>
                  <w:rFonts w:ascii="Cambria Math" w:hAnsi="Cambria Math"/>
                  <w:sz w:val="24"/>
                  <w:szCs w:val="24"/>
                </w:rPr>
                <m:t>)</m:t>
              </m:r>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sup>
          </m:sSup>
        </m:oMath>
      </m:oMathPara>
    </w:p>
    <w:p w:rsidR="00C363ED" w:rsidRDefault="00C363ED" w:rsidP="00C363ED">
      <w:proofErr w:type="gramStart"/>
      <w:r>
        <w:t>and</w:t>
      </w:r>
      <w:proofErr w:type="gramEnd"/>
      <w:r>
        <w:t xml:space="preserve"> the log-likelihood kernel</w:t>
      </w:r>
    </w:p>
    <w:p w:rsidR="00C363ED" w:rsidRDefault="00C363ED" w:rsidP="00C363ED">
      <w:pPr>
        <w:spacing w:before="180" w:after="180" w:line="240" w:lineRule="auto"/>
        <w:jc w:val="center"/>
        <w:rPr>
          <w:sz w:val="24"/>
          <w:szCs w:val="24"/>
        </w:rPr>
      </w:pPr>
      <m:oMathPara>
        <m:oMath>
          <m:r>
            <w:rPr>
              <w:rFonts w:ascii="Cambria Math" w:hAnsi="Cambria Math"/>
              <w:sz w:val="24"/>
              <w:szCs w:val="24"/>
            </w:rPr>
            <m:t>l(r,λ)=-</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λ-(</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)rλ+</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log(1-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)log(1-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m:t>
          </m:r>
        </m:oMath>
      </m:oMathPara>
    </w:p>
    <w:p w:rsidR="00C363ED" w:rsidRDefault="00C363ED" w:rsidP="00C363ED">
      <w:r>
        <w:t>We can find MLEs for both parameters:</w:t>
      </w:r>
    </w:p>
    <w:p w:rsidR="00C363ED" w:rsidRDefault="00C9527B" w:rsidP="00C363ED">
      <w:pPr>
        <w:spacing w:before="180" w:after="180" w:line="240" w:lineRule="auto"/>
        <w:jc w:val="center"/>
        <w:rPr>
          <w:sz w:val="24"/>
          <w:szCs w:val="24"/>
        </w:rPr>
      </w:pPr>
      <m:oMathPara>
        <m:oMath>
          <m:acc>
            <m:accPr>
              <m:ctrlPr>
                <w:rPr>
                  <w:rFonts w:ascii="Cambria Math" w:hAnsi="Cambria Math"/>
                </w:rPr>
              </m:ctrlPr>
            </m:accPr>
            <m:e>
              <m:r>
                <w:rPr>
                  <w:rFonts w:ascii="Cambria Math" w:hAnsi="Cambria Math"/>
                </w:rPr>
                <m:t>λ</m:t>
              </m:r>
            </m:e>
          </m:acc>
          <m:r>
            <w:rPr>
              <w:rFonts w:ascii="Cambria Math" w:hAnsi="Cambria Math"/>
              <w:sz w:val="24"/>
              <w:szCs w:val="24"/>
            </w:rPr>
            <m:t xml:space="preserve"> =-log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r>
            <w:rPr>
              <w:rFonts w:ascii="Cambria Math" w:hAnsi="Cambria Math"/>
              <w:sz w:val="24"/>
              <w:szCs w:val="24"/>
            </w:rPr>
            <m:t>=-log</m:t>
          </m:r>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oMath>
      </m:oMathPara>
    </w:p>
    <w:p w:rsidR="00C363ED" w:rsidRDefault="00C9527B" w:rsidP="00C363ED">
      <w:pPr>
        <w:spacing w:before="180" w:after="180" w:line="240" w:lineRule="auto"/>
        <w:jc w:val="center"/>
      </w:pPr>
      <m:oMathPara>
        <m:oMath>
          <m:acc>
            <m:accPr>
              <m:ctrlPr>
                <w:rPr>
                  <w:rFonts w:ascii="Cambria Math" w:hAnsi="Cambria Math"/>
                  <w:sz w:val="24"/>
                  <w:szCs w:val="24"/>
                </w:rPr>
              </m:ctrlPr>
            </m:accPr>
            <m:e>
              <m:r>
                <w:rPr>
                  <w:rFonts w:ascii="Cambria Math" w:hAnsi="Cambria Math"/>
                  <w:sz w:val="24"/>
                  <w:szCs w:val="24"/>
                </w:rPr>
                <m:t xml:space="preserve">r </m:t>
              </m:r>
            </m:e>
          </m:acc>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num>
                    <m:den>
                      <m:r>
                        <w:rPr>
                          <w:rFonts w:ascii="Cambria Math" w:hAnsi="Cambria Math"/>
                          <w:sz w:val="24"/>
                          <w:szCs w:val="24"/>
                        </w:rPr>
                        <m:t>n</m:t>
                      </m:r>
                    </m:den>
                  </m:f>
                </m:e>
              </m:d>
            </m:num>
            <m:den>
              <m:r>
                <w:rPr>
                  <w:rFonts w:ascii="Cambria Math" w:hAnsi="Cambria Math"/>
                  <w:sz w:val="24"/>
                  <w:szCs w:val="24"/>
                </w:rPr>
                <m:t>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r>
                        <w:rPr>
                          <w:rFonts w:ascii="Cambria Math" w:hAnsi="Cambria Math"/>
                          <w:sz w:val="24"/>
                          <w:szCs w:val="24"/>
                        </w:rPr>
                        <m:t>n</m:t>
                      </m:r>
                    </m:den>
                  </m:f>
                </m:e>
              </m:d>
            </m:den>
          </m:f>
        </m:oMath>
      </m:oMathPara>
    </w:p>
    <w:p w:rsidR="00C363ED" w:rsidRDefault="00C363ED" w:rsidP="00C363ED">
      <w:pPr>
        <w:spacing w:before="180" w:after="180" w:line="240" w:lineRule="auto"/>
        <w:jc w:val="center"/>
        <w:rPr>
          <w:sz w:val="24"/>
          <w:szCs w:val="24"/>
        </w:rPr>
      </w:pPr>
    </w:p>
    <w:p w:rsidR="00C363ED" w:rsidRDefault="00C363ED" w:rsidP="00C363ED">
      <w:pPr>
        <w:pStyle w:val="Heading5"/>
        <w:spacing w:before="180" w:after="180" w:line="240" w:lineRule="auto"/>
      </w:pPr>
      <w:bookmarkStart w:id="4" w:name="_avd2oyqc1gjs" w:colFirst="0" w:colLast="0"/>
      <w:bookmarkEnd w:id="4"/>
      <w:r>
        <w:t xml:space="preserve">Likelihood for </w:t>
      </w:r>
      <w:proofErr w:type="spellStart"/>
      <w:r>
        <w:t>dPCR</w:t>
      </w:r>
      <w:proofErr w:type="spellEnd"/>
      <w:r>
        <w:t xml:space="preserve"> data based on dependent counts</w:t>
      </w:r>
    </w:p>
    <w:p w:rsidR="00C363ED" w:rsidRDefault="00C363ED" w:rsidP="00C363ED">
      <w:r>
        <w:t xml:space="preserve">We can drop the assumption of droplet counts generated by independent Binomial Poisson statistics. We consider that droplets have a zero probability of being positive for the dropout probe and negative for the generic probe simultaneously. The counts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respectively of double negative partition, positive for the dropout probe, positive for generic probes </w:t>
      </w:r>
      <w:proofErr w:type="gramStart"/>
      <w:r>
        <w:t>are then assumed</w:t>
      </w:r>
      <w:proofErr w:type="gramEnd"/>
      <w:r>
        <w:t xml:space="preserve"> to follow a Multinomial distribution. Let us again denote by </w:t>
      </w:r>
      <m:oMath>
        <m:r>
          <w:rPr>
            <w:rFonts w:ascii="Cambria Math" w:hAnsi="Cambria Math"/>
          </w:rPr>
          <m:t>λ</m:t>
        </m:r>
      </m:oMath>
      <w:r>
        <w:t xml:space="preserve"> the normalized viral RNA probe concentration in solution and by </w:t>
      </w:r>
      <m:oMath>
        <m:r>
          <w:rPr>
            <w:rFonts w:ascii="Cambria Math" w:hAnsi="Cambria Math"/>
          </w:rPr>
          <m:t>r</m:t>
        </m:r>
      </m:oMath>
      <w:r>
        <w:t>the proportion of the dropout probe. We will first derive the probability parameters of the multinomial distribution.</w:t>
      </w:r>
    </w:p>
    <w:p w:rsidR="00C363ED" w:rsidRDefault="00C363ED" w:rsidP="00C363ED">
      <w:r>
        <w:t xml:space="preserve">Let us denote by </w:t>
      </w:r>
      <m:oMath>
        <m:sSub>
          <m:sSubPr>
            <m:ctrlPr>
              <w:rPr>
                <w:rFonts w:ascii="Cambria Math" w:hAnsi="Cambria Math"/>
              </w:rPr>
            </m:ctrlPr>
          </m:sSubPr>
          <m:e>
            <m:r>
              <w:rPr>
                <w:rFonts w:ascii="Cambria Math" w:hAnsi="Cambria Math"/>
              </w:rPr>
              <m:t>M</m:t>
            </m:r>
          </m:e>
          <m:sub>
            <m:r>
              <w:rPr>
                <w:rFonts w:ascii="Cambria Math" w:hAnsi="Cambria Math"/>
              </w:rPr>
              <m:t>i</m:t>
            </m:r>
          </m:sub>
        </m:sSub>
      </m:oMath>
      <w:r>
        <w:t xml:space="preserve"> the number of target particles in cell </w:t>
      </w:r>
      <m:oMath>
        <m:r>
          <w:rPr>
            <w:rFonts w:ascii="Cambria Math" w:hAnsi="Cambria Math"/>
          </w:rPr>
          <m:t>i</m:t>
        </m:r>
      </m:oMath>
      <w:r>
        <w:t xml:space="preserve"> and assume that it is Poisson distributed,</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∼Poisson(λ)</m:t>
          </m:r>
        </m:oMath>
      </m:oMathPara>
    </w:p>
    <w:p w:rsidR="00C363ED" w:rsidRDefault="00C363ED" w:rsidP="00C363ED">
      <w:r>
        <w:t xml:space="preserve">Each of these particles can be positive or negative for the dropout probe, such that the count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of positive dropout probes in the cell </w:t>
      </w:r>
      <m:oMath>
        <m:r>
          <w:rPr>
            <w:rFonts w:ascii="Cambria Math" w:hAnsi="Cambria Math"/>
          </w:rPr>
          <m:t>i</m:t>
        </m:r>
      </m:oMath>
      <w:r>
        <w:t xml:space="preserve"> is binomially distributed knowing the </w:t>
      </w:r>
      <w:proofErr w:type="gramStart"/>
      <w:r>
        <w:t xml:space="preserve">counts </w:t>
      </w:r>
      <w:proofErr w:type="gramEnd"/>
      <m:oMath>
        <m:sSub>
          <m:sSubPr>
            <m:ctrlPr>
              <w:rPr>
                <w:rFonts w:ascii="Cambria Math" w:hAnsi="Cambria Math"/>
              </w:rPr>
            </m:ctrlPr>
          </m:sSubPr>
          <m:e>
            <m:r>
              <w:rPr>
                <w:rFonts w:ascii="Cambria Math" w:hAnsi="Cambria Math"/>
              </w:rPr>
              <m:t>M</m:t>
            </m:r>
          </m:e>
          <m:sub>
            <m:r>
              <w:rPr>
                <w:rFonts w:ascii="Cambria Math" w:hAnsi="Cambria Math"/>
              </w:rPr>
              <m:t>i</m:t>
            </m:r>
          </m:sub>
        </m:sSub>
      </m:oMath>
      <w:r>
        <w:t>,</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 xml:space="preserve">∼Binomial(r, </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oMath>
      </m:oMathPara>
    </w:p>
    <w:p w:rsidR="00C363ED" w:rsidRDefault="00C363ED" w:rsidP="00C363ED">
      <w:r>
        <w:t xml:space="preserve">It can be show that the marginal distribution of </w:t>
      </w:r>
      <m:oMath>
        <m:sSub>
          <m:sSubPr>
            <m:ctrlPr>
              <w:rPr>
                <w:rFonts w:ascii="Cambria Math" w:hAnsi="Cambria Math"/>
              </w:rPr>
            </m:ctrlPr>
          </m:sSubPr>
          <m:e>
            <m:r>
              <w:rPr>
                <w:rFonts w:ascii="Cambria Math" w:hAnsi="Cambria Math"/>
              </w:rPr>
              <m:t>N</m:t>
            </m:r>
          </m:e>
          <m:sub>
            <m:r>
              <w:rPr>
                <w:rFonts w:ascii="Cambria Math" w:hAnsi="Cambria Math"/>
              </w:rPr>
              <m:t>i</m:t>
            </m:r>
          </m:sub>
        </m:sSub>
      </m:oMath>
      <w:r>
        <w:t>is also Poisson,</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Poisson(rλ)</m:t>
          </m:r>
        </m:oMath>
      </m:oMathPara>
    </w:p>
    <w:p w:rsidR="00C363ED" w:rsidRDefault="00C363ED" w:rsidP="00C363ED">
      <w:pPr>
        <w:rPr>
          <w:sz w:val="24"/>
          <w:szCs w:val="24"/>
        </w:rPr>
      </w:pPr>
    </w:p>
    <w:p w:rsidR="00C363ED" w:rsidRDefault="00C363ED" w:rsidP="00C363ED">
      <w:pPr>
        <w:rPr>
          <w:sz w:val="24"/>
          <w:szCs w:val="24"/>
        </w:rPr>
      </w:pPr>
    </w:p>
    <w:p w:rsidR="00C363ED" w:rsidRDefault="00C363ED" w:rsidP="00C363ED">
      <w:pPr>
        <w:rPr>
          <w:sz w:val="24"/>
          <w:szCs w:val="24"/>
        </w:rPr>
      </w:pPr>
    </w:p>
    <w:p w:rsidR="00C363ED" w:rsidRDefault="00C363ED" w:rsidP="00C363ED">
      <w:r>
        <w:t xml:space="preserve">The probability </w:t>
      </w:r>
      <m:oMath>
        <m:sSub>
          <m:sSubPr>
            <m:ctrlPr>
              <w:rPr>
                <w:rFonts w:ascii="Cambria Math" w:hAnsi="Cambria Math"/>
              </w:rPr>
            </m:ctrlPr>
          </m:sSubPr>
          <m:e>
            <m:r>
              <w:rPr>
                <w:rFonts w:ascii="Cambria Math" w:hAnsi="Cambria Math"/>
              </w:rPr>
              <m:t>p</m:t>
            </m:r>
          </m:e>
          <m:sub>
            <m:r>
              <w:rPr>
                <w:rFonts w:ascii="Cambria Math" w:hAnsi="Cambria Math"/>
              </w:rPr>
              <m:t>0</m:t>
            </m:r>
          </m:sub>
        </m:sSub>
      </m:oMath>
      <w:r>
        <w:t>of double negative droplets is therefore</w:t>
      </w:r>
    </w:p>
    <w:p w:rsidR="00C363ED" w:rsidRDefault="00C363ED" w:rsidP="00C363ED">
      <w:pPr>
        <w:jc w:val="center"/>
      </w:pPr>
    </w:p>
    <w:p w:rsidR="00C363ED" w:rsidRDefault="00C363ED" w:rsidP="00C363ED">
      <w:pPr>
        <w:jc w:val="center"/>
      </w:pPr>
      <w:r>
        <w:t xml:space="preserve"> </w:t>
      </w: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=0)=Pr(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xml:space="preserve">=0 ∣ </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=0)Pr(</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=0)=1⋅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oMath>
    </w:p>
    <w:p w:rsidR="00C363ED" w:rsidRDefault="00C363ED" w:rsidP="00C363ED"/>
    <w:p w:rsidR="00C363ED" w:rsidRDefault="00C363ED" w:rsidP="00C363ED">
      <w:r>
        <w:t xml:space="preserve">The probability </w:t>
      </w:r>
      <m:oMath>
        <m:sSub>
          <m:sSubPr>
            <m:ctrlPr>
              <w:rPr>
                <w:rFonts w:ascii="Cambria Math" w:hAnsi="Cambria Math"/>
              </w:rPr>
            </m:ctrlPr>
          </m:sSubPr>
          <m:e>
            <m:r>
              <w:rPr>
                <w:rFonts w:ascii="Cambria Math" w:hAnsi="Cambria Math"/>
              </w:rPr>
              <m:t>p</m:t>
            </m:r>
          </m:e>
          <m:sub>
            <m:r>
              <w:rPr>
                <w:rFonts w:ascii="Cambria Math" w:hAnsi="Cambria Math"/>
              </w:rPr>
              <m:t>1</m:t>
            </m:r>
          </m:sub>
        </m:sSub>
      </m:oMath>
      <w:r>
        <w:t xml:space="preserve">of single positive droplets </w:t>
      </w:r>
      <w:proofErr w:type="gramStart"/>
      <w:r>
        <w:t>can be found</w:t>
      </w:r>
      <w:proofErr w:type="gramEnd"/>
      <w:r>
        <w:t xml:space="preserve"> as</w:t>
      </w:r>
    </w:p>
    <w:p w:rsidR="00C363ED" w:rsidRDefault="00C363ED" w:rsidP="00C363ED">
      <w:pPr>
        <w:rPr>
          <w:sz w:val="24"/>
          <w:szCs w:val="24"/>
        </w:rPr>
      </w:pPr>
    </w:p>
    <w:p w:rsidR="00C363ED" w:rsidRDefault="00C9527B" w:rsidP="00C363ED">
      <w:pPr>
        <w:spacing w:before="180" w:after="180" w:line="240" w:lineRule="auto"/>
        <w:jc w:val="center"/>
      </w:pPr>
      <m:oMathPara>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 xml:space="preserve">1 </m:t>
              </m:r>
            </m:sub>
          </m:sSub>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m:t>
          </m:r>
          <m:sSub>
            <m:sSubPr>
              <m:ctrlPr>
                <w:rPr>
                  <w:rFonts w:ascii="Cambria Math" w:hAnsi="Cambria Math"/>
                  <w:sz w:val="24"/>
                  <w:szCs w:val="24"/>
                </w:rPr>
              </m:ctrlPr>
            </m:sSubPr>
            <m:e>
              <m:r>
                <w:rPr>
                  <w:rFonts w:ascii="Cambria Math" w:hAnsi="Cambria Math"/>
                  <w:sz w:val="24"/>
                  <w:szCs w:val="24"/>
                </w:rPr>
                <m:t xml:space="preserve"> M</m:t>
              </m:r>
            </m:e>
            <m:sub>
              <m:r>
                <w:rPr>
                  <w:rFonts w:ascii="Cambria Math" w:hAnsi="Cambria Math"/>
                  <w:sz w:val="24"/>
                  <w:szCs w:val="24"/>
                </w:rPr>
                <m:t>i</m:t>
              </m:r>
            </m:sub>
          </m:sSub>
          <m:r>
            <w:rPr>
              <w:rFonts w:ascii="Cambria Math" w:hAnsi="Cambria Math"/>
              <w:sz w:val="24"/>
              <w:szCs w:val="24"/>
            </w:rPr>
            <m:t>≥1) =Pr(</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 xml:space="preserve">≥1 ∣ </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 =</m:t>
          </m:r>
          <m:d>
            <m:dPr>
              <m:ctrlPr>
                <w:rPr>
                  <w:rFonts w:ascii="Cambria Math" w:hAnsi="Cambria Math"/>
                  <w:sz w:val="24"/>
                  <w:szCs w:val="24"/>
                </w:rPr>
              </m:ctrlPr>
            </m:dPr>
            <m:e>
              <m:r>
                <w:rPr>
                  <w:rFonts w:ascii="Cambria Math" w:hAnsi="Cambria Math"/>
                  <w:sz w:val="24"/>
                  <w:szCs w:val="24"/>
                </w:rPr>
                <m:t>1 - Pr(</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 xml:space="preserve">=0 ∣ </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m:t>
              </m:r>
            </m:e>
          </m:d>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xml:space="preserve">=0)  </m:t>
          </m:r>
        </m:oMath>
      </m:oMathPara>
    </w:p>
    <w:p w:rsidR="00C363ED" w:rsidRDefault="00C363ED" w:rsidP="00C363ED">
      <w:pPr>
        <w:spacing w:before="180" w:after="180" w:line="240" w:lineRule="auto"/>
        <w:jc w:val="center"/>
        <w:rPr>
          <w:sz w:val="24"/>
          <w:szCs w:val="24"/>
        </w:rPr>
      </w:pPr>
      <m:oMathPara>
        <m:oMath>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m:t>
                  </m:r>
                  <m:sSub>
                    <m:sSubPr>
                      <m:ctrlPr>
                        <w:rPr>
                          <w:rFonts w:ascii="Cambria Math" w:hAnsi="Cambria Math"/>
                          <w:sz w:val="24"/>
                          <w:szCs w:val="24"/>
                        </w:rPr>
                      </m:ctrlPr>
                    </m:sSubPr>
                    <m:e>
                      <m:r>
                        <w:rPr>
                          <w:rFonts w:ascii="Cambria Math" w:hAnsi="Cambria Math"/>
                          <w:sz w:val="24"/>
                          <w:szCs w:val="24"/>
                        </w:rPr>
                        <m:t xml:space="preserve"> M</m:t>
                      </m:r>
                    </m:e>
                    <m:sub>
                      <m:r>
                        <w:rPr>
                          <w:rFonts w:ascii="Cambria Math" w:hAnsi="Cambria Math"/>
                          <w:sz w:val="24"/>
                          <w:szCs w:val="24"/>
                        </w:rPr>
                        <m:t>i</m:t>
                      </m:r>
                    </m:sub>
                  </m:sSub>
                  <m:r>
                    <w:rPr>
                      <w:rFonts w:ascii="Cambria Math" w:hAnsi="Cambria Math"/>
                      <w:sz w:val="24"/>
                      <w:szCs w:val="24"/>
                    </w:rPr>
                    <m:t>=0)</m:t>
                  </m:r>
                </m:num>
                <m:den>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m:t>
                  </m:r>
                </m:den>
              </m:f>
            </m:e>
          </m:d>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  =Pr(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=0) - 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xml:space="preserve">=0, </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=0)=</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 xml:space="preserve"> - </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 xml:space="preserve"> </m:t>
          </m:r>
        </m:oMath>
      </m:oMathPara>
    </w:p>
    <w:p w:rsidR="00C363ED" w:rsidRDefault="00C363ED" w:rsidP="00C363ED">
      <w:proofErr w:type="gramStart"/>
      <w:r>
        <w:t>And</w:t>
      </w:r>
      <w:proofErr w:type="gramEnd"/>
      <w:r>
        <w:t xml:space="preserve"> we can find the probability of the last partition by subtracting the probabilities of the other partitions from unity:</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=Pr(</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xml:space="preserve">≥1, </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 xml:space="preserve">≥1)=1 - </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 xml:space="preserve"> - </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e>
          </m:d>
          <m:r>
            <w:rPr>
              <w:rFonts w:ascii="Cambria Math" w:hAnsi="Cambria Math"/>
              <w:sz w:val="24"/>
              <w:szCs w:val="24"/>
            </w:rPr>
            <m:t xml:space="preserve">=1 - </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oMath>
      </m:oMathPara>
    </w:p>
    <w:p w:rsidR="00C363ED" w:rsidRDefault="00C363ED" w:rsidP="00C363ED">
      <w:r>
        <w:t>Assuming that all cells are independent and identically distributed, we have, for the total counts of droplets</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 Multinomial(</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 xml:space="preserve"> - </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 xml:space="preserve">=1 - </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tot</m:t>
              </m:r>
            </m:sub>
          </m:sSub>
          <m:r>
            <w:rPr>
              <w:rFonts w:ascii="Cambria Math" w:hAnsi="Cambria Math"/>
              <w:sz w:val="24"/>
              <w:szCs w:val="24"/>
            </w:rPr>
            <m:t>)</m:t>
          </m:r>
        </m:oMath>
      </m:oMathPara>
    </w:p>
    <w:p w:rsidR="00C363ED" w:rsidRDefault="00C363ED" w:rsidP="00C363ED">
      <w:r>
        <w:t xml:space="preserve">We can then form the likelihood for the parameters </w:t>
      </w:r>
      <m:oMath>
        <m:r>
          <w:rPr>
            <w:rFonts w:ascii="Cambria Math" w:hAnsi="Cambria Math"/>
          </w:rPr>
          <m:t>λ,r</m:t>
        </m:r>
      </m:oMath>
      <w:r>
        <w:t xml:space="preserve"> as</w:t>
      </w:r>
    </w:p>
    <w:p w:rsidR="00C363ED" w:rsidRDefault="00C363ED" w:rsidP="00C363ED">
      <w:pPr>
        <w:spacing w:before="180" w:after="180" w:line="240" w:lineRule="auto"/>
        <w:jc w:val="center"/>
        <w:rPr>
          <w:sz w:val="24"/>
          <w:szCs w:val="24"/>
        </w:rPr>
      </w:pPr>
      <m:oMathPara>
        <m:oMath>
          <m:r>
            <w:rPr>
              <w:rFonts w:ascii="Cambria Math" w:hAnsi="Cambria Math"/>
              <w:sz w:val="24"/>
              <w:szCs w:val="24"/>
            </w:rPr>
            <m:t>L(λ,r)=</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tot</m:t>
                  </m:r>
                </m:sub>
              </m:sSub>
              <m:r>
                <w:rPr>
                  <w:rFonts w:ascii="Cambria Math" w:hAnsi="Cambria Math"/>
                  <w:sz w:val="24"/>
                  <w:szCs w:val="24"/>
                </w:rPr>
                <m:t>!</m:t>
              </m:r>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den>
          </m:f>
          <m:sSup>
            <m:sSupPr>
              <m:ctrlPr>
                <w:rPr>
                  <w:rFonts w:ascii="Cambria Math" w:hAnsi="Cambria Math"/>
                  <w:sz w:val="24"/>
                  <w:szCs w:val="24"/>
                </w:rPr>
              </m:ctrlPr>
            </m:sSupPr>
            <m:e>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e>
              </m:d>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sup>
          </m:sSup>
          <m:sSup>
            <m:sSupPr>
              <m:ctrlPr>
                <w:rPr>
                  <w:rFonts w:ascii="Cambria Math" w:hAnsi="Cambria Math"/>
                  <w:sz w:val="24"/>
                  <w:szCs w:val="24"/>
                </w:rPr>
              </m:ctrlPr>
            </m:sSupPr>
            <m:e>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e>
              </m:d>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sup>
          </m:sSup>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e>
              </m:d>
            </m:e>
            <m:sup>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sup>
          </m:sSup>
        </m:oMath>
      </m:oMathPara>
    </w:p>
    <w:p w:rsidR="00C363ED" w:rsidRDefault="00C363ED" w:rsidP="00C363ED">
      <w:r>
        <w:br/>
      </w:r>
      <w:proofErr w:type="gramStart"/>
      <w:r>
        <w:t>such</w:t>
      </w:r>
      <w:proofErr w:type="gramEnd"/>
      <w:r>
        <w:t xml:space="preserve"> that we have the log-likelihood kernel</w:t>
      </w:r>
    </w:p>
    <w:p w:rsidR="00C363ED" w:rsidRDefault="00C363ED" w:rsidP="00C363ED">
      <w:pPr>
        <w:spacing w:before="180" w:after="180" w:line="240" w:lineRule="auto"/>
        <w:jc w:val="center"/>
        <w:rPr>
          <w:sz w:val="24"/>
          <w:szCs w:val="24"/>
        </w:rPr>
      </w:pPr>
      <m:oMathPara>
        <m:oMath>
          <m:r>
            <m:rPr>
              <m:scr m:val="script"/>
            </m:rPr>
            <w:rPr>
              <w:rFonts w:ascii="Cambria Math" w:hAnsi="Cambria Math"/>
              <w:sz w:val="24"/>
              <w:szCs w:val="24"/>
            </w:rPr>
            <m:t>l(</m:t>
          </m:r>
          <m:r>
            <w:rPr>
              <w:rFonts w:ascii="Cambria Math" w:hAnsi="Cambria Math"/>
              <w:sz w:val="24"/>
              <w:szCs w:val="24"/>
            </w:rPr>
            <m:t>λ,r)=-</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λ+</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log</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log</m:t>
          </m:r>
          <m:d>
            <m:dPr>
              <m:ctrlPr>
                <w:rPr>
                  <w:rFonts w:ascii="Cambria Math" w:hAnsi="Cambria Math"/>
                  <w:sz w:val="24"/>
                  <w:szCs w:val="24"/>
                </w:rPr>
              </m:ctrlPr>
            </m:dPr>
            <m:e>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-rλ</m:t>
                  </m:r>
                </m:sup>
              </m:sSup>
            </m:e>
          </m:d>
        </m:oMath>
      </m:oMathPara>
    </w:p>
    <w:p w:rsidR="00C363ED" w:rsidRDefault="00C363ED" w:rsidP="00C363ED">
      <w:r>
        <w:t>The MLEs are</w:t>
      </w:r>
    </w:p>
    <w:p w:rsidR="00C363ED" w:rsidRDefault="00C9527B" w:rsidP="00C363ED">
      <w:pPr>
        <w:spacing w:before="180" w:after="180" w:line="240" w:lineRule="auto"/>
        <w:jc w:val="center"/>
        <w:rPr>
          <w:sz w:val="24"/>
          <w:szCs w:val="24"/>
        </w:rPr>
      </w:pPr>
      <m:oMathPara>
        <m:oMath>
          <m:acc>
            <m:accPr>
              <m:ctrlPr>
                <w:rPr>
                  <w:rFonts w:ascii="Cambria Math" w:hAnsi="Cambria Math"/>
                  <w:sz w:val="24"/>
                  <w:szCs w:val="24"/>
                </w:rPr>
              </m:ctrlPr>
            </m:accPr>
            <m:e>
              <m:r>
                <w:rPr>
                  <w:rFonts w:ascii="Cambria Math" w:hAnsi="Cambria Math"/>
                  <w:sz w:val="24"/>
                  <w:szCs w:val="24"/>
                </w:rPr>
                <m:t>r</m:t>
              </m:r>
            </m:e>
          </m:acc>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argzero</m:t>
              </m:r>
            </m:e>
            <m:sub>
              <m:r>
                <w:rPr>
                  <w:rFonts w:ascii="Cambria Math" w:hAnsi="Cambria Math"/>
                  <w:sz w:val="24"/>
                  <w:szCs w:val="24"/>
                </w:rPr>
                <m:t>r</m:t>
              </m:r>
            </m:sub>
          </m:sSub>
          <m:f>
            <m:fPr>
              <m:ctrlPr>
                <w:rPr>
                  <w:rFonts w:ascii="Cambria Math" w:hAnsi="Cambria Math"/>
                  <w:sz w:val="24"/>
                  <w:szCs w:val="24"/>
                </w:rPr>
              </m:ctrlPr>
            </m:fPr>
            <m:num>
              <m:r>
                <w:rPr>
                  <w:rFonts w:ascii="Cambria Math" w:hAnsi="Cambria Math"/>
                  <w:sz w:val="24"/>
                  <w:szCs w:val="24"/>
                </w:rPr>
                <m:t>∂</m:t>
              </m:r>
              <m:r>
                <m:rPr>
                  <m:scr m:val="script"/>
                </m:rPr>
                <w:rPr>
                  <w:rFonts w:ascii="Cambria Math" w:hAnsi="Cambria Math"/>
                  <w:sz w:val="24"/>
                  <w:szCs w:val="24"/>
                </w:rPr>
                <m:t>l(</m:t>
              </m:r>
              <m:r>
                <w:rPr>
                  <w:rFonts w:ascii="Cambria Math" w:hAnsi="Cambria Math"/>
                  <w:sz w:val="24"/>
                  <w:szCs w:val="24"/>
                </w:rPr>
                <m:t>λ,r)</m:t>
              </m:r>
            </m:num>
            <m:den>
              <m:r>
                <w:rPr>
                  <w:rFonts w:ascii="Cambria Math" w:hAnsi="Cambria Math"/>
                  <w:sz w:val="24"/>
                  <w:szCs w:val="24"/>
                </w:rPr>
                <m:t>∂r</m:t>
              </m:r>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argzero</m:t>
              </m:r>
            </m:e>
            <m:sub>
              <m:r>
                <w:rPr>
                  <w:rFonts w:ascii="Cambria Math" w:hAnsi="Cambria Math"/>
                  <w:sz w:val="24"/>
                  <w:szCs w:val="24"/>
                </w:rPr>
                <m:t>r</m:t>
              </m:r>
            </m:sub>
          </m:sSub>
          <m:d>
            <m:dPr>
              <m:begChr m:val="{"/>
              <m:endChr m:val="}"/>
              <m:ctrlPr>
                <w:rPr>
                  <w:rFonts w:ascii="Cambria Math" w:hAnsi="Cambria Math"/>
                  <w:sz w:val="24"/>
                  <w:szCs w:val="24"/>
                </w:rPr>
              </m:ctrlPr>
            </m:d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λ</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num>
                <m:den>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λ</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num>
                <m:den>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den>
              </m:f>
            </m:e>
          </m:d>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λ+log</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e>
              </m:d>
              <m:r>
                <w:rPr>
                  <w:rFonts w:ascii="Cambria Math" w:hAnsi="Cambria Math"/>
                  <w:sz w:val="24"/>
                  <w:szCs w:val="24"/>
                </w:rPr>
                <m:t>-log</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e>
              </m:d>
            </m:num>
            <m:den>
              <m:r>
                <w:rPr>
                  <w:rFonts w:ascii="Cambria Math" w:hAnsi="Cambria Math"/>
                  <w:sz w:val="24"/>
                  <w:szCs w:val="24"/>
                </w:rPr>
                <m:t>λ</m:t>
              </m:r>
            </m:den>
          </m:f>
        </m:oMath>
      </m:oMathPara>
    </w:p>
    <w:p w:rsidR="00C363ED" w:rsidRDefault="00C363ED" w:rsidP="00C363ED">
      <w:r>
        <w:br/>
      </w:r>
      <w:proofErr w:type="gramStart"/>
      <w:r>
        <w:t>and</w:t>
      </w:r>
      <w:proofErr w:type="gramEnd"/>
    </w:p>
    <w:p w:rsidR="00C363ED" w:rsidRDefault="00C9527B" w:rsidP="00C363ED">
      <w:pPr>
        <w:spacing w:before="180" w:after="180" w:line="240" w:lineRule="auto"/>
        <w:jc w:val="center"/>
        <w:rPr>
          <w:sz w:val="24"/>
          <w:szCs w:val="24"/>
        </w:rPr>
      </w:pPr>
      <m:oMathPara>
        <m:oMath>
          <m:acc>
            <m:accPr>
              <m:ctrlPr>
                <w:rPr>
                  <w:rFonts w:ascii="Cambria Math" w:hAnsi="Cambria Math"/>
                </w:rPr>
              </m:ctrlPr>
            </m:accPr>
            <m:e>
              <m:r>
                <w:rPr>
                  <w:rFonts w:ascii="Cambria Math" w:hAnsi="Cambria Math"/>
                </w:rPr>
                <m:t>λ</m:t>
              </m:r>
            </m:e>
          </m:acc>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argzero</m:t>
              </m:r>
            </m:e>
            <m:sub>
              <m:r>
                <w:rPr>
                  <w:rFonts w:ascii="Cambria Math" w:hAnsi="Cambria Math"/>
                  <w:sz w:val="24"/>
                  <w:szCs w:val="24"/>
                </w:rPr>
                <m:t>λ</m:t>
              </m:r>
            </m:sub>
          </m:sSub>
          <m:f>
            <m:fPr>
              <m:ctrlPr>
                <w:rPr>
                  <w:rFonts w:ascii="Cambria Math" w:hAnsi="Cambria Math"/>
                  <w:sz w:val="24"/>
                  <w:szCs w:val="24"/>
                </w:rPr>
              </m:ctrlPr>
            </m:fPr>
            <m:num>
              <m:r>
                <w:rPr>
                  <w:rFonts w:ascii="Cambria Math" w:hAnsi="Cambria Math"/>
                  <w:sz w:val="24"/>
                  <w:szCs w:val="24"/>
                </w:rPr>
                <m:t>∂</m:t>
              </m:r>
              <m:r>
                <m:rPr>
                  <m:scr m:val="script"/>
                </m:rPr>
                <w:rPr>
                  <w:rFonts w:ascii="Cambria Math" w:hAnsi="Cambria Math"/>
                  <w:sz w:val="24"/>
                  <w:szCs w:val="24"/>
                </w:rPr>
                <m:t>l(</m:t>
              </m:r>
              <m:r>
                <w:rPr>
                  <w:rFonts w:ascii="Cambria Math" w:hAnsi="Cambria Math"/>
                  <w:sz w:val="24"/>
                  <w:szCs w:val="24"/>
                </w:rPr>
                <m:t>λ,r)</m:t>
              </m:r>
            </m:num>
            <m:den>
              <m:r>
                <w:rPr>
                  <w:rFonts w:ascii="Cambria Math" w:hAnsi="Cambria Math"/>
                  <w:sz w:val="24"/>
                  <w:szCs w:val="24"/>
                </w:rPr>
                <m:t>∂λ</m:t>
              </m:r>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argzero</m:t>
              </m:r>
            </m:e>
            <m:sub>
              <m:r>
                <w:rPr>
                  <w:rFonts w:ascii="Cambria Math" w:hAnsi="Cambria Math"/>
                  <w:sz w:val="24"/>
                  <w:szCs w:val="24"/>
                </w:rPr>
                <m:t>λ</m:t>
              </m:r>
            </m:sub>
          </m:sSub>
          <m:d>
            <m:dPr>
              <m:begChr m:val="{"/>
              <m:endChr m:val="}"/>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num>
                <m:den>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-r</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e>
                  </m:d>
                </m:num>
                <m:den>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-λr</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m:t>
                      </m:r>
                    </m:sup>
                  </m:sSup>
                </m:den>
              </m:f>
            </m:e>
          </m:d>
        </m:oMath>
      </m:oMathPara>
    </w:p>
    <w:p w:rsidR="00C363ED" w:rsidRDefault="00C363ED" w:rsidP="00C363ED">
      <w:r>
        <w:t xml:space="preserve">Substituting </w:t>
      </w:r>
      <m:oMath>
        <m:acc>
          <m:accPr>
            <m:ctrlPr>
              <w:rPr>
                <w:rFonts w:ascii="Cambria Math" w:hAnsi="Cambria Math"/>
              </w:rPr>
            </m:ctrlPr>
          </m:accPr>
          <m:e>
            <m:r>
              <w:rPr>
                <w:rFonts w:ascii="Cambria Math" w:hAnsi="Cambria Math"/>
              </w:rPr>
              <m:t>r</m:t>
            </m:r>
          </m:e>
        </m:acc>
      </m:oMath>
      <w:r>
        <w:t xml:space="preserve"> in the expression for </w:t>
      </w:r>
      <m:oMath>
        <m:acc>
          <m:accPr>
            <m:ctrlPr>
              <w:rPr>
                <w:rFonts w:ascii="Cambria Math" w:hAnsi="Cambria Math"/>
              </w:rPr>
            </m:ctrlPr>
          </m:accPr>
          <m:e>
            <m:r>
              <w:rPr>
                <w:rFonts w:ascii="Cambria Math" w:hAnsi="Cambria Math"/>
              </w:rPr>
              <m:t>λ</m:t>
            </m:r>
          </m:e>
        </m:acc>
      </m:oMath>
      <w:r>
        <w:t xml:space="preserve"> and then vice versa yields the same MLEs as when assuming independent Binomials:</w:t>
      </w:r>
    </w:p>
    <w:p w:rsidR="00C363ED" w:rsidRDefault="00C9527B" w:rsidP="00C363ED">
      <w:pPr>
        <w:spacing w:before="180" w:after="180" w:line="240" w:lineRule="auto"/>
        <w:jc w:val="center"/>
        <w:rPr>
          <w:sz w:val="24"/>
          <w:szCs w:val="24"/>
        </w:rPr>
      </w:pPr>
      <m:oMathPara>
        <m:oMath>
          <m:acc>
            <m:accPr>
              <m:ctrlPr>
                <w:rPr>
                  <w:rFonts w:ascii="Cambria Math" w:hAnsi="Cambria Math"/>
                </w:rPr>
              </m:ctrlPr>
            </m:accPr>
            <m:e>
              <m:r>
                <w:rPr>
                  <w:rFonts w:ascii="Cambria Math" w:hAnsi="Cambria Math"/>
                </w:rPr>
                <m:t>λ</m:t>
              </m:r>
            </m:e>
          </m:acc>
          <m:r>
            <w:rPr>
              <w:rFonts w:ascii="Cambria Math" w:hAnsi="Cambria Math"/>
              <w:sz w:val="24"/>
              <w:szCs w:val="24"/>
            </w:rPr>
            <m:t>=-log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r>
            <w:rPr>
              <w:rFonts w:ascii="Cambria Math" w:hAnsi="Cambria Math"/>
              <w:sz w:val="24"/>
              <w:szCs w:val="24"/>
            </w:rPr>
            <m:t>=-log</m:t>
          </m:r>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oMath>
      </m:oMathPara>
    </w:p>
    <w:p w:rsidR="00C363ED" w:rsidRDefault="00C9527B" w:rsidP="00C363ED">
      <w:pPr>
        <w:spacing w:before="180" w:after="180" w:line="240" w:lineRule="auto"/>
        <w:jc w:val="center"/>
        <w:rPr>
          <w:sz w:val="24"/>
          <w:szCs w:val="24"/>
        </w:rPr>
      </w:pPr>
      <m:oMathPara>
        <m:oMath>
          <m:acc>
            <m:accPr>
              <m:ctrlPr>
                <w:rPr>
                  <w:rFonts w:ascii="Cambria Math" w:hAnsi="Cambria Math"/>
                  <w:sz w:val="24"/>
                  <w:szCs w:val="24"/>
                </w:rPr>
              </m:ctrlPr>
            </m:accPr>
            <m:e>
              <m:r>
                <w:rPr>
                  <w:rFonts w:ascii="Cambria Math" w:hAnsi="Cambria Math"/>
                  <w:sz w:val="24"/>
                  <w:szCs w:val="24"/>
                </w:rPr>
                <m:t>r</m:t>
              </m:r>
            </m:e>
          </m:acc>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num>
                    <m:den>
                      <m:r>
                        <w:rPr>
                          <w:rFonts w:ascii="Cambria Math" w:hAnsi="Cambria Math"/>
                          <w:sz w:val="24"/>
                          <w:szCs w:val="24"/>
                        </w:rPr>
                        <m:t>n</m:t>
                      </m:r>
                    </m:den>
                  </m:f>
                </m:e>
              </m:d>
            </m:num>
            <m:den>
              <m:r>
                <w:rPr>
                  <w:rFonts w:ascii="Cambria Math" w:hAnsi="Cambria Math"/>
                  <w:sz w:val="24"/>
                  <w:szCs w:val="24"/>
                </w:rPr>
                <m:t>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r>
                        <w:rPr>
                          <w:rFonts w:ascii="Cambria Math" w:hAnsi="Cambria Math"/>
                          <w:sz w:val="24"/>
                          <w:szCs w:val="24"/>
                        </w:rPr>
                        <m:t>n</m:t>
                      </m:r>
                    </m:den>
                  </m:f>
                </m:e>
              </m:d>
            </m:den>
          </m:f>
        </m:oMath>
      </m:oMathPara>
    </w:p>
    <w:p w:rsidR="00C363ED" w:rsidRDefault="00C363ED" w:rsidP="00C363ED"/>
    <w:p w:rsidR="00C363ED" w:rsidRDefault="00C363ED" w:rsidP="00C363ED">
      <w:r>
        <w:t xml:space="preserve">Although the MLEs are the same as in the independent Binomials case, the likelihoods have much different forms (and different supports). To do simultaneous inference on </w:t>
      </w:r>
      <m:oMath>
        <m:r>
          <w:rPr>
            <w:rFonts w:ascii="Cambria Math" w:hAnsi="Cambria Math"/>
          </w:rPr>
          <m:t>λ</m:t>
        </m:r>
      </m:oMath>
      <w:r>
        <w:t xml:space="preserve"> </w:t>
      </w:r>
      <w:proofErr w:type="gramStart"/>
      <w:r>
        <w:t xml:space="preserve">and </w:t>
      </w:r>
      <w:proofErr w:type="gramEnd"/>
      <m:oMath>
        <m:r>
          <w:rPr>
            <w:rFonts w:ascii="Cambria Math" w:hAnsi="Cambria Math"/>
          </w:rPr>
          <m:t>r</m:t>
        </m:r>
      </m:oMath>
      <w:r>
        <w:t xml:space="preserve">, we can build </w:t>
      </w:r>
      <m:oMath>
        <m:r>
          <w:rPr>
            <w:rFonts w:ascii="Cambria Math" w:hAnsi="Cambria Math"/>
          </w:rPr>
          <m:t>1-α</m:t>
        </m:r>
      </m:oMath>
      <w:r>
        <w:t xml:space="preserve"> confidence regions for </w:t>
      </w:r>
      <m:oMath>
        <m:r>
          <w:rPr>
            <w:rFonts w:ascii="Cambria Math" w:hAnsi="Cambria Math"/>
          </w:rPr>
          <m:t>(r^,λ^)</m:t>
        </m:r>
      </m:oMath>
      <w:r>
        <w:t xml:space="preserve"> by inverting a likelihood ratio test and finding the set of points</w:t>
      </w:r>
    </w:p>
    <w:p w:rsidR="00C363ED" w:rsidRDefault="00C9527B" w:rsidP="00C363ED">
      <w:pPr>
        <w:spacing w:before="180" w:after="180" w:line="240" w:lineRule="auto"/>
        <w:jc w:val="center"/>
        <w:rPr>
          <w:sz w:val="24"/>
          <w:szCs w:val="24"/>
        </w:rPr>
      </w:pPr>
      <m:oMathPara>
        <m:oMath>
          <m:d>
            <m:dPr>
              <m:begChr m:val="{"/>
              <m:endChr m:val="}"/>
              <m:ctrlPr>
                <w:rPr>
                  <w:rFonts w:ascii="Cambria Math" w:hAnsi="Cambria Math"/>
                  <w:sz w:val="24"/>
                  <w:szCs w:val="24"/>
                </w:rPr>
              </m:ctrlPr>
            </m:dPr>
            <m:e>
              <m:r>
                <w:rPr>
                  <w:rFonts w:ascii="Cambria Math" w:hAnsi="Cambria Math"/>
                  <w:sz w:val="24"/>
                  <w:szCs w:val="24"/>
                </w:rPr>
                <m:t>(r,λ</m:t>
              </m:r>
              <m:r>
                <m:rPr>
                  <m:scr m:val="script"/>
                </m:rPr>
                <w:rPr>
                  <w:rFonts w:ascii="Cambria Math" w:hAnsi="Cambria Math"/>
                  <w:sz w:val="24"/>
                  <w:szCs w:val="24"/>
                </w:rPr>
                <m:t>): l(</m:t>
              </m:r>
              <m:r>
                <w:rPr>
                  <w:rFonts w:ascii="Cambria Math" w:hAnsi="Cambria Math"/>
                  <w:sz w:val="24"/>
                  <w:szCs w:val="24"/>
                </w:rPr>
                <m:t>r,λ</m:t>
              </m:r>
              <m:r>
                <m:rPr>
                  <m:scr m:val="script"/>
                </m:rPr>
                <w:rPr>
                  <w:rFonts w:ascii="Cambria Math" w:hAnsi="Cambria Math"/>
                  <w:sz w:val="24"/>
                  <w:szCs w:val="24"/>
                </w:rPr>
                <m:t>)=l(</m:t>
              </m:r>
              <m:acc>
                <m:accPr>
                  <m:ctrlPr>
                    <w:rPr>
                      <w:rFonts w:ascii="Cambria Math" w:hAnsi="Cambria Math"/>
                      <w:sz w:val="24"/>
                      <w:szCs w:val="24"/>
                    </w:rPr>
                  </m:ctrlPr>
                </m:accPr>
                <m:e>
                  <m:r>
                    <w:rPr>
                      <w:rFonts w:ascii="Cambria Math" w:hAnsi="Cambria Math"/>
                      <w:sz w:val="24"/>
                      <w:szCs w:val="24"/>
                    </w:rPr>
                    <m:t>r</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sSubSup>
                <m:sSubSupPr>
                  <m:ctrlPr>
                    <w:rPr>
                      <w:rFonts w:ascii="Cambria Math" w:hAnsi="Cambria Math"/>
                      <w:sz w:val="24"/>
                      <w:szCs w:val="24"/>
                    </w:rPr>
                  </m:ctrlPr>
                </m:sSubSupPr>
                <m:e>
                  <m:r>
                    <w:rPr>
                      <w:rFonts w:ascii="Cambria Math" w:hAnsi="Cambria Math"/>
                      <w:sz w:val="24"/>
                      <w:szCs w:val="24"/>
                    </w:rPr>
                    <m:t>χ</m:t>
                  </m:r>
                </m:e>
                <m:sub>
                  <m:r>
                    <w:rPr>
                      <w:rFonts w:ascii="Cambria Math" w:hAnsi="Cambria Math"/>
                      <w:sz w:val="24"/>
                      <w:szCs w:val="24"/>
                    </w:rPr>
                    <m:t>1,1-α</m:t>
                  </m:r>
                </m:sub>
                <m:sup>
                  <m:r>
                    <w:rPr>
                      <w:rFonts w:ascii="Cambria Math" w:hAnsi="Cambria Math"/>
                      <w:sz w:val="24"/>
                      <w:szCs w:val="24"/>
                    </w:rPr>
                    <m:t>2</m:t>
                  </m:r>
                </m:sup>
              </m:sSubSup>
            </m:e>
          </m:d>
        </m:oMath>
      </m:oMathPara>
    </w:p>
    <w:p w:rsidR="00C363ED" w:rsidRDefault="00C363ED" w:rsidP="00C363ED">
      <w:r>
        <w:t xml:space="preserve">Where </w:t>
      </w:r>
      <m:oMath>
        <m:sSubSup>
          <m:sSubSupPr>
            <m:ctrlPr>
              <w:rPr>
                <w:rFonts w:ascii="Cambria Math" w:hAnsi="Cambria Math"/>
              </w:rPr>
            </m:ctrlPr>
          </m:sSubSupPr>
          <m:e>
            <m:r>
              <w:rPr>
                <w:rFonts w:ascii="Cambria Math" w:hAnsi="Cambria Math"/>
              </w:rPr>
              <m:t>χ</m:t>
            </m:r>
          </m:e>
          <m:sub>
            <m:r>
              <w:rPr>
                <w:rFonts w:ascii="Cambria Math" w:hAnsi="Cambria Math"/>
              </w:rPr>
              <m:t>1,1-α</m:t>
            </m:r>
          </m:sub>
          <m:sup>
            <m:r>
              <w:rPr>
                <w:rFonts w:ascii="Cambria Math" w:hAnsi="Cambria Math"/>
              </w:rPr>
              <m:t>2</m:t>
            </m:r>
          </m:sup>
        </m:sSubSup>
      </m:oMath>
      <w:r>
        <w:t xml:space="preserve"> is the </w:t>
      </w:r>
      <m:oMath>
        <m:r>
          <w:rPr>
            <w:rFonts w:ascii="Cambria Math" w:hAnsi="Cambria Math"/>
          </w:rPr>
          <m:t>1-α</m:t>
        </m:r>
      </m:oMath>
      <w:r>
        <w:t xml:space="preserve"> quantile of the chi-squared distribution with 1 degree of </w:t>
      </w:r>
      <w:proofErr w:type="gramStart"/>
      <w:r>
        <w:t>freedom.</w:t>
      </w:r>
      <w:proofErr w:type="gramEnd"/>
      <w:r>
        <w:t xml:space="preserve"> The above expression </w:t>
      </w:r>
      <w:proofErr w:type="gramStart"/>
      <w:r>
        <w:t>cannot in general be solved</w:t>
      </w:r>
      <w:proofErr w:type="gramEnd"/>
      <w:r>
        <w:t xml:space="preserve"> exactly, but it can be approximated arbitrarily well.  </w:t>
      </w:r>
    </w:p>
    <w:p w:rsidR="00C363ED" w:rsidRDefault="00C363ED" w:rsidP="00C363ED"/>
    <w:p w:rsidR="00C363ED" w:rsidRDefault="00C363ED" w:rsidP="00C363ED">
      <w:r>
        <w:t xml:space="preserve">Since we are mainly interested in making inference </w:t>
      </w:r>
      <w:proofErr w:type="gramStart"/>
      <w:r>
        <w:t xml:space="preserve">for </w:t>
      </w:r>
      <w:proofErr w:type="gramEnd"/>
      <m:oMath>
        <m:r>
          <w:rPr>
            <w:rFonts w:ascii="Cambria Math" w:hAnsi="Cambria Math"/>
          </w:rPr>
          <m:t>r</m:t>
        </m:r>
      </m:oMath>
      <w:r>
        <w:t xml:space="preserve">, we can treat </w:t>
      </w:r>
      <m:oMath>
        <m:r>
          <w:rPr>
            <w:rFonts w:ascii="Cambria Math" w:hAnsi="Cambria Math"/>
          </w:rPr>
          <m:t>λ</m:t>
        </m:r>
      </m:oMath>
      <w:r>
        <w:t xml:space="preserve">as a nuisance parameter and we can define the profile log-likelihood for </w:t>
      </w:r>
      <m:oMath>
        <m:r>
          <w:rPr>
            <w:rFonts w:ascii="Cambria Math" w:hAnsi="Cambria Math"/>
          </w:rPr>
          <m:t>r</m:t>
        </m:r>
      </m:oMath>
      <w:r>
        <w:t xml:space="preserve"> as</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m:rPr>
                  <m:scr m:val="script"/>
                </m:rP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(r) =</m:t>
          </m:r>
          <m:limLow>
            <m:limLowPr>
              <m:ctrlPr>
                <w:rPr>
                  <w:rFonts w:ascii="Cambria Math" w:hAnsi="Cambria Math"/>
                  <w:sz w:val="24"/>
                  <w:szCs w:val="24"/>
                </w:rPr>
              </m:ctrlPr>
            </m:limLowPr>
            <m:e>
              <m:r>
                <w:rPr>
                  <w:rFonts w:ascii="Cambria Math" w:hAnsi="Cambria Math"/>
                  <w:sz w:val="24"/>
                  <w:szCs w:val="24"/>
                </w:rPr>
                <m:t>max</m:t>
              </m:r>
            </m:e>
            <m:lim>
              <m:r>
                <w:rPr>
                  <w:rFonts w:ascii="Cambria Math" w:hAnsi="Cambria Math"/>
                  <w:sz w:val="24"/>
                  <w:szCs w:val="24"/>
                </w:rPr>
                <m:t>λ</m:t>
              </m:r>
            </m:lim>
          </m:limLow>
          <m:r>
            <m:rPr>
              <m:scr m:val="script"/>
            </m:rPr>
            <w:rPr>
              <w:rFonts w:ascii="Cambria Math" w:hAnsi="Cambria Math"/>
              <w:sz w:val="24"/>
              <w:szCs w:val="24"/>
            </w:rPr>
            <m:t>l(</m:t>
          </m:r>
          <m:r>
            <w:rPr>
              <w:rFonts w:ascii="Cambria Math" w:hAnsi="Cambria Math"/>
              <w:sz w:val="24"/>
              <w:szCs w:val="24"/>
            </w:rPr>
            <m:t>r,λ</m:t>
          </m:r>
          <m:r>
            <m:rPr>
              <m:scr m:val="script"/>
            </m:rPr>
            <w:rPr>
              <w:rFonts w:ascii="Cambria Math" w:hAnsi="Cambria Math"/>
              <w:sz w:val="24"/>
              <w:szCs w:val="24"/>
            </w:rPr>
            <m:t>)=l(</m:t>
          </m:r>
          <m:r>
            <w:rPr>
              <w:rFonts w:ascii="Cambria Math" w:hAnsi="Cambria Math"/>
              <w:sz w:val="24"/>
              <w:szCs w:val="24"/>
            </w:rPr>
            <m:t>r,</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(r))  =-</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log</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(r)r</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(r)</m:t>
                  </m:r>
                </m:sup>
              </m:sSup>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log</m:t>
          </m:r>
          <m:d>
            <m:dPr>
              <m:ctrlPr>
                <w:rPr>
                  <w:rFonts w:ascii="Cambria Math" w:hAnsi="Cambria Math"/>
                  <w:sz w:val="24"/>
                  <w:szCs w:val="24"/>
                </w:rPr>
              </m:ctrlPr>
            </m:dPr>
            <m:e>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(r)r</m:t>
                  </m:r>
                </m:sup>
              </m:sSup>
            </m:e>
          </m:d>
          <m:r>
            <w:rPr>
              <w:rFonts w:ascii="Cambria Math" w:hAnsi="Cambria Math"/>
              <w:sz w:val="24"/>
              <w:szCs w:val="24"/>
            </w:rPr>
            <m:t xml:space="preserve"> </m:t>
          </m:r>
        </m:oMath>
      </m:oMathPara>
    </w:p>
    <w:p w:rsidR="00C363ED" w:rsidRDefault="00C363ED" w:rsidP="00C363ED">
      <w:proofErr w:type="gramStart"/>
      <w:r>
        <w:t>and</w:t>
      </w:r>
      <w:proofErr w:type="gramEnd"/>
      <w:r>
        <w:t xml:space="preserve"> the estimated profile log-likelihood for </w:t>
      </w:r>
      <m:oMath>
        <m:r>
          <w:rPr>
            <w:rFonts w:ascii="Cambria Math" w:hAnsi="Cambria Math"/>
          </w:rPr>
          <m:t>r</m:t>
        </m:r>
      </m:oMath>
      <w:r>
        <w:t xml:space="preserve"> as</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m:rPr>
                  <m:scr m:val="script"/>
                </m:rPr>
                <w:rPr>
                  <w:rFonts w:ascii="Cambria Math" w:hAnsi="Cambria Math"/>
                  <w:sz w:val="24"/>
                  <w:szCs w:val="24"/>
                </w:rPr>
                <m:t>l</m:t>
              </m:r>
            </m:e>
            <m:sub>
              <m:r>
                <w:rPr>
                  <w:rFonts w:ascii="Cambria Math" w:hAnsi="Cambria Math"/>
                  <w:sz w:val="24"/>
                  <w:szCs w:val="24"/>
                </w:rPr>
                <m:t>e</m:t>
              </m:r>
            </m:sub>
          </m:sSub>
          <m:r>
            <w:rPr>
              <w:rFonts w:ascii="Cambria Math" w:hAnsi="Cambria Math"/>
              <w:sz w:val="24"/>
              <w:szCs w:val="24"/>
            </w:rPr>
            <m:t>(r</m:t>
          </m:r>
          <m:r>
            <m:rPr>
              <m:scr m:val="script"/>
            </m:rPr>
            <w:rPr>
              <w:rFonts w:ascii="Cambria Math" w:hAnsi="Cambria Math"/>
              <w:sz w:val="24"/>
              <w:szCs w:val="24"/>
            </w:rPr>
            <m:t>) =l(</m:t>
          </m:r>
          <m:r>
            <w:rPr>
              <w:rFonts w:ascii="Cambria Math" w:hAnsi="Cambria Math"/>
              <w:sz w:val="24"/>
              <w:szCs w:val="24"/>
            </w:rPr>
            <m:t>r,</m:t>
          </m:r>
          <m:acc>
            <m:accPr>
              <m:ctrlPr>
                <w:rPr>
                  <w:rFonts w:ascii="Cambria Math" w:hAnsi="Cambria Math"/>
                  <w:sz w:val="24"/>
                  <w:szCs w:val="24"/>
                </w:rPr>
              </m:ctrlPr>
            </m:accPr>
            <m:e>
              <m:r>
                <w:rPr>
                  <w:rFonts w:ascii="Cambria Math" w:hAnsi="Cambria Math"/>
                  <w:sz w:val="24"/>
                  <w:szCs w:val="24"/>
                </w:rPr>
                <m:t>λ</m:t>
              </m:r>
            </m:e>
          </m:acc>
          <m:r>
            <w:rPr>
              <w:rFonts w:ascii="Cambria Math" w:hAnsi="Cambria Math"/>
              <w:sz w:val="24"/>
              <w:szCs w:val="24"/>
            </w:rPr>
            <m:t>)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log</m:t>
          </m:r>
          <m:d>
            <m:dPr>
              <m:ctrlPr>
                <w:rPr>
                  <w:rFonts w:ascii="Cambria Math" w:hAnsi="Cambria Math"/>
                  <w:sz w:val="24"/>
                  <w:szCs w:val="24"/>
                </w:rPr>
              </m:ctrlPr>
            </m:dPr>
            <m:e>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sup>
              </m:sSup>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log</m:t>
          </m:r>
          <m:d>
            <m:dPr>
              <m:ctrlPr>
                <w:rPr>
                  <w:rFonts w:ascii="Cambria Math" w:hAnsi="Cambria Math"/>
                  <w:sz w:val="24"/>
                  <w:szCs w:val="24"/>
                </w:rPr>
              </m:ctrlPr>
            </m:dPr>
            <m:e>
              <m: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rlog</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den>
                      </m:f>
                    </m:e>
                  </m:d>
                </m:sup>
              </m:sSup>
            </m:e>
          </m:d>
          <m:r>
            <w:rPr>
              <w:rFonts w:ascii="Cambria Math" w:hAnsi="Cambria Math"/>
              <w:sz w:val="24"/>
              <w:szCs w:val="24"/>
            </w:rPr>
            <m:t xml:space="preserve"> </m:t>
          </m:r>
        </m:oMath>
      </m:oMathPara>
    </w:p>
    <w:p w:rsidR="00C363ED" w:rsidRDefault="00C363ED" w:rsidP="00C363ED">
      <w:r>
        <w:t xml:space="preserve">From these expressions, we can find asymptotic </w:t>
      </w:r>
      <m:oMath>
        <m:r>
          <w:rPr>
            <w:rFonts w:ascii="Cambria Math" w:hAnsi="Cambria Math"/>
          </w:rPr>
          <m:t>(1-α)</m:t>
        </m:r>
      </m:oMath>
      <w:r>
        <w:t xml:space="preserve"> confidence intervals for </w:t>
      </w:r>
      <m:oMath>
        <m:r>
          <w:rPr>
            <w:rFonts w:ascii="Cambria Math" w:hAnsi="Cambria Math"/>
          </w:rPr>
          <m:t>r^</m:t>
        </m:r>
      </m:oMath>
      <w:r>
        <w:t xml:space="preserve"> based on the (estimated) profile likelihood ratio, by finding the strictly positive values of </w:t>
      </w:r>
      <m:oMath>
        <m:r>
          <w:rPr>
            <w:rFonts w:ascii="Cambria Math" w:hAnsi="Cambria Math"/>
          </w:rPr>
          <m:t>r</m:t>
        </m:r>
      </m:oMath>
      <w:r>
        <w:t xml:space="preserve"> that solve:</w:t>
      </w:r>
    </w:p>
    <w:p w:rsidR="00C363ED" w:rsidRDefault="00C363ED" w:rsidP="00C363ED">
      <w:pPr>
        <w:spacing w:before="180" w:after="180" w:line="240" w:lineRule="auto"/>
        <w:jc w:val="center"/>
        <w:rPr>
          <w:sz w:val="24"/>
          <w:szCs w:val="24"/>
        </w:rPr>
      </w:pPr>
      <m:oMathPara>
        <m:oMath>
          <m:r>
            <w:rPr>
              <w:rFonts w:ascii="Cambria Math" w:hAnsi="Cambria Math"/>
              <w:sz w:val="24"/>
              <w:szCs w:val="24"/>
            </w:rPr>
            <m:t>2</m:t>
          </m:r>
          <m:d>
            <m:dPr>
              <m:ctrlPr>
                <w:rPr>
                  <w:rFonts w:ascii="Cambria Math" w:hAnsi="Cambria Math"/>
                  <w:sz w:val="24"/>
                  <w:szCs w:val="24"/>
                </w:rPr>
              </m:ctrlPr>
            </m:dPr>
            <m:e>
              <m:sSub>
                <m:sSubPr>
                  <m:ctrlPr>
                    <w:rPr>
                      <w:rFonts w:ascii="Cambria Math" w:hAnsi="Cambria Math"/>
                      <w:sz w:val="24"/>
                      <w:szCs w:val="24"/>
                    </w:rPr>
                  </m:ctrlPr>
                </m:sSubPr>
                <m:e>
                  <m:r>
                    <m:rPr>
                      <m:scr m:val="script"/>
                    </m:rP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(r)-</m:t>
              </m:r>
              <m:sSub>
                <m:sSubPr>
                  <m:ctrlPr>
                    <w:rPr>
                      <w:rFonts w:ascii="Cambria Math" w:hAnsi="Cambria Math"/>
                      <w:sz w:val="24"/>
                      <w:szCs w:val="24"/>
                    </w:rPr>
                  </m:ctrlPr>
                </m:sSubPr>
                <m:e>
                  <m:r>
                    <m:rPr>
                      <m:scr m:val="script"/>
                    </m:rP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r</m:t>
                  </m:r>
                </m:e>
              </m:acc>
              <m:r>
                <w:rPr>
                  <w:rFonts w:ascii="Cambria Math" w:hAnsi="Cambria Math"/>
                  <w:sz w:val="24"/>
                  <w:szCs w:val="24"/>
                </w:rPr>
                <m:t>)</m:t>
              </m:r>
            </m:e>
          </m:d>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χ</m:t>
              </m:r>
            </m:e>
            <m:sub>
              <m:r>
                <w:rPr>
                  <w:rFonts w:ascii="Cambria Math" w:hAnsi="Cambria Math"/>
                  <w:sz w:val="24"/>
                  <w:szCs w:val="24"/>
                </w:rPr>
                <m:t>1,1-α</m:t>
              </m:r>
            </m:sub>
            <m:sup>
              <m:r>
                <w:rPr>
                  <w:rFonts w:ascii="Cambria Math" w:hAnsi="Cambria Math"/>
                  <w:sz w:val="24"/>
                  <w:szCs w:val="24"/>
                </w:rPr>
                <m:t>2</m:t>
              </m:r>
            </m:sup>
          </m:sSubSup>
          <m:r>
            <w:rPr>
              <w:rFonts w:ascii="Cambria Math" w:hAnsi="Cambria Math"/>
              <w:sz w:val="24"/>
              <w:szCs w:val="24"/>
            </w:rPr>
            <m:t>=0</m:t>
          </m:r>
        </m:oMath>
      </m:oMathPara>
    </w:p>
    <w:p w:rsidR="00C363ED" w:rsidRDefault="00C363ED" w:rsidP="00C363ED">
      <w:r>
        <w:t xml:space="preserve">Where </w:t>
      </w:r>
      <m:oMath>
        <m:sSubSup>
          <m:sSubSupPr>
            <m:ctrlPr>
              <w:rPr>
                <w:rFonts w:ascii="Cambria Math" w:hAnsi="Cambria Math"/>
              </w:rPr>
            </m:ctrlPr>
          </m:sSubSupPr>
          <m:e>
            <m:r>
              <w:rPr>
                <w:rFonts w:ascii="Cambria Math" w:hAnsi="Cambria Math"/>
              </w:rPr>
              <m:t>χ</m:t>
            </m:r>
          </m:e>
          <m:sub>
            <m:r>
              <w:rPr>
                <w:rFonts w:ascii="Cambria Math" w:hAnsi="Cambria Math"/>
              </w:rPr>
              <m:t>1,1-α</m:t>
            </m:r>
          </m:sub>
          <m:sup>
            <m:r>
              <w:rPr>
                <w:rFonts w:ascii="Cambria Math" w:hAnsi="Cambria Math"/>
              </w:rPr>
              <m:t>2</m:t>
            </m:r>
          </m:sup>
        </m:sSubSup>
      </m:oMath>
      <w:r>
        <w:t xml:space="preserve"> is the </w:t>
      </w:r>
      <m:oMath>
        <m:r>
          <w:rPr>
            <w:rFonts w:ascii="Cambria Math" w:hAnsi="Cambria Math"/>
          </w:rPr>
          <m:t>1-α</m:t>
        </m:r>
      </m:oMath>
      <w:r>
        <w:t xml:space="preserve"> quantile of a chi-square distribution with 1 degree of </w:t>
      </w:r>
      <w:proofErr w:type="gramStart"/>
      <w:r>
        <w:t>freedom.</w:t>
      </w:r>
      <w:proofErr w:type="gramEnd"/>
      <w:r>
        <w:t xml:space="preserve"> These intervals will be nicely behaved (for example, they do not include negative values), but they require numerical </w:t>
      </w:r>
      <w:proofErr w:type="gramStart"/>
      <w:r>
        <w:t>root-finding</w:t>
      </w:r>
      <w:proofErr w:type="gramEnd"/>
      <w:r>
        <w:t xml:space="preserve"> of the expression above. The interval based on the profile likelihood better takes into account uncertainty </w:t>
      </w:r>
      <w:proofErr w:type="gramStart"/>
      <w:r>
        <w:t xml:space="preserve">in </w:t>
      </w:r>
      <w:proofErr w:type="gramEnd"/>
      <m:oMath>
        <m:acc>
          <m:accPr>
            <m:ctrlPr>
              <w:rPr>
                <w:rFonts w:ascii="Cambria Math" w:hAnsi="Cambria Math"/>
              </w:rPr>
            </m:ctrlPr>
          </m:accPr>
          <m:e>
            <m:r>
              <w:rPr>
                <w:rFonts w:ascii="Cambria Math" w:hAnsi="Cambria Math"/>
              </w:rPr>
              <m:t>λ</m:t>
            </m:r>
          </m:e>
        </m:acc>
      </m:oMath>
      <w:r>
        <w:t xml:space="preserve">, but is more difficult to compute as it requires optimization in terms of </w:t>
      </w:r>
      <m:oMath>
        <m:r>
          <w:rPr>
            <w:rFonts w:ascii="Cambria Math" w:hAnsi="Cambria Math"/>
          </w:rPr>
          <m:t>λ</m:t>
        </m:r>
      </m:oMath>
      <w:r>
        <w:t>in each iteration of the root-finding algorithm.</w:t>
      </w:r>
    </w:p>
    <w:p w:rsidR="00C363ED" w:rsidRDefault="00C363ED" w:rsidP="00C363ED">
      <w:pPr>
        <w:spacing w:before="180" w:after="180" w:line="240" w:lineRule="auto"/>
        <w:rPr>
          <w:sz w:val="24"/>
          <w:szCs w:val="24"/>
        </w:rPr>
      </w:pPr>
    </w:p>
    <w:p w:rsidR="00C363ED" w:rsidRDefault="00C363ED" w:rsidP="00C363ED">
      <w:pPr>
        <w:pStyle w:val="Heading5"/>
        <w:spacing w:before="180" w:after="180" w:line="240" w:lineRule="auto"/>
      </w:pPr>
      <w:bookmarkStart w:id="5" w:name="_ybhgge3xxfap" w:colFirst="0" w:colLast="0"/>
      <w:bookmarkEnd w:id="5"/>
      <w:r>
        <w:t>Fitting a logistic curve to the data</w:t>
      </w:r>
    </w:p>
    <w:p w:rsidR="00C363ED" w:rsidRDefault="00C363ED" w:rsidP="00C363ED">
      <w:r>
        <w:t xml:space="preserve">We consider measures in a time series independent and distributed according to the same family: (quasi)binomial for clinical data and (quasi)multinomial for </w:t>
      </w:r>
      <w:proofErr w:type="spellStart"/>
      <w:r>
        <w:t>dPCR</w:t>
      </w:r>
      <w:proofErr w:type="spellEnd"/>
      <w:r>
        <w:t xml:space="preserve"> data. For the (quasi)binomial data, the success probability parameter </w:t>
      </w:r>
      <w:proofErr w:type="gramStart"/>
      <w:r>
        <w:t>is taken</w:t>
      </w:r>
      <w:proofErr w:type="gramEnd"/>
      <w:r>
        <w:t xml:space="preserve"> as time varying </w:t>
      </w:r>
      <m:oMath>
        <m:r>
          <w:rPr>
            <w:rFonts w:ascii="Cambria Math" w:hAnsi="Cambria Math"/>
          </w:rPr>
          <m:t>r(t;a,b,c)</m:t>
        </m:r>
      </m:oMath>
      <w:r>
        <w:t xml:space="preserve"> taking the form of a 2PL or 3PL. For the (quasi)multinomial </w:t>
      </w:r>
      <w:proofErr w:type="gramStart"/>
      <w:r>
        <w:t>data,</w:t>
      </w:r>
      <w:proofErr w:type="gramEnd"/>
      <w:r>
        <w:t xml:space="preserve"> </w:t>
      </w:r>
      <m:oMath>
        <m:sSub>
          <m:sSubPr>
            <m:ctrlPr>
              <w:rPr>
                <w:rFonts w:ascii="Cambria Math" w:hAnsi="Cambria Math"/>
              </w:rPr>
            </m:ctrlPr>
          </m:sSubPr>
          <m:e>
            <m:r>
              <w:rPr>
                <w:rFonts w:ascii="Cambria Math" w:hAnsi="Cambria Math"/>
              </w:rPr>
              <m:t>λ(t)</m:t>
            </m:r>
          </m:e>
          <m:sub/>
        </m:sSub>
      </m:oMath>
      <w:r>
        <w:t>is considered as a nuisance parameter, and we optimize the estimated profile log likelihood:</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m:rPr>
                  <m:scr m:val="script"/>
                </m:rPr>
                <w:rPr>
                  <w:rFonts w:ascii="Cambria Math" w:hAnsi="Cambria Math"/>
                  <w:sz w:val="24"/>
                  <w:szCs w:val="24"/>
                </w:rPr>
                <m:t>l</m:t>
              </m:r>
            </m:e>
            <m:sub>
              <m:r>
                <w:rPr>
                  <w:rFonts w:ascii="Cambria Math" w:hAnsi="Cambria Math"/>
                  <w:sz w:val="24"/>
                  <w:szCs w:val="24"/>
                </w:rPr>
                <m:t>e</m:t>
              </m:r>
            </m:sub>
          </m:sSub>
          <m:r>
            <w:rPr>
              <w:rFonts w:ascii="Cambria Math" w:hAnsi="Cambria Math"/>
              <w:sz w:val="24"/>
              <w:szCs w:val="24"/>
            </w:rPr>
            <m:t>(a,b,c;</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1:T</m:t>
              </m:r>
            </m:sub>
          </m:sSub>
          <m:r>
            <w:rPr>
              <w:rFonts w:ascii="Cambria Math" w:hAnsi="Cambria Math"/>
              <w:sz w:val="24"/>
              <w:szCs w:val="24"/>
            </w:rPr>
            <m:t>)=</m:t>
          </m:r>
          <m:sSub>
            <m:sSubPr>
              <m:ctrlPr>
                <w:rPr>
                  <w:rFonts w:ascii="Cambria Math" w:hAnsi="Cambria Math"/>
                  <w:sz w:val="24"/>
                  <w:szCs w:val="24"/>
                </w:rPr>
              </m:ctrlPr>
            </m:sSubPr>
            <m:e>
              <m:r>
                <m:rPr>
                  <m:scr m:val="script"/>
                </m:rPr>
                <w:rPr>
                  <w:rFonts w:ascii="Cambria Math" w:hAnsi="Cambria Math"/>
                  <w:sz w:val="24"/>
                  <w:szCs w:val="24"/>
                </w:rPr>
                <m:t>l</m:t>
              </m:r>
            </m:e>
            <m:sub/>
          </m:sSub>
          <m:r>
            <w:rPr>
              <w:rFonts w:ascii="Cambria Math" w:hAnsi="Cambria Math"/>
              <w:sz w:val="24"/>
              <w:szCs w:val="24"/>
            </w:rPr>
            <m:t>(a,b,c,</m:t>
          </m:r>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λ</m:t>
                  </m:r>
                </m:e>
              </m:acc>
            </m:e>
            <m:sub>
              <m:r>
                <w:rPr>
                  <w:rFonts w:ascii="Cambria Math" w:hAnsi="Cambria Math"/>
                  <w:sz w:val="24"/>
                  <w:szCs w:val="24"/>
                </w:rPr>
                <m:t>1:T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1:T</m:t>
              </m:r>
            </m:sub>
          </m:sSub>
          <m:r>
            <w:rPr>
              <w:rFonts w:ascii="Cambria Math" w:hAnsi="Cambria Math"/>
              <w:sz w:val="24"/>
              <w:szCs w:val="24"/>
            </w:rPr>
            <m:t>) =</m:t>
          </m:r>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T</m:t>
              </m:r>
            </m:sup>
            <m:e/>
          </m:nary>
          <m:r>
            <m:rPr>
              <m:scr m:val="script"/>
            </m:rPr>
            <w:rPr>
              <w:rFonts w:ascii="Cambria Math" w:hAnsi="Cambria Math"/>
              <w:sz w:val="24"/>
              <w:szCs w:val="24"/>
            </w:rPr>
            <m:t>l(</m:t>
          </m:r>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;a,b,c),</m:t>
          </m:r>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λ</m:t>
                  </m:r>
                </m:e>
              </m:acc>
            </m:e>
            <m:sub>
              <m:r>
                <w:rPr>
                  <w:rFonts w:ascii="Cambria Math" w:hAnsi="Cambria Math"/>
                  <w:sz w:val="24"/>
                  <w:szCs w:val="24"/>
                </w:rPr>
                <m:t>i</m:t>
              </m:r>
            </m:sub>
          </m:sSub>
          <m:r>
            <w:rPr>
              <w:rFonts w:ascii="Cambria Math" w:hAnsi="Cambria Math"/>
              <w:sz w:val="24"/>
              <w:szCs w:val="24"/>
            </w:rPr>
            <m:t xml:space="preserve">) </m:t>
          </m:r>
        </m:oMath>
      </m:oMathPara>
    </w:p>
    <w:p w:rsidR="00C363ED" w:rsidRDefault="00C363ED" w:rsidP="00C363ED">
      <w:r>
        <w:t xml:space="preserve">Optimization and estimation of the Fisher information matrix </w:t>
      </w:r>
      <w:proofErr w:type="gramStart"/>
      <w:r>
        <w:t>is carried</w:t>
      </w:r>
      <w:proofErr w:type="gramEnd"/>
      <w:r>
        <w:t xml:space="preserve"> out using the L-BFGS-B algorithm implemented in the R v4.0.5 package stats. For the 3PL, the process is very sensitive to starting values </w:t>
      </w:r>
      <w:hyperlink r:id="rId12">
        <w:r>
          <w:rPr>
            <w:color w:val="000000"/>
          </w:rPr>
          <w:t>(Baker and Kim 2004)</w:t>
        </w:r>
      </w:hyperlink>
      <w:r>
        <w:t xml:space="preserve">. Wald confidence intervals for parameters </w:t>
      </w:r>
      <m:oMath>
        <m:r>
          <w:rPr>
            <w:rFonts w:ascii="Cambria Math" w:hAnsi="Cambria Math"/>
          </w:rPr>
          <m:t>a, b, c</m:t>
        </m:r>
      </m:oMath>
      <w:r>
        <w:t xml:space="preserve"> </w:t>
      </w:r>
      <w:proofErr w:type="gramStart"/>
      <w:r>
        <w:t>can be found</w:t>
      </w:r>
      <w:proofErr w:type="gramEnd"/>
      <w:r>
        <w:t xml:space="preserve"> using the estimate of the observed Fisher information matrix:</w:t>
      </w:r>
    </w:p>
    <w:p w:rsidR="00C363ED" w:rsidRDefault="00C9527B" w:rsidP="00C363ED">
      <w:pPr>
        <w:spacing w:before="180" w:after="180" w:line="240" w:lineRule="auto"/>
        <w:jc w:val="center"/>
        <w:rPr>
          <w:sz w:val="24"/>
          <w:szCs w:val="24"/>
        </w:rPr>
      </w:pPr>
      <m:oMathPara>
        <m:oMath>
          <m:sSup>
            <m:sSupPr>
              <m:ctrlPr>
                <w:rPr>
                  <w:rFonts w:ascii="Cambria Math" w:hAnsi="Cambria Math"/>
                  <w:sz w:val="24"/>
                  <w:szCs w:val="24"/>
                </w:rPr>
              </m:ctrlPr>
            </m:sSupPr>
            <m:e>
              <m:r>
                <w:rPr>
                  <w:rFonts w:ascii="Cambria Math" w:hAnsi="Cambria Math"/>
                  <w:sz w:val="24"/>
                  <w:szCs w:val="24"/>
                </w:rPr>
                <m:t>se</m:t>
              </m:r>
            </m:e>
            <m:sup>
              <m:r>
                <w:rPr>
                  <w:rFonts w:ascii="Cambria Math" w:hAnsi="Cambria Math"/>
                  <w:sz w:val="24"/>
                  <w:szCs w:val="24"/>
                </w:rPr>
                <m:t>2</m:t>
              </m:r>
            </m:sup>
          </m:sSup>
          <m:d>
            <m:dPr>
              <m:ctrlPr>
                <w:rPr>
                  <w:rFonts w:ascii="Cambria Math" w:hAnsi="Cambria Math"/>
                  <w:sz w:val="24"/>
                  <w:szCs w:val="24"/>
                </w:rPr>
              </m:ctrlPr>
            </m:dPr>
            <m:e>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sSub>
                <m:sSubPr>
                  <m:ctrlPr>
                    <w:rPr>
                      <w:rFonts w:ascii="Cambria Math" w:hAnsi="Cambria Math"/>
                      <w:sz w:val="24"/>
                      <w:szCs w:val="24"/>
                    </w:rPr>
                  </m:ctrlPr>
                </m:sSubPr>
                <m:e>
                  <m:r>
                    <w:rPr>
                      <w:rFonts w:ascii="Cambria Math" w:hAnsi="Cambria Math"/>
                      <w:sz w:val="24"/>
                      <w:szCs w:val="24"/>
                    </w:rPr>
                    <m:t>]</m:t>
                  </m:r>
                </m:e>
                <m:sub>
                  <m:r>
                    <w:rPr>
                      <w:rFonts w:ascii="Cambria Math" w:hAnsi="Cambria Math"/>
                      <w:sz w:val="24"/>
                      <w:szCs w:val="24"/>
                    </w:rPr>
                    <m:t>i</m:t>
                  </m:r>
                </m:sub>
              </m:sSub>
            </m:e>
          </m:d>
          <m:r>
            <w:rPr>
              <w:rFonts w:ascii="Cambria Math" w:hAnsi="Cambria Math"/>
              <w:sz w:val="24"/>
              <w:szCs w:val="24"/>
            </w:rPr>
            <m:t>=</m:t>
          </m:r>
          <m:rad>
            <m:radPr>
              <m:degHide m:val="1"/>
              <m:ctrlPr>
                <w:rPr>
                  <w:rFonts w:ascii="Cambria Math" w:hAnsi="Cambria Math"/>
                  <w:sz w:val="24"/>
                  <w:szCs w:val="24"/>
                </w:rPr>
              </m:ctrlPr>
            </m:radPr>
            <m:deg/>
            <m:e>
              <m:r>
                <w:rPr>
                  <w:rFonts w:ascii="Cambria Math" w:hAnsi="Cambria Math"/>
                  <w:sz w:val="24"/>
                  <w:szCs w:val="24"/>
                </w:rPr>
                <m:t>[I(</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-1</m:t>
                  </m:r>
                </m:sup>
              </m:sSup>
              <m:sSub>
                <m:sSubPr>
                  <m:ctrlPr>
                    <w:rPr>
                      <w:rFonts w:ascii="Cambria Math" w:hAnsi="Cambria Math"/>
                      <w:sz w:val="24"/>
                      <w:szCs w:val="24"/>
                    </w:rPr>
                  </m:ctrlPr>
                </m:sSubPr>
                <m:e>
                  <m:r>
                    <w:rPr>
                      <w:rFonts w:ascii="Cambria Math" w:hAnsi="Cambria Math"/>
                      <w:sz w:val="24"/>
                      <w:szCs w:val="24"/>
                    </w:rPr>
                    <m:t>]</m:t>
                  </m:r>
                </m:e>
                <m:sub>
                  <m:r>
                    <w:rPr>
                      <w:rFonts w:ascii="Cambria Math" w:hAnsi="Cambria Math"/>
                      <w:sz w:val="24"/>
                      <w:szCs w:val="24"/>
                    </w:rPr>
                    <m:t>ii</m:t>
                  </m:r>
                </m:sub>
              </m:sSub>
            </m:e>
          </m:rad>
        </m:oMath>
      </m:oMathPara>
    </w:p>
    <w:p w:rsidR="00C363ED" w:rsidRDefault="00C363ED" w:rsidP="00C363ED">
      <w:r>
        <w:t>Here, we use an inflated version of the inverse Fisher information matrix according to the moment estimated over-/</w:t>
      </w:r>
      <w:proofErr w:type="spellStart"/>
      <w:r>
        <w:t>underdispersion</w:t>
      </w:r>
      <w:proofErr w:type="spellEnd"/>
      <w:r>
        <w:t xml:space="preserve"> factor from a </w:t>
      </w:r>
      <w:proofErr w:type="spellStart"/>
      <w:r>
        <w:t>quasibinomial</w:t>
      </w:r>
      <w:proofErr w:type="spellEnd"/>
      <w:r>
        <w:t xml:space="preserve"> or </w:t>
      </w:r>
      <w:proofErr w:type="spellStart"/>
      <w:r>
        <w:t>quasimultinomial</w:t>
      </w:r>
      <w:proofErr w:type="spellEnd"/>
      <w:r>
        <w:t xml:space="preserve"> </w:t>
      </w:r>
      <w:proofErr w:type="spellStart"/>
      <w:r>
        <w:t>quasilikelihood</w:t>
      </w:r>
      <w:proofErr w:type="spellEnd"/>
      <w:r>
        <w:t xml:space="preserve"> </w:t>
      </w:r>
      <w:hyperlink r:id="rId13">
        <w:r>
          <w:rPr>
            <w:color w:val="000000"/>
          </w:rPr>
          <w:t>(</w:t>
        </w:r>
        <w:proofErr w:type="spellStart"/>
        <w:r>
          <w:rPr>
            <w:color w:val="000000"/>
          </w:rPr>
          <w:t>McCullagh</w:t>
        </w:r>
        <w:proofErr w:type="spellEnd"/>
        <w:r>
          <w:rPr>
            <w:color w:val="000000"/>
          </w:rPr>
          <w:t xml:space="preserve"> and </w:t>
        </w:r>
        <w:proofErr w:type="spellStart"/>
        <w:r>
          <w:rPr>
            <w:color w:val="000000"/>
          </w:rPr>
          <w:t>Nelder</w:t>
        </w:r>
        <w:proofErr w:type="spellEnd"/>
        <w:r>
          <w:rPr>
            <w:color w:val="000000"/>
          </w:rPr>
          <w:t xml:space="preserve"> 2019)</w:t>
        </w:r>
      </w:hyperlink>
      <w:r>
        <w:t xml:space="preserve">, which amount to the average ratios of square deviations from the expected counts scaled by the variances from binomial or multinomial models. Standard errors for parameters </w:t>
      </w:r>
      <m:oMath>
        <m:r>
          <w:rPr>
            <w:rFonts w:ascii="Cambria Math" w:hAnsi="Cambria Math"/>
          </w:rPr>
          <m:t>a, b, c</m:t>
        </m:r>
      </m:oMath>
      <w:r>
        <w:t xml:space="preserve"> </w:t>
      </w:r>
      <w:proofErr w:type="gramStart"/>
      <w:r>
        <w:t>can then be translated</w:t>
      </w:r>
      <w:proofErr w:type="gramEnd"/>
      <w:r>
        <w:t xml:space="preserve"> into standard errors for the function </w:t>
      </w:r>
      <m:oMath>
        <m:r>
          <w:rPr>
            <w:rFonts w:ascii="Cambria Math" w:hAnsi="Cambria Math"/>
          </w:rPr>
          <m:t>r(t)</m:t>
        </m:r>
      </m:oMath>
      <w:r>
        <w:t xml:space="preserve"> by the delta method:</w:t>
      </w:r>
    </w:p>
    <w:p w:rsidR="00C363ED" w:rsidRDefault="00C9527B" w:rsidP="00C363ED">
      <w:pPr>
        <w:spacing w:before="180" w:after="180" w:line="240" w:lineRule="auto"/>
        <w:jc w:val="center"/>
        <w:rPr>
          <w:sz w:val="24"/>
          <w:szCs w:val="24"/>
        </w:rPr>
      </w:pPr>
      <m:oMathPara>
        <m:oMath>
          <m:sSup>
            <m:sSupPr>
              <m:ctrlPr>
                <w:rPr>
                  <w:rFonts w:ascii="Cambria Math" w:hAnsi="Cambria Math"/>
                  <w:sz w:val="24"/>
                  <w:szCs w:val="24"/>
                </w:rPr>
              </m:ctrlPr>
            </m:sSupPr>
            <m:e>
              <m:r>
                <w:rPr>
                  <w:rFonts w:ascii="Cambria Math" w:hAnsi="Cambria Math"/>
                  <w:sz w:val="24"/>
                  <w:szCs w:val="24"/>
                </w:rPr>
                <m:t>se</m:t>
              </m:r>
            </m:e>
            <m:sup>
              <m:r>
                <w:rPr>
                  <w:rFonts w:ascii="Cambria Math" w:hAnsi="Cambria Math"/>
                  <w:sz w:val="24"/>
                  <w:szCs w:val="24"/>
                </w:rPr>
                <m:t>2</m:t>
              </m:r>
            </m:sup>
          </m:sSup>
          <m:d>
            <m:dPr>
              <m:ctrlPr>
                <w:rPr>
                  <w:rFonts w:ascii="Cambria Math" w:hAnsi="Cambria Math"/>
                  <w:sz w:val="24"/>
                  <w:szCs w:val="24"/>
                </w:rPr>
              </m:ctrlPr>
            </m:dPr>
            <m:e>
              <m:r>
                <w:rPr>
                  <w:rFonts w:ascii="Cambria Math" w:hAnsi="Cambria Math"/>
                  <w:sz w:val="24"/>
                  <w:szCs w:val="24"/>
                </w:rPr>
                <m:t>r(t;a,b,c))</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r</m:t>
              </m:r>
            </m:sub>
          </m:sSub>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r>
            <w:rPr>
              <w:rFonts w:ascii="Cambria Math" w:hAnsi="Cambria Math"/>
              <w:sz w:val="24"/>
              <w:szCs w:val="24"/>
            </w:rPr>
            <m:t>)I(</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-1</m:t>
              </m:r>
            </m:sup>
          </m:sSup>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r</m:t>
              </m:r>
            </m:sub>
          </m:sSub>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T</m:t>
              </m:r>
            </m:sup>
          </m:sSup>
        </m:oMath>
      </m:oMathPara>
    </w:p>
    <w:p w:rsidR="00C363ED" w:rsidRDefault="00C363ED" w:rsidP="00C363ED">
      <w:proofErr w:type="gramStart"/>
      <w:r>
        <w:t>where</w:t>
      </w:r>
      <w:proofErr w:type="gramEnd"/>
      <w:r>
        <w:t xml:space="preserve"> </w:t>
      </w:r>
      <m:oMath>
        <m:sSub>
          <m:sSubPr>
            <m:ctrlPr>
              <w:rPr>
                <w:rFonts w:ascii="Cambria Math" w:hAnsi="Cambria Math"/>
              </w:rPr>
            </m:ctrlPr>
          </m:sSubPr>
          <m:e>
            <m:r>
              <w:rPr>
                <w:rFonts w:ascii="Cambria Math" w:hAnsi="Cambria Math"/>
              </w:rPr>
              <m:t>J</m:t>
            </m:r>
          </m:e>
          <m:sub>
            <m:r>
              <w:rPr>
                <w:rFonts w:ascii="Cambria Math" w:hAnsi="Cambria Math"/>
              </w:rPr>
              <m:t>r</m:t>
            </m:r>
          </m:sub>
        </m:sSub>
        <m:r>
          <w:rPr>
            <w:rFonts w:ascii="Cambria Math" w:hAnsi="Cambria Math"/>
          </w:rPr>
          <m:t>(a,b,c)</m:t>
        </m:r>
      </m:oMath>
      <w:r>
        <w:t xml:space="preserve"> is the Jacobian</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r</m:t>
              </m:r>
            </m:sub>
          </m:sSub>
          <m:r>
            <w:rPr>
              <w:rFonts w:ascii="Cambria Math" w:hAnsi="Cambria Math"/>
              <w:sz w:val="24"/>
              <w:szCs w:val="24"/>
            </w:rPr>
            <m:t>(a,b,c) =</m:t>
          </m:r>
          <m:d>
            <m:dPr>
              <m:begChr m:val="["/>
              <m:endChr m:val="]"/>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∂r(t;a,b,c)</m:t>
                  </m:r>
                </m:num>
                <m:den>
                  <m:r>
                    <w:rPr>
                      <w:rFonts w:ascii="Cambria Math" w:hAnsi="Cambria Math"/>
                      <w:sz w:val="24"/>
                      <w:szCs w:val="24"/>
                    </w:rPr>
                    <m:t>∂a</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∂r(t;a,b,c)</m:t>
                  </m:r>
                </m:num>
                <m:den>
                  <m:r>
                    <w:rPr>
                      <w:rFonts w:ascii="Cambria Math" w:hAnsi="Cambria Math"/>
                      <w:sz w:val="24"/>
                      <w:szCs w:val="24"/>
                    </w:rPr>
                    <m:t>∂b</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∂r(t;a,b,c)</m:t>
                  </m:r>
                </m:num>
                <m:den>
                  <m:r>
                    <w:rPr>
                      <w:rFonts w:ascii="Cambria Math" w:hAnsi="Cambria Math"/>
                      <w:sz w:val="24"/>
                      <w:szCs w:val="24"/>
                    </w:rPr>
                    <m:t>∂c</m:t>
                  </m:r>
                </m:den>
              </m:f>
            </m:e>
          </m:d>
          <m:r>
            <w:rPr>
              <w:rFonts w:ascii="Cambria Math" w:hAnsi="Cambria Math"/>
              <w:sz w:val="24"/>
              <w:szCs w:val="24"/>
            </w:rPr>
            <m:t xml:space="preserve"> </m:t>
          </m:r>
        </m:oMath>
      </m:oMathPara>
    </w:p>
    <w:p w:rsidR="00C363ED" w:rsidRDefault="00C363ED" w:rsidP="00C363ED">
      <w:r>
        <w:t xml:space="preserve">But we here instead choose to make confidence bands for the logit transform </w:t>
      </w:r>
      <w:proofErr w:type="gramStart"/>
      <w:r>
        <w:t xml:space="preserve">of </w:t>
      </w:r>
      <w:proofErr w:type="gramEnd"/>
      <m:oMath>
        <m:r>
          <w:rPr>
            <w:rFonts w:ascii="Cambria Math" w:hAnsi="Cambria Math"/>
          </w:rPr>
          <m:t>r(t)</m:t>
        </m:r>
      </m:oMath>
      <w:r>
        <w:t>,</w:t>
      </w:r>
    </w:p>
    <w:p w:rsidR="00C363ED" w:rsidRDefault="00C363ED" w:rsidP="00C363ED">
      <w:pPr>
        <w:spacing w:before="180" w:after="180" w:line="240" w:lineRule="auto"/>
        <w:jc w:val="center"/>
        <w:rPr>
          <w:sz w:val="24"/>
          <w:szCs w:val="24"/>
        </w:rPr>
      </w:pPr>
      <m:oMathPara>
        <m:oMath>
          <m:r>
            <w:rPr>
              <w:rFonts w:ascii="Cambria Math" w:hAnsi="Cambria Math"/>
            </w:rPr>
            <m:t>ψ</m:t>
          </m:r>
          <m:r>
            <w:rPr>
              <w:rFonts w:ascii="Cambria Math" w:hAnsi="Cambria Math"/>
              <w:sz w:val="24"/>
              <w:szCs w:val="24"/>
            </w:rPr>
            <m:t>(r)=log</m:t>
          </m:r>
          <m:f>
            <m:fPr>
              <m:ctrlPr>
                <w:rPr>
                  <w:rFonts w:ascii="Cambria Math" w:hAnsi="Cambria Math"/>
                  <w:sz w:val="24"/>
                  <w:szCs w:val="24"/>
                </w:rPr>
              </m:ctrlPr>
            </m:fPr>
            <m:num>
              <m:r>
                <w:rPr>
                  <w:rFonts w:ascii="Cambria Math" w:hAnsi="Cambria Math"/>
                  <w:sz w:val="24"/>
                  <w:szCs w:val="24"/>
                </w:rPr>
                <m:t>r(t)</m:t>
              </m:r>
            </m:num>
            <m:den>
              <m:r>
                <w:rPr>
                  <w:rFonts w:ascii="Cambria Math" w:hAnsi="Cambria Math"/>
                  <w:sz w:val="24"/>
                  <w:szCs w:val="24"/>
                </w:rPr>
                <m:t>1-r(t)</m:t>
              </m:r>
            </m:den>
          </m:f>
        </m:oMath>
      </m:oMathPara>
    </w:p>
    <w:p w:rsidR="00C363ED" w:rsidRDefault="00C363ED" w:rsidP="00C363ED">
      <w:proofErr w:type="gramStart"/>
      <w:r>
        <w:t>and</w:t>
      </w:r>
      <w:proofErr w:type="gramEnd"/>
      <w:r>
        <w:t xml:space="preserve"> we then back-transform them to the original scale with</w:t>
      </w:r>
    </w:p>
    <w:p w:rsidR="00C363ED" w:rsidRDefault="00C363ED" w:rsidP="00C363ED">
      <w:pPr>
        <w:spacing w:before="180" w:after="180" w:line="240" w:lineRule="auto"/>
        <w:jc w:val="center"/>
        <w:rPr>
          <w:sz w:val="24"/>
          <w:szCs w:val="24"/>
        </w:rPr>
      </w:pPr>
      <m:oMathPara>
        <m:oMath>
          <m:r>
            <w:rPr>
              <w:rFonts w:ascii="Cambria Math" w:hAnsi="Cambria Math"/>
              <w:sz w:val="24"/>
              <w:szCs w:val="24"/>
            </w:rPr>
            <m:t>r(ψ)=</m:t>
          </m:r>
          <m:f>
            <m:fPr>
              <m:ctrlPr>
                <w:rPr>
                  <w:rFonts w:ascii="Cambria Math" w:hAnsi="Cambria Math"/>
                  <w:sz w:val="24"/>
                  <w:szCs w:val="24"/>
                </w:rPr>
              </m:ctrlPr>
            </m:fPr>
            <m:num>
              <m:r>
                <w:rPr>
                  <w:rFonts w:ascii="Cambria Math" w:hAnsi="Cambria Math"/>
                  <w:sz w:val="24"/>
                  <w:szCs w:val="24"/>
                </w:rPr>
                <m:t>1</m:t>
              </m:r>
            </m:num>
            <m:den>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-ψ</m:t>
                  </m:r>
                </m:sup>
              </m:sSup>
              <m:r>
                <w:rPr>
                  <w:rFonts w:ascii="Cambria Math" w:hAnsi="Cambria Math"/>
                  <w:sz w:val="24"/>
                  <w:szCs w:val="24"/>
                </w:rPr>
                <m:t>+1</m:t>
              </m:r>
            </m:den>
          </m:f>
        </m:oMath>
      </m:oMathPara>
    </w:p>
    <w:p w:rsidR="00C363ED" w:rsidRDefault="00C363ED" w:rsidP="00C363ED">
      <w:r>
        <w:t>This process will ensure that values are confined to the interval [0</w:t>
      </w:r>
      <w:proofErr w:type="gramStart"/>
      <w:r>
        <w:t>,1</w:t>
      </w:r>
      <w:proofErr w:type="gramEnd"/>
      <w:r>
        <w:t xml:space="preserve">]. We construct the confidence bands for </w:t>
      </w:r>
      <m:oMath>
        <m:r>
          <w:rPr>
            <w:rFonts w:ascii="Cambria Math" w:hAnsi="Cambria Math"/>
          </w:rPr>
          <m:t>ψ</m:t>
        </m:r>
      </m:oMath>
      <w:r>
        <w:t xml:space="preserve"> using the delta method,</w:t>
      </w:r>
    </w:p>
    <w:p w:rsidR="00C363ED" w:rsidRDefault="00C9527B" w:rsidP="00C363ED">
      <w:pPr>
        <w:spacing w:before="180" w:after="180" w:line="240" w:lineRule="auto"/>
        <w:jc w:val="center"/>
        <w:rPr>
          <w:sz w:val="24"/>
          <w:szCs w:val="24"/>
        </w:rPr>
      </w:pPr>
      <m:oMathPara>
        <m:oMath>
          <m:sSup>
            <m:sSupPr>
              <m:ctrlPr>
                <w:rPr>
                  <w:rFonts w:ascii="Cambria Math" w:hAnsi="Cambria Math"/>
                  <w:sz w:val="24"/>
                  <w:szCs w:val="24"/>
                </w:rPr>
              </m:ctrlPr>
            </m:sSupPr>
            <m:e>
              <m:r>
                <w:rPr>
                  <w:rFonts w:ascii="Cambria Math" w:hAnsi="Cambria Math"/>
                  <w:sz w:val="24"/>
                  <w:szCs w:val="24"/>
                </w:rPr>
                <m:t>se</m:t>
              </m:r>
            </m:e>
            <m:sup>
              <m:r>
                <w:rPr>
                  <w:rFonts w:ascii="Cambria Math" w:hAnsi="Cambria Math"/>
                  <w:sz w:val="24"/>
                  <w:szCs w:val="24"/>
                </w:rPr>
                <m:t>2</m:t>
              </m:r>
            </m:sup>
          </m:sSup>
          <m:d>
            <m:dPr>
              <m:ctrlPr>
                <w:rPr>
                  <w:rFonts w:ascii="Cambria Math" w:hAnsi="Cambria Math"/>
                  <w:sz w:val="24"/>
                  <w:szCs w:val="24"/>
                </w:rPr>
              </m:ctrlPr>
            </m:dPr>
            <m:e>
              <m:r>
                <w:rPr>
                  <w:rFonts w:ascii="Cambria Math" w:hAnsi="Cambria Math"/>
                  <w:sz w:val="24"/>
                  <w:szCs w:val="24"/>
                </w:rPr>
                <m:t>ψ(t;a,b,c))</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ψ</m:t>
              </m:r>
            </m:sub>
          </m:sSub>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r>
            <w:rPr>
              <w:rFonts w:ascii="Cambria Math" w:hAnsi="Cambria Math"/>
              <w:sz w:val="24"/>
              <w:szCs w:val="24"/>
            </w:rPr>
            <m:t>)I(</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-1</m:t>
              </m:r>
            </m:sup>
          </m:sSup>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ψ</m:t>
              </m:r>
            </m:sub>
          </m:sSub>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a</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b</m:t>
              </m:r>
            </m:e>
          </m:acc>
          <m:r>
            <w:rPr>
              <w:rFonts w:ascii="Cambria Math" w:hAnsi="Cambria Math"/>
              <w:sz w:val="24"/>
              <w:szCs w:val="24"/>
            </w:rPr>
            <m:t>,</m:t>
          </m:r>
          <m:acc>
            <m:accPr>
              <m:ctrlPr>
                <w:rPr>
                  <w:rFonts w:ascii="Cambria Math" w:hAnsi="Cambria Math"/>
                  <w:sz w:val="24"/>
                  <w:szCs w:val="24"/>
                </w:rPr>
              </m:ctrlPr>
            </m:accPr>
            <m:e>
              <m:r>
                <w:rPr>
                  <w:rFonts w:ascii="Cambria Math" w:hAnsi="Cambria Math"/>
                  <w:sz w:val="24"/>
                  <w:szCs w:val="24"/>
                </w:rPr>
                <m:t>c</m:t>
              </m:r>
            </m:e>
          </m:acc>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T</m:t>
              </m:r>
            </m:sup>
          </m:sSup>
        </m:oMath>
      </m:oMathPara>
    </w:p>
    <w:p w:rsidR="00C363ED" w:rsidRDefault="00C363ED" w:rsidP="00C363ED">
      <w:proofErr w:type="gramStart"/>
      <w:r>
        <w:t>where</w:t>
      </w:r>
      <w:proofErr w:type="gramEnd"/>
      <w:r>
        <w:t xml:space="preserve"> </w:t>
      </w:r>
      <m:oMath>
        <m:sSub>
          <m:sSubPr>
            <m:ctrlPr>
              <w:rPr>
                <w:rFonts w:ascii="Cambria Math" w:hAnsi="Cambria Math"/>
              </w:rPr>
            </m:ctrlPr>
          </m:sSubPr>
          <m:e>
            <m:r>
              <w:rPr>
                <w:rFonts w:ascii="Cambria Math" w:hAnsi="Cambria Math"/>
              </w:rPr>
              <m:t>J</m:t>
            </m:r>
          </m:e>
          <m:sub>
            <m:r>
              <w:rPr>
                <w:rFonts w:ascii="Cambria Math" w:hAnsi="Cambria Math"/>
              </w:rPr>
              <m:t>ψ</m:t>
            </m:r>
          </m:sub>
        </m:sSub>
        <m:r>
          <w:rPr>
            <w:rFonts w:ascii="Cambria Math" w:hAnsi="Cambria Math"/>
          </w:rPr>
          <m:t>(a,b,c)</m:t>
        </m:r>
      </m:oMath>
      <w:r>
        <w:t xml:space="preserve"> is the Jacobian</w:t>
      </w:r>
    </w:p>
    <w:p w:rsidR="00C363ED" w:rsidRDefault="00C9527B" w:rsidP="00C363ED">
      <w:pPr>
        <w:spacing w:before="180" w:after="180" w:line="24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ψ</m:t>
              </m:r>
            </m:sub>
          </m:sSub>
          <m:r>
            <w:rPr>
              <w:rFonts w:ascii="Cambria Math" w:hAnsi="Cambria Math"/>
              <w:sz w:val="24"/>
              <w:szCs w:val="24"/>
            </w:rPr>
            <m:t>(a,b,c) =</m:t>
          </m:r>
          <m:d>
            <m:dPr>
              <m:begChr m:val="["/>
              <m:endChr m:val="]"/>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∂ψ(t;a,b,c)</m:t>
                  </m:r>
                </m:num>
                <m:den>
                  <m:r>
                    <w:rPr>
                      <w:rFonts w:ascii="Cambria Math" w:hAnsi="Cambria Math"/>
                      <w:sz w:val="24"/>
                      <w:szCs w:val="24"/>
                    </w:rPr>
                    <m:t>∂a</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∂ψ(t;a,b,c)</m:t>
                  </m:r>
                </m:num>
                <m:den>
                  <m:r>
                    <w:rPr>
                      <w:rFonts w:ascii="Cambria Math" w:hAnsi="Cambria Math"/>
                      <w:sz w:val="24"/>
                      <w:szCs w:val="24"/>
                    </w:rPr>
                    <m:t>∂b</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∂ψ(t;a,b,c)</m:t>
                  </m:r>
                </m:num>
                <m:den>
                  <m:r>
                    <w:rPr>
                      <w:rFonts w:ascii="Cambria Math" w:hAnsi="Cambria Math"/>
                      <w:sz w:val="24"/>
                      <w:szCs w:val="24"/>
                    </w:rPr>
                    <m:t>∂c</m:t>
                  </m:r>
                </m:den>
              </m:f>
            </m:e>
          </m:d>
          <m:r>
            <w:rPr>
              <w:rFonts w:ascii="Cambria Math" w:hAnsi="Cambria Math"/>
              <w:sz w:val="24"/>
              <w:szCs w:val="24"/>
            </w:rPr>
            <m:t xml:space="preserve">  </m:t>
          </m:r>
        </m:oMath>
      </m:oMathPara>
    </w:p>
    <w:p w:rsidR="00C363ED" w:rsidRDefault="00C363ED" w:rsidP="00C363ED">
      <w:pPr>
        <w:spacing w:before="180" w:after="180" w:line="240" w:lineRule="auto"/>
        <w:jc w:val="center"/>
        <w:rPr>
          <w:sz w:val="24"/>
          <w:szCs w:val="24"/>
        </w:rPr>
      </w:pPr>
    </w:p>
    <w:p w:rsidR="00C363ED" w:rsidRDefault="00C363ED" w:rsidP="00C363ED">
      <w:pPr>
        <w:pStyle w:val="Heading4"/>
        <w:rPr>
          <w:highlight w:val="white"/>
        </w:rPr>
      </w:pPr>
      <w:bookmarkStart w:id="6" w:name="_sbtb0qjnbfc5" w:colFirst="0" w:colLast="0"/>
      <w:bookmarkEnd w:id="6"/>
    </w:p>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r>
        <w:rPr>
          <w:noProof/>
          <w:lang w:val="de-DE"/>
        </w:rPr>
        <w:drawing>
          <wp:inline distT="114300" distB="114300" distL="114300" distR="114300" wp14:anchorId="5F434B57" wp14:editId="33AE261E">
            <wp:extent cx="5943600" cy="4749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4749800"/>
                    </a:xfrm>
                    <a:prstGeom prst="rect">
                      <a:avLst/>
                    </a:prstGeom>
                    <a:ln/>
                  </pic:spPr>
                </pic:pic>
              </a:graphicData>
            </a:graphic>
          </wp:inline>
        </w:drawing>
      </w:r>
    </w:p>
    <w:p w:rsidR="00C363ED" w:rsidRDefault="00C363ED" w:rsidP="00C363ED">
      <w:r>
        <w:rPr>
          <w:b/>
        </w:rPr>
        <w:t>Figure S4.</w:t>
      </w:r>
      <w:r>
        <w:t xml:space="preserve"> Proportion of (A) </w:t>
      </w:r>
      <w:r>
        <w:rPr>
          <w:color w:val="191919"/>
          <w:highlight w:val="white"/>
        </w:rPr>
        <w:t>spike Δ69-70</w:t>
      </w:r>
      <w:r>
        <w:t xml:space="preserve"> and (B) ORF1a Δ3675-3677 in wastewater samples compared to clinical samples from throughout Switzerland, along with the proportion of B.1.1.7 lineage in clinical samples from throughout Switzerland. Fitted curves correspond to three-parametric logistic fits for the deletions in wastewater and clinical data and two-parametric logistic fit for the B.1.1.7 clinical data. Shaded areas correspond to 95% confidence bands. Concentration of SARS-CoV-2 RNA (grey) and concentration of deletion alleles (blue) for the (C) spike Δ69-70 and (D) ORF1a Δ3675-3677 in wastewater samples. Number of Switzerland sequenced clinical samples (grey) and number of samples with the deleted allele (red) for the (E) spike Δ69-70 and (F) ORF1a Δ3675-3677. (G, H) Number of Switzerland sequenced clinical samples (grey) and number of samples from the B.1.1.7 lineage (orange).</w:t>
      </w:r>
    </w:p>
    <w:p w:rsidR="00C363ED" w:rsidRDefault="00C363ED" w:rsidP="00C363ED"/>
    <w:p w:rsidR="00C363ED" w:rsidRDefault="00C363ED" w:rsidP="00C363ED">
      <w:pPr>
        <w:pStyle w:val="Heading4"/>
      </w:pPr>
      <w:bookmarkStart w:id="7" w:name="_q0dyhmv8o02q" w:colFirst="0" w:colLast="0"/>
      <w:bookmarkEnd w:id="7"/>
    </w:p>
    <w:p w:rsidR="00C363ED" w:rsidRDefault="00C363ED" w:rsidP="00C363ED"/>
    <w:p w:rsidR="00C363ED" w:rsidRDefault="00C363ED" w:rsidP="00C363ED">
      <w:r>
        <w:rPr>
          <w:noProof/>
          <w:lang w:val="de-DE"/>
        </w:rPr>
        <w:lastRenderedPageBreak/>
        <w:drawing>
          <wp:inline distT="114300" distB="114300" distL="114300" distR="114300" wp14:anchorId="3AF91AC0" wp14:editId="01840707">
            <wp:extent cx="5157788" cy="633298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157788" cy="6332980"/>
                    </a:xfrm>
                    <a:prstGeom prst="rect">
                      <a:avLst/>
                    </a:prstGeom>
                    <a:ln/>
                  </pic:spPr>
                </pic:pic>
              </a:graphicData>
            </a:graphic>
          </wp:inline>
        </w:drawing>
      </w:r>
    </w:p>
    <w:p w:rsidR="00C363ED" w:rsidRDefault="00C363ED" w:rsidP="00C363ED">
      <w:r>
        <w:rPr>
          <w:b/>
        </w:rPr>
        <w:t>Figure S5.</w:t>
      </w:r>
      <w:r>
        <w:t xml:space="preserve"> Plots of log10 </w:t>
      </w:r>
      <w:proofErr w:type="spellStart"/>
      <w:r>
        <w:t>overdispersion</w:t>
      </w:r>
      <w:proofErr w:type="spellEnd"/>
      <w:r>
        <w:t xml:space="preserve"> vs sample size showing that the assumption of constant </w:t>
      </w:r>
      <w:proofErr w:type="spellStart"/>
      <w:r>
        <w:t>overdispersion</w:t>
      </w:r>
      <w:proofErr w:type="spellEnd"/>
      <w:r>
        <w:t xml:space="preserve"> of </w:t>
      </w:r>
      <w:proofErr w:type="spellStart"/>
      <w:r>
        <w:t>quasilikelihood</w:t>
      </w:r>
      <w:proofErr w:type="spellEnd"/>
      <w:r>
        <w:t xml:space="preserve"> models holds. Lines are loess smoothed values of all points (bold) and of 100 resamples with replacement (thin). </w:t>
      </w:r>
      <w:proofErr w:type="gramStart"/>
      <w:r>
        <w:t xml:space="preserve">(A) 3PL model for the </w:t>
      </w:r>
      <w:r>
        <w:rPr>
          <w:color w:val="191919"/>
          <w:highlight w:val="white"/>
        </w:rPr>
        <w:t xml:space="preserve">spike Δ69-70 </w:t>
      </w:r>
      <w:r>
        <w:t xml:space="preserve">deletion </w:t>
      </w:r>
      <w:proofErr w:type="spellStart"/>
      <w:r>
        <w:t>dPCR</w:t>
      </w:r>
      <w:proofErr w:type="spellEnd"/>
      <w:r>
        <w:t xml:space="preserve"> data (B) 3PL model for the ORF1a Δ3675-3677 </w:t>
      </w:r>
      <w:proofErr w:type="spellStart"/>
      <w:r>
        <w:t>dPCR</w:t>
      </w:r>
      <w:proofErr w:type="spellEnd"/>
      <w:r>
        <w:t xml:space="preserve"> data (C) 3PL model for the </w:t>
      </w:r>
      <w:r>
        <w:rPr>
          <w:color w:val="191919"/>
          <w:highlight w:val="white"/>
        </w:rPr>
        <w:t xml:space="preserve">spike Δ69-70 </w:t>
      </w:r>
      <w:r>
        <w:t xml:space="preserve">deletion Swiss clinical data (D) 3PL model for the </w:t>
      </w:r>
      <w:r>
        <w:rPr>
          <w:color w:val="191919"/>
          <w:highlight w:val="white"/>
        </w:rPr>
        <w:t xml:space="preserve">spike Δ69-70 </w:t>
      </w:r>
      <w:r>
        <w:t>deletion Zurich clinical data (E) 3PL model for the ORF1a Δ3675-3677 Swiss clinical data (F) 3PL model for the ORF1a Δ3675-3677 Zurich clinical data (G) 2PL model for the B.1.1.7 Swiss clinical data (H) 2PL model for the B.1.1.7 Zurich clinical data</w:t>
      </w:r>
      <w:proofErr w:type="gramEnd"/>
    </w:p>
    <w:p w:rsidR="00C363ED" w:rsidRDefault="00C363ED" w:rsidP="00C363ED">
      <w:pPr>
        <w:pStyle w:val="Heading4"/>
        <w:rPr>
          <w:highlight w:val="white"/>
        </w:rPr>
      </w:pPr>
      <w:bookmarkStart w:id="8" w:name="_g2jwj2ecqkpl" w:colFirst="0" w:colLast="0"/>
      <w:bookmarkEnd w:id="8"/>
    </w:p>
    <w:p w:rsidR="00C363ED" w:rsidRDefault="00C363ED" w:rsidP="00C363ED"/>
    <w:p w:rsidR="00C363ED" w:rsidRDefault="00C363ED" w:rsidP="00C363ED">
      <w:r>
        <w:rPr>
          <w:noProof/>
          <w:lang w:val="de-DE"/>
        </w:rPr>
        <w:lastRenderedPageBreak/>
        <w:drawing>
          <wp:inline distT="114300" distB="114300" distL="114300" distR="114300" wp14:anchorId="410E51C3" wp14:editId="5D6384D9">
            <wp:extent cx="4467225" cy="31623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467225" cy="3162300"/>
                    </a:xfrm>
                    <a:prstGeom prst="rect">
                      <a:avLst/>
                    </a:prstGeom>
                    <a:ln/>
                  </pic:spPr>
                </pic:pic>
              </a:graphicData>
            </a:graphic>
          </wp:inline>
        </w:drawing>
      </w:r>
    </w:p>
    <w:p w:rsidR="00C363ED" w:rsidRDefault="00C363ED" w:rsidP="00C363ED"/>
    <w:p w:rsidR="00C363ED" w:rsidRDefault="00C363ED" w:rsidP="00C363ED">
      <w:pPr>
        <w:rPr>
          <w:color w:val="191919"/>
          <w:highlight w:val="white"/>
        </w:rPr>
      </w:pPr>
      <w:r>
        <w:rPr>
          <w:b/>
        </w:rPr>
        <w:t xml:space="preserve">Figure S6. </w:t>
      </w:r>
      <w:r>
        <w:t>The drop-off RT-</w:t>
      </w:r>
      <w:proofErr w:type="spellStart"/>
      <w:r>
        <w:t>dPCR</w:t>
      </w:r>
      <w:proofErr w:type="spellEnd"/>
      <w:r>
        <w:t xml:space="preserve"> assays allow estimation of the proportion of </w:t>
      </w:r>
      <w:proofErr w:type="gramStart"/>
      <w:r>
        <w:t>amplicons containing either</w:t>
      </w:r>
      <w:proofErr w:type="gramEnd"/>
      <w:r>
        <w:t xml:space="preserve"> the </w:t>
      </w:r>
      <w:r>
        <w:rPr>
          <w:color w:val="191919"/>
          <w:highlight w:val="white"/>
        </w:rPr>
        <w:t xml:space="preserve">spike Δ69-70 (red) or ORF1a Δ3675-3677 (orange) deletions. Target proportion of variants tested included 0.01, 0.02, 0.1, 0.5, 0.98, and 0.99. The dashed line represents expectation with a slope of </w:t>
      </w:r>
      <w:proofErr w:type="gramStart"/>
      <w:r>
        <w:rPr>
          <w:color w:val="191919"/>
          <w:highlight w:val="white"/>
        </w:rPr>
        <w:t>1</w:t>
      </w:r>
      <w:proofErr w:type="gramEnd"/>
      <w:r>
        <w:rPr>
          <w:color w:val="191919"/>
          <w:highlight w:val="white"/>
        </w:rPr>
        <w:t>. Axes are log-transformed for visualization.</w:t>
      </w:r>
    </w:p>
    <w:p w:rsidR="00C363ED" w:rsidRDefault="00C363ED" w:rsidP="00C363ED">
      <w:pPr>
        <w:rPr>
          <w:color w:val="191919"/>
          <w:highlight w:val="white"/>
        </w:rPr>
      </w:pPr>
    </w:p>
    <w:p w:rsidR="00C363ED" w:rsidRDefault="00C363ED" w:rsidP="00C363ED">
      <w:pPr>
        <w:pStyle w:val="Heading4"/>
      </w:pPr>
      <w:bookmarkStart w:id="9" w:name="_rbse5z7dptkn" w:colFirst="0" w:colLast="0"/>
      <w:bookmarkEnd w:id="9"/>
    </w:p>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363ED" w:rsidRDefault="00C363ED" w:rsidP="00C363ED"/>
    <w:p w:rsidR="00C9527B" w:rsidRDefault="00C9527B">
      <w:pPr>
        <w:spacing w:after="160" w:line="259" w:lineRule="auto"/>
        <w:rPr>
          <w:b/>
        </w:rPr>
      </w:pPr>
      <w:r>
        <w:rPr>
          <w:b/>
        </w:rPr>
        <w:br w:type="page"/>
      </w:r>
    </w:p>
    <w:p w:rsidR="00C363ED" w:rsidRDefault="00C363ED" w:rsidP="00C363ED">
      <w:r>
        <w:rPr>
          <w:b/>
        </w:rPr>
        <w:lastRenderedPageBreak/>
        <w:t>Table S2.</w:t>
      </w:r>
      <w:r>
        <w:t xml:space="preserve"> Three parametric (3PL) and two-parametric (2PL) logistic model parameter estimates for the prevalence of </w:t>
      </w:r>
      <w:r>
        <w:rPr>
          <w:color w:val="191919"/>
          <w:highlight w:val="white"/>
        </w:rPr>
        <w:t xml:space="preserve">spike Δ69-70 </w:t>
      </w:r>
      <w:r>
        <w:t xml:space="preserve">and ORF1a Δ3675-3677 in wastewater data, Swiss clinical data and Zurich clinical data, as well as for the prevalence of B.1.1.7 variants in Swiss and Zurich clinical data. Values are maximum likelihood estimates and Wald 95% confidence intervals of the growth </w:t>
      </w:r>
      <w:proofErr w:type="gramStart"/>
      <w:r>
        <w:t xml:space="preserve">rate </w:t>
      </w:r>
      <w:proofErr w:type="gramEnd"/>
      <m:oMath>
        <m:r>
          <w:rPr>
            <w:rFonts w:ascii="Cambria Math" w:hAnsi="Cambria Math"/>
            <w:color w:val="191919"/>
            <w:highlight w:val="white"/>
          </w:rPr>
          <m:t>a</m:t>
        </m:r>
      </m:oMath>
      <w:r>
        <w:t xml:space="preserve">, midpoint </w:t>
      </w:r>
      <m:oMath>
        <m:sSub>
          <m:sSubPr>
            <m:ctrlPr>
              <w:rPr>
                <w:rFonts w:ascii="Cambria Math" w:hAnsi="Cambria Math"/>
                <w:i/>
                <w:color w:val="191919"/>
                <w:highlight w:val="white"/>
              </w:rPr>
            </m:ctrlPr>
          </m:sSubPr>
          <m:e>
            <m:r>
              <w:rPr>
                <w:rFonts w:ascii="Cambria Math" w:hAnsi="Cambria Math"/>
                <w:color w:val="191919"/>
                <w:highlight w:val="white"/>
              </w:rPr>
              <m:t>t</m:t>
            </m:r>
          </m:e>
          <m:sub>
            <m:r>
              <w:rPr>
                <w:rFonts w:ascii="Cambria Math" w:hAnsi="Cambria Math"/>
                <w:color w:val="191919"/>
                <w:highlight w:val="white"/>
              </w:rPr>
              <m:t>0</m:t>
            </m:r>
          </m:sub>
        </m:sSub>
      </m:oMath>
      <w:r>
        <w:t xml:space="preserve"> (in days after December 07, 2020) and (in the case of 3PL) background prevalence </w:t>
      </w:r>
      <m:oMath>
        <m:r>
          <w:rPr>
            <w:rFonts w:ascii="Cambria Math" w:hAnsi="Cambria Math"/>
          </w:rPr>
          <m:t>c</m:t>
        </m:r>
      </m:oMath>
      <w:r>
        <w:t xml:space="preserve">. Values for the rate parameter </w:t>
      </w:r>
      <m:oMath>
        <m:r>
          <w:rPr>
            <w:rFonts w:ascii="Cambria Math" w:hAnsi="Cambria Math"/>
            <w:color w:val="191919"/>
            <w:highlight w:val="white"/>
          </w:rPr>
          <m:t>a</m:t>
        </m:r>
      </m:oMath>
      <w:r>
        <w:rPr>
          <w:i/>
        </w:rPr>
        <w:t xml:space="preserve"> </w:t>
      </w:r>
      <w:r>
        <w:t xml:space="preserve">are also shown transformed (along with their confidence intervals) into an estimate of the transmission fitness advantage </w:t>
      </w:r>
      <m:oMath>
        <m:sSub>
          <m:sSubPr>
            <m:ctrlPr>
              <w:rPr>
                <w:rFonts w:ascii="Cambria Math" w:hAnsi="Cambria Math"/>
              </w:rPr>
            </m:ctrlPr>
          </m:sSubPr>
          <m:e>
            <m:r>
              <w:rPr>
                <w:rFonts w:ascii="Cambria Math" w:hAnsi="Cambria Math"/>
              </w:rPr>
              <m:t>f</m:t>
            </m:r>
          </m:e>
          <m:sub>
            <m:r>
              <w:rPr>
                <w:rFonts w:ascii="Cambria Math" w:hAnsi="Cambria Math"/>
              </w:rPr>
              <m:t>d</m:t>
            </m:r>
          </m:sub>
        </m:sSub>
      </m:oMath>
      <w:r>
        <w:t xml:space="preserve"> assuming the discrete-time growth model found in Chen et al. </w:t>
      </w:r>
      <w:hyperlink r:id="rId17">
        <w:r>
          <w:rPr>
            <w:color w:val="000000"/>
          </w:rPr>
          <w:t xml:space="preserve">(Chen, Nadeau, Topolsky, </w:t>
        </w:r>
        <w:proofErr w:type="spellStart"/>
        <w:r>
          <w:rPr>
            <w:color w:val="000000"/>
          </w:rPr>
          <w:t>Manceau</w:t>
        </w:r>
        <w:proofErr w:type="spellEnd"/>
        <w:r>
          <w:rPr>
            <w:color w:val="000000"/>
          </w:rPr>
          <w:t>, Huisman, Jablonski, et al. 2021)</w:t>
        </w:r>
      </w:hyperlink>
      <w:r>
        <w:t xml:space="preserve">. Last column shows the p-value of a likelihood ratio test (LRT) comparing the 3PL and the 2PL (using the </w:t>
      </w:r>
      <w:proofErr w:type="spellStart"/>
      <w:r>
        <w:t>quasibinomial</w:t>
      </w:r>
      <w:proofErr w:type="spellEnd"/>
      <w:r>
        <w:t xml:space="preserve"> or </w:t>
      </w:r>
      <w:proofErr w:type="spellStart"/>
      <w:r>
        <w:t>quasimultinomial</w:t>
      </w:r>
      <w:proofErr w:type="spellEnd"/>
      <w:r>
        <w:t xml:space="preserve"> </w:t>
      </w:r>
      <w:proofErr w:type="spellStart"/>
      <w:r>
        <w:t>quasilikelihoods</w:t>
      </w:r>
      <w:proofErr w:type="spellEnd"/>
      <w:r>
        <w:t>), assuming a chi-square distribution of the statistic under the null.</w:t>
      </w:r>
    </w:p>
    <w:tbl>
      <w:tblPr>
        <w:tblW w:w="1026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3"/>
        <w:gridCol w:w="1368"/>
        <w:gridCol w:w="1588"/>
        <w:gridCol w:w="1391"/>
        <w:gridCol w:w="2330"/>
        <w:gridCol w:w="2330"/>
      </w:tblGrid>
      <w:tr w:rsidR="00C363ED" w:rsidTr="000B7DDF">
        <w:trPr>
          <w:trHeight w:val="315"/>
        </w:trPr>
        <w:tc>
          <w:tcPr>
            <w:tcW w:w="12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363ED" w:rsidRDefault="00C363ED" w:rsidP="000B7DDF">
            <w:pPr>
              <w:widowControl w:val="0"/>
              <w:rPr>
                <w:sz w:val="18"/>
                <w:szCs w:val="18"/>
              </w:rPr>
            </w:pPr>
            <w:r>
              <w:rPr>
                <w:b/>
                <w:sz w:val="18"/>
                <w:szCs w:val="18"/>
              </w:rPr>
              <w:t>Sample Type</w:t>
            </w:r>
          </w:p>
        </w:tc>
        <w:tc>
          <w:tcPr>
            <w:tcW w:w="1368" w:type="dxa"/>
            <w:tcBorders>
              <w:top w:val="single" w:sz="6" w:space="0" w:color="CCCCCC"/>
              <w:left w:val="single" w:sz="6" w:space="0" w:color="CCCCCC"/>
              <w:bottom w:val="single" w:sz="6" w:space="0" w:color="DDDDDD"/>
              <w:right w:val="single" w:sz="6" w:space="0" w:color="CCCCCC"/>
            </w:tcBorders>
            <w:tcMar>
              <w:top w:w="40" w:type="dxa"/>
              <w:left w:w="40" w:type="dxa"/>
              <w:bottom w:w="40" w:type="dxa"/>
              <w:right w:w="40" w:type="dxa"/>
            </w:tcMar>
            <w:vAlign w:val="bottom"/>
          </w:tcPr>
          <w:p w:rsidR="00C363ED" w:rsidRDefault="00C363ED" w:rsidP="000B7DDF">
            <w:pPr>
              <w:widowControl w:val="0"/>
              <w:rPr>
                <w:sz w:val="18"/>
                <w:szCs w:val="18"/>
              </w:rPr>
            </w:pPr>
            <w:r>
              <w:rPr>
                <w:b/>
                <w:i/>
                <w:sz w:val="18"/>
                <w:szCs w:val="18"/>
              </w:rPr>
              <w:t>Growth Rate</w:t>
            </w:r>
            <w:r>
              <w:rPr>
                <w:b/>
                <w:sz w:val="18"/>
                <w:szCs w:val="18"/>
              </w:rPr>
              <w:t xml:space="preserve"> (</w:t>
            </w:r>
            <m:oMath>
              <m:r>
                <w:rPr>
                  <w:rFonts w:ascii="Cambria Math" w:hAnsi="Cambria Math"/>
                  <w:color w:val="191919"/>
                  <w:highlight w:val="white"/>
                </w:rPr>
                <m:t>a</m:t>
              </m:r>
            </m:oMath>
            <w:r>
              <w:rPr>
                <w:b/>
                <w:i/>
                <w:sz w:val="18"/>
                <w:szCs w:val="18"/>
              </w:rPr>
              <w:t>)</w:t>
            </w:r>
          </w:p>
        </w:tc>
        <w:tc>
          <w:tcPr>
            <w:tcW w:w="1588" w:type="dxa"/>
            <w:tcBorders>
              <w:top w:val="single" w:sz="6" w:space="0" w:color="CCCCCC"/>
              <w:left w:val="single" w:sz="6" w:space="0" w:color="CCCCCC"/>
              <w:bottom w:val="single" w:sz="6" w:space="0" w:color="DDDDDD"/>
              <w:right w:val="single" w:sz="6" w:space="0" w:color="CCCCCC"/>
            </w:tcBorders>
            <w:tcMar>
              <w:top w:w="40" w:type="dxa"/>
              <w:left w:w="40" w:type="dxa"/>
              <w:bottom w:w="40" w:type="dxa"/>
              <w:right w:w="40" w:type="dxa"/>
            </w:tcMar>
            <w:vAlign w:val="bottom"/>
          </w:tcPr>
          <w:p w:rsidR="00C363ED" w:rsidRDefault="00C363ED" w:rsidP="000B7DDF">
            <w:pPr>
              <w:widowControl w:val="0"/>
              <w:rPr>
                <w:sz w:val="18"/>
                <w:szCs w:val="18"/>
              </w:rPr>
            </w:pPr>
            <w:r>
              <w:rPr>
                <w:b/>
                <w:sz w:val="18"/>
                <w:szCs w:val="18"/>
              </w:rPr>
              <w:t>Time to Maximum Growth</w:t>
            </w:r>
            <w:r>
              <w:rPr>
                <w:b/>
                <w:i/>
                <w:sz w:val="18"/>
                <w:szCs w:val="18"/>
              </w:rPr>
              <w:t xml:space="preserve"> (</w:t>
            </w:r>
            <m:oMath>
              <m:sSub>
                <m:sSubPr>
                  <m:ctrlPr>
                    <w:rPr>
                      <w:rFonts w:ascii="Cambria Math" w:hAnsi="Cambria Math"/>
                      <w:i/>
                      <w:color w:val="191919"/>
                      <w:highlight w:val="white"/>
                    </w:rPr>
                  </m:ctrlPr>
                </m:sSubPr>
                <m:e>
                  <m:r>
                    <w:rPr>
                      <w:rFonts w:ascii="Cambria Math" w:hAnsi="Cambria Math"/>
                      <w:color w:val="191919"/>
                      <w:highlight w:val="white"/>
                    </w:rPr>
                    <m:t>t</m:t>
                  </m:r>
                </m:e>
                <m:sub>
                  <m:r>
                    <w:rPr>
                      <w:rFonts w:ascii="Cambria Math" w:hAnsi="Cambria Math"/>
                      <w:color w:val="191919"/>
                      <w:highlight w:val="white"/>
                    </w:rPr>
                    <m:t>0</m:t>
                  </m:r>
                </m:sub>
              </m:sSub>
            </m:oMath>
            <w:r>
              <w:rPr>
                <w:b/>
                <w:i/>
                <w:sz w:val="18"/>
                <w:szCs w:val="18"/>
              </w:rPr>
              <w:t>)</w:t>
            </w:r>
          </w:p>
        </w:tc>
        <w:tc>
          <w:tcPr>
            <w:tcW w:w="1391" w:type="dxa"/>
            <w:tcBorders>
              <w:top w:val="single" w:sz="6" w:space="0" w:color="CCCCCC"/>
              <w:left w:val="single" w:sz="6" w:space="0" w:color="CCCCCC"/>
              <w:bottom w:val="single" w:sz="6" w:space="0" w:color="DDDDDD"/>
              <w:right w:val="single" w:sz="6" w:space="0" w:color="CCCCCC"/>
            </w:tcBorders>
            <w:tcMar>
              <w:top w:w="40" w:type="dxa"/>
              <w:left w:w="40" w:type="dxa"/>
              <w:bottom w:w="40" w:type="dxa"/>
              <w:right w:w="40" w:type="dxa"/>
            </w:tcMar>
            <w:vAlign w:val="bottom"/>
          </w:tcPr>
          <w:p w:rsidR="00C363ED" w:rsidRDefault="00C363ED" w:rsidP="000B7DDF">
            <w:pPr>
              <w:widowControl w:val="0"/>
              <w:rPr>
                <w:sz w:val="18"/>
                <w:szCs w:val="18"/>
              </w:rPr>
            </w:pPr>
            <w:r>
              <w:rPr>
                <w:b/>
                <w:sz w:val="18"/>
                <w:szCs w:val="18"/>
              </w:rPr>
              <w:t>Background Prevalenc</w:t>
            </w:r>
            <w:r>
              <w:rPr>
                <w:b/>
                <w:i/>
                <w:sz w:val="18"/>
                <w:szCs w:val="18"/>
              </w:rPr>
              <w:t>e (</w:t>
            </w:r>
            <m:oMath>
              <m:r>
                <w:rPr>
                  <w:rFonts w:ascii="Cambria Math" w:hAnsi="Cambria Math"/>
                </w:rPr>
                <m:t>c</m:t>
              </m:r>
            </m:oMath>
            <w:r>
              <w:rPr>
                <w:b/>
                <w:i/>
                <w:sz w:val="18"/>
                <w:szCs w:val="18"/>
              </w:rPr>
              <w:t>)</w:t>
            </w:r>
          </w:p>
        </w:tc>
        <w:tc>
          <w:tcPr>
            <w:tcW w:w="2330" w:type="dxa"/>
            <w:tcBorders>
              <w:top w:val="single" w:sz="6" w:space="0" w:color="CCCCCC"/>
              <w:left w:val="single" w:sz="6" w:space="0" w:color="CCCCCC"/>
              <w:bottom w:val="single" w:sz="6" w:space="0" w:color="DDDDDD"/>
              <w:right w:val="single" w:sz="6" w:space="0" w:color="CCCCCC"/>
            </w:tcBorders>
            <w:tcMar>
              <w:top w:w="40" w:type="dxa"/>
              <w:left w:w="40" w:type="dxa"/>
              <w:bottom w:w="40" w:type="dxa"/>
              <w:right w:w="40" w:type="dxa"/>
            </w:tcMar>
            <w:vAlign w:val="bottom"/>
          </w:tcPr>
          <w:p w:rsidR="00C363ED" w:rsidRDefault="00C363ED" w:rsidP="000B7DDF">
            <w:pPr>
              <w:widowControl w:val="0"/>
              <w:rPr>
                <w:sz w:val="18"/>
                <w:szCs w:val="18"/>
              </w:rPr>
            </w:pPr>
            <w:r>
              <w:rPr>
                <w:b/>
                <w:sz w:val="18"/>
                <w:szCs w:val="18"/>
              </w:rPr>
              <w:t>Transmission Fitness Advantage</w:t>
            </w:r>
            <w:r>
              <w:rPr>
                <w:b/>
                <w:i/>
                <w:sz w:val="18"/>
                <w:szCs w:val="18"/>
              </w:rPr>
              <w:t xml:space="preserve"> (</w:t>
            </w:r>
            <m:oMath>
              <m:sSub>
                <m:sSubPr>
                  <m:ctrlPr>
                    <w:rPr>
                      <w:rFonts w:ascii="Cambria Math" w:hAnsi="Cambria Math"/>
                    </w:rPr>
                  </m:ctrlPr>
                </m:sSubPr>
                <m:e>
                  <m:r>
                    <w:rPr>
                      <w:rFonts w:ascii="Cambria Math" w:hAnsi="Cambria Math"/>
                    </w:rPr>
                    <m:t>f</m:t>
                  </m:r>
                </m:e>
                <m:sub>
                  <m:r>
                    <w:rPr>
                      <w:rFonts w:ascii="Cambria Math" w:hAnsi="Cambria Math"/>
                    </w:rPr>
                    <m:t>d</m:t>
                  </m:r>
                </m:sub>
              </m:sSub>
            </m:oMath>
            <w:r>
              <w:rPr>
                <w:b/>
                <w:i/>
                <w:sz w:val="18"/>
                <w:szCs w:val="18"/>
              </w:rPr>
              <w:t>)</w:t>
            </w:r>
          </w:p>
        </w:tc>
        <w:tc>
          <w:tcPr>
            <w:tcW w:w="23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363ED" w:rsidRDefault="00C363ED" w:rsidP="000B7DDF">
            <w:pPr>
              <w:widowControl w:val="0"/>
              <w:rPr>
                <w:b/>
                <w:i/>
                <w:sz w:val="18"/>
                <w:szCs w:val="18"/>
              </w:rPr>
            </w:pPr>
            <w:r>
              <w:rPr>
                <w:b/>
                <w:i/>
                <w:sz w:val="18"/>
                <w:szCs w:val="18"/>
              </w:rPr>
              <w:t>LRT p-value</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wastewater </w:t>
            </w:r>
            <w:r>
              <w:rPr>
                <w:color w:val="191919"/>
                <w:sz w:val="18"/>
                <w:szCs w:val="18"/>
                <w:highlight w:val="white"/>
              </w:rPr>
              <w:t xml:space="preserve">spike Δ69-70 </w:t>
            </w:r>
            <w:r>
              <w:rPr>
                <w:sz w:val="18"/>
                <w:szCs w:val="18"/>
              </w:rPr>
              <w:t>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0.06 [0.06, 0.07]</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64.5 [62.0, 67.1]</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0.04 [0.01, 0.06]</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0.34 [0.30, 0.39]</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&lt;1e-16</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wastewater </w:t>
            </w:r>
            <w:r>
              <w:rPr>
                <w:color w:val="191919"/>
                <w:sz w:val="18"/>
                <w:szCs w:val="18"/>
                <w:highlight w:val="white"/>
              </w:rPr>
              <w:t xml:space="preserve">spike Δ69-70 </w:t>
            </w:r>
            <w:r>
              <w:rPr>
                <w:sz w:val="18"/>
                <w:szCs w:val="18"/>
              </w:rPr>
              <w:t>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0.05 [0.05, 0.06]</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61.8 [60.0, 63.7]</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0.3 [0.28, 0.32]</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wastewater ORF1a Δ3675-3677 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0.09 [0.08, 0.09]</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68.5 [67.4, 69.6]</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0.03 [0.02, 0.04]</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0.53 [0.49, 0.57]</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2.08e-06</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wastewater ORF1a Δ3675-3677 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0.07 [0.07, 0.07]</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67.1 [65.6, 68.5]</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 [0.38, 0.43]</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Switzerland </w:t>
            </w:r>
            <w:r>
              <w:rPr>
                <w:color w:val="191919"/>
                <w:sz w:val="18"/>
                <w:szCs w:val="18"/>
                <w:highlight w:val="white"/>
              </w:rPr>
              <w:t xml:space="preserve">spike Δ69-70 </w:t>
            </w:r>
            <w:r>
              <w:rPr>
                <w:sz w:val="18"/>
                <w:szCs w:val="18"/>
              </w:rPr>
              <w:t>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0.07 [0.06, 0.08]</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65.5 [63.5, 67.6]</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0.07 [0.04, 0.09]</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0.41 [0.36, 0.46]</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5.38e-09</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Switzerland </w:t>
            </w:r>
            <w:r>
              <w:rPr>
                <w:color w:val="191919"/>
                <w:sz w:val="18"/>
                <w:szCs w:val="18"/>
                <w:highlight w:val="white"/>
              </w:rPr>
              <w:t xml:space="preserve">spike Δ69-70 </w:t>
            </w:r>
            <w:r>
              <w:rPr>
                <w:sz w:val="18"/>
                <w:szCs w:val="18"/>
              </w:rPr>
              <w:t>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0.06 [0.05, 0.06]</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61.6 [58.4, 64.8]</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0.32 [0.27, 0.36]</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lastRenderedPageBreak/>
              <w:t>Switzerland ORF1a Δ3675-3677 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0.09 [0.08, 0.11]</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68.7 [66.1, 71.2]</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0.03 [0, 0.05]</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0.56 [0.45, 0.67]</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3.77e-05 </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Switzerland ORF1a Δ3675-3677 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0.08 [0.07, 0.09]</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66.9 [63.5, 70.2]</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0.46 [0.38, 0.54]</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Switzerland B.1.1.7 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0.07 [0.07, 0.08]</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66.1 [64.2, 68.0]</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[-0.01, 0.01]</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0.42 [0.37, 0.47]</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9.99e-01</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Switzerland B.1.1.7 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0.07 [0.07, 0.08]</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66.1 [64.4, 67.8]</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0.42 [0.38, 0.46]</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Zurich </w:t>
            </w:r>
            <w:r>
              <w:rPr>
                <w:color w:val="191919"/>
                <w:sz w:val="18"/>
                <w:szCs w:val="18"/>
                <w:highlight w:val="white"/>
              </w:rPr>
              <w:t xml:space="preserve">spike Δ69-70 </w:t>
            </w:r>
            <w:r>
              <w:rPr>
                <w:sz w:val="18"/>
                <w:szCs w:val="18"/>
              </w:rPr>
              <w:t>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0.09 [0.07, 0.11]</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76.3 [71.8, 80.9]</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0.11 [0.07, 0.14]</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0.55 [0.39, 0.73]</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1.77e-07 </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Zurich </w:t>
            </w:r>
            <w:r>
              <w:rPr>
                <w:color w:val="191919"/>
                <w:sz w:val="18"/>
                <w:szCs w:val="18"/>
                <w:highlight w:val="white"/>
              </w:rPr>
              <w:t xml:space="preserve">spike Δ69-70 </w:t>
            </w:r>
            <w:r>
              <w:rPr>
                <w:sz w:val="18"/>
                <w:szCs w:val="18"/>
              </w:rPr>
              <w:t>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0.05 [0.03, 0.06]</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72.0 [61.5, 82.5]</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0.24 [0.16, 0.33]</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Zurich ORF1a Δ3675-3677 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0.09 [0.08, 0.1]</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71.3 [68.8, 73.7]</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0.01 [0, 0.03]</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0.55 [0.46, 0.65]</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1.72e-02 </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Zurich ORF1a Δ3675-3677 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0.08 [0.07, 0.09]</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70.7 [67.0, 74.5]</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0.47 [0.39, 0.56]</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Zurich B.1.1.7 3PL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0.09 [0.07, 0.1]</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74.8 [71.7, 77.9]</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0.01 [-0.01, 0.02]</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0.54 [0.43, 0.65]</w:t>
            </w:r>
          </w:p>
        </w:tc>
        <w:tc>
          <w:tcPr>
            <w:tcW w:w="233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 xml:space="preserve">2.01e-01 </w:t>
            </w:r>
          </w:p>
        </w:tc>
      </w:tr>
      <w:tr w:rsidR="00C363ED" w:rsidTr="000B7DDF">
        <w:trPr>
          <w:trHeight w:val="585"/>
        </w:trPr>
        <w:tc>
          <w:tcPr>
            <w:tcW w:w="12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Zurich B.1.1.7 2PL</w:t>
            </w:r>
          </w:p>
        </w:tc>
        <w:tc>
          <w:tcPr>
            <w:tcW w:w="13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0.08 [0.07, 0.1]</w:t>
            </w:r>
          </w:p>
        </w:tc>
        <w:tc>
          <w:tcPr>
            <w:tcW w:w="1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74.6 [70.0, 79.2]</w:t>
            </w:r>
          </w:p>
        </w:tc>
        <w:tc>
          <w:tcPr>
            <w:tcW w:w="139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 (fixed)</w:t>
            </w:r>
          </w:p>
        </w:tc>
        <w:tc>
          <w:tcPr>
            <w:tcW w:w="2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before="220" w:after="220" w:line="308" w:lineRule="auto"/>
              <w:rPr>
                <w:sz w:val="18"/>
                <w:szCs w:val="18"/>
              </w:rPr>
            </w:pPr>
            <w:r>
              <w:rPr>
                <w:sz w:val="18"/>
                <w:szCs w:val="18"/>
              </w:rPr>
              <w:t>0.49 [0.38, 0.61]</w:t>
            </w:r>
          </w:p>
        </w:tc>
        <w:tc>
          <w:tcPr>
            <w:tcW w:w="2330"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363ED" w:rsidRDefault="00C363ED" w:rsidP="000B7DDF">
            <w:pPr>
              <w:widowControl w:val="0"/>
              <w:spacing w:line="240" w:lineRule="auto"/>
              <w:rPr>
                <w:sz w:val="18"/>
                <w:szCs w:val="18"/>
              </w:rPr>
            </w:pPr>
          </w:p>
        </w:tc>
      </w:tr>
    </w:tbl>
    <w:p w:rsidR="00C363ED" w:rsidRDefault="00C363ED" w:rsidP="00C363ED"/>
    <w:p w:rsidR="00981436" w:rsidRDefault="00981436">
      <w:bookmarkStart w:id="10" w:name="_GoBack"/>
      <w:bookmarkEnd w:id="10"/>
    </w:p>
    <w:sectPr w:rsidR="00981436">
      <w:pgSz w:w="11906" w:h="16838"/>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3ED"/>
    <w:rsid w:val="00945299"/>
    <w:rsid w:val="00981436"/>
    <w:rsid w:val="00C363ED"/>
    <w:rsid w:val="00C952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4C38C"/>
  <w15:chartTrackingRefBased/>
  <w15:docId w15:val="{AE7367CB-4660-4A40-8A1E-418C036A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363ED"/>
    <w:pPr>
      <w:spacing w:after="0" w:line="276" w:lineRule="auto"/>
    </w:pPr>
    <w:rPr>
      <w:rFonts w:ascii="Arial" w:eastAsia="Arial" w:hAnsi="Arial" w:cs="Arial"/>
      <w:lang w:val="en" w:eastAsia="de-DE"/>
    </w:rPr>
  </w:style>
  <w:style w:type="paragraph" w:styleId="Heading1">
    <w:name w:val="heading 1"/>
    <w:basedOn w:val="Normal"/>
    <w:next w:val="Normal"/>
    <w:link w:val="Heading1Char"/>
    <w:rsid w:val="00C363ED"/>
    <w:pPr>
      <w:keepNext/>
      <w:keepLines/>
      <w:spacing w:before="400" w:after="120"/>
      <w:outlineLvl w:val="0"/>
    </w:pPr>
    <w:rPr>
      <w:sz w:val="40"/>
      <w:szCs w:val="40"/>
    </w:rPr>
  </w:style>
  <w:style w:type="paragraph" w:styleId="Heading2">
    <w:name w:val="heading 2"/>
    <w:basedOn w:val="Normal"/>
    <w:next w:val="Normal"/>
    <w:link w:val="Heading2Char"/>
    <w:rsid w:val="00C363ED"/>
    <w:pPr>
      <w:keepNext/>
      <w:keepLines/>
      <w:spacing w:before="360" w:after="120"/>
      <w:outlineLvl w:val="1"/>
    </w:pPr>
    <w:rPr>
      <w:sz w:val="32"/>
      <w:szCs w:val="32"/>
    </w:rPr>
  </w:style>
  <w:style w:type="paragraph" w:styleId="Heading3">
    <w:name w:val="heading 3"/>
    <w:basedOn w:val="Normal"/>
    <w:next w:val="Normal"/>
    <w:link w:val="Heading3Char"/>
    <w:rsid w:val="00C363ED"/>
    <w:pPr>
      <w:keepNext/>
      <w:keepLines/>
      <w:spacing w:before="320" w:after="80"/>
      <w:outlineLvl w:val="2"/>
    </w:pPr>
    <w:rPr>
      <w:color w:val="434343"/>
      <w:sz w:val="28"/>
      <w:szCs w:val="28"/>
    </w:rPr>
  </w:style>
  <w:style w:type="paragraph" w:styleId="Heading4">
    <w:name w:val="heading 4"/>
    <w:basedOn w:val="Normal"/>
    <w:next w:val="Normal"/>
    <w:link w:val="Heading4Char"/>
    <w:rsid w:val="00C363ED"/>
    <w:pPr>
      <w:keepNext/>
      <w:keepLines/>
      <w:spacing w:before="280" w:after="80"/>
      <w:outlineLvl w:val="3"/>
    </w:pPr>
    <w:rPr>
      <w:color w:val="666666"/>
      <w:sz w:val="24"/>
      <w:szCs w:val="24"/>
    </w:rPr>
  </w:style>
  <w:style w:type="paragraph" w:styleId="Heading5">
    <w:name w:val="heading 5"/>
    <w:basedOn w:val="Normal"/>
    <w:next w:val="Normal"/>
    <w:link w:val="Heading5Char"/>
    <w:rsid w:val="00C363ED"/>
    <w:pPr>
      <w:keepNext/>
      <w:keepLines/>
      <w:spacing w:before="240" w:after="80"/>
      <w:outlineLvl w:val="4"/>
    </w:pPr>
    <w:rPr>
      <w:color w:val="666666"/>
    </w:rPr>
  </w:style>
  <w:style w:type="paragraph" w:styleId="Heading6">
    <w:name w:val="heading 6"/>
    <w:basedOn w:val="Normal"/>
    <w:next w:val="Normal"/>
    <w:link w:val="Heading6Char"/>
    <w:rsid w:val="00C363E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63ED"/>
    <w:rPr>
      <w:rFonts w:ascii="Arial" w:eastAsia="Arial" w:hAnsi="Arial" w:cs="Arial"/>
      <w:sz w:val="40"/>
      <w:szCs w:val="40"/>
      <w:lang w:val="en" w:eastAsia="de-DE"/>
    </w:rPr>
  </w:style>
  <w:style w:type="character" w:customStyle="1" w:styleId="Heading2Char">
    <w:name w:val="Heading 2 Char"/>
    <w:basedOn w:val="DefaultParagraphFont"/>
    <w:link w:val="Heading2"/>
    <w:rsid w:val="00C363ED"/>
    <w:rPr>
      <w:rFonts w:ascii="Arial" w:eastAsia="Arial" w:hAnsi="Arial" w:cs="Arial"/>
      <w:sz w:val="32"/>
      <w:szCs w:val="32"/>
      <w:lang w:val="en" w:eastAsia="de-DE"/>
    </w:rPr>
  </w:style>
  <w:style w:type="character" w:customStyle="1" w:styleId="Heading3Char">
    <w:name w:val="Heading 3 Char"/>
    <w:basedOn w:val="DefaultParagraphFont"/>
    <w:link w:val="Heading3"/>
    <w:rsid w:val="00C363ED"/>
    <w:rPr>
      <w:rFonts w:ascii="Arial" w:eastAsia="Arial" w:hAnsi="Arial" w:cs="Arial"/>
      <w:color w:val="434343"/>
      <w:sz w:val="28"/>
      <w:szCs w:val="28"/>
      <w:lang w:val="en" w:eastAsia="de-DE"/>
    </w:rPr>
  </w:style>
  <w:style w:type="character" w:customStyle="1" w:styleId="Heading4Char">
    <w:name w:val="Heading 4 Char"/>
    <w:basedOn w:val="DefaultParagraphFont"/>
    <w:link w:val="Heading4"/>
    <w:rsid w:val="00C363ED"/>
    <w:rPr>
      <w:rFonts w:ascii="Arial" w:eastAsia="Arial" w:hAnsi="Arial" w:cs="Arial"/>
      <w:color w:val="666666"/>
      <w:sz w:val="24"/>
      <w:szCs w:val="24"/>
      <w:lang w:val="en" w:eastAsia="de-DE"/>
    </w:rPr>
  </w:style>
  <w:style w:type="character" w:customStyle="1" w:styleId="Heading5Char">
    <w:name w:val="Heading 5 Char"/>
    <w:basedOn w:val="DefaultParagraphFont"/>
    <w:link w:val="Heading5"/>
    <w:rsid w:val="00C363ED"/>
    <w:rPr>
      <w:rFonts w:ascii="Arial" w:eastAsia="Arial" w:hAnsi="Arial" w:cs="Arial"/>
      <w:color w:val="666666"/>
      <w:lang w:val="en" w:eastAsia="de-DE"/>
    </w:rPr>
  </w:style>
  <w:style w:type="character" w:customStyle="1" w:styleId="Heading6Char">
    <w:name w:val="Heading 6 Char"/>
    <w:basedOn w:val="DefaultParagraphFont"/>
    <w:link w:val="Heading6"/>
    <w:rsid w:val="00C363ED"/>
    <w:rPr>
      <w:rFonts w:ascii="Arial" w:eastAsia="Arial" w:hAnsi="Arial" w:cs="Arial"/>
      <w:i/>
      <w:color w:val="666666"/>
      <w:lang w:val="en" w:eastAsia="de-DE"/>
    </w:rPr>
  </w:style>
  <w:style w:type="paragraph" w:styleId="Title">
    <w:name w:val="Title"/>
    <w:basedOn w:val="Normal"/>
    <w:next w:val="Normal"/>
    <w:link w:val="TitleChar"/>
    <w:rsid w:val="00C363ED"/>
    <w:pPr>
      <w:keepNext/>
      <w:keepLines/>
      <w:spacing w:after="60"/>
    </w:pPr>
    <w:rPr>
      <w:sz w:val="52"/>
      <w:szCs w:val="52"/>
    </w:rPr>
  </w:style>
  <w:style w:type="character" w:customStyle="1" w:styleId="TitleChar">
    <w:name w:val="Title Char"/>
    <w:basedOn w:val="DefaultParagraphFont"/>
    <w:link w:val="Title"/>
    <w:rsid w:val="00C363ED"/>
    <w:rPr>
      <w:rFonts w:ascii="Arial" w:eastAsia="Arial" w:hAnsi="Arial" w:cs="Arial"/>
      <w:sz w:val="52"/>
      <w:szCs w:val="52"/>
      <w:lang w:val="en" w:eastAsia="de-DE"/>
    </w:rPr>
  </w:style>
  <w:style w:type="paragraph" w:styleId="Subtitle">
    <w:name w:val="Subtitle"/>
    <w:basedOn w:val="Normal"/>
    <w:next w:val="Normal"/>
    <w:link w:val="SubtitleChar"/>
    <w:rsid w:val="00C363ED"/>
    <w:pPr>
      <w:keepNext/>
      <w:keepLines/>
      <w:spacing w:after="320"/>
    </w:pPr>
    <w:rPr>
      <w:color w:val="666666"/>
      <w:sz w:val="30"/>
      <w:szCs w:val="30"/>
    </w:rPr>
  </w:style>
  <w:style w:type="character" w:customStyle="1" w:styleId="SubtitleChar">
    <w:name w:val="Subtitle Char"/>
    <w:basedOn w:val="DefaultParagraphFont"/>
    <w:link w:val="Subtitle"/>
    <w:rsid w:val="00C363ED"/>
    <w:rPr>
      <w:rFonts w:ascii="Arial" w:eastAsia="Arial" w:hAnsi="Arial" w:cs="Arial"/>
      <w:color w:val="666666"/>
      <w:sz w:val="30"/>
      <w:szCs w:val="30"/>
      <w:lang w:val="en"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paperpile.com/c/ycG78E/KtR2"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paperpile.com/c/ycG78E/iwkN" TargetMode="External"/><Relationship Id="rId17" Type="http://schemas.openxmlformats.org/officeDocument/2006/relationships/hyperlink" Target="https://paperpile.com/c/ycG78E/no4d" TargetMode="Externa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stillatechnologies.com/how-to-quantify-drop-off-digital-pcr-assays-with-crystal-miner/"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3684</Words>
  <Characters>23212</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
    </vt:vector>
  </TitlesOfParts>
  <Company>ETH Zuerich</Company>
  <LinksUpToDate>false</LinksUpToDate>
  <CharactersWithSpaces>26843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Tim</dc:creator>
  <cp:keywords/>
  <dc:description/>
  <cp:lastModifiedBy>Julian, Tim</cp:lastModifiedBy>
  <cp:revision>2</cp:revision>
  <dcterms:created xsi:type="dcterms:W3CDTF">2021-08-02T16:38:00Z</dcterms:created>
  <dcterms:modified xsi:type="dcterms:W3CDTF">2021-08-02T16:53:00Z</dcterms:modified>
</cp:coreProperties>
</file>