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D5EB" w14:textId="77777777" w:rsidR="00F30CC7" w:rsidRDefault="00F30CC7" w:rsidP="00F30CC7">
      <w:pPr>
        <w:bidi w:val="0"/>
        <w:rPr>
          <w:rFonts w:asciiTheme="minorBidi" w:hAnsiTheme="minorBidi" w:cstheme="minorBidi"/>
          <w:b/>
          <w:bCs/>
          <w:sz w:val="28"/>
          <w:szCs w:val="32"/>
        </w:rPr>
      </w:pPr>
    </w:p>
    <w:p w14:paraId="273AA1AE" w14:textId="738588DF" w:rsidR="00833B5E" w:rsidRPr="001A6254" w:rsidRDefault="00833B5E" w:rsidP="00F30CC7">
      <w:pPr>
        <w:bidi w:val="0"/>
        <w:rPr>
          <w:rFonts w:asciiTheme="minorBidi" w:hAnsiTheme="minorBidi" w:cstheme="minorBidi"/>
          <w:b/>
          <w:bCs/>
          <w:sz w:val="26"/>
          <w:szCs w:val="26"/>
        </w:rPr>
      </w:pPr>
      <w:r w:rsidRPr="001A6254">
        <w:rPr>
          <w:rFonts w:asciiTheme="minorBidi" w:hAnsiTheme="minorBidi" w:cstheme="minorBidi"/>
          <w:b/>
          <w:bCs/>
          <w:sz w:val="26"/>
          <w:szCs w:val="26"/>
        </w:rPr>
        <w:t>Supplementary Materials:</w:t>
      </w:r>
    </w:p>
    <w:p w14:paraId="0F596748" w14:textId="353D8247" w:rsidR="00833B5E" w:rsidRDefault="00833B5E" w:rsidP="00833B5E">
      <w:pPr>
        <w:bidi w:val="0"/>
        <w:rPr>
          <w:rFonts w:asciiTheme="minorBidi" w:hAnsiTheme="minorBidi" w:cstheme="minorBidi"/>
          <w:b/>
          <w:bCs/>
          <w:sz w:val="28"/>
          <w:szCs w:val="32"/>
        </w:rPr>
      </w:pPr>
    </w:p>
    <w:p w14:paraId="13BBB217" w14:textId="22ABDD18" w:rsidR="001A6254" w:rsidRDefault="001A6254" w:rsidP="001A6254">
      <w:pPr>
        <w:bidi w:val="0"/>
        <w:rPr>
          <w:rFonts w:asciiTheme="minorBidi" w:hAnsiTheme="minorBidi" w:cstheme="minorBidi"/>
          <w:b/>
          <w:bCs/>
          <w:sz w:val="28"/>
          <w:szCs w:val="32"/>
        </w:rPr>
      </w:pPr>
    </w:p>
    <w:p w14:paraId="364DB929" w14:textId="77777777" w:rsidR="001A6254" w:rsidRPr="00140240" w:rsidRDefault="001A6254" w:rsidP="001A6254">
      <w:pPr>
        <w:bidi w:val="0"/>
        <w:rPr>
          <w:rFonts w:asciiTheme="minorBidi" w:hAnsiTheme="minorBidi" w:cstheme="minorBidi"/>
          <w:b/>
          <w:bCs/>
          <w:sz w:val="28"/>
          <w:szCs w:val="32"/>
        </w:rPr>
      </w:pPr>
      <w:bookmarkStart w:id="0" w:name="_GoBack"/>
      <w:bookmarkEnd w:id="0"/>
    </w:p>
    <w:p w14:paraId="73DBEB2D" w14:textId="77777777" w:rsidR="00833B5E" w:rsidRPr="00140240" w:rsidRDefault="00833B5E" w:rsidP="00833B5E">
      <w:pPr>
        <w:pStyle w:val="Caption"/>
        <w:keepNext/>
        <w:bidi w:val="0"/>
        <w:jc w:val="center"/>
        <w:rPr>
          <w:rFonts w:asciiTheme="minorBidi" w:hAnsiTheme="minorBidi" w:cstheme="minorBidi"/>
        </w:rPr>
      </w:pPr>
      <w:r w:rsidRPr="00140240">
        <w:rPr>
          <w:rFonts w:asciiTheme="minorBidi" w:hAnsiTheme="minorBidi" w:cstheme="minorBidi"/>
          <w:noProof/>
        </w:rPr>
        <w:drawing>
          <wp:inline distT="0" distB="0" distL="0" distR="0" wp14:anchorId="6B00FCFD" wp14:editId="1FF660FC">
            <wp:extent cx="3790950" cy="2562225"/>
            <wp:effectExtent l="0" t="0" r="0" b="952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DA1C20" w14:textId="77777777" w:rsidR="00833B5E" w:rsidRPr="0019007D" w:rsidRDefault="00833B5E" w:rsidP="0019007D">
      <w:pPr>
        <w:pStyle w:val="Caption"/>
        <w:bidi w:val="0"/>
        <w:spacing w:line="480" w:lineRule="auto"/>
        <w:jc w:val="center"/>
        <w:rPr>
          <w:rFonts w:asciiTheme="minorBidi" w:hAnsiTheme="minorBidi" w:cstheme="minorBidi"/>
        </w:rPr>
      </w:pPr>
      <w:r w:rsidRPr="0019007D">
        <w:rPr>
          <w:rFonts w:asciiTheme="minorBidi" w:hAnsiTheme="minorBidi" w:cstheme="minorBidi"/>
          <w:i w:val="0"/>
          <w:iCs w:val="0"/>
        </w:rPr>
        <w:t>Fig. S.1</w:t>
      </w:r>
      <w:r w:rsidR="0019007D" w:rsidRPr="0019007D">
        <w:rPr>
          <w:rFonts w:asciiTheme="minorBidi" w:hAnsiTheme="minorBidi" w:cstheme="minorBidi"/>
        </w:rPr>
        <w:t xml:space="preserve"> </w:t>
      </w:r>
      <w:r w:rsidRPr="0019007D">
        <w:rPr>
          <w:rFonts w:asciiTheme="minorBidi" w:hAnsiTheme="minorBidi" w:cstheme="minorBidi"/>
          <w:b w:val="0"/>
          <w:bCs/>
          <w:i w:val="0"/>
          <w:iCs w:val="0"/>
        </w:rPr>
        <w:t>Distribution of meta-analyses on the effect of probiotics on disease risk and disease management by year till June 2019</w:t>
      </w:r>
    </w:p>
    <w:p w14:paraId="0875DE5B" w14:textId="1F362F2C" w:rsidR="00833B5E" w:rsidRDefault="00833B5E" w:rsidP="00833B5E">
      <w:pPr>
        <w:bidi w:val="0"/>
        <w:spacing w:line="360" w:lineRule="auto"/>
        <w:jc w:val="left"/>
        <w:rPr>
          <w:rFonts w:asciiTheme="minorBidi" w:hAnsiTheme="minorBidi" w:cstheme="minorBidi"/>
          <w:szCs w:val="24"/>
        </w:rPr>
      </w:pPr>
    </w:p>
    <w:p w14:paraId="7CBC6E91" w14:textId="77777777" w:rsidR="005F2574" w:rsidRDefault="005F2574" w:rsidP="005F2574">
      <w:pPr>
        <w:bidi w:val="0"/>
        <w:spacing w:line="360" w:lineRule="auto"/>
        <w:jc w:val="left"/>
        <w:rPr>
          <w:rFonts w:asciiTheme="minorBidi" w:hAnsiTheme="minorBidi" w:cstheme="minorBidi"/>
          <w:szCs w:val="24"/>
        </w:rPr>
      </w:pPr>
    </w:p>
    <w:p w14:paraId="47362C41" w14:textId="044C9674" w:rsidR="00F30CC7" w:rsidRDefault="00F30CC7" w:rsidP="00F30CC7">
      <w:pPr>
        <w:bidi w:val="0"/>
        <w:spacing w:line="360" w:lineRule="auto"/>
        <w:jc w:val="left"/>
        <w:rPr>
          <w:rFonts w:asciiTheme="minorBidi" w:hAnsiTheme="minorBidi" w:cstheme="minorBidi"/>
          <w:szCs w:val="24"/>
        </w:rPr>
      </w:pPr>
    </w:p>
    <w:p w14:paraId="093495A5" w14:textId="415D8294" w:rsidR="00F30CC7" w:rsidRDefault="00F30CC7" w:rsidP="00F30CC7">
      <w:pPr>
        <w:bidi w:val="0"/>
        <w:spacing w:line="360" w:lineRule="auto"/>
        <w:jc w:val="left"/>
        <w:rPr>
          <w:rFonts w:asciiTheme="minorBidi" w:hAnsiTheme="minorBidi" w:cstheme="minorBidi"/>
          <w:szCs w:val="24"/>
        </w:rPr>
      </w:pPr>
    </w:p>
    <w:p w14:paraId="3B6744FA" w14:textId="63EAAABB" w:rsidR="005F2574" w:rsidRDefault="005F2574">
      <w:pPr>
        <w:bidi w:val="0"/>
        <w:spacing w:line="259" w:lineRule="auto"/>
        <w:jc w:val="left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</w:rPr>
        <w:br w:type="page"/>
      </w:r>
    </w:p>
    <w:p w14:paraId="2CDFFDA9" w14:textId="6FF1FCB5" w:rsidR="00833B5E" w:rsidRPr="0019007D" w:rsidRDefault="00833B5E" w:rsidP="0019007D">
      <w:pPr>
        <w:pStyle w:val="Caption"/>
        <w:keepNext/>
        <w:bidi w:val="0"/>
        <w:rPr>
          <w:rFonts w:asciiTheme="minorBidi" w:hAnsiTheme="minorBidi" w:cstheme="minorBidi"/>
        </w:rPr>
      </w:pPr>
      <w:r w:rsidRPr="0019007D">
        <w:rPr>
          <w:rFonts w:asciiTheme="minorBidi" w:hAnsiTheme="minorBidi" w:cstheme="minorBidi"/>
          <w:i w:val="0"/>
          <w:iCs w:val="0"/>
        </w:rPr>
        <w:lastRenderedPageBreak/>
        <w:t>Table S.1</w:t>
      </w:r>
      <w:r w:rsidR="0019007D" w:rsidRPr="0019007D">
        <w:rPr>
          <w:rFonts w:asciiTheme="minorBidi" w:hAnsiTheme="minorBidi" w:cstheme="minorBidi"/>
        </w:rPr>
        <w:t xml:space="preserve"> </w:t>
      </w:r>
      <w:r w:rsidRPr="0019007D">
        <w:rPr>
          <w:rFonts w:asciiTheme="minorBidi" w:hAnsiTheme="minorBidi" w:cstheme="minorBidi"/>
          <w:b w:val="0"/>
          <w:bCs/>
          <w:i w:val="0"/>
          <w:iCs w:val="0"/>
        </w:rPr>
        <w:t>The top 15 journals publishing most probiotics-diseases related meta-analysis articles till</w:t>
      </w:r>
      <w:r w:rsidR="008558A8">
        <w:rPr>
          <w:rFonts w:asciiTheme="minorBidi" w:hAnsiTheme="minorBidi" w:cstheme="minorBidi"/>
          <w:b w:val="0"/>
          <w:bCs/>
          <w:i w:val="0"/>
          <w:iCs w:val="0"/>
        </w:rPr>
        <w:t xml:space="preserve"> </w:t>
      </w:r>
      <w:proofErr w:type="gramStart"/>
      <w:r w:rsidR="008558A8">
        <w:rPr>
          <w:rFonts w:asciiTheme="minorBidi" w:hAnsiTheme="minorBidi" w:cstheme="minorBidi"/>
          <w:b w:val="0"/>
          <w:bCs/>
          <w:i w:val="0"/>
          <w:iCs w:val="0"/>
        </w:rPr>
        <w:t>June</w:t>
      </w:r>
      <w:r w:rsidRPr="0019007D">
        <w:rPr>
          <w:rFonts w:asciiTheme="minorBidi" w:hAnsiTheme="minorBidi" w:cstheme="minorBidi"/>
          <w:b w:val="0"/>
          <w:bCs/>
          <w:i w:val="0"/>
          <w:iCs w:val="0"/>
        </w:rPr>
        <w:t xml:space="preserve"> </w:t>
      </w:r>
      <w:r w:rsidR="00ED4D43">
        <w:rPr>
          <w:rFonts w:asciiTheme="minorBidi" w:hAnsiTheme="minorBidi" w:cstheme="minorBidi" w:hint="cs"/>
          <w:b w:val="0"/>
          <w:bCs/>
          <w:i w:val="0"/>
          <w:iCs w:val="0"/>
          <w:rtl/>
        </w:rPr>
        <w:t xml:space="preserve"> </w:t>
      </w:r>
      <w:r w:rsidR="00ED4D43">
        <w:rPr>
          <w:rFonts w:asciiTheme="minorBidi" w:hAnsiTheme="minorBidi" w:cstheme="minorBidi"/>
          <w:b w:val="0"/>
          <w:bCs/>
          <w:i w:val="0"/>
          <w:iCs w:val="0"/>
        </w:rPr>
        <w:t>2020</w:t>
      </w:r>
      <w:proofErr w:type="gramEnd"/>
    </w:p>
    <w:tbl>
      <w:tblPr>
        <w:tblStyle w:val="GridTable4-Accent1"/>
        <w:tblW w:w="6660" w:type="dxa"/>
        <w:jc w:val="center"/>
        <w:tblLayout w:type="fixed"/>
        <w:tblLook w:val="04A0" w:firstRow="1" w:lastRow="0" w:firstColumn="1" w:lastColumn="0" w:noHBand="0" w:noVBand="1"/>
      </w:tblPr>
      <w:tblGrid>
        <w:gridCol w:w="5550"/>
        <w:gridCol w:w="1110"/>
      </w:tblGrid>
      <w:tr w:rsidR="00833B5E" w:rsidRPr="00140240" w14:paraId="763BE550" w14:textId="77777777" w:rsidTr="00076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  <w:hideMark/>
          </w:tcPr>
          <w:p w14:paraId="28130381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Journal</w:t>
            </w:r>
          </w:p>
        </w:tc>
        <w:tc>
          <w:tcPr>
            <w:tcW w:w="1110" w:type="dxa"/>
            <w:hideMark/>
          </w:tcPr>
          <w:p w14:paraId="7C7A2DCC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Number of Article</w:t>
            </w:r>
          </w:p>
        </w:tc>
      </w:tr>
      <w:tr w:rsidR="00833B5E" w:rsidRPr="00140240" w14:paraId="0E8F8DC8" w14:textId="77777777" w:rsidTr="00076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72D93827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Alimentary Pharmacology &amp; Therapeutics</w:t>
            </w:r>
          </w:p>
        </w:tc>
        <w:tc>
          <w:tcPr>
            <w:tcW w:w="1110" w:type="dxa"/>
            <w:hideMark/>
          </w:tcPr>
          <w:p w14:paraId="124C2762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16</w:t>
            </w:r>
          </w:p>
        </w:tc>
      </w:tr>
      <w:tr w:rsidR="00833B5E" w:rsidRPr="00140240" w14:paraId="4345612E" w14:textId="77777777" w:rsidTr="00076A70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343EE775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PLOS ONE</w:t>
            </w:r>
          </w:p>
        </w:tc>
        <w:tc>
          <w:tcPr>
            <w:tcW w:w="1110" w:type="dxa"/>
            <w:hideMark/>
          </w:tcPr>
          <w:p w14:paraId="6C423703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11</w:t>
            </w:r>
          </w:p>
        </w:tc>
      </w:tr>
      <w:tr w:rsidR="00833B5E" w:rsidRPr="00140240" w14:paraId="0F592796" w14:textId="77777777" w:rsidTr="00076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57ADFB8D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Medicine</w:t>
            </w:r>
          </w:p>
        </w:tc>
        <w:tc>
          <w:tcPr>
            <w:tcW w:w="1110" w:type="dxa"/>
            <w:hideMark/>
          </w:tcPr>
          <w:p w14:paraId="489821E5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9</w:t>
            </w:r>
          </w:p>
        </w:tc>
      </w:tr>
      <w:tr w:rsidR="00833B5E" w:rsidRPr="00140240" w14:paraId="14FF628B" w14:textId="77777777" w:rsidTr="00076A70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6A504D5A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Pediatrics</w:t>
            </w:r>
          </w:p>
        </w:tc>
        <w:tc>
          <w:tcPr>
            <w:tcW w:w="1110" w:type="dxa"/>
            <w:hideMark/>
          </w:tcPr>
          <w:p w14:paraId="25B467D0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</w:tr>
      <w:tr w:rsidR="00833B5E" w:rsidRPr="00140240" w14:paraId="65B9F019" w14:textId="77777777" w:rsidTr="00076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24742904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World Journal of Gastroenterology</w:t>
            </w:r>
          </w:p>
        </w:tc>
        <w:tc>
          <w:tcPr>
            <w:tcW w:w="1110" w:type="dxa"/>
            <w:hideMark/>
          </w:tcPr>
          <w:p w14:paraId="175652FA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</w:tr>
      <w:tr w:rsidR="00833B5E" w:rsidRPr="00140240" w14:paraId="4B9CD5BB" w14:textId="77777777" w:rsidTr="00076A70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293CE086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Nutrients</w:t>
            </w:r>
          </w:p>
        </w:tc>
        <w:tc>
          <w:tcPr>
            <w:tcW w:w="1110" w:type="dxa"/>
            <w:hideMark/>
          </w:tcPr>
          <w:p w14:paraId="1F7E4EAC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6</w:t>
            </w:r>
          </w:p>
        </w:tc>
      </w:tr>
      <w:tr w:rsidR="00833B5E" w:rsidRPr="00140240" w14:paraId="406B9B05" w14:textId="77777777" w:rsidTr="00076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5AC03814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Digestive Diseases and Sciences</w:t>
            </w:r>
          </w:p>
        </w:tc>
        <w:tc>
          <w:tcPr>
            <w:tcW w:w="1110" w:type="dxa"/>
            <w:hideMark/>
          </w:tcPr>
          <w:p w14:paraId="1B344C9B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</w:tr>
      <w:tr w:rsidR="00833B5E" w:rsidRPr="00140240" w14:paraId="0F27033E" w14:textId="77777777" w:rsidTr="00076A70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7B26D7F1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Gastroenterology</w:t>
            </w:r>
          </w:p>
        </w:tc>
        <w:tc>
          <w:tcPr>
            <w:tcW w:w="1110" w:type="dxa"/>
            <w:hideMark/>
          </w:tcPr>
          <w:p w14:paraId="1C37438C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</w:tr>
      <w:tr w:rsidR="00833B5E" w:rsidRPr="00140240" w14:paraId="2FA4C09B" w14:textId="77777777" w:rsidTr="00076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66B40988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British Journal of Nutrition</w:t>
            </w:r>
          </w:p>
        </w:tc>
        <w:tc>
          <w:tcPr>
            <w:tcW w:w="1110" w:type="dxa"/>
            <w:hideMark/>
          </w:tcPr>
          <w:p w14:paraId="23DEA676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</w:tr>
      <w:tr w:rsidR="00833B5E" w:rsidRPr="00140240" w14:paraId="32616952" w14:textId="77777777" w:rsidTr="00076A70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5E7DB593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Acta </w:t>
            </w:r>
            <w:proofErr w:type="spellStart"/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Paediatrica</w:t>
            </w:r>
            <w:proofErr w:type="spellEnd"/>
          </w:p>
        </w:tc>
        <w:tc>
          <w:tcPr>
            <w:tcW w:w="1110" w:type="dxa"/>
            <w:hideMark/>
          </w:tcPr>
          <w:p w14:paraId="17ABBC3F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</w:tr>
      <w:tr w:rsidR="00833B5E" w:rsidRPr="00140240" w14:paraId="347EA25C" w14:textId="77777777" w:rsidTr="00076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5E123D9D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Annals of Allergy, Asthma &amp; Immunology</w:t>
            </w:r>
          </w:p>
        </w:tc>
        <w:tc>
          <w:tcPr>
            <w:tcW w:w="1110" w:type="dxa"/>
            <w:hideMark/>
          </w:tcPr>
          <w:p w14:paraId="7CD28D2B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</w:tr>
      <w:tr w:rsidR="00833B5E" w:rsidRPr="00140240" w14:paraId="69E1D6BD" w14:textId="77777777" w:rsidTr="00076A70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79276116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>Clinical Nutrition</w:t>
            </w:r>
          </w:p>
        </w:tc>
        <w:tc>
          <w:tcPr>
            <w:tcW w:w="1110" w:type="dxa"/>
            <w:hideMark/>
          </w:tcPr>
          <w:p w14:paraId="76C475A3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</w:t>
            </w:r>
          </w:p>
        </w:tc>
      </w:tr>
      <w:tr w:rsidR="00833B5E" w:rsidRPr="00140240" w14:paraId="4C1EE582" w14:textId="77777777" w:rsidTr="00076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17F7F97D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>Clinics and Research in Hepatology and Gastroenterology</w:t>
            </w:r>
          </w:p>
        </w:tc>
        <w:tc>
          <w:tcPr>
            <w:tcW w:w="1110" w:type="dxa"/>
            <w:hideMark/>
          </w:tcPr>
          <w:p w14:paraId="1F2AE84F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</w:rPr>
            </w:pPr>
            <w:r w:rsidRPr="0014024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</w:t>
            </w:r>
          </w:p>
        </w:tc>
      </w:tr>
      <w:tr w:rsidR="00833B5E" w:rsidRPr="00140240" w14:paraId="10FA52CC" w14:textId="77777777" w:rsidTr="00076A7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585778A7" w14:textId="77777777" w:rsidR="00833B5E" w:rsidRPr="00140240" w:rsidRDefault="00833B5E" w:rsidP="00076A70">
            <w:pPr>
              <w:bidi w:val="0"/>
              <w:spacing w:line="360" w:lineRule="auto"/>
              <w:jc w:val="left"/>
              <w:rPr>
                <w:rFonts w:asciiTheme="minorBidi" w:eastAsia="Arial" w:hAnsiTheme="minorBidi" w:cstheme="minorBidi"/>
                <w:b w:val="0"/>
                <w:bCs w:val="0"/>
                <w:szCs w:val="24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>Critical Care</w:t>
            </w:r>
          </w:p>
        </w:tc>
        <w:tc>
          <w:tcPr>
            <w:tcW w:w="1110" w:type="dxa"/>
            <w:hideMark/>
          </w:tcPr>
          <w:p w14:paraId="2EBC8300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Arial" w:hAnsiTheme="minorBidi" w:cstheme="minorBidi"/>
                <w:szCs w:val="24"/>
                <w:rtl/>
              </w:rPr>
            </w:pPr>
            <w:r w:rsidRPr="0014024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</w:t>
            </w:r>
          </w:p>
        </w:tc>
      </w:tr>
      <w:tr w:rsidR="00833B5E" w:rsidRPr="00140240" w14:paraId="3DE4C67E" w14:textId="77777777" w:rsidTr="00076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0" w:type="dxa"/>
          </w:tcPr>
          <w:p w14:paraId="6E470DA2" w14:textId="77777777" w:rsidR="00833B5E" w:rsidRPr="00140240" w:rsidRDefault="00833B5E" w:rsidP="00076A70">
            <w:pPr>
              <w:bidi w:val="0"/>
              <w:jc w:val="left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</w:pPr>
            <w:r w:rsidRPr="00140240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>Critical Care Medicine</w:t>
            </w:r>
          </w:p>
        </w:tc>
        <w:tc>
          <w:tcPr>
            <w:tcW w:w="1110" w:type="dxa"/>
          </w:tcPr>
          <w:p w14:paraId="36E30287" w14:textId="77777777" w:rsidR="00833B5E" w:rsidRPr="00140240" w:rsidRDefault="00833B5E" w:rsidP="00076A70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4024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</w:t>
            </w:r>
          </w:p>
        </w:tc>
      </w:tr>
    </w:tbl>
    <w:p w14:paraId="0C9F9443" w14:textId="77777777" w:rsidR="00833B5E" w:rsidRPr="00140240" w:rsidRDefault="00833B5E" w:rsidP="00833B5E">
      <w:pPr>
        <w:bidi w:val="0"/>
        <w:rPr>
          <w:rFonts w:asciiTheme="minorBidi" w:hAnsiTheme="minorBidi" w:cstheme="minorBidi"/>
        </w:rPr>
      </w:pPr>
    </w:p>
    <w:p w14:paraId="61078290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</w:rPr>
      </w:pPr>
    </w:p>
    <w:p w14:paraId="7828BF4D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</w:rPr>
      </w:pPr>
    </w:p>
    <w:p w14:paraId="4E3FE9E1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</w:rPr>
      </w:pPr>
    </w:p>
    <w:p w14:paraId="04FC2ECA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</w:rPr>
      </w:pPr>
    </w:p>
    <w:p w14:paraId="599BAAE3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</w:rPr>
      </w:pPr>
    </w:p>
    <w:p w14:paraId="43F7A673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</w:rPr>
      </w:pPr>
    </w:p>
    <w:p w14:paraId="0EB95768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</w:rPr>
      </w:pPr>
    </w:p>
    <w:p w14:paraId="775AEB26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</w:rPr>
      </w:pPr>
    </w:p>
    <w:p w14:paraId="75FBFDBF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</w:rPr>
      </w:pPr>
    </w:p>
    <w:p w14:paraId="5F428CC9" w14:textId="77777777" w:rsidR="00833B5E" w:rsidRPr="00140240" w:rsidRDefault="00833B5E" w:rsidP="00833B5E">
      <w:pPr>
        <w:bidi w:val="0"/>
        <w:spacing w:after="0" w:line="480" w:lineRule="auto"/>
        <w:jc w:val="left"/>
        <w:rPr>
          <w:rStyle w:val="Strong"/>
          <w:rFonts w:asciiTheme="minorBidi" w:hAnsiTheme="minorBidi" w:cstheme="minorBidi"/>
          <w:b w:val="0"/>
          <w:bCs w:val="0"/>
          <w:szCs w:val="24"/>
          <w:rtl/>
        </w:rPr>
      </w:pPr>
    </w:p>
    <w:p w14:paraId="171FD35D" w14:textId="77777777" w:rsidR="00882498" w:rsidRDefault="00882498" w:rsidP="00833B5E">
      <w:pPr>
        <w:bidi w:val="0"/>
      </w:pPr>
    </w:p>
    <w:sectPr w:rsidR="00882498" w:rsidSect="00ED4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3DF7" w14:textId="77777777" w:rsidR="002A6A67" w:rsidRDefault="002A6A67">
      <w:pPr>
        <w:spacing w:after="0"/>
      </w:pPr>
      <w:r>
        <w:separator/>
      </w:r>
    </w:p>
  </w:endnote>
  <w:endnote w:type="continuationSeparator" w:id="0">
    <w:p w14:paraId="5796169A" w14:textId="77777777" w:rsidR="002A6A67" w:rsidRDefault="002A6A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D3D9" w14:textId="77777777" w:rsidR="009D2DD4" w:rsidRDefault="009D2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94CD" w14:textId="77777777" w:rsidR="009D2DD4" w:rsidRPr="009D2DD4" w:rsidRDefault="009D2DD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9D2DD4">
      <w:rPr>
        <w:caps/>
      </w:rPr>
      <w:fldChar w:fldCharType="begin"/>
    </w:r>
    <w:r w:rsidRPr="009D2DD4">
      <w:rPr>
        <w:caps/>
      </w:rPr>
      <w:instrText xml:space="preserve"> PAGE   \* MERGEFORMAT </w:instrText>
    </w:r>
    <w:r w:rsidRPr="009D2DD4">
      <w:rPr>
        <w:caps/>
      </w:rPr>
      <w:fldChar w:fldCharType="separate"/>
    </w:r>
    <w:r w:rsidRPr="009D2DD4">
      <w:rPr>
        <w:caps/>
        <w:noProof/>
      </w:rPr>
      <w:t>2</w:t>
    </w:r>
    <w:r w:rsidRPr="009D2DD4">
      <w:rPr>
        <w:caps/>
        <w:noProof/>
      </w:rPr>
      <w:fldChar w:fldCharType="end"/>
    </w:r>
  </w:p>
  <w:p w14:paraId="65DDE697" w14:textId="77777777" w:rsidR="009D2DD4" w:rsidRDefault="009D2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FF30" w14:textId="77777777" w:rsidR="009D2DD4" w:rsidRDefault="009D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CF4C" w14:textId="77777777" w:rsidR="002A6A67" w:rsidRDefault="002A6A67">
      <w:pPr>
        <w:spacing w:after="0"/>
      </w:pPr>
      <w:r>
        <w:separator/>
      </w:r>
    </w:p>
  </w:footnote>
  <w:footnote w:type="continuationSeparator" w:id="0">
    <w:p w14:paraId="31A97026" w14:textId="77777777" w:rsidR="002A6A67" w:rsidRDefault="002A6A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64B6" w14:textId="77777777" w:rsidR="009D2DD4" w:rsidRDefault="009D2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4F5" w14:textId="77777777" w:rsidR="009D2DD4" w:rsidRDefault="009D2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8D5F" w14:textId="77777777" w:rsidR="009D2DD4" w:rsidRDefault="009D2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5E"/>
    <w:rsid w:val="00150034"/>
    <w:rsid w:val="0019007D"/>
    <w:rsid w:val="001A6254"/>
    <w:rsid w:val="002A6A67"/>
    <w:rsid w:val="004E03DF"/>
    <w:rsid w:val="005F2574"/>
    <w:rsid w:val="00833B5E"/>
    <w:rsid w:val="008558A8"/>
    <w:rsid w:val="00882498"/>
    <w:rsid w:val="009D2DD4"/>
    <w:rsid w:val="00D1408D"/>
    <w:rsid w:val="00ED4D43"/>
    <w:rsid w:val="00F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F914"/>
  <w15:chartTrackingRefBased/>
  <w15:docId w15:val="{7C5AA96F-CBFD-4D98-AABD-4F2771E5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5E"/>
    <w:pPr>
      <w:bidi/>
      <w:spacing w:line="240" w:lineRule="auto"/>
      <w:jc w:val="lowKashida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CC7"/>
    <w:pPr>
      <w:keepNext/>
      <w:bidi w:val="0"/>
      <w:spacing w:before="360" w:after="0" w:line="36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3B5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833B5E"/>
    <w:pPr>
      <w:spacing w:after="200"/>
    </w:pPr>
    <w:rPr>
      <w:b/>
      <w:i/>
      <w:i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833B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3B5E"/>
    <w:rPr>
      <w:rFonts w:ascii="Times New Roman" w:hAnsi="Times New Roman" w:cs="B Nazanin"/>
      <w:sz w:val="24"/>
      <w:szCs w:val="28"/>
    </w:rPr>
  </w:style>
  <w:style w:type="table" w:styleId="GridTable4-Accent1">
    <w:name w:val="Grid Table 4 Accent 1"/>
    <w:basedOn w:val="TableNormal"/>
    <w:uiPriority w:val="49"/>
    <w:rsid w:val="00833B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33B5E"/>
  </w:style>
  <w:style w:type="paragraph" w:styleId="Footer">
    <w:name w:val="footer"/>
    <w:basedOn w:val="Normal"/>
    <w:link w:val="FooterChar"/>
    <w:uiPriority w:val="99"/>
    <w:unhideWhenUsed/>
    <w:rsid w:val="00ED4D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4D43"/>
    <w:rPr>
      <w:rFonts w:ascii="Times New Roman" w:hAnsi="Times New Roman" w:cs="B Nazanin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0CC7"/>
    <w:rPr>
      <w:rFonts w:ascii="Arial" w:eastAsia="Times New Roman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jal\Desktop\1213\&#1705;&#1604;&#1607;&#1585;\New%20folder\final\Fig1-&#1578;&#1593;&#1583;&#1575;&#1583;%20&#1605;&#1602;&#1575;&#1604;&#1607;%20&#1583;&#1585;%20&#1607;&#1585;%20&#1587;&#1575;&#160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45603674540681"/>
          <c:y val="6.4814814814814811E-2"/>
          <c:w val="0.81765507436570428"/>
          <c:h val="0.7464661708953047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Articles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Sheet1!$A$2:$A$21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xVal>
          <c:yVal>
            <c:numRef>
              <c:f>Sheet1!$B$2:$B$21</c:f>
              <c:numCache>
                <c:formatCode>General</c:formatCode>
                <c:ptCount val="20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8</c:v>
                </c:pt>
                <c:pt idx="7">
                  <c:v>3</c:v>
                </c:pt>
                <c:pt idx="8">
                  <c:v>10</c:v>
                </c:pt>
                <c:pt idx="9">
                  <c:v>6</c:v>
                </c:pt>
                <c:pt idx="10">
                  <c:v>9</c:v>
                </c:pt>
                <c:pt idx="11">
                  <c:v>5</c:v>
                </c:pt>
                <c:pt idx="12">
                  <c:v>12</c:v>
                </c:pt>
                <c:pt idx="13">
                  <c:v>18</c:v>
                </c:pt>
                <c:pt idx="14">
                  <c:v>16</c:v>
                </c:pt>
                <c:pt idx="15">
                  <c:v>28</c:v>
                </c:pt>
                <c:pt idx="16">
                  <c:v>31</c:v>
                </c:pt>
                <c:pt idx="17">
                  <c:v>47</c:v>
                </c:pt>
                <c:pt idx="18">
                  <c:v>59</c:v>
                </c:pt>
                <c:pt idx="19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38D-436D-B2D5-6ED8F9B50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1114016"/>
        <c:axId val="1351120000"/>
      </c:scatterChart>
      <c:valAx>
        <c:axId val="1351114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Total Number of Articles per Year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1120000"/>
        <c:crosses val="autoZero"/>
        <c:crossBetween val="midCat"/>
      </c:valAx>
      <c:valAx>
        <c:axId val="135112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Articles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11140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Kajal Farahmandi</dc:creator>
  <cp:keywords/>
  <dc:description/>
  <cp:lastModifiedBy>Sadegh Sulaimany</cp:lastModifiedBy>
  <cp:revision>8</cp:revision>
  <dcterms:created xsi:type="dcterms:W3CDTF">2021-06-24T14:30:00Z</dcterms:created>
  <dcterms:modified xsi:type="dcterms:W3CDTF">2021-08-21T05:21:00Z</dcterms:modified>
</cp:coreProperties>
</file>