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4567" w14:textId="04864715" w:rsidR="00D42391" w:rsidRPr="00D42391" w:rsidRDefault="00D42391" w:rsidP="005F664E">
      <w:pPr>
        <w:pStyle w:val="Heading3"/>
        <w:rPr>
          <w:rFonts w:ascii="Times New Roman" w:hAnsi="Times New Roman"/>
          <w:i w:val="0"/>
          <w:iCs/>
        </w:rPr>
      </w:pPr>
      <w:r w:rsidRPr="00D42391">
        <w:rPr>
          <w:rFonts w:ascii="Times New Roman" w:hAnsi="Times New Roman"/>
          <w:i w:val="0"/>
          <w:iCs/>
        </w:rPr>
        <w:t>Supplementary material</w:t>
      </w:r>
    </w:p>
    <w:p w14:paraId="4A40B1EF" w14:textId="21CD4C1A" w:rsidR="005F664E" w:rsidRPr="005F664E" w:rsidRDefault="005F664E" w:rsidP="005F664E">
      <w:pPr>
        <w:pStyle w:val="Heading3"/>
        <w:rPr>
          <w:rFonts w:ascii="Times New Roman" w:hAnsi="Times New Roman"/>
        </w:rPr>
      </w:pPr>
      <w:r w:rsidRPr="005F664E">
        <w:rPr>
          <w:rFonts w:ascii="Times New Roman" w:hAnsi="Times New Roman"/>
        </w:rPr>
        <w:t xml:space="preserve">Inclusion and Exclusion Criteria for BRII-196-001 and BRII-198-001 </w:t>
      </w:r>
      <w:r w:rsidR="00D861E5">
        <w:rPr>
          <w:rFonts w:ascii="Times New Roman" w:hAnsi="Times New Roman"/>
        </w:rPr>
        <w:t>S</w:t>
      </w:r>
      <w:r w:rsidRPr="005F664E">
        <w:rPr>
          <w:rFonts w:ascii="Times New Roman" w:hAnsi="Times New Roman"/>
        </w:rPr>
        <w:t>tudies</w:t>
      </w:r>
    </w:p>
    <w:p w14:paraId="782AF02E" w14:textId="5F55DE3B" w:rsidR="005F664E" w:rsidRPr="005F664E" w:rsidRDefault="005F664E" w:rsidP="005F664E">
      <w:pPr>
        <w:pStyle w:val="Heading2"/>
        <w:spacing w:line="240" w:lineRule="auto"/>
        <w:rPr>
          <w:rFonts w:ascii="Times New Roman" w:hAnsi="Times New Roman"/>
          <w:u w:val="single"/>
        </w:rPr>
      </w:pPr>
      <w:r w:rsidRPr="005F664E">
        <w:rPr>
          <w:rFonts w:ascii="Times New Roman" w:hAnsi="Times New Roman"/>
          <w:u w:val="single"/>
        </w:rPr>
        <w:t>Inclusion Criteria</w:t>
      </w:r>
    </w:p>
    <w:p w14:paraId="224D0495" w14:textId="77777777" w:rsidR="005F664E" w:rsidRPr="005F664E" w:rsidRDefault="005F664E" w:rsidP="005F664E">
      <w:pPr>
        <w:snapToGrid w:val="0"/>
        <w:spacing w:after="0" w:line="240" w:lineRule="auto"/>
        <w:rPr>
          <w:rFonts w:ascii="Times New Roman" w:hAnsi="Times New Roman"/>
        </w:rPr>
      </w:pPr>
      <w:bookmarkStart w:id="0" w:name="_Toc405197978"/>
      <w:bookmarkStart w:id="1" w:name="_Toc405272489"/>
      <w:bookmarkStart w:id="2" w:name="_Toc406003049"/>
      <w:bookmarkStart w:id="3" w:name="_Toc406003191"/>
      <w:bookmarkStart w:id="4" w:name="_Ref449945514"/>
      <w:bookmarkStart w:id="5" w:name="_Ref449945535"/>
      <w:bookmarkStart w:id="6" w:name="_Toc477961600"/>
      <w:bookmarkEnd w:id="0"/>
      <w:bookmarkEnd w:id="1"/>
      <w:bookmarkEnd w:id="2"/>
      <w:bookmarkEnd w:id="3"/>
      <w:r w:rsidRPr="005F664E">
        <w:rPr>
          <w:rFonts w:ascii="Times New Roman" w:hAnsi="Times New Roman"/>
        </w:rPr>
        <w:t xml:space="preserve">Subjects are eligible to be included in the study only if </w:t>
      </w:r>
      <w:proofErr w:type="gramStart"/>
      <w:r w:rsidRPr="005F664E">
        <w:rPr>
          <w:rFonts w:ascii="Times New Roman" w:hAnsi="Times New Roman"/>
        </w:rPr>
        <w:t>all of</w:t>
      </w:r>
      <w:proofErr w:type="gramEnd"/>
      <w:r w:rsidRPr="005F664E">
        <w:rPr>
          <w:rFonts w:ascii="Times New Roman" w:hAnsi="Times New Roman"/>
        </w:rPr>
        <w:t xml:space="preserve"> the following criteria apply:</w:t>
      </w:r>
    </w:p>
    <w:p w14:paraId="7FB582F2" w14:textId="77777777" w:rsidR="005F664E" w:rsidRPr="008F200F" w:rsidRDefault="005F664E" w:rsidP="005F664E">
      <w:pPr>
        <w:snapToGrid w:val="0"/>
        <w:spacing w:after="0" w:line="240" w:lineRule="auto"/>
        <w:rPr>
          <w:rFonts w:ascii="Times New Roman" w:hAnsi="Times New Roman"/>
          <w:bCs/>
        </w:rPr>
      </w:pPr>
      <w:r w:rsidRPr="008F200F">
        <w:rPr>
          <w:rFonts w:ascii="Times New Roman" w:hAnsi="Times New Roman"/>
          <w:bCs/>
        </w:rPr>
        <w:t>Age</w:t>
      </w:r>
    </w:p>
    <w:p w14:paraId="716D6E4E" w14:textId="77777777" w:rsidR="005F664E" w:rsidRPr="00C371E9" w:rsidRDefault="005F664E" w:rsidP="005F664E">
      <w:pPr>
        <w:pStyle w:val="ListParagraph"/>
        <w:numPr>
          <w:ilvl w:val="0"/>
          <w:numId w:val="6"/>
        </w:numPr>
        <w:snapToGrid w:val="0"/>
        <w:contextualSpacing w:val="0"/>
      </w:pPr>
      <w:r w:rsidRPr="00C371E9">
        <w:t xml:space="preserve">Subject must be 18 to </w:t>
      </w:r>
      <w:r w:rsidRPr="00C371E9">
        <w:rPr>
          <w:rStyle w:val="CPTVariable"/>
          <w:rFonts w:eastAsia="MS Mincho"/>
          <w:color w:val="auto"/>
        </w:rPr>
        <w:t xml:space="preserve">49 </w:t>
      </w:r>
      <w:r w:rsidRPr="00C371E9">
        <w:t>years of age inclusive, at the time of signing the informed consent.</w:t>
      </w:r>
    </w:p>
    <w:p w14:paraId="05417194" w14:textId="61F542DF" w:rsidR="005F664E" w:rsidRPr="00C371E9" w:rsidRDefault="005F664E" w:rsidP="005F664E">
      <w:pPr>
        <w:pStyle w:val="HeadingNoTOC"/>
        <w:snapToGrid w:val="0"/>
        <w:spacing w:before="0"/>
        <w:rPr>
          <w:rFonts w:ascii="Times New Roman" w:hAnsi="Times New Roman" w:cs="Times New Roman"/>
        </w:rPr>
      </w:pPr>
      <w:r w:rsidRPr="00C371E9">
        <w:rPr>
          <w:rFonts w:ascii="Times New Roman" w:hAnsi="Times New Roman" w:cs="Times New Roman"/>
        </w:rPr>
        <w:t xml:space="preserve">Type of Subjects </w:t>
      </w:r>
    </w:p>
    <w:p w14:paraId="3AAEE746" w14:textId="77777777" w:rsidR="005F664E" w:rsidRPr="00C371E9" w:rsidRDefault="005F664E" w:rsidP="005F664E">
      <w:pPr>
        <w:pStyle w:val="ListParagraph"/>
        <w:numPr>
          <w:ilvl w:val="0"/>
          <w:numId w:val="6"/>
        </w:numPr>
        <w:snapToGrid w:val="0"/>
        <w:contextualSpacing w:val="0"/>
      </w:pPr>
      <w:r w:rsidRPr="00C371E9">
        <w:t>Subjects who are healthy as determined by medical evaluation including medical history, full physical examination, laboratory tests, and cardiac monitoring using 12-lead ECG, and have venous access sufficient to allow for blood sampling as per the protocol.</w:t>
      </w:r>
    </w:p>
    <w:p w14:paraId="75BEE9B8" w14:textId="5C0739F1" w:rsidR="005F664E" w:rsidRPr="00C371E9" w:rsidRDefault="005F664E" w:rsidP="005F664E">
      <w:pPr>
        <w:pStyle w:val="HeadingNoTOC"/>
        <w:snapToGrid w:val="0"/>
        <w:spacing w:before="0"/>
        <w:rPr>
          <w:rFonts w:ascii="Times New Roman" w:hAnsi="Times New Roman" w:cs="Times New Roman"/>
        </w:rPr>
      </w:pPr>
      <w:r w:rsidRPr="00C371E9">
        <w:rPr>
          <w:rFonts w:ascii="Times New Roman" w:hAnsi="Times New Roman" w:cs="Times New Roman"/>
        </w:rPr>
        <w:t>Weight</w:t>
      </w:r>
    </w:p>
    <w:p w14:paraId="38192FF4" w14:textId="77777777" w:rsidR="005F664E" w:rsidRPr="00C371E9" w:rsidRDefault="005F664E" w:rsidP="005F664E">
      <w:pPr>
        <w:pStyle w:val="ListParagraph"/>
        <w:numPr>
          <w:ilvl w:val="0"/>
          <w:numId w:val="6"/>
        </w:numPr>
        <w:snapToGrid w:val="0"/>
        <w:contextualSpacing w:val="0"/>
      </w:pPr>
      <w:r w:rsidRPr="00C371E9">
        <w:t>Body weight ≤</w:t>
      </w:r>
      <w:r w:rsidRPr="00C371E9">
        <w:rPr>
          <w:rStyle w:val="CPTVariable"/>
          <w:color w:val="auto"/>
        </w:rPr>
        <w:t>100 kg</w:t>
      </w:r>
      <w:r w:rsidRPr="00C371E9">
        <w:t xml:space="preserve"> and body mass index (BMI) within the range of 19.0-24.0kg/m</w:t>
      </w:r>
      <w:r w:rsidRPr="00C371E9">
        <w:rPr>
          <w:vertAlign w:val="superscript"/>
        </w:rPr>
        <w:t>2</w:t>
      </w:r>
      <w:r w:rsidRPr="00C371E9">
        <w:t xml:space="preserve"> (inclusive). The weight of male subjects shall be no less than 50kg, and that of female subjects shall be no less than 45kg.</w:t>
      </w:r>
    </w:p>
    <w:p w14:paraId="39518413" w14:textId="77777777" w:rsidR="005F664E" w:rsidRPr="00C371E9" w:rsidRDefault="005F664E" w:rsidP="005F664E">
      <w:pPr>
        <w:pStyle w:val="HeadingNoTOC"/>
        <w:snapToGrid w:val="0"/>
        <w:spacing w:before="0"/>
        <w:rPr>
          <w:rFonts w:ascii="Times New Roman" w:hAnsi="Times New Roman" w:cs="Times New Roman"/>
        </w:rPr>
      </w:pPr>
      <w:r w:rsidRPr="00C371E9">
        <w:rPr>
          <w:rFonts w:ascii="Times New Roman" w:hAnsi="Times New Roman" w:cs="Times New Roman"/>
        </w:rPr>
        <w:t>Sex</w:t>
      </w:r>
    </w:p>
    <w:p w14:paraId="07449DFB" w14:textId="77777777" w:rsidR="005F664E" w:rsidRPr="00C371E9" w:rsidRDefault="005F664E" w:rsidP="005F664E">
      <w:pPr>
        <w:pStyle w:val="ListParagraph"/>
        <w:numPr>
          <w:ilvl w:val="0"/>
          <w:numId w:val="6"/>
        </w:numPr>
        <w:snapToGrid w:val="0"/>
        <w:contextualSpacing w:val="0"/>
      </w:pPr>
      <w:r w:rsidRPr="00C371E9">
        <w:rPr>
          <w:rStyle w:val="CPTVariable"/>
          <w:rFonts w:eastAsia="MS Mincho"/>
          <w:color w:val="auto"/>
        </w:rPr>
        <w:t xml:space="preserve"> Male and female</w:t>
      </w:r>
    </w:p>
    <w:p w14:paraId="6E6D47D3" w14:textId="77777777" w:rsidR="005F664E" w:rsidRPr="00C371E9" w:rsidRDefault="005F664E" w:rsidP="005F664E">
      <w:pPr>
        <w:snapToGrid w:val="0"/>
        <w:spacing w:after="0" w:line="240" w:lineRule="auto"/>
        <w:ind w:left="360"/>
        <w:rPr>
          <w:rFonts w:ascii="Times New Roman" w:hAnsi="Times New Roman"/>
        </w:rPr>
      </w:pPr>
      <w:r w:rsidRPr="00C371E9">
        <w:rPr>
          <w:rFonts w:ascii="Times New Roman" w:hAnsi="Times New Roman"/>
        </w:rPr>
        <w:t>Contraceptive use by men or women should be consistent with local regulations regarding the methods of contraception for those participating in clinical studies.</w:t>
      </w:r>
    </w:p>
    <w:p w14:paraId="716958D8" w14:textId="77777777" w:rsidR="005F664E" w:rsidRPr="00C371E9" w:rsidRDefault="005F664E" w:rsidP="005F664E">
      <w:pPr>
        <w:pStyle w:val="listalpha"/>
        <w:tabs>
          <w:tab w:val="num" w:pos="432"/>
        </w:tabs>
        <w:snapToGrid w:val="0"/>
        <w:spacing w:after="0"/>
        <w:ind w:left="720" w:hanging="360"/>
        <w:rPr>
          <w:lang w:val="en-US"/>
        </w:rPr>
      </w:pPr>
      <w:r w:rsidRPr="00C371E9">
        <w:rPr>
          <w:lang w:val="en-US"/>
        </w:rPr>
        <w:t>Male subjects:</w:t>
      </w:r>
    </w:p>
    <w:p w14:paraId="71824596" w14:textId="77777777" w:rsidR="005F664E" w:rsidRPr="00C371E9" w:rsidRDefault="005F664E" w:rsidP="005F664E">
      <w:pPr>
        <w:numPr>
          <w:ilvl w:val="1"/>
          <w:numId w:val="7"/>
        </w:numPr>
        <w:snapToGrid w:val="0"/>
        <w:spacing w:after="0" w:line="240" w:lineRule="auto"/>
        <w:textAlignment w:val="baseline"/>
        <w:rPr>
          <w:rFonts w:ascii="Times New Roman" w:hAnsi="Times New Roman"/>
        </w:rPr>
      </w:pPr>
      <w:r w:rsidRPr="00C371E9">
        <w:rPr>
          <w:rFonts w:ascii="Times New Roman" w:eastAsia="宋体" w:hAnsi="Times New Roman"/>
          <w:lang w:val="en-US" w:eastAsia="zh-CN"/>
        </w:rPr>
        <w:t xml:space="preserve">Male subjects with female partners of childbearing potential must agree to meet one of the following contraception requirements from the time of study agent administration through the end of the study: </w:t>
      </w:r>
    </w:p>
    <w:p w14:paraId="2DB473B8" w14:textId="77777777" w:rsidR="005F664E" w:rsidRPr="00C371E9" w:rsidRDefault="005F664E" w:rsidP="005F664E">
      <w:pPr>
        <w:numPr>
          <w:ilvl w:val="0"/>
          <w:numId w:val="8"/>
        </w:numPr>
        <w:snapToGrid w:val="0"/>
        <w:spacing w:after="0" w:line="240" w:lineRule="auto"/>
        <w:textAlignment w:val="baseline"/>
        <w:rPr>
          <w:rFonts w:ascii="Times New Roman" w:eastAsia="宋体" w:hAnsi="Times New Roman"/>
          <w:lang w:val="en-US" w:eastAsia="zh-CN"/>
        </w:rPr>
      </w:pPr>
      <w:r w:rsidRPr="00C371E9">
        <w:rPr>
          <w:rFonts w:ascii="Times New Roman" w:eastAsia="宋体" w:hAnsi="Times New Roman"/>
          <w:lang w:val="en-US" w:eastAsia="zh-CN"/>
        </w:rPr>
        <w:t>total abstinence, or</w:t>
      </w:r>
    </w:p>
    <w:p w14:paraId="7EC826CB" w14:textId="77777777" w:rsidR="005F664E" w:rsidRPr="00C371E9" w:rsidRDefault="005F664E" w:rsidP="005F664E">
      <w:pPr>
        <w:numPr>
          <w:ilvl w:val="0"/>
          <w:numId w:val="8"/>
        </w:numPr>
        <w:snapToGrid w:val="0"/>
        <w:spacing w:after="0" w:line="240" w:lineRule="auto"/>
        <w:textAlignment w:val="baseline"/>
        <w:rPr>
          <w:rFonts w:ascii="Times New Roman" w:eastAsia="宋体" w:hAnsi="Times New Roman"/>
          <w:lang w:val="en-US" w:eastAsia="zh-CN"/>
        </w:rPr>
      </w:pPr>
      <w:r w:rsidRPr="00C371E9">
        <w:rPr>
          <w:rFonts w:ascii="Times New Roman" w:eastAsia="宋体" w:hAnsi="Times New Roman"/>
          <w:lang w:val="en-US" w:eastAsia="zh-CN"/>
        </w:rPr>
        <w:t xml:space="preserve">vasectomy with documentation of azoospermia, or </w:t>
      </w:r>
    </w:p>
    <w:p w14:paraId="5F85287D" w14:textId="77777777" w:rsidR="005F664E" w:rsidRPr="00C371E9" w:rsidRDefault="005F664E" w:rsidP="005F664E">
      <w:pPr>
        <w:numPr>
          <w:ilvl w:val="0"/>
          <w:numId w:val="8"/>
        </w:numPr>
        <w:snapToGrid w:val="0"/>
        <w:spacing w:after="0" w:line="240" w:lineRule="auto"/>
        <w:textAlignment w:val="baseline"/>
        <w:rPr>
          <w:rFonts w:ascii="Times New Roman" w:eastAsia="宋体" w:hAnsi="Times New Roman"/>
          <w:lang w:val="en-US" w:eastAsia="zh-CN"/>
        </w:rPr>
      </w:pPr>
      <w:r w:rsidRPr="00C371E9">
        <w:rPr>
          <w:rFonts w:ascii="Times New Roman" w:eastAsia="宋体" w:hAnsi="Times New Roman"/>
          <w:lang w:val="en-US" w:eastAsia="zh-CN"/>
        </w:rPr>
        <w:t>barrier form of contraception with spermicide, or</w:t>
      </w:r>
    </w:p>
    <w:p w14:paraId="126F2F3C" w14:textId="77777777" w:rsidR="005F664E" w:rsidRPr="00C371E9" w:rsidRDefault="005F664E" w:rsidP="005F664E">
      <w:pPr>
        <w:numPr>
          <w:ilvl w:val="0"/>
          <w:numId w:val="8"/>
        </w:numPr>
        <w:snapToGrid w:val="0"/>
        <w:spacing w:after="0" w:line="240" w:lineRule="auto"/>
        <w:textAlignment w:val="baseline"/>
        <w:rPr>
          <w:rFonts w:ascii="Times New Roman" w:eastAsia="宋体" w:hAnsi="Times New Roman"/>
          <w:lang w:val="en-US" w:eastAsia="zh-CN"/>
        </w:rPr>
      </w:pPr>
      <w:r w:rsidRPr="00C371E9">
        <w:rPr>
          <w:rFonts w:ascii="Times New Roman" w:eastAsia="宋体" w:hAnsi="Times New Roman"/>
          <w:lang w:val="en-US" w:eastAsia="zh-CN"/>
        </w:rPr>
        <w:t xml:space="preserve">female partner use of an intrauterine device or hormonal contraceptives including oral, implantable, </w:t>
      </w:r>
      <w:proofErr w:type="gramStart"/>
      <w:r w:rsidRPr="00C371E9">
        <w:rPr>
          <w:rFonts w:ascii="Times New Roman" w:eastAsia="宋体" w:hAnsi="Times New Roman"/>
          <w:lang w:val="en-US" w:eastAsia="zh-CN"/>
        </w:rPr>
        <w:t>injectable</w:t>
      </w:r>
      <w:proofErr w:type="gramEnd"/>
      <w:r w:rsidRPr="00C371E9">
        <w:rPr>
          <w:rFonts w:ascii="Times New Roman" w:eastAsia="宋体" w:hAnsi="Times New Roman"/>
          <w:lang w:val="en-US" w:eastAsia="zh-CN"/>
        </w:rPr>
        <w:t xml:space="preserve"> or transdermal contraceptives within 30 days prior to male subject signing the informed consent form (ICF).</w:t>
      </w:r>
    </w:p>
    <w:p w14:paraId="4C6E09E2" w14:textId="3232A596" w:rsidR="005F664E" w:rsidRPr="00C371E9" w:rsidRDefault="005F664E" w:rsidP="005F664E">
      <w:pPr>
        <w:numPr>
          <w:ilvl w:val="1"/>
          <w:numId w:val="7"/>
        </w:numPr>
        <w:snapToGrid w:val="0"/>
        <w:spacing w:after="0" w:line="240" w:lineRule="auto"/>
        <w:textAlignment w:val="baseline"/>
        <w:rPr>
          <w:rFonts w:ascii="Times New Roman" w:eastAsia="宋体" w:hAnsi="Times New Roman"/>
          <w:lang w:val="en-US" w:eastAsia="zh-CN"/>
        </w:rPr>
      </w:pPr>
      <w:r w:rsidRPr="00C371E9">
        <w:rPr>
          <w:rFonts w:ascii="Times New Roman" w:eastAsia="宋体" w:hAnsi="Times New Roman"/>
          <w:lang w:val="en-US" w:eastAsia="zh-CN"/>
        </w:rPr>
        <w:t>Male subjects must also agree not to donate sperm through the end of the study.</w:t>
      </w:r>
    </w:p>
    <w:p w14:paraId="347DFE84" w14:textId="77777777" w:rsidR="005F664E" w:rsidRPr="00C371E9" w:rsidRDefault="005F664E" w:rsidP="005F664E">
      <w:pPr>
        <w:pStyle w:val="listalpha"/>
        <w:tabs>
          <w:tab w:val="num" w:pos="432"/>
        </w:tabs>
        <w:snapToGrid w:val="0"/>
        <w:spacing w:after="0"/>
        <w:ind w:left="720" w:hanging="360"/>
        <w:rPr>
          <w:lang w:val="en-US"/>
        </w:rPr>
      </w:pPr>
      <w:r w:rsidRPr="00C371E9">
        <w:rPr>
          <w:lang w:val="en-US"/>
        </w:rPr>
        <w:t>Female subjects:</w:t>
      </w:r>
    </w:p>
    <w:p w14:paraId="6099D881" w14:textId="77777777" w:rsidR="005F664E" w:rsidRPr="00C371E9" w:rsidRDefault="005F664E" w:rsidP="005F664E">
      <w:pPr>
        <w:numPr>
          <w:ilvl w:val="0"/>
          <w:numId w:val="9"/>
        </w:numPr>
        <w:snapToGrid w:val="0"/>
        <w:spacing w:after="0" w:line="240" w:lineRule="auto"/>
        <w:rPr>
          <w:rFonts w:ascii="Times New Roman" w:hAnsi="Times New Roman"/>
        </w:rPr>
      </w:pPr>
      <w:r w:rsidRPr="00C371E9">
        <w:rPr>
          <w:rFonts w:ascii="Times New Roman" w:hAnsi="Times New Roman"/>
        </w:rPr>
        <w:t>A female subject is eligible to participate if she is:</w:t>
      </w:r>
    </w:p>
    <w:p w14:paraId="0913C2CE" w14:textId="77777777" w:rsidR="005F664E" w:rsidRPr="00C371E9" w:rsidRDefault="005F664E" w:rsidP="005F664E">
      <w:pPr>
        <w:pStyle w:val="ListParagraph"/>
        <w:numPr>
          <w:ilvl w:val="0"/>
          <w:numId w:val="12"/>
        </w:numPr>
        <w:snapToGrid w:val="0"/>
        <w:contextualSpacing w:val="0"/>
      </w:pPr>
      <w:r w:rsidRPr="00C371E9">
        <w:t xml:space="preserve">of non-childbearing potential, defined as premenarchal, or pre-menopausal with a documented hysterectomy, or bilateral tubal ligation or oophorectomy. </w:t>
      </w:r>
    </w:p>
    <w:p w14:paraId="56250890" w14:textId="77777777" w:rsidR="005F664E" w:rsidRPr="00C371E9" w:rsidRDefault="005F664E" w:rsidP="005F664E">
      <w:pPr>
        <w:pStyle w:val="ListParagraph"/>
        <w:numPr>
          <w:ilvl w:val="0"/>
          <w:numId w:val="12"/>
        </w:numPr>
        <w:snapToGrid w:val="0"/>
        <w:contextualSpacing w:val="0"/>
      </w:pPr>
      <w:r w:rsidRPr="00C371E9">
        <w:t>of childbearing potential, not breastfeeding and agrees to use one of the following acceptable methods of contraception through the end of the study:</w:t>
      </w:r>
    </w:p>
    <w:p w14:paraId="65C67133" w14:textId="77777777" w:rsidR="005F664E" w:rsidRPr="00C371E9" w:rsidRDefault="005F664E" w:rsidP="005F664E">
      <w:pPr>
        <w:numPr>
          <w:ilvl w:val="0"/>
          <w:numId w:val="10"/>
        </w:numPr>
        <w:snapToGrid w:val="0"/>
        <w:spacing w:after="0" w:line="240" w:lineRule="auto"/>
        <w:textAlignment w:val="baseline"/>
        <w:rPr>
          <w:rFonts w:ascii="Times New Roman" w:hAnsi="Times New Roman"/>
        </w:rPr>
      </w:pPr>
      <w:r w:rsidRPr="00C371E9">
        <w:rPr>
          <w:rFonts w:ascii="Times New Roman" w:eastAsia="宋体" w:hAnsi="Times New Roman"/>
          <w:lang w:val="en-US" w:eastAsia="zh-CN"/>
        </w:rPr>
        <w:t>total abstinence, or</w:t>
      </w:r>
    </w:p>
    <w:p w14:paraId="08F19928" w14:textId="77777777" w:rsidR="005F664E" w:rsidRPr="00C371E9" w:rsidRDefault="005F664E" w:rsidP="005F664E">
      <w:pPr>
        <w:numPr>
          <w:ilvl w:val="0"/>
          <w:numId w:val="10"/>
        </w:numPr>
        <w:snapToGrid w:val="0"/>
        <w:spacing w:after="0" w:line="240" w:lineRule="auto"/>
        <w:rPr>
          <w:rFonts w:ascii="Times New Roman" w:eastAsia="宋体" w:hAnsi="Times New Roman"/>
          <w:lang w:val="en-US" w:eastAsia="zh-CN"/>
        </w:rPr>
      </w:pPr>
      <w:r w:rsidRPr="00C371E9">
        <w:rPr>
          <w:rFonts w:ascii="Times New Roman" w:hAnsi="Times New Roman"/>
        </w:rPr>
        <w:t>barrier form of contraception such as condom or occlusive cap with spermicide, or</w:t>
      </w:r>
    </w:p>
    <w:p w14:paraId="378D4F06" w14:textId="77777777" w:rsidR="005F664E" w:rsidRPr="00C371E9" w:rsidRDefault="005F664E" w:rsidP="005F664E">
      <w:pPr>
        <w:numPr>
          <w:ilvl w:val="0"/>
          <w:numId w:val="10"/>
        </w:numPr>
        <w:snapToGrid w:val="0"/>
        <w:spacing w:after="0" w:line="240" w:lineRule="auto"/>
        <w:rPr>
          <w:rFonts w:ascii="Times New Roman" w:hAnsi="Times New Roman"/>
        </w:rPr>
      </w:pPr>
      <w:r w:rsidRPr="00C371E9">
        <w:rPr>
          <w:rFonts w:ascii="Times New Roman" w:hAnsi="Times New Roman"/>
        </w:rPr>
        <w:lastRenderedPageBreak/>
        <w:t xml:space="preserve">an intrauterine device, or </w:t>
      </w:r>
      <w:r w:rsidRPr="00C371E9">
        <w:rPr>
          <w:rFonts w:ascii="Times New Roman" w:eastAsia="宋体" w:hAnsi="Times New Roman"/>
          <w:lang w:eastAsia="zh-CN"/>
        </w:rPr>
        <w:t xml:space="preserve">hormonal contraceptives including oral, implantable, </w:t>
      </w:r>
      <w:proofErr w:type="gramStart"/>
      <w:r w:rsidRPr="00C371E9">
        <w:rPr>
          <w:rFonts w:ascii="Times New Roman" w:eastAsia="宋体" w:hAnsi="Times New Roman"/>
          <w:lang w:eastAsia="zh-CN"/>
        </w:rPr>
        <w:t>injectable</w:t>
      </w:r>
      <w:proofErr w:type="gramEnd"/>
      <w:r w:rsidRPr="00C371E9">
        <w:rPr>
          <w:rFonts w:ascii="Times New Roman" w:eastAsia="宋体" w:hAnsi="Times New Roman"/>
          <w:lang w:eastAsia="zh-CN"/>
        </w:rPr>
        <w:t xml:space="preserve"> or transdermal contraceptives initiated at least within 30 days prior to signing the ICF.</w:t>
      </w:r>
    </w:p>
    <w:p w14:paraId="431D7B90" w14:textId="6D67B770" w:rsidR="005F664E" w:rsidRPr="00C371E9" w:rsidRDefault="36F079B1" w:rsidP="36F079B1">
      <w:pPr>
        <w:numPr>
          <w:ilvl w:val="0"/>
          <w:numId w:val="9"/>
        </w:numPr>
        <w:snapToGrid w:val="0"/>
        <w:spacing w:after="0" w:line="240" w:lineRule="auto"/>
        <w:rPr>
          <w:rFonts w:asciiTheme="minorHAnsi" w:eastAsiaTheme="minorEastAsia" w:hAnsiTheme="minorHAnsi" w:cstheme="minorBidi"/>
          <w:szCs w:val="24"/>
        </w:rPr>
      </w:pPr>
      <w:r w:rsidRPr="00A72D5E">
        <w:rPr>
          <w:rFonts w:ascii="Times New Roman Bold" w:eastAsia="Times New Roman Bold" w:hAnsi="Times New Roman Bold" w:cs="Times New Roman Bold"/>
          <w:szCs w:val="24"/>
          <w:lang w:val="en-US"/>
        </w:rPr>
        <w:t>Woman of Childbearing Potential</w:t>
      </w:r>
      <w:r w:rsidR="00A309F3">
        <w:rPr>
          <w:rFonts w:ascii="Times New Roman Bold" w:eastAsia="Times New Roman Bold" w:hAnsi="Times New Roman Bold" w:cs="Times New Roman Bold"/>
          <w:szCs w:val="24"/>
          <w:lang w:val="en-US"/>
        </w:rPr>
        <w:t>*</w:t>
      </w:r>
      <w:r w:rsidRPr="008F200F">
        <w:rPr>
          <w:rFonts w:ascii="Times New Roman Bold" w:eastAsia="Times New Roman Bold" w:hAnsi="Times New Roman Bold" w:cs="Times New Roman Bold"/>
          <w:szCs w:val="24"/>
          <w:lang w:val="en-US"/>
        </w:rPr>
        <w:t xml:space="preserve"> </w:t>
      </w:r>
      <w:r w:rsidRPr="36F079B1">
        <w:rPr>
          <w:rFonts w:ascii="Times New Roman Bold" w:eastAsia="Times New Roman Bold" w:hAnsi="Times New Roman Bold" w:cs="Times New Roman Bold"/>
          <w:b/>
          <w:bCs/>
          <w:szCs w:val="24"/>
          <w:lang w:val="en-US"/>
        </w:rPr>
        <w:t>(</w:t>
      </w:r>
      <w:r w:rsidRPr="36F079B1">
        <w:rPr>
          <w:rFonts w:ascii="Times New Roman" w:hAnsi="Times New Roman"/>
        </w:rPr>
        <w:t>WOCBP) must have a negative serum pregnancy test at screening and a negative serum pregnancy test on Day 1 prior to study treatment (within 24 hours) administration.</w:t>
      </w:r>
    </w:p>
    <w:p w14:paraId="5D1A09BE" w14:textId="54654A33" w:rsidR="005F664E" w:rsidRPr="00C371E9" w:rsidRDefault="005F664E" w:rsidP="005F664E">
      <w:pPr>
        <w:snapToGrid w:val="0"/>
        <w:spacing w:after="0" w:line="240" w:lineRule="auto"/>
        <w:rPr>
          <w:rFonts w:ascii="Times New Roman" w:hAnsi="Times New Roman"/>
        </w:rPr>
      </w:pPr>
      <w:r w:rsidRPr="00C371E9">
        <w:rPr>
          <w:rFonts w:ascii="Times New Roman" w:hAnsi="Times New Roman"/>
        </w:rPr>
        <w:fldChar w:fldCharType="begin"/>
      </w:r>
      <w:r w:rsidRPr="00C371E9">
        <w:rPr>
          <w:rFonts w:ascii="Times New Roman" w:hAnsi="Times New Roman"/>
        </w:rPr>
        <w:instrText xml:space="preserve"> REF _Ref528241817 \r \h  \* MERGEFORMAT </w:instrText>
      </w:r>
      <w:r w:rsidRPr="00C371E9">
        <w:rPr>
          <w:rFonts w:ascii="Times New Roman" w:hAnsi="Times New Roman"/>
        </w:rPr>
      </w:r>
      <w:r w:rsidRPr="00C371E9">
        <w:rPr>
          <w:rFonts w:ascii="Times New Roman" w:hAnsi="Times New Roman"/>
        </w:rPr>
        <w:fldChar w:fldCharType="end"/>
      </w:r>
    </w:p>
    <w:p w14:paraId="4AF4B456" w14:textId="77777777" w:rsidR="005F664E" w:rsidRPr="00C371E9" w:rsidRDefault="005F664E" w:rsidP="005F664E">
      <w:pPr>
        <w:snapToGrid w:val="0"/>
        <w:spacing w:after="0" w:line="240" w:lineRule="auto"/>
        <w:rPr>
          <w:rFonts w:ascii="Times New Roman" w:hAnsi="Times New Roman"/>
          <w:b/>
        </w:rPr>
      </w:pPr>
      <w:r w:rsidRPr="00C371E9">
        <w:rPr>
          <w:rFonts w:ascii="Times New Roman" w:hAnsi="Times New Roman"/>
          <w:b/>
        </w:rPr>
        <w:t>Informed</w:t>
      </w:r>
      <w:r w:rsidRPr="00C371E9">
        <w:rPr>
          <w:rFonts w:ascii="Times New Roman" w:hAnsi="Times New Roman"/>
        </w:rPr>
        <w:t xml:space="preserve"> </w:t>
      </w:r>
      <w:r w:rsidRPr="00C371E9">
        <w:rPr>
          <w:rFonts w:ascii="Times New Roman" w:hAnsi="Times New Roman"/>
          <w:b/>
        </w:rPr>
        <w:t>Consent</w:t>
      </w:r>
    </w:p>
    <w:p w14:paraId="28B719D1" w14:textId="70DEC36F" w:rsidR="005F664E" w:rsidRPr="00C371E9" w:rsidRDefault="36F079B1" w:rsidP="005F664E">
      <w:pPr>
        <w:pStyle w:val="ListParagraph"/>
        <w:numPr>
          <w:ilvl w:val="0"/>
          <w:numId w:val="6"/>
        </w:numPr>
        <w:snapToGrid w:val="0"/>
        <w:contextualSpacing w:val="0"/>
      </w:pPr>
      <w:r>
        <w:t xml:space="preserve">Capable of giving signed informed consent as described in </w:t>
      </w:r>
      <w:r w:rsidR="005F664E">
        <w:fldChar w:fldCharType="begin"/>
      </w:r>
      <w:r w:rsidR="005F664E">
        <w:instrText xml:space="preserve"> REF _Ref41565827 \r \h  \* MERGEFORMAT </w:instrText>
      </w:r>
      <w:r w:rsidR="005F664E">
        <w:fldChar w:fldCharType="end"/>
      </w:r>
      <w:r>
        <w:t xml:space="preserve"> the protocol which includes compliance with the requirements and restrictions listed in the ICF and in this protocol. </w:t>
      </w:r>
    </w:p>
    <w:p w14:paraId="136620D9" w14:textId="77777777" w:rsidR="005F664E" w:rsidRPr="00C371E9" w:rsidRDefault="005F664E" w:rsidP="005F664E">
      <w:pPr>
        <w:snapToGrid w:val="0"/>
        <w:spacing w:after="0" w:line="240" w:lineRule="auto"/>
        <w:rPr>
          <w:rFonts w:ascii="Times New Roman" w:hAnsi="Times New Roman"/>
          <w:b/>
          <w:bCs/>
        </w:rPr>
      </w:pPr>
      <w:r w:rsidRPr="00C371E9">
        <w:rPr>
          <w:rFonts w:ascii="Times New Roman" w:hAnsi="Times New Roman"/>
          <w:b/>
          <w:bCs/>
        </w:rPr>
        <w:t>Other Inclusions</w:t>
      </w:r>
    </w:p>
    <w:p w14:paraId="5006E7F8" w14:textId="77777777" w:rsidR="005F664E" w:rsidRPr="00C371E9" w:rsidRDefault="005F664E" w:rsidP="005F664E">
      <w:pPr>
        <w:pStyle w:val="ListParagraph"/>
        <w:numPr>
          <w:ilvl w:val="0"/>
          <w:numId w:val="6"/>
        </w:numPr>
        <w:snapToGrid w:val="0"/>
        <w:contextualSpacing w:val="0"/>
      </w:pPr>
      <w:r w:rsidRPr="00C371E9">
        <w:t>Agrees to not donate blood during the duration of the study.</w:t>
      </w:r>
    </w:p>
    <w:p w14:paraId="33FDE558" w14:textId="77777777" w:rsidR="005F664E" w:rsidRPr="00C371E9" w:rsidRDefault="005F664E" w:rsidP="005F664E">
      <w:pPr>
        <w:pStyle w:val="ListParagraph"/>
        <w:numPr>
          <w:ilvl w:val="0"/>
          <w:numId w:val="6"/>
        </w:numPr>
        <w:snapToGrid w:val="0"/>
        <w:contextualSpacing w:val="0"/>
      </w:pPr>
      <w:r w:rsidRPr="00C371E9">
        <w:t>Agrees not to increase physical activity for 4 weeks after study agent administration.</w:t>
      </w:r>
    </w:p>
    <w:p w14:paraId="2E54290D" w14:textId="77777777" w:rsidR="005F664E" w:rsidRPr="00C371E9" w:rsidRDefault="005F664E" w:rsidP="005F664E">
      <w:pPr>
        <w:pStyle w:val="Heading2"/>
        <w:snapToGrid w:val="0"/>
        <w:spacing w:before="0" w:after="0" w:line="240" w:lineRule="auto"/>
        <w:rPr>
          <w:rFonts w:ascii="Times New Roman" w:hAnsi="Times New Roman"/>
          <w:u w:val="single"/>
        </w:rPr>
      </w:pPr>
      <w:bookmarkStart w:id="7" w:name="_Toc45095234"/>
      <w:r w:rsidRPr="00C371E9">
        <w:rPr>
          <w:rFonts w:ascii="Times New Roman" w:hAnsi="Times New Roman"/>
          <w:u w:val="single"/>
        </w:rPr>
        <w:t>Exclusion Criteria</w:t>
      </w:r>
      <w:bookmarkEnd w:id="4"/>
      <w:bookmarkEnd w:id="5"/>
      <w:bookmarkEnd w:id="6"/>
      <w:bookmarkEnd w:id="7"/>
      <w:r w:rsidRPr="00C371E9">
        <w:rPr>
          <w:rFonts w:ascii="Times New Roman" w:hAnsi="Times New Roman"/>
          <w:u w:val="single"/>
        </w:rPr>
        <w:t xml:space="preserve"> </w:t>
      </w:r>
    </w:p>
    <w:p w14:paraId="2ABAD997" w14:textId="61805EC2" w:rsidR="005F664E" w:rsidRPr="00C371E9" w:rsidRDefault="005F664E" w:rsidP="005F664E">
      <w:pPr>
        <w:snapToGrid w:val="0"/>
        <w:spacing w:after="0" w:line="240" w:lineRule="auto"/>
        <w:rPr>
          <w:rFonts w:ascii="Times New Roman" w:hAnsi="Times New Roman"/>
        </w:rPr>
      </w:pPr>
      <w:r w:rsidRPr="00C371E9">
        <w:rPr>
          <w:rFonts w:ascii="Times New Roman" w:hAnsi="Times New Roman"/>
        </w:rPr>
        <w:t>Subjects are excluded from the study if any of the following criteria apply:</w:t>
      </w:r>
    </w:p>
    <w:p w14:paraId="5D3A383E" w14:textId="77777777" w:rsidR="005F664E" w:rsidRPr="00C371E9" w:rsidRDefault="005F664E" w:rsidP="005F664E">
      <w:pPr>
        <w:snapToGrid w:val="0"/>
        <w:spacing w:after="0" w:line="240" w:lineRule="auto"/>
        <w:rPr>
          <w:rFonts w:ascii="Times New Roman" w:hAnsi="Times New Roman"/>
          <w:b/>
        </w:rPr>
      </w:pPr>
      <w:r w:rsidRPr="00C371E9">
        <w:rPr>
          <w:rFonts w:ascii="Times New Roman" w:hAnsi="Times New Roman"/>
          <w:b/>
        </w:rPr>
        <w:t>Medical Conditions</w:t>
      </w:r>
    </w:p>
    <w:p w14:paraId="1D8C79D1" w14:textId="77777777" w:rsidR="005F664E" w:rsidRPr="00C371E9" w:rsidRDefault="005F664E" w:rsidP="005F664E">
      <w:pPr>
        <w:pStyle w:val="paragraph"/>
        <w:numPr>
          <w:ilvl w:val="0"/>
          <w:numId w:val="11"/>
        </w:numPr>
        <w:snapToGrid w:val="0"/>
        <w:textAlignment w:val="baseline"/>
        <w:rPr>
          <w:rStyle w:val="eop"/>
          <w:rFonts w:ascii="Times New Roman" w:hAnsi="Times New Roman" w:cs="Times New Roman"/>
        </w:rPr>
      </w:pPr>
      <w:r w:rsidRPr="00C371E9">
        <w:rPr>
          <w:rStyle w:val="eop"/>
          <w:rFonts w:ascii="Times New Roman" w:hAnsi="Times New Roman" w:cs="Times New Roman"/>
        </w:rPr>
        <w:t>Significant history or clinical manifestation of any metabolic, allergic, dermatological, hepatic, renal, hematological, pulmonary, cardiovascular, gastrointestinal, neoplastic (</w:t>
      </w:r>
      <w:proofErr w:type="gramStart"/>
      <w:r w:rsidRPr="00C371E9">
        <w:rPr>
          <w:rStyle w:val="eop"/>
          <w:rFonts w:ascii="Times New Roman" w:hAnsi="Times New Roman" w:cs="Times New Roman"/>
        </w:rPr>
        <w:t>with the exception of</w:t>
      </w:r>
      <w:proofErr w:type="gramEnd"/>
      <w:r w:rsidRPr="00C371E9">
        <w:rPr>
          <w:rStyle w:val="eop"/>
          <w:rFonts w:ascii="Times New Roman" w:hAnsi="Times New Roman" w:cs="Times New Roman"/>
        </w:rPr>
        <w:t xml:space="preserve"> basal or squamous cell cancer), neurological, or psychiatric disorder (as determined by the Investigator) capable of significantly altering the absorption of drugs; of constituting a risk when taking the study intervention; or of interfering with the interpretation of the data.</w:t>
      </w:r>
    </w:p>
    <w:p w14:paraId="312A11DB" w14:textId="77777777" w:rsidR="005F664E" w:rsidRPr="00C371E9" w:rsidRDefault="005F664E" w:rsidP="005F664E">
      <w:pPr>
        <w:pStyle w:val="paragraph"/>
        <w:numPr>
          <w:ilvl w:val="0"/>
          <w:numId w:val="11"/>
        </w:numPr>
        <w:snapToGrid w:val="0"/>
        <w:textAlignment w:val="baseline"/>
        <w:rPr>
          <w:rStyle w:val="eop"/>
          <w:rFonts w:ascii="Times New Roman" w:hAnsi="Times New Roman" w:cs="Times New Roman"/>
        </w:rPr>
      </w:pPr>
      <w:r w:rsidRPr="00C371E9">
        <w:rPr>
          <w:rStyle w:val="eop"/>
          <w:rFonts w:ascii="Times New Roman" w:hAnsi="Times New Roman" w:cs="Times New Roman"/>
        </w:rPr>
        <w:t>SARS-COV-2 exposure history or clinical history of COVID-19, including positive COVID-19 RNA test one week before screening or at screening.</w:t>
      </w:r>
    </w:p>
    <w:p w14:paraId="35FBCA9D" w14:textId="77777777" w:rsidR="005F664E" w:rsidRPr="00C371E9" w:rsidRDefault="005F664E" w:rsidP="005F664E">
      <w:pPr>
        <w:pStyle w:val="paragraph"/>
        <w:numPr>
          <w:ilvl w:val="0"/>
          <w:numId w:val="11"/>
        </w:numPr>
        <w:snapToGrid w:val="0"/>
        <w:textAlignment w:val="baseline"/>
        <w:rPr>
          <w:rStyle w:val="eop"/>
          <w:rFonts w:ascii="Times New Roman" w:hAnsi="Times New Roman" w:cs="Times New Roman"/>
        </w:rPr>
      </w:pPr>
      <w:r w:rsidRPr="00C371E9">
        <w:rPr>
          <w:rStyle w:val="eop"/>
          <w:rFonts w:ascii="Times New Roman" w:hAnsi="Times New Roman" w:cs="Times New Roman"/>
        </w:rPr>
        <w:t>History of previous diagnosis of SARS.</w:t>
      </w:r>
    </w:p>
    <w:p w14:paraId="1798AA86"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Style w:val="eop"/>
          <w:rFonts w:ascii="Times New Roman" w:hAnsi="Times New Roman" w:cs="Times New Roman"/>
        </w:rPr>
        <w:t>Any history of a severe allergic reaction with generalized urticaria, angioedema, or anaphylaxis prior to enrollment that has a reasonable risk of recurrence during the study.</w:t>
      </w:r>
    </w:p>
    <w:p w14:paraId="56D2A714" w14:textId="77777777" w:rsidR="005F664E" w:rsidRPr="00C371E9" w:rsidRDefault="005F664E" w:rsidP="005F664E">
      <w:pPr>
        <w:pStyle w:val="paragraph"/>
        <w:numPr>
          <w:ilvl w:val="0"/>
          <w:numId w:val="11"/>
        </w:numPr>
        <w:snapToGrid w:val="0"/>
        <w:textAlignment w:val="baseline"/>
        <w:rPr>
          <w:rStyle w:val="normaltextrun1"/>
          <w:rFonts w:ascii="Times New Roman" w:hAnsi="Times New Roman" w:cs="Times New Roman"/>
        </w:rPr>
      </w:pPr>
      <w:r w:rsidRPr="00C371E9">
        <w:rPr>
          <w:rStyle w:val="normaltextrun1"/>
          <w:rFonts w:ascii="Times New Roman" w:hAnsi="Times New Roman" w:cs="Times New Roman"/>
        </w:rPr>
        <w:t>A history of significant hypersensitivity, intolerance, or allergy to any drug compound, food, or other substance, unless approved by the Investigator.</w:t>
      </w:r>
    </w:p>
    <w:p w14:paraId="6A608048" w14:textId="77777777" w:rsidR="005F664E" w:rsidRPr="00C371E9" w:rsidRDefault="005F664E" w:rsidP="005F664E">
      <w:pPr>
        <w:pStyle w:val="paragraph"/>
        <w:numPr>
          <w:ilvl w:val="0"/>
          <w:numId w:val="11"/>
        </w:numPr>
        <w:snapToGrid w:val="0"/>
        <w:textAlignment w:val="baseline"/>
        <w:rPr>
          <w:rStyle w:val="normaltextrun1"/>
          <w:rFonts w:ascii="Times New Roman" w:hAnsi="Times New Roman" w:cs="Times New Roman"/>
        </w:rPr>
      </w:pPr>
      <w:r w:rsidRPr="00C371E9">
        <w:rPr>
          <w:rStyle w:val="normaltextrun1"/>
          <w:rFonts w:ascii="Times New Roman" w:hAnsi="Times New Roman" w:cs="Times New Roman"/>
        </w:rPr>
        <w:t>Bleeding disorder diagnosed by a doctor (e.g., factor deficiency, coagulopathy, or platelet disorder requiring special precautions) or significant bruising or bleeding difficulties with blood draws.</w:t>
      </w:r>
    </w:p>
    <w:p w14:paraId="13263814" w14:textId="77777777" w:rsidR="005F664E" w:rsidRPr="00C371E9" w:rsidRDefault="005F664E" w:rsidP="005F664E">
      <w:pPr>
        <w:pStyle w:val="paragraph"/>
        <w:numPr>
          <w:ilvl w:val="0"/>
          <w:numId w:val="11"/>
        </w:numPr>
        <w:snapToGrid w:val="0"/>
        <w:textAlignment w:val="baseline"/>
        <w:rPr>
          <w:rStyle w:val="normaltextrun1"/>
          <w:rFonts w:ascii="Times New Roman" w:hAnsi="Times New Roman" w:cs="Times New Roman"/>
        </w:rPr>
      </w:pPr>
      <w:r w:rsidRPr="00C371E9">
        <w:rPr>
          <w:rStyle w:val="normaltextrun1"/>
          <w:rFonts w:ascii="Times New Roman" w:hAnsi="Times New Roman" w:cs="Times New Roman"/>
        </w:rPr>
        <w:t>Any major surgical procedure or hospitalization within 3 months prior to Day 1 or during the study, unless deemed not clinically significant by the Investigator.</w:t>
      </w:r>
    </w:p>
    <w:p w14:paraId="3C421CA6"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Style w:val="normaltextrun1"/>
          <w:rFonts w:ascii="Times New Roman" w:hAnsi="Times New Roman" w:cs="Times New Roman"/>
        </w:rPr>
        <w:t>History or presence of an abnormal ECG which, in the Investigator's opinion, is clinically significant.</w:t>
      </w:r>
      <w:r w:rsidRPr="00C371E9">
        <w:rPr>
          <w:rStyle w:val="eop"/>
          <w:rFonts w:ascii="Times New Roman" w:hAnsi="Times New Roman" w:cs="Times New Roman"/>
        </w:rPr>
        <w:t> </w:t>
      </w:r>
    </w:p>
    <w:p w14:paraId="4F51EDC9"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Fonts w:ascii="Times New Roman" w:hAnsi="Times New Roman" w:cs="Times New Roman"/>
        </w:rPr>
        <w:t>History of alcohol or other substance abuse within 1 year prior to screening according to the Diagnostic and Statistical Manual of Mental Disorders, 5th edition criteria, or recent use of drugs of abuse or a positive urine screen for drugs of abuse at screening.</w:t>
      </w:r>
    </w:p>
    <w:p w14:paraId="151C1DED"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Fonts w:ascii="Times New Roman" w:hAnsi="Times New Roman" w:cs="Times New Roman"/>
        </w:rPr>
        <w:t xml:space="preserve">History of depression or suicidal thoughts and/or behaviors within 1 year prior to screening. </w:t>
      </w:r>
    </w:p>
    <w:p w14:paraId="72B4C1C5"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Style w:val="normaltextrun1"/>
          <w:rFonts w:ascii="Times New Roman" w:hAnsi="Times New Roman" w:cs="Times New Roman"/>
        </w:rPr>
        <w:t xml:space="preserve">History of </w:t>
      </w:r>
      <w:r w:rsidRPr="00C371E9">
        <w:rPr>
          <w:rFonts w:ascii="Times New Roman" w:hAnsi="Times New Roman" w:cs="Times New Roman"/>
        </w:rPr>
        <w:t xml:space="preserve">clinically significant chronic liver disease from any cause, presence of hepatitis B surface antigen, hepatitis C virus antibody, human immunodeficiency virus antibody, or syphilis antibody. </w:t>
      </w:r>
    </w:p>
    <w:p w14:paraId="1B7A9702" w14:textId="77777777" w:rsidR="005F664E" w:rsidRPr="00C371E9" w:rsidRDefault="005F664E" w:rsidP="005F664E">
      <w:pPr>
        <w:snapToGrid w:val="0"/>
        <w:spacing w:after="0" w:line="240" w:lineRule="auto"/>
        <w:rPr>
          <w:rFonts w:ascii="Times New Roman" w:hAnsi="Times New Roman"/>
          <w:b/>
        </w:rPr>
      </w:pPr>
      <w:r w:rsidRPr="00C371E9">
        <w:rPr>
          <w:rFonts w:ascii="Times New Roman" w:hAnsi="Times New Roman"/>
          <w:b/>
        </w:rPr>
        <w:t>Prior/Concomitant Therapy</w:t>
      </w:r>
    </w:p>
    <w:p w14:paraId="48FFE5B1" w14:textId="77777777" w:rsidR="005F664E" w:rsidRPr="00C371E9" w:rsidRDefault="005F664E" w:rsidP="005F664E">
      <w:pPr>
        <w:pStyle w:val="paragraph"/>
        <w:numPr>
          <w:ilvl w:val="0"/>
          <w:numId w:val="11"/>
        </w:numPr>
        <w:snapToGrid w:val="0"/>
        <w:textAlignment w:val="baseline"/>
        <w:rPr>
          <w:rStyle w:val="normaltextrun1"/>
          <w:rFonts w:ascii="Times New Roman" w:eastAsiaTheme="minorEastAsia" w:hAnsi="Times New Roman" w:cs="Times New Roman"/>
          <w:lang w:val="en-GB" w:eastAsia="en-US"/>
        </w:rPr>
      </w:pPr>
      <w:r w:rsidRPr="00C371E9">
        <w:rPr>
          <w:rStyle w:val="normaltextrun1"/>
          <w:rFonts w:ascii="Times New Roman" w:hAnsi="Times New Roman" w:cs="Times New Roman"/>
        </w:rPr>
        <w:t xml:space="preserve">Use prescription drugs within 14 days before Day </w:t>
      </w:r>
      <w:proofErr w:type="gramStart"/>
      <w:r w:rsidRPr="00C371E9">
        <w:rPr>
          <w:rStyle w:val="normaltextrun1"/>
          <w:rFonts w:ascii="Times New Roman" w:hAnsi="Times New Roman" w:cs="Times New Roman"/>
        </w:rPr>
        <w:t>1, or</w:t>
      </w:r>
      <w:proofErr w:type="gramEnd"/>
      <w:r w:rsidRPr="00C371E9">
        <w:rPr>
          <w:rStyle w:val="normaltextrun1"/>
          <w:rFonts w:ascii="Times New Roman" w:hAnsi="Times New Roman" w:cs="Times New Roman"/>
        </w:rPr>
        <w:t xml:space="preserve"> expected in the course of the study.</w:t>
      </w:r>
    </w:p>
    <w:p w14:paraId="1C1B9976"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Fonts w:ascii="Times New Roman" w:hAnsi="Times New Roman" w:cs="Times New Roman"/>
        </w:rPr>
        <w:lastRenderedPageBreak/>
        <w:t xml:space="preserve">Use of antiplatelet, anticoagulant, or antiepileptic medications within 30 days prior to Day 1, or expected </w:t>
      </w:r>
      <w:proofErr w:type="gramStart"/>
      <w:r w:rsidRPr="00C371E9">
        <w:rPr>
          <w:rFonts w:ascii="Times New Roman" w:hAnsi="Times New Roman" w:cs="Times New Roman"/>
        </w:rPr>
        <w:t>in the course of</w:t>
      </w:r>
      <w:proofErr w:type="gramEnd"/>
      <w:r w:rsidRPr="00C371E9">
        <w:rPr>
          <w:rFonts w:ascii="Times New Roman" w:hAnsi="Times New Roman" w:cs="Times New Roman"/>
        </w:rPr>
        <w:t xml:space="preserve"> the study.</w:t>
      </w:r>
    </w:p>
    <w:p w14:paraId="69DAF564" w14:textId="77777777" w:rsidR="005F664E" w:rsidRPr="00C371E9" w:rsidRDefault="005F664E" w:rsidP="005F664E">
      <w:pPr>
        <w:pStyle w:val="ListParagraph"/>
        <w:numPr>
          <w:ilvl w:val="0"/>
          <w:numId w:val="11"/>
        </w:numPr>
        <w:snapToGrid w:val="0"/>
        <w:contextualSpacing w:val="0"/>
        <w:rPr>
          <w:rStyle w:val="CPTVariable"/>
          <w:color w:val="auto"/>
        </w:rPr>
      </w:pPr>
      <w:r w:rsidRPr="00C371E9">
        <w:rPr>
          <w:rStyle w:val="CPTVariable"/>
          <w:color w:val="auto"/>
        </w:rPr>
        <w:t xml:space="preserve">Received immunoglobulin or blood products in the 6 months prior to Day </w:t>
      </w:r>
      <w:proofErr w:type="gramStart"/>
      <w:r w:rsidRPr="00C371E9">
        <w:rPr>
          <w:rStyle w:val="CPTVariable"/>
          <w:color w:val="auto"/>
        </w:rPr>
        <w:t>1, or</w:t>
      </w:r>
      <w:proofErr w:type="gramEnd"/>
      <w:r w:rsidRPr="00C371E9">
        <w:rPr>
          <w:rStyle w:val="CPTVariable"/>
          <w:color w:val="auto"/>
        </w:rPr>
        <w:t xml:space="preserve"> expected in the course of the study.</w:t>
      </w:r>
    </w:p>
    <w:p w14:paraId="10050002" w14:textId="77777777" w:rsidR="005F664E" w:rsidRPr="00C371E9" w:rsidRDefault="005F664E" w:rsidP="005F664E">
      <w:pPr>
        <w:pStyle w:val="ListParagraph"/>
        <w:numPr>
          <w:ilvl w:val="0"/>
          <w:numId w:val="11"/>
        </w:numPr>
        <w:snapToGrid w:val="0"/>
        <w:contextualSpacing w:val="0"/>
        <w:textAlignment w:val="baseline"/>
        <w:rPr>
          <w:rStyle w:val="CPTVariable"/>
          <w:color w:val="auto"/>
        </w:rPr>
      </w:pPr>
      <w:r w:rsidRPr="00C371E9">
        <w:rPr>
          <w:rStyle w:val="CPTVariable"/>
          <w:color w:val="auto"/>
        </w:rPr>
        <w:t>Received any vaccine within 14 days prior to Day 1 through 180 days after dosing in the study.</w:t>
      </w:r>
    </w:p>
    <w:p w14:paraId="2ADDF7D0" w14:textId="77777777" w:rsidR="005F664E" w:rsidRPr="00C371E9" w:rsidRDefault="005F664E" w:rsidP="005F664E">
      <w:pPr>
        <w:pStyle w:val="ListParagraph"/>
        <w:numPr>
          <w:ilvl w:val="0"/>
          <w:numId w:val="11"/>
        </w:numPr>
        <w:snapToGrid w:val="0"/>
        <w:contextualSpacing w:val="0"/>
        <w:textAlignment w:val="baseline"/>
        <w:rPr>
          <w:rStyle w:val="CPTVariable"/>
          <w:color w:val="auto"/>
        </w:rPr>
      </w:pPr>
      <w:r w:rsidRPr="00C371E9">
        <w:rPr>
          <w:rStyle w:val="normaltextrun1"/>
        </w:rPr>
        <w:t xml:space="preserve">Use of over the counter (OTC) medication or herbal remedy, e.g., Traditional Chinese Medicine, within 14 days before Day 1, or expected </w:t>
      </w:r>
      <w:proofErr w:type="gramStart"/>
      <w:r w:rsidRPr="00C371E9">
        <w:rPr>
          <w:rStyle w:val="normaltextrun1"/>
        </w:rPr>
        <w:t>in the course of</w:t>
      </w:r>
      <w:proofErr w:type="gramEnd"/>
      <w:r w:rsidRPr="00C371E9">
        <w:rPr>
          <w:rStyle w:val="normaltextrun1"/>
        </w:rPr>
        <w:t xml:space="preserve"> the study</w:t>
      </w:r>
      <w:r w:rsidRPr="00C371E9">
        <w:rPr>
          <w:rStyle w:val="eop"/>
        </w:rPr>
        <w:t>.</w:t>
      </w:r>
    </w:p>
    <w:p w14:paraId="2078AB0D" w14:textId="77777777" w:rsidR="005F664E" w:rsidRPr="00C371E9" w:rsidRDefault="005F664E" w:rsidP="005F664E">
      <w:pPr>
        <w:snapToGrid w:val="0"/>
        <w:spacing w:after="0" w:line="240" w:lineRule="auto"/>
        <w:rPr>
          <w:rFonts w:ascii="Times New Roman" w:hAnsi="Times New Roman"/>
          <w:b/>
        </w:rPr>
      </w:pPr>
      <w:r w:rsidRPr="00C371E9">
        <w:rPr>
          <w:rFonts w:ascii="Times New Roman" w:hAnsi="Times New Roman"/>
          <w:b/>
        </w:rPr>
        <w:t>Prior/Concurrent Clinical Study Experience</w:t>
      </w:r>
    </w:p>
    <w:p w14:paraId="5046C5F2" w14:textId="77777777" w:rsidR="005F664E" w:rsidRPr="00C371E9" w:rsidRDefault="005F664E" w:rsidP="005F664E">
      <w:pPr>
        <w:pStyle w:val="paragraph"/>
        <w:numPr>
          <w:ilvl w:val="0"/>
          <w:numId w:val="11"/>
        </w:numPr>
        <w:snapToGrid w:val="0"/>
        <w:textAlignment w:val="baseline"/>
        <w:rPr>
          <w:rStyle w:val="normaltextrun1"/>
          <w:rFonts w:ascii="Times New Roman" w:eastAsiaTheme="minorEastAsia" w:hAnsi="Times New Roman" w:cs="Times New Roman"/>
          <w:lang w:val="en-GB" w:eastAsia="en-US"/>
        </w:rPr>
      </w:pPr>
      <w:r w:rsidRPr="00C371E9">
        <w:rPr>
          <w:rStyle w:val="normaltextrun1"/>
          <w:rFonts w:ascii="Times New Roman" w:hAnsi="Times New Roman" w:cs="Times New Roman"/>
        </w:rPr>
        <w:t>Received an investigational agent or provided clinical samples for clinical studies within 90 days or 5 half-lives of the investigational agent whichever is longer, before screening or are active in the follow-up phase of another clinical study involving interventional treatment. Subjects must also agree not to take part in any other study at any time during their participation in this study, inclusive of the follow-up period.</w:t>
      </w:r>
    </w:p>
    <w:p w14:paraId="4624C5E8" w14:textId="77777777" w:rsidR="005F664E" w:rsidRPr="00C371E9" w:rsidRDefault="005F664E" w:rsidP="005F664E">
      <w:pPr>
        <w:pStyle w:val="ListParagraph"/>
        <w:numPr>
          <w:ilvl w:val="0"/>
          <w:numId w:val="11"/>
        </w:numPr>
        <w:snapToGrid w:val="0"/>
        <w:contextualSpacing w:val="0"/>
        <w:rPr>
          <w:rStyle w:val="CPTVariable"/>
          <w:color w:val="auto"/>
        </w:rPr>
      </w:pPr>
      <w:r w:rsidRPr="00C371E9">
        <w:rPr>
          <w:rStyle w:val="CPTVariable"/>
          <w:color w:val="auto"/>
        </w:rPr>
        <w:t>Previous receipt of a licensed or investigational monoclonal antibody within 5 half-lives or 6 months prior to screening, whichever is longer.</w:t>
      </w:r>
    </w:p>
    <w:p w14:paraId="0BC92BD4" w14:textId="77777777" w:rsidR="005F664E" w:rsidRPr="00C371E9" w:rsidRDefault="005F664E" w:rsidP="005F664E">
      <w:pPr>
        <w:snapToGrid w:val="0"/>
        <w:spacing w:after="0" w:line="240" w:lineRule="auto"/>
        <w:rPr>
          <w:rFonts w:ascii="Times New Roman" w:hAnsi="Times New Roman"/>
          <w:b/>
        </w:rPr>
      </w:pPr>
      <w:r w:rsidRPr="00C371E9">
        <w:rPr>
          <w:rFonts w:ascii="Times New Roman" w:hAnsi="Times New Roman"/>
          <w:b/>
        </w:rPr>
        <w:t>Diagnostic assessments</w:t>
      </w:r>
    </w:p>
    <w:p w14:paraId="3FA30FA0" w14:textId="77777777" w:rsidR="005F664E" w:rsidRPr="00C371E9" w:rsidRDefault="005F664E" w:rsidP="005F664E">
      <w:pPr>
        <w:pStyle w:val="paragraph"/>
        <w:numPr>
          <w:ilvl w:val="0"/>
          <w:numId w:val="11"/>
        </w:numPr>
        <w:snapToGrid w:val="0"/>
        <w:textAlignment w:val="baseline"/>
        <w:rPr>
          <w:rStyle w:val="eop"/>
          <w:rFonts w:ascii="Times New Roman" w:eastAsiaTheme="minorEastAsia" w:hAnsi="Times New Roman" w:cs="Times New Roman"/>
          <w:lang w:val="en-GB" w:eastAsia="en-US"/>
        </w:rPr>
      </w:pPr>
      <w:r w:rsidRPr="00C371E9">
        <w:rPr>
          <w:rStyle w:val="normaltextrun1"/>
          <w:rFonts w:ascii="Times New Roman" w:hAnsi="Times New Roman" w:cs="Times New Roman"/>
        </w:rPr>
        <w:t>Systolic blood pressure &gt;140 mmHg or a diastolic blood pressure of &gt;90 mmHg after approximately 10 minutes resting at screening</w:t>
      </w:r>
      <w:r w:rsidRPr="00C371E9">
        <w:rPr>
          <w:rStyle w:val="eop"/>
          <w:rFonts w:ascii="Times New Roman" w:hAnsi="Times New Roman" w:cs="Times New Roman"/>
        </w:rPr>
        <w:t>.</w:t>
      </w:r>
    </w:p>
    <w:p w14:paraId="6D9B3C06" w14:textId="77777777" w:rsidR="005F664E" w:rsidRPr="00C371E9" w:rsidRDefault="005F664E" w:rsidP="005F664E">
      <w:pPr>
        <w:pStyle w:val="paragraph"/>
        <w:numPr>
          <w:ilvl w:val="0"/>
          <w:numId w:val="11"/>
        </w:numPr>
        <w:snapToGrid w:val="0"/>
        <w:textAlignment w:val="baseline"/>
        <w:rPr>
          <w:rStyle w:val="CPTVariable"/>
          <w:rFonts w:ascii="Times New Roman" w:hAnsi="Times New Roman" w:cs="Times New Roman"/>
          <w:color w:val="auto"/>
        </w:rPr>
      </w:pPr>
      <w:r w:rsidRPr="00C371E9">
        <w:rPr>
          <w:rFonts w:ascii="Times New Roman" w:hAnsi="Times New Roman" w:cs="Times New Roman"/>
        </w:rPr>
        <w:t>Calculated glomerular filtration rate of &lt;60 mL/min/1.73m</w:t>
      </w:r>
      <w:r w:rsidRPr="00C371E9">
        <w:rPr>
          <w:rFonts w:ascii="Times New Roman" w:hAnsi="Times New Roman" w:cs="Times New Roman"/>
          <w:vertAlign w:val="superscript"/>
        </w:rPr>
        <w:t>2</w:t>
      </w:r>
      <w:r w:rsidRPr="00C371E9">
        <w:rPr>
          <w:rFonts w:ascii="Times New Roman" w:hAnsi="Times New Roman" w:cs="Times New Roman"/>
        </w:rPr>
        <w:t xml:space="preserve"> by estimated glomerular filtration rate (eGFR) using standardized local clinical methodology.</w:t>
      </w:r>
      <w:r w:rsidRPr="00C371E9">
        <w:rPr>
          <w:rStyle w:val="eop"/>
          <w:rFonts w:ascii="Times New Roman" w:hAnsi="Times New Roman" w:cs="Times New Roman"/>
        </w:rPr>
        <w:t> </w:t>
      </w:r>
    </w:p>
    <w:p w14:paraId="775A9648" w14:textId="77777777" w:rsidR="005F664E" w:rsidRPr="00C371E9" w:rsidRDefault="005F664E" w:rsidP="005F664E">
      <w:pPr>
        <w:snapToGrid w:val="0"/>
        <w:spacing w:after="0" w:line="240" w:lineRule="auto"/>
        <w:rPr>
          <w:rFonts w:ascii="Times New Roman" w:hAnsi="Times New Roman"/>
          <w:b/>
        </w:rPr>
      </w:pPr>
      <w:r w:rsidRPr="00C371E9">
        <w:rPr>
          <w:rFonts w:ascii="Times New Roman" w:hAnsi="Times New Roman"/>
          <w:b/>
        </w:rPr>
        <w:t>Other Exclusions</w:t>
      </w:r>
    </w:p>
    <w:p w14:paraId="69443BC5"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Fonts w:ascii="Times New Roman" w:hAnsi="Times New Roman" w:cs="Times New Roman"/>
        </w:rPr>
        <w:t>Has an average weekly alcohol intake that exceeds 21 units of alcohol per week (males) or 14 units per week (females) within 30 days prior to screening. One unit: 1 glass of wine 5 oz or 150 mL; 12 oz or 360 mL of beer; 1.5 oz or 45 mL of distilled spirits.</w:t>
      </w:r>
    </w:p>
    <w:p w14:paraId="79B5D8E4"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Fonts w:ascii="Times New Roman" w:hAnsi="Times New Roman" w:cs="Times New Roman"/>
        </w:rPr>
        <w:t xml:space="preserve">Are unwilling to stop alcohol consumption within 72 </w:t>
      </w:r>
      <w:proofErr w:type="spellStart"/>
      <w:r w:rsidRPr="00C371E9">
        <w:rPr>
          <w:rFonts w:ascii="Times New Roman" w:hAnsi="Times New Roman" w:cs="Times New Roman"/>
        </w:rPr>
        <w:t>hr</w:t>
      </w:r>
      <w:proofErr w:type="spellEnd"/>
      <w:r w:rsidRPr="00C371E9">
        <w:rPr>
          <w:rFonts w:ascii="Times New Roman" w:hAnsi="Times New Roman" w:cs="Times New Roman"/>
        </w:rPr>
        <w:t xml:space="preserve"> prior to Day 1 (as confirmed by alcohol breath screen) or expected for the 24 </w:t>
      </w:r>
      <w:proofErr w:type="spellStart"/>
      <w:r w:rsidRPr="00C371E9">
        <w:rPr>
          <w:rFonts w:ascii="Times New Roman" w:hAnsi="Times New Roman" w:cs="Times New Roman"/>
        </w:rPr>
        <w:t>hr</w:t>
      </w:r>
      <w:proofErr w:type="spellEnd"/>
      <w:r w:rsidRPr="00C371E9">
        <w:rPr>
          <w:rFonts w:ascii="Times New Roman" w:hAnsi="Times New Roman" w:cs="Times New Roman"/>
        </w:rPr>
        <w:t xml:space="preserve"> post-dose period.</w:t>
      </w:r>
    </w:p>
    <w:p w14:paraId="504EAB59"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Fonts w:ascii="Times New Roman" w:hAnsi="Times New Roman" w:cs="Times New Roman"/>
        </w:rPr>
        <w:t xml:space="preserve">Need special dietary </w:t>
      </w:r>
      <w:proofErr w:type="gramStart"/>
      <w:r w:rsidRPr="00C371E9">
        <w:rPr>
          <w:rFonts w:ascii="Times New Roman" w:hAnsi="Times New Roman" w:cs="Times New Roman"/>
        </w:rPr>
        <w:t>restrictions, unless</w:t>
      </w:r>
      <w:proofErr w:type="gramEnd"/>
      <w:r w:rsidRPr="00C371E9">
        <w:rPr>
          <w:rFonts w:ascii="Times New Roman" w:hAnsi="Times New Roman" w:cs="Times New Roman"/>
        </w:rPr>
        <w:t xml:space="preserve"> the restrictions are approved by the Investigator and/or </w:t>
      </w:r>
      <w:proofErr w:type="spellStart"/>
      <w:r w:rsidRPr="00C371E9">
        <w:rPr>
          <w:rFonts w:ascii="Times New Roman" w:hAnsi="Times New Roman" w:cs="Times New Roman"/>
        </w:rPr>
        <w:t>Brii</w:t>
      </w:r>
      <w:proofErr w:type="spellEnd"/>
      <w:r w:rsidRPr="00C371E9">
        <w:rPr>
          <w:rFonts w:ascii="Times New Roman" w:hAnsi="Times New Roman" w:cs="Times New Roman"/>
        </w:rPr>
        <w:t xml:space="preserve"> Biosciences.</w:t>
      </w:r>
    </w:p>
    <w:p w14:paraId="75104D5F" w14:textId="77777777" w:rsidR="005F664E" w:rsidRPr="00C371E9" w:rsidRDefault="005F664E" w:rsidP="005F664E">
      <w:pPr>
        <w:pStyle w:val="paragraph"/>
        <w:numPr>
          <w:ilvl w:val="0"/>
          <w:numId w:val="11"/>
        </w:numPr>
        <w:snapToGrid w:val="0"/>
        <w:textAlignment w:val="baseline"/>
        <w:rPr>
          <w:rFonts w:ascii="Times New Roman" w:hAnsi="Times New Roman" w:cs="Times New Roman"/>
        </w:rPr>
      </w:pPr>
      <w:r w:rsidRPr="00C371E9">
        <w:rPr>
          <w:rStyle w:val="normaltextrun1"/>
          <w:rFonts w:ascii="Times New Roman" w:hAnsi="Times New Roman" w:cs="Times New Roman"/>
        </w:rPr>
        <w:t>Any conditions which, in the opinion of the Investigator, would make the subject unsuitable for enrollment or could interfere with the subject’s participation in or completion of the study.</w:t>
      </w:r>
      <w:r w:rsidRPr="00C371E9">
        <w:rPr>
          <w:rStyle w:val="eop"/>
          <w:rFonts w:ascii="Times New Roman" w:hAnsi="Times New Roman" w:cs="Times New Roman"/>
        </w:rPr>
        <w:t> </w:t>
      </w:r>
    </w:p>
    <w:p w14:paraId="5CE7F43E" w14:textId="740E4D78" w:rsidR="005F664E" w:rsidRPr="005F664E" w:rsidRDefault="36F079B1" w:rsidP="005F664E">
      <w:pPr>
        <w:pStyle w:val="paragraph"/>
        <w:numPr>
          <w:ilvl w:val="0"/>
          <w:numId w:val="11"/>
        </w:numPr>
        <w:snapToGrid w:val="0"/>
        <w:textAlignment w:val="baseline"/>
        <w:rPr>
          <w:rFonts w:ascii="Times New Roman" w:hAnsi="Times New Roman" w:cs="Times New Roman"/>
          <w:color w:val="0070C0"/>
        </w:rPr>
      </w:pPr>
      <w:r w:rsidRPr="36F079B1">
        <w:rPr>
          <w:rStyle w:val="normaltextrun1"/>
          <w:rFonts w:ascii="Times New Roman" w:hAnsi="Times New Roman" w:cs="Times New Roman"/>
        </w:rPr>
        <w:t>Donated blood within 90 days before screening.</w:t>
      </w:r>
    </w:p>
    <w:p w14:paraId="139DD965" w14:textId="6A87F488" w:rsidR="36F079B1" w:rsidRDefault="36F079B1" w:rsidP="00AF0458">
      <w:pPr>
        <w:pStyle w:val="paragraph"/>
        <w:rPr>
          <w:rStyle w:val="normaltextrun1"/>
          <w:rFonts w:ascii="Times New Roman" w:hAnsi="Times New Roman" w:cs="Times New Roman"/>
        </w:rPr>
      </w:pPr>
    </w:p>
    <w:p w14:paraId="44550072" w14:textId="18BF0312" w:rsidR="36F079B1" w:rsidRPr="00AF0458" w:rsidRDefault="00A309F3" w:rsidP="00AF0458">
      <w:pPr>
        <w:spacing w:after="0" w:line="240" w:lineRule="auto"/>
        <w:rPr>
          <w:rFonts w:ascii="Times New Roman Bold" w:eastAsia="Times New Roman Bold" w:hAnsi="Times New Roman Bold" w:cs="Times New Roman Bold"/>
          <w:b/>
          <w:bCs/>
          <w:szCs w:val="24"/>
          <w:lang w:val="en-US"/>
        </w:rPr>
      </w:pPr>
      <w:r>
        <w:rPr>
          <w:rFonts w:ascii="Times New Roman Bold" w:eastAsia="Times New Roman Bold" w:hAnsi="Times New Roman Bold" w:cs="Times New Roman Bold"/>
          <w:b/>
          <w:bCs/>
          <w:szCs w:val="24"/>
          <w:lang w:val="en-US"/>
        </w:rPr>
        <w:t xml:space="preserve">Definition of </w:t>
      </w:r>
      <w:r w:rsidR="36F079B1" w:rsidRPr="00AF0458">
        <w:rPr>
          <w:rFonts w:ascii="Times New Roman Bold" w:eastAsia="Times New Roman Bold" w:hAnsi="Times New Roman Bold" w:cs="Times New Roman Bold"/>
          <w:b/>
          <w:bCs/>
          <w:szCs w:val="24"/>
          <w:lang w:val="en-US"/>
        </w:rPr>
        <w:t>Woman of Childbearing Potential (WOCBP)</w:t>
      </w:r>
    </w:p>
    <w:p w14:paraId="66E37B18" w14:textId="1488C67B" w:rsidR="36F079B1" w:rsidRDefault="36F079B1" w:rsidP="00AF0458">
      <w:pPr>
        <w:spacing w:after="0" w:line="240" w:lineRule="auto"/>
      </w:pPr>
      <w:r w:rsidRPr="36F079B1">
        <w:rPr>
          <w:rFonts w:ascii="Times New Roman" w:hAnsi="Times New Roman"/>
          <w:szCs w:val="24"/>
        </w:rPr>
        <w:t xml:space="preserve">A woman is considered fertile following menarche and until becoming post-menopausal unless permanently sterile (see below). </w:t>
      </w:r>
    </w:p>
    <w:p w14:paraId="31A0ABEB" w14:textId="1AC99E0A" w:rsidR="36F079B1" w:rsidRDefault="36F079B1" w:rsidP="00AF0458">
      <w:pPr>
        <w:spacing w:after="0" w:line="240" w:lineRule="auto"/>
      </w:pPr>
      <w:r w:rsidRPr="36F079B1">
        <w:rPr>
          <w:rFonts w:ascii="Times New Roman" w:hAnsi="Times New Roman"/>
          <w:szCs w:val="24"/>
        </w:rPr>
        <w:t>If fertility is unclear (e.g., amenorrhea in adolescents or athletes) and a menstrual cycle cannot be confirmed before first dose of study intervention, additional evaluation should be considered.</w:t>
      </w:r>
    </w:p>
    <w:p w14:paraId="13CC3F11" w14:textId="5FA22460" w:rsidR="36F079B1" w:rsidRDefault="36F079B1" w:rsidP="00AF0458">
      <w:pPr>
        <w:spacing w:after="0" w:line="240" w:lineRule="auto"/>
      </w:pPr>
      <w:r w:rsidRPr="36F079B1">
        <w:rPr>
          <w:rFonts w:ascii="Times New Roman" w:hAnsi="Times New Roman"/>
          <w:szCs w:val="24"/>
        </w:rPr>
        <w:t>Women in the following categories are not considered WOCBP</w:t>
      </w:r>
    </w:p>
    <w:p w14:paraId="0AC1A107" w14:textId="3917D38D" w:rsidR="36F079B1" w:rsidRDefault="36F079B1" w:rsidP="00AF0458">
      <w:pPr>
        <w:pStyle w:val="ListParagraph"/>
        <w:numPr>
          <w:ilvl w:val="0"/>
          <w:numId w:val="4"/>
        </w:numPr>
        <w:rPr>
          <w:rFonts w:asciiTheme="minorHAnsi" w:hAnsiTheme="minorHAnsi" w:cstheme="minorBidi"/>
        </w:rPr>
      </w:pPr>
      <w:r w:rsidRPr="36F079B1">
        <w:t>Premenarchal</w:t>
      </w:r>
    </w:p>
    <w:p w14:paraId="73D13A11" w14:textId="589E4DF6" w:rsidR="36F079B1" w:rsidRDefault="36F079B1" w:rsidP="00AF0458">
      <w:pPr>
        <w:pStyle w:val="ListParagraph"/>
        <w:numPr>
          <w:ilvl w:val="0"/>
          <w:numId w:val="4"/>
        </w:numPr>
        <w:rPr>
          <w:rFonts w:asciiTheme="minorHAnsi" w:hAnsiTheme="minorHAnsi" w:cstheme="minorBidi"/>
        </w:rPr>
      </w:pPr>
      <w:r w:rsidRPr="36F079B1">
        <w:t>Premenopausal female with 1 of the following:</w:t>
      </w:r>
    </w:p>
    <w:p w14:paraId="35B60FF1" w14:textId="5B755958" w:rsidR="36F079B1" w:rsidRDefault="36F079B1" w:rsidP="00AF0458">
      <w:pPr>
        <w:pStyle w:val="ListParagraph"/>
        <w:numPr>
          <w:ilvl w:val="0"/>
          <w:numId w:val="3"/>
        </w:numPr>
        <w:rPr>
          <w:rFonts w:asciiTheme="minorHAnsi" w:hAnsiTheme="minorHAnsi" w:cstheme="minorBidi"/>
        </w:rPr>
      </w:pPr>
      <w:r w:rsidRPr="36F079B1">
        <w:t>Documented hysterectomy</w:t>
      </w:r>
    </w:p>
    <w:p w14:paraId="416F8ABC" w14:textId="4C9D60D4" w:rsidR="36F079B1" w:rsidRDefault="36F079B1" w:rsidP="00AF0458">
      <w:pPr>
        <w:pStyle w:val="ListParagraph"/>
        <w:numPr>
          <w:ilvl w:val="0"/>
          <w:numId w:val="3"/>
        </w:numPr>
        <w:rPr>
          <w:rFonts w:asciiTheme="minorHAnsi" w:hAnsiTheme="minorHAnsi" w:cstheme="minorBidi"/>
        </w:rPr>
      </w:pPr>
      <w:r w:rsidRPr="36F079B1">
        <w:t>Documented bilateral salpingectomy</w:t>
      </w:r>
    </w:p>
    <w:p w14:paraId="43812437" w14:textId="389B4E84" w:rsidR="36F079B1" w:rsidRDefault="36F079B1" w:rsidP="00AF0458">
      <w:pPr>
        <w:pStyle w:val="ListParagraph"/>
        <w:numPr>
          <w:ilvl w:val="0"/>
          <w:numId w:val="3"/>
        </w:numPr>
        <w:rPr>
          <w:rFonts w:asciiTheme="minorHAnsi" w:hAnsiTheme="minorHAnsi" w:cstheme="minorBidi"/>
          <w:lang w:val="en-US"/>
        </w:rPr>
      </w:pPr>
      <w:r w:rsidRPr="36F079B1">
        <w:t>Documented bilateral oophorectomy</w:t>
      </w:r>
      <w:r w:rsidRPr="36F079B1">
        <w:rPr>
          <w:rFonts w:eastAsia="Times New Roman"/>
          <w:lang w:val="en-US"/>
        </w:rPr>
        <w:t xml:space="preserve"> </w:t>
      </w:r>
    </w:p>
    <w:p w14:paraId="000C610C" w14:textId="416CF4DE" w:rsidR="36F079B1" w:rsidRDefault="36F079B1" w:rsidP="00AF0458">
      <w:pPr>
        <w:spacing w:after="0" w:line="240" w:lineRule="auto"/>
        <w:ind w:left="720"/>
      </w:pPr>
      <w:r w:rsidRPr="36F079B1">
        <w:rPr>
          <w:rFonts w:ascii="Times New Roman" w:hAnsi="Times New Roman"/>
          <w:szCs w:val="24"/>
        </w:rPr>
        <w:t xml:space="preserve">For individuals with permanent infertility due to an alternate medical cause other than the above, (e.g., </w:t>
      </w:r>
      <w:proofErr w:type="spellStart"/>
      <w:r w:rsidRPr="36F079B1">
        <w:rPr>
          <w:rFonts w:ascii="Times New Roman" w:hAnsi="Times New Roman"/>
          <w:szCs w:val="24"/>
        </w:rPr>
        <w:t>mullerian</w:t>
      </w:r>
      <w:proofErr w:type="spellEnd"/>
      <w:r w:rsidRPr="36F079B1">
        <w:rPr>
          <w:rFonts w:ascii="Times New Roman" w:hAnsi="Times New Roman"/>
          <w:szCs w:val="24"/>
        </w:rPr>
        <w:t xml:space="preserve"> agenesis, androgen insensitivity), Investigator discretion should be applied to determining study entry.</w:t>
      </w:r>
    </w:p>
    <w:p w14:paraId="60883425" w14:textId="706EA638" w:rsidR="36F079B1" w:rsidRDefault="36F079B1" w:rsidP="00AF0458">
      <w:pPr>
        <w:spacing w:after="0" w:line="240" w:lineRule="auto"/>
      </w:pPr>
      <w:r w:rsidRPr="36F079B1">
        <w:rPr>
          <w:rFonts w:ascii="Times New Roman" w:hAnsi="Times New Roman"/>
          <w:szCs w:val="24"/>
        </w:rPr>
        <w:lastRenderedPageBreak/>
        <w:t xml:space="preserve"> </w:t>
      </w:r>
    </w:p>
    <w:p w14:paraId="297F78D1" w14:textId="5372F384" w:rsidR="36F079B1" w:rsidRDefault="36F079B1" w:rsidP="00AF0458">
      <w:pPr>
        <w:spacing w:after="0" w:line="240" w:lineRule="auto"/>
        <w:ind w:left="720"/>
      </w:pPr>
      <w:r w:rsidRPr="36F079B1">
        <w:rPr>
          <w:rFonts w:ascii="Times New Roman" w:hAnsi="Times New Roman"/>
          <w:szCs w:val="24"/>
        </w:rPr>
        <w:t>Note: Documentation can come from the site personnel’s: review of the subject’s medical records, medical examination, or medical history interview.</w:t>
      </w:r>
    </w:p>
    <w:p w14:paraId="2276A11A" w14:textId="12AC208F" w:rsidR="36F079B1" w:rsidRDefault="36F079B1" w:rsidP="00AF0458">
      <w:pPr>
        <w:pStyle w:val="ListParagraph"/>
        <w:numPr>
          <w:ilvl w:val="0"/>
          <w:numId w:val="4"/>
        </w:numPr>
        <w:rPr>
          <w:rFonts w:asciiTheme="minorHAnsi" w:hAnsiTheme="minorHAnsi" w:cstheme="minorBidi"/>
        </w:rPr>
      </w:pPr>
      <w:r w:rsidRPr="36F079B1">
        <w:t>Postmenopausal female</w:t>
      </w:r>
    </w:p>
    <w:p w14:paraId="397CFE79" w14:textId="0433CB1B" w:rsidR="36F079B1" w:rsidRDefault="36F079B1" w:rsidP="00AF0458">
      <w:pPr>
        <w:pStyle w:val="ListParagraph"/>
        <w:numPr>
          <w:ilvl w:val="0"/>
          <w:numId w:val="2"/>
        </w:numPr>
        <w:rPr>
          <w:rFonts w:asciiTheme="minorHAnsi" w:hAnsiTheme="minorHAnsi" w:cstheme="minorBidi"/>
        </w:rPr>
      </w:pPr>
      <w:r w:rsidRPr="36F079B1">
        <w:t>A postmenopausal state is defined as no menses for 12 months without an alternative medical cause.</w:t>
      </w:r>
    </w:p>
    <w:p w14:paraId="72AC410E" w14:textId="0C4922FF" w:rsidR="36F079B1" w:rsidRDefault="36F079B1" w:rsidP="00AF0458">
      <w:pPr>
        <w:pStyle w:val="ListParagraph"/>
        <w:numPr>
          <w:ilvl w:val="0"/>
          <w:numId w:val="1"/>
        </w:numPr>
        <w:rPr>
          <w:rFonts w:asciiTheme="minorHAnsi" w:hAnsiTheme="minorHAnsi" w:cstheme="minorBidi"/>
        </w:rPr>
      </w:pPr>
      <w:r w:rsidRPr="36F079B1">
        <w:t xml:space="preserve">A high follicle stimulating hormone (FSH) level in the postmenopausal range may be used to confirm a postmenopausal state in women not using hormonal contraception or hormonal replacement therapy (HRT). </w:t>
      </w:r>
    </w:p>
    <w:p w14:paraId="45F089D8" w14:textId="6B10C8AF" w:rsidR="36F079B1" w:rsidRDefault="36F079B1" w:rsidP="00AF0458">
      <w:pPr>
        <w:pStyle w:val="ListParagraph"/>
        <w:numPr>
          <w:ilvl w:val="0"/>
          <w:numId w:val="2"/>
        </w:numPr>
        <w:rPr>
          <w:rFonts w:asciiTheme="minorHAnsi" w:hAnsiTheme="minorHAnsi" w:cstheme="minorBidi"/>
          <w:lang w:val="en-US"/>
        </w:rPr>
      </w:pPr>
      <w:r w:rsidRPr="36F079B1">
        <w:t>Females</w:t>
      </w:r>
      <w:r w:rsidRPr="36F079B1">
        <w:rPr>
          <w:lang w:val="en-US"/>
        </w:rPr>
        <w:t xml:space="preserve"> on HRT and whose menopausal status is in doubt will be required to use one of the non-estrogen hormonal highly effective contraception methods if they wish to continue their HRT during the study. Otherwise, they must discontinue HRT to allow confirmation of postmenopausal status before study enrollment.</w:t>
      </w:r>
    </w:p>
    <w:p w14:paraId="7D419133" w14:textId="7FAB4DC8" w:rsidR="36F079B1" w:rsidRDefault="36F079B1" w:rsidP="36F079B1">
      <w:pPr>
        <w:pStyle w:val="paragraph"/>
        <w:rPr>
          <w:rStyle w:val="normaltextrun1"/>
          <w:rFonts w:ascii="Times New Roman" w:hAnsi="Times New Roman" w:cs="Times New Roman"/>
        </w:rPr>
      </w:pPr>
    </w:p>
    <w:sectPr w:rsidR="36F079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C6C9" w14:textId="77777777" w:rsidR="00682D82" w:rsidRDefault="00682D82" w:rsidP="000C2B59">
      <w:pPr>
        <w:spacing w:after="0" w:line="240" w:lineRule="auto"/>
      </w:pPr>
      <w:r>
        <w:separator/>
      </w:r>
    </w:p>
  </w:endnote>
  <w:endnote w:type="continuationSeparator" w:id="0">
    <w:p w14:paraId="139122B8" w14:textId="77777777" w:rsidR="00682D82" w:rsidRDefault="00682D82" w:rsidP="000C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166A" w14:textId="77777777" w:rsidR="00682D82" w:rsidRDefault="00682D82" w:rsidP="000C2B59">
      <w:pPr>
        <w:spacing w:after="0" w:line="240" w:lineRule="auto"/>
      </w:pPr>
      <w:r>
        <w:separator/>
      </w:r>
    </w:p>
  </w:footnote>
  <w:footnote w:type="continuationSeparator" w:id="0">
    <w:p w14:paraId="60DE4BFF" w14:textId="77777777" w:rsidR="00682D82" w:rsidRDefault="00682D82" w:rsidP="000C2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741"/>
    <w:multiLevelType w:val="hybridMultilevel"/>
    <w:tmpl w:val="84261C4E"/>
    <w:lvl w:ilvl="0" w:tplc="872046B0">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514FC7"/>
    <w:multiLevelType w:val="singleLevel"/>
    <w:tmpl w:val="5874ED24"/>
    <w:lvl w:ilvl="0">
      <w:start w:val="1"/>
      <w:numFmt w:val="lowerLetter"/>
      <w:pStyle w:val="listalpha"/>
      <w:lvlText w:val="%1."/>
      <w:lvlJc w:val="left"/>
      <w:pPr>
        <w:tabs>
          <w:tab w:val="num" w:pos="432"/>
        </w:tabs>
        <w:ind w:left="432" w:hanging="432"/>
      </w:pPr>
    </w:lvl>
  </w:abstractNum>
  <w:abstractNum w:abstractNumId="2" w15:restartNumberingAfterBreak="0">
    <w:nsid w:val="14C86E4D"/>
    <w:multiLevelType w:val="hybridMultilevel"/>
    <w:tmpl w:val="953EFD20"/>
    <w:lvl w:ilvl="0" w:tplc="E8E68730">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0E1D"/>
    <w:multiLevelType w:val="hybridMultilevel"/>
    <w:tmpl w:val="9C608576"/>
    <w:lvl w:ilvl="0" w:tplc="17E06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1C9"/>
    <w:multiLevelType w:val="hybridMultilevel"/>
    <w:tmpl w:val="4046387E"/>
    <w:lvl w:ilvl="0" w:tplc="C9D6B4AA">
      <w:start w:val="1"/>
      <w:numFmt w:val="bullet"/>
      <w:lvlText w:val="·"/>
      <w:lvlJc w:val="left"/>
      <w:pPr>
        <w:ind w:left="720" w:hanging="360"/>
      </w:pPr>
      <w:rPr>
        <w:rFonts w:ascii="Symbol" w:hAnsi="Symbol" w:hint="default"/>
      </w:rPr>
    </w:lvl>
    <w:lvl w:ilvl="1" w:tplc="959AA9C0">
      <w:start w:val="1"/>
      <w:numFmt w:val="bullet"/>
      <w:lvlText w:val="o"/>
      <w:lvlJc w:val="left"/>
      <w:pPr>
        <w:ind w:left="1440" w:hanging="360"/>
      </w:pPr>
      <w:rPr>
        <w:rFonts w:ascii="Courier New" w:hAnsi="Courier New" w:hint="default"/>
      </w:rPr>
    </w:lvl>
    <w:lvl w:ilvl="2" w:tplc="DB700BBC">
      <w:start w:val="1"/>
      <w:numFmt w:val="bullet"/>
      <w:lvlText w:val=""/>
      <w:lvlJc w:val="left"/>
      <w:pPr>
        <w:ind w:left="2160" w:hanging="360"/>
      </w:pPr>
      <w:rPr>
        <w:rFonts w:ascii="Wingdings" w:hAnsi="Wingdings" w:hint="default"/>
      </w:rPr>
    </w:lvl>
    <w:lvl w:ilvl="3" w:tplc="A948E004">
      <w:start w:val="1"/>
      <w:numFmt w:val="bullet"/>
      <w:lvlText w:val=""/>
      <w:lvlJc w:val="left"/>
      <w:pPr>
        <w:ind w:left="2880" w:hanging="360"/>
      </w:pPr>
      <w:rPr>
        <w:rFonts w:ascii="Symbol" w:hAnsi="Symbol" w:hint="default"/>
      </w:rPr>
    </w:lvl>
    <w:lvl w:ilvl="4" w:tplc="A034520A">
      <w:start w:val="1"/>
      <w:numFmt w:val="bullet"/>
      <w:lvlText w:val="o"/>
      <w:lvlJc w:val="left"/>
      <w:pPr>
        <w:ind w:left="3600" w:hanging="360"/>
      </w:pPr>
      <w:rPr>
        <w:rFonts w:ascii="Courier New" w:hAnsi="Courier New" w:hint="default"/>
      </w:rPr>
    </w:lvl>
    <w:lvl w:ilvl="5" w:tplc="B050940A">
      <w:start w:val="1"/>
      <w:numFmt w:val="bullet"/>
      <w:lvlText w:val=""/>
      <w:lvlJc w:val="left"/>
      <w:pPr>
        <w:ind w:left="4320" w:hanging="360"/>
      </w:pPr>
      <w:rPr>
        <w:rFonts w:ascii="Wingdings" w:hAnsi="Wingdings" w:hint="default"/>
      </w:rPr>
    </w:lvl>
    <w:lvl w:ilvl="6" w:tplc="D68AE30A">
      <w:start w:val="1"/>
      <w:numFmt w:val="bullet"/>
      <w:lvlText w:val=""/>
      <w:lvlJc w:val="left"/>
      <w:pPr>
        <w:ind w:left="5040" w:hanging="360"/>
      </w:pPr>
      <w:rPr>
        <w:rFonts w:ascii="Symbol" w:hAnsi="Symbol" w:hint="default"/>
      </w:rPr>
    </w:lvl>
    <w:lvl w:ilvl="7" w:tplc="876225DA">
      <w:start w:val="1"/>
      <w:numFmt w:val="bullet"/>
      <w:lvlText w:val="o"/>
      <w:lvlJc w:val="left"/>
      <w:pPr>
        <w:ind w:left="5760" w:hanging="360"/>
      </w:pPr>
      <w:rPr>
        <w:rFonts w:ascii="Courier New" w:hAnsi="Courier New" w:hint="default"/>
      </w:rPr>
    </w:lvl>
    <w:lvl w:ilvl="8" w:tplc="7458E258">
      <w:start w:val="1"/>
      <w:numFmt w:val="bullet"/>
      <w:lvlText w:val=""/>
      <w:lvlJc w:val="left"/>
      <w:pPr>
        <w:ind w:left="6480" w:hanging="360"/>
      </w:pPr>
      <w:rPr>
        <w:rFonts w:ascii="Wingdings" w:hAnsi="Wingdings" w:hint="default"/>
      </w:rPr>
    </w:lvl>
  </w:abstractNum>
  <w:abstractNum w:abstractNumId="5" w15:restartNumberingAfterBreak="0">
    <w:nsid w:val="26E02A6A"/>
    <w:multiLevelType w:val="hybridMultilevel"/>
    <w:tmpl w:val="A81A7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F20BC3"/>
    <w:multiLevelType w:val="hybridMultilevel"/>
    <w:tmpl w:val="E662F6A0"/>
    <w:lvl w:ilvl="0" w:tplc="FA9261B4">
      <w:start w:val="1"/>
      <w:numFmt w:val="bullet"/>
      <w:lvlText w:val="·"/>
      <w:lvlJc w:val="left"/>
      <w:pPr>
        <w:ind w:left="720" w:hanging="360"/>
      </w:pPr>
      <w:rPr>
        <w:rFonts w:ascii="Symbol" w:hAnsi="Symbol" w:hint="default"/>
      </w:rPr>
    </w:lvl>
    <w:lvl w:ilvl="1" w:tplc="D0106A52">
      <w:start w:val="1"/>
      <w:numFmt w:val="bullet"/>
      <w:lvlText w:val="o"/>
      <w:lvlJc w:val="left"/>
      <w:pPr>
        <w:ind w:left="1440" w:hanging="360"/>
      </w:pPr>
      <w:rPr>
        <w:rFonts w:ascii="Courier New" w:hAnsi="Courier New" w:hint="default"/>
      </w:rPr>
    </w:lvl>
    <w:lvl w:ilvl="2" w:tplc="46D4B0F4">
      <w:start w:val="1"/>
      <w:numFmt w:val="bullet"/>
      <w:lvlText w:val=""/>
      <w:lvlJc w:val="left"/>
      <w:pPr>
        <w:ind w:left="2160" w:hanging="360"/>
      </w:pPr>
      <w:rPr>
        <w:rFonts w:ascii="Wingdings" w:hAnsi="Wingdings" w:hint="default"/>
      </w:rPr>
    </w:lvl>
    <w:lvl w:ilvl="3" w:tplc="0862D73C">
      <w:start w:val="1"/>
      <w:numFmt w:val="bullet"/>
      <w:lvlText w:val=""/>
      <w:lvlJc w:val="left"/>
      <w:pPr>
        <w:ind w:left="2880" w:hanging="360"/>
      </w:pPr>
      <w:rPr>
        <w:rFonts w:ascii="Symbol" w:hAnsi="Symbol" w:hint="default"/>
      </w:rPr>
    </w:lvl>
    <w:lvl w:ilvl="4" w:tplc="D4F0A4FE">
      <w:start w:val="1"/>
      <w:numFmt w:val="bullet"/>
      <w:lvlText w:val="o"/>
      <w:lvlJc w:val="left"/>
      <w:pPr>
        <w:ind w:left="3600" w:hanging="360"/>
      </w:pPr>
      <w:rPr>
        <w:rFonts w:ascii="Courier New" w:hAnsi="Courier New" w:hint="default"/>
      </w:rPr>
    </w:lvl>
    <w:lvl w:ilvl="5" w:tplc="1C40174C">
      <w:start w:val="1"/>
      <w:numFmt w:val="bullet"/>
      <w:lvlText w:val=""/>
      <w:lvlJc w:val="left"/>
      <w:pPr>
        <w:ind w:left="4320" w:hanging="360"/>
      </w:pPr>
      <w:rPr>
        <w:rFonts w:ascii="Wingdings" w:hAnsi="Wingdings" w:hint="default"/>
      </w:rPr>
    </w:lvl>
    <w:lvl w:ilvl="6" w:tplc="05B8BF8C">
      <w:start w:val="1"/>
      <w:numFmt w:val="bullet"/>
      <w:lvlText w:val=""/>
      <w:lvlJc w:val="left"/>
      <w:pPr>
        <w:ind w:left="5040" w:hanging="360"/>
      </w:pPr>
      <w:rPr>
        <w:rFonts w:ascii="Symbol" w:hAnsi="Symbol" w:hint="default"/>
      </w:rPr>
    </w:lvl>
    <w:lvl w:ilvl="7" w:tplc="D902D21E">
      <w:start w:val="1"/>
      <w:numFmt w:val="bullet"/>
      <w:lvlText w:val="o"/>
      <w:lvlJc w:val="left"/>
      <w:pPr>
        <w:ind w:left="5760" w:hanging="360"/>
      </w:pPr>
      <w:rPr>
        <w:rFonts w:ascii="Courier New" w:hAnsi="Courier New" w:hint="default"/>
      </w:rPr>
    </w:lvl>
    <w:lvl w:ilvl="8" w:tplc="4A309980">
      <w:start w:val="1"/>
      <w:numFmt w:val="bullet"/>
      <w:lvlText w:val=""/>
      <w:lvlJc w:val="left"/>
      <w:pPr>
        <w:ind w:left="6480" w:hanging="360"/>
      </w:pPr>
      <w:rPr>
        <w:rFonts w:ascii="Wingdings" w:hAnsi="Wingdings" w:hint="default"/>
      </w:rPr>
    </w:lvl>
  </w:abstractNum>
  <w:abstractNum w:abstractNumId="7" w15:restartNumberingAfterBreak="0">
    <w:nsid w:val="61A23F48"/>
    <w:multiLevelType w:val="hybridMultilevel"/>
    <w:tmpl w:val="59B83DA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78B7F89"/>
    <w:multiLevelType w:val="hybridMultilevel"/>
    <w:tmpl w:val="1A8245CC"/>
    <w:lvl w:ilvl="0" w:tplc="0DE433BE">
      <w:start w:val="1"/>
      <w:numFmt w:val="bullet"/>
      <w:lvlText w:val="·"/>
      <w:lvlJc w:val="left"/>
      <w:pPr>
        <w:ind w:left="720" w:hanging="360"/>
      </w:pPr>
      <w:rPr>
        <w:rFonts w:ascii="Symbol" w:hAnsi="Symbol" w:hint="default"/>
      </w:rPr>
    </w:lvl>
    <w:lvl w:ilvl="1" w:tplc="4AE49F88">
      <w:start w:val="1"/>
      <w:numFmt w:val="bullet"/>
      <w:lvlText w:val="o"/>
      <w:lvlJc w:val="left"/>
      <w:pPr>
        <w:ind w:left="1440" w:hanging="360"/>
      </w:pPr>
      <w:rPr>
        <w:rFonts w:ascii="Courier New" w:hAnsi="Courier New" w:hint="default"/>
      </w:rPr>
    </w:lvl>
    <w:lvl w:ilvl="2" w:tplc="B7441F76">
      <w:start w:val="1"/>
      <w:numFmt w:val="bullet"/>
      <w:lvlText w:val=""/>
      <w:lvlJc w:val="left"/>
      <w:pPr>
        <w:ind w:left="2160" w:hanging="360"/>
      </w:pPr>
      <w:rPr>
        <w:rFonts w:ascii="Wingdings" w:hAnsi="Wingdings" w:hint="default"/>
      </w:rPr>
    </w:lvl>
    <w:lvl w:ilvl="3" w:tplc="56A4682C">
      <w:start w:val="1"/>
      <w:numFmt w:val="bullet"/>
      <w:lvlText w:val=""/>
      <w:lvlJc w:val="left"/>
      <w:pPr>
        <w:ind w:left="2880" w:hanging="360"/>
      </w:pPr>
      <w:rPr>
        <w:rFonts w:ascii="Symbol" w:hAnsi="Symbol" w:hint="default"/>
      </w:rPr>
    </w:lvl>
    <w:lvl w:ilvl="4" w:tplc="F3C214DE">
      <w:start w:val="1"/>
      <w:numFmt w:val="bullet"/>
      <w:lvlText w:val="o"/>
      <w:lvlJc w:val="left"/>
      <w:pPr>
        <w:ind w:left="3600" w:hanging="360"/>
      </w:pPr>
      <w:rPr>
        <w:rFonts w:ascii="Courier New" w:hAnsi="Courier New" w:hint="default"/>
      </w:rPr>
    </w:lvl>
    <w:lvl w:ilvl="5" w:tplc="E95E4D2E">
      <w:start w:val="1"/>
      <w:numFmt w:val="bullet"/>
      <w:lvlText w:val=""/>
      <w:lvlJc w:val="left"/>
      <w:pPr>
        <w:ind w:left="4320" w:hanging="360"/>
      </w:pPr>
      <w:rPr>
        <w:rFonts w:ascii="Wingdings" w:hAnsi="Wingdings" w:hint="default"/>
      </w:rPr>
    </w:lvl>
    <w:lvl w:ilvl="6" w:tplc="396EA8A0">
      <w:start w:val="1"/>
      <w:numFmt w:val="bullet"/>
      <w:lvlText w:val=""/>
      <w:lvlJc w:val="left"/>
      <w:pPr>
        <w:ind w:left="5040" w:hanging="360"/>
      </w:pPr>
      <w:rPr>
        <w:rFonts w:ascii="Symbol" w:hAnsi="Symbol" w:hint="default"/>
      </w:rPr>
    </w:lvl>
    <w:lvl w:ilvl="7" w:tplc="A908260A">
      <w:start w:val="1"/>
      <w:numFmt w:val="bullet"/>
      <w:lvlText w:val="o"/>
      <w:lvlJc w:val="left"/>
      <w:pPr>
        <w:ind w:left="5760" w:hanging="360"/>
      </w:pPr>
      <w:rPr>
        <w:rFonts w:ascii="Courier New" w:hAnsi="Courier New" w:hint="default"/>
      </w:rPr>
    </w:lvl>
    <w:lvl w:ilvl="8" w:tplc="BC34A938">
      <w:start w:val="1"/>
      <w:numFmt w:val="bullet"/>
      <w:lvlText w:val=""/>
      <w:lvlJc w:val="left"/>
      <w:pPr>
        <w:ind w:left="6480" w:hanging="360"/>
      </w:pPr>
      <w:rPr>
        <w:rFonts w:ascii="Wingdings" w:hAnsi="Wingdings" w:hint="default"/>
      </w:rPr>
    </w:lvl>
  </w:abstractNum>
  <w:abstractNum w:abstractNumId="9" w15:restartNumberingAfterBreak="0">
    <w:nsid w:val="6E812BD9"/>
    <w:multiLevelType w:val="hybridMultilevel"/>
    <w:tmpl w:val="D4FA21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7F423B"/>
    <w:multiLevelType w:val="hybridMultilevel"/>
    <w:tmpl w:val="3A7E5188"/>
    <w:lvl w:ilvl="0" w:tplc="A6C8F4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50052"/>
    <w:multiLevelType w:val="hybridMultilevel"/>
    <w:tmpl w:val="FB1AC94E"/>
    <w:lvl w:ilvl="0" w:tplc="40F8F444">
      <w:start w:val="1"/>
      <w:numFmt w:val="decimal"/>
      <w:lvlText w:val="%1."/>
      <w:lvlJc w:val="left"/>
      <w:pPr>
        <w:ind w:left="720" w:hanging="360"/>
      </w:pPr>
    </w:lvl>
    <w:lvl w:ilvl="1" w:tplc="6C9AEDC6">
      <w:start w:val="1"/>
      <w:numFmt w:val="lowerLetter"/>
      <w:lvlText w:val="%2."/>
      <w:lvlJc w:val="left"/>
      <w:pPr>
        <w:ind w:left="1440" w:hanging="360"/>
      </w:pPr>
    </w:lvl>
    <w:lvl w:ilvl="2" w:tplc="82D8F64A">
      <w:start w:val="1"/>
      <w:numFmt w:val="lowerRoman"/>
      <w:lvlText w:val="%3."/>
      <w:lvlJc w:val="right"/>
      <w:pPr>
        <w:ind w:left="2160" w:hanging="180"/>
      </w:pPr>
    </w:lvl>
    <w:lvl w:ilvl="3" w:tplc="28FA4D58">
      <w:start w:val="1"/>
      <w:numFmt w:val="decimal"/>
      <w:lvlText w:val="%4."/>
      <w:lvlJc w:val="left"/>
      <w:pPr>
        <w:ind w:left="2880" w:hanging="360"/>
      </w:pPr>
    </w:lvl>
    <w:lvl w:ilvl="4" w:tplc="B094B8F6">
      <w:start w:val="1"/>
      <w:numFmt w:val="lowerLetter"/>
      <w:lvlText w:val="%5."/>
      <w:lvlJc w:val="left"/>
      <w:pPr>
        <w:ind w:left="3600" w:hanging="360"/>
      </w:pPr>
    </w:lvl>
    <w:lvl w:ilvl="5" w:tplc="6A640AFC">
      <w:start w:val="1"/>
      <w:numFmt w:val="lowerRoman"/>
      <w:lvlText w:val="%6."/>
      <w:lvlJc w:val="right"/>
      <w:pPr>
        <w:ind w:left="4320" w:hanging="180"/>
      </w:pPr>
    </w:lvl>
    <w:lvl w:ilvl="6" w:tplc="C39A6702">
      <w:start w:val="1"/>
      <w:numFmt w:val="decimal"/>
      <w:lvlText w:val="%7."/>
      <w:lvlJc w:val="left"/>
      <w:pPr>
        <w:ind w:left="5040" w:hanging="360"/>
      </w:pPr>
    </w:lvl>
    <w:lvl w:ilvl="7" w:tplc="0E5A097A">
      <w:start w:val="1"/>
      <w:numFmt w:val="lowerLetter"/>
      <w:lvlText w:val="%8."/>
      <w:lvlJc w:val="left"/>
      <w:pPr>
        <w:ind w:left="5760" w:hanging="360"/>
      </w:pPr>
    </w:lvl>
    <w:lvl w:ilvl="8" w:tplc="FA36AECA">
      <w:start w:val="1"/>
      <w:numFmt w:val="lowerRoman"/>
      <w:lvlText w:val="%9."/>
      <w:lvlJc w:val="right"/>
      <w:pPr>
        <w:ind w:left="6480" w:hanging="180"/>
      </w:pPr>
    </w:lvl>
  </w:abstractNum>
  <w:num w:numId="1">
    <w:abstractNumId w:val="8"/>
  </w:num>
  <w:num w:numId="2">
    <w:abstractNumId w:val="6"/>
  </w:num>
  <w:num w:numId="3">
    <w:abstractNumId w:val="4"/>
  </w:num>
  <w:num w:numId="4">
    <w:abstractNumId w:val="11"/>
  </w:num>
  <w:num w:numId="5">
    <w:abstractNumId w:val="1"/>
  </w:num>
  <w:num w:numId="6">
    <w:abstractNumId w:val="3"/>
  </w:num>
  <w:num w:numId="7">
    <w:abstractNumId w:val="2"/>
  </w:num>
  <w:num w:numId="8">
    <w:abstractNumId w:val="5"/>
  </w:num>
  <w:num w:numId="9">
    <w:abstractNumId w:val="9"/>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tDA1N7CwMDUxMDdS0lEKTi0uzszPAykwrwUAZCPoACwAAAA="/>
  </w:docVars>
  <w:rsids>
    <w:rsidRoot w:val="00C33178"/>
    <w:rsid w:val="00011002"/>
    <w:rsid w:val="00054E8A"/>
    <w:rsid w:val="000C2B59"/>
    <w:rsid w:val="000C2DC1"/>
    <w:rsid w:val="000D08A5"/>
    <w:rsid w:val="001127FE"/>
    <w:rsid w:val="00152BFA"/>
    <w:rsid w:val="002120A5"/>
    <w:rsid w:val="00355F79"/>
    <w:rsid w:val="00402C6A"/>
    <w:rsid w:val="00447720"/>
    <w:rsid w:val="00514388"/>
    <w:rsid w:val="005838FE"/>
    <w:rsid w:val="005F664E"/>
    <w:rsid w:val="00631776"/>
    <w:rsid w:val="00682D82"/>
    <w:rsid w:val="006901AF"/>
    <w:rsid w:val="006C2719"/>
    <w:rsid w:val="00746FF6"/>
    <w:rsid w:val="008A689B"/>
    <w:rsid w:val="008E0B62"/>
    <w:rsid w:val="008F200F"/>
    <w:rsid w:val="00945502"/>
    <w:rsid w:val="009A1D05"/>
    <w:rsid w:val="009D68EC"/>
    <w:rsid w:val="00A309F3"/>
    <w:rsid w:val="00A4441A"/>
    <w:rsid w:val="00A72D5E"/>
    <w:rsid w:val="00AA7879"/>
    <w:rsid w:val="00AF0458"/>
    <w:rsid w:val="00AF53CD"/>
    <w:rsid w:val="00B73C26"/>
    <w:rsid w:val="00B97E14"/>
    <w:rsid w:val="00BF5D67"/>
    <w:rsid w:val="00C33178"/>
    <w:rsid w:val="00C371E9"/>
    <w:rsid w:val="00C833A0"/>
    <w:rsid w:val="00CA7BAE"/>
    <w:rsid w:val="00CB3AB8"/>
    <w:rsid w:val="00D42391"/>
    <w:rsid w:val="00D861E5"/>
    <w:rsid w:val="00DD4467"/>
    <w:rsid w:val="00DD52E1"/>
    <w:rsid w:val="00F90C1E"/>
    <w:rsid w:val="36F079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5DAB3"/>
  <w15:chartTrackingRefBased/>
  <w15:docId w15:val="{57EBE558-B0FB-47E3-A2E5-19C3C5AD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78"/>
    <w:pPr>
      <w:spacing w:after="240" w:line="480" w:lineRule="auto"/>
    </w:pPr>
    <w:rPr>
      <w:rFonts w:ascii="Arial" w:eastAsia="Times New Roman" w:hAnsi="Arial" w:cs="Times New Roman"/>
      <w:sz w:val="24"/>
      <w:szCs w:val="20"/>
    </w:rPr>
  </w:style>
  <w:style w:type="paragraph" w:styleId="Heading2">
    <w:name w:val="heading 2"/>
    <w:aliases w:val="Bayer-Heading 2"/>
    <w:basedOn w:val="Normal"/>
    <w:next w:val="Normal"/>
    <w:link w:val="Heading2Char"/>
    <w:qFormat/>
    <w:rsid w:val="00C33178"/>
    <w:pPr>
      <w:keepNext/>
      <w:spacing w:before="240" w:after="60"/>
      <w:outlineLvl w:val="1"/>
    </w:pPr>
    <w:rPr>
      <w:b/>
    </w:rPr>
  </w:style>
  <w:style w:type="paragraph" w:styleId="Heading3">
    <w:name w:val="heading 3"/>
    <w:aliases w:val="Bayer-Heading 3"/>
    <w:basedOn w:val="Normal"/>
    <w:next w:val="Normal"/>
    <w:link w:val="Heading3Char"/>
    <w:qFormat/>
    <w:rsid w:val="00C33178"/>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ayer-Heading 2 Char"/>
    <w:basedOn w:val="DefaultParagraphFont"/>
    <w:link w:val="Heading2"/>
    <w:rsid w:val="00C33178"/>
    <w:rPr>
      <w:rFonts w:ascii="Arial" w:eastAsia="Times New Roman" w:hAnsi="Arial" w:cs="Times New Roman"/>
      <w:b/>
      <w:sz w:val="24"/>
      <w:szCs w:val="20"/>
    </w:rPr>
  </w:style>
  <w:style w:type="character" w:customStyle="1" w:styleId="Heading3Char">
    <w:name w:val="Heading 3 Char"/>
    <w:aliases w:val="Bayer-Heading 3 Char"/>
    <w:basedOn w:val="DefaultParagraphFont"/>
    <w:link w:val="Heading3"/>
    <w:rsid w:val="00C33178"/>
    <w:rPr>
      <w:rFonts w:ascii="Arial" w:eastAsia="Times New Roman" w:hAnsi="Arial" w:cs="Times New Roman"/>
      <w:b/>
      <w:i/>
      <w:sz w:val="24"/>
      <w:szCs w:val="20"/>
    </w:rPr>
  </w:style>
  <w:style w:type="character" w:styleId="Hyperlink">
    <w:name w:val="Hyperlink"/>
    <w:unhideWhenUsed/>
    <w:rsid w:val="00C33178"/>
    <w:rPr>
      <w:color w:val="0563C1"/>
      <w:u w:val="single"/>
    </w:rPr>
  </w:style>
  <w:style w:type="character" w:styleId="CommentReference">
    <w:name w:val="annotation reference"/>
    <w:basedOn w:val="DefaultParagraphFont"/>
    <w:uiPriority w:val="99"/>
    <w:semiHidden/>
    <w:unhideWhenUsed/>
    <w:rsid w:val="00C33178"/>
    <w:rPr>
      <w:sz w:val="18"/>
      <w:szCs w:val="18"/>
    </w:rPr>
  </w:style>
  <w:style w:type="paragraph" w:styleId="CommentText">
    <w:name w:val="annotation text"/>
    <w:basedOn w:val="Normal"/>
    <w:link w:val="CommentTextChar"/>
    <w:uiPriority w:val="99"/>
    <w:unhideWhenUsed/>
    <w:rsid w:val="00C33178"/>
  </w:style>
  <w:style w:type="character" w:customStyle="1" w:styleId="CommentTextChar">
    <w:name w:val="Comment Text Char"/>
    <w:basedOn w:val="DefaultParagraphFont"/>
    <w:link w:val="CommentText"/>
    <w:uiPriority w:val="99"/>
    <w:rsid w:val="00C33178"/>
    <w:rPr>
      <w:rFonts w:ascii="Arial" w:eastAsia="Times New Roman" w:hAnsi="Arial" w:cs="Times New Roman"/>
      <w:sz w:val="24"/>
      <w:szCs w:val="20"/>
    </w:rPr>
  </w:style>
  <w:style w:type="character" w:customStyle="1" w:styleId="jrnl">
    <w:name w:val="jrnl"/>
    <w:basedOn w:val="DefaultParagraphFont"/>
    <w:rsid w:val="00C33178"/>
  </w:style>
  <w:style w:type="paragraph" w:customStyle="1" w:styleId="Title1">
    <w:name w:val="Title1"/>
    <w:basedOn w:val="Normal"/>
    <w:rsid w:val="00C33178"/>
    <w:pPr>
      <w:spacing w:before="100" w:beforeAutospacing="1" w:after="100" w:afterAutospacing="1"/>
    </w:pPr>
    <w:rPr>
      <w:lang w:eastAsia="en-GB"/>
    </w:rPr>
  </w:style>
  <w:style w:type="paragraph" w:customStyle="1" w:styleId="desc">
    <w:name w:val="desc"/>
    <w:basedOn w:val="Normal"/>
    <w:rsid w:val="00C33178"/>
    <w:pPr>
      <w:spacing w:before="100" w:beforeAutospacing="1" w:after="100" w:afterAutospacing="1"/>
    </w:pPr>
    <w:rPr>
      <w:lang w:eastAsia="en-GB"/>
    </w:rPr>
  </w:style>
  <w:style w:type="paragraph" w:customStyle="1" w:styleId="details">
    <w:name w:val="details"/>
    <w:basedOn w:val="Normal"/>
    <w:rsid w:val="00C331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C3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78"/>
    <w:rPr>
      <w:rFonts w:ascii="Segoe UI" w:eastAsia="Times New Roman" w:hAnsi="Segoe UI" w:cs="Segoe UI"/>
      <w:sz w:val="18"/>
      <w:szCs w:val="18"/>
    </w:rPr>
  </w:style>
  <w:style w:type="paragraph" w:styleId="NormalWeb">
    <w:name w:val="Normal (Web)"/>
    <w:basedOn w:val="Normal"/>
    <w:uiPriority w:val="99"/>
    <w:unhideWhenUsed/>
    <w:rsid w:val="00402C6A"/>
    <w:pPr>
      <w:spacing w:before="100" w:beforeAutospacing="1" w:after="100" w:afterAutospacing="1"/>
    </w:pPr>
    <w:rPr>
      <w:rFonts w:eastAsiaTheme="minorHAnsi"/>
      <w:lang w:val="en-US"/>
    </w:rPr>
  </w:style>
  <w:style w:type="table" w:styleId="TableGrid">
    <w:name w:val="Table Grid"/>
    <w:basedOn w:val="TableNormal"/>
    <w:rsid w:val="00011002"/>
    <w:pPr>
      <w:spacing w:after="240" w:line="48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11002"/>
    <w:pPr>
      <w:tabs>
        <w:tab w:val="center" w:pos="4507"/>
        <w:tab w:val="right" w:pos="9029"/>
      </w:tabs>
    </w:pPr>
    <w:rPr>
      <w:sz w:val="18"/>
    </w:rPr>
  </w:style>
  <w:style w:type="character" w:customStyle="1" w:styleId="FooterChar">
    <w:name w:val="Footer Char"/>
    <w:basedOn w:val="DefaultParagraphFont"/>
    <w:link w:val="Footer"/>
    <w:rsid w:val="00011002"/>
    <w:rPr>
      <w:rFonts w:ascii="Arial" w:eastAsia="Times New Roman" w:hAnsi="Arial" w:cs="Times New Roman"/>
      <w:sz w:val="18"/>
      <w:szCs w:val="20"/>
    </w:rPr>
  </w:style>
  <w:style w:type="paragraph" w:customStyle="1" w:styleId="Tabletext">
    <w:name w:val="Table text"/>
    <w:basedOn w:val="Normal"/>
    <w:rsid w:val="00011002"/>
    <w:pPr>
      <w:spacing w:before="120" w:after="120" w:line="240" w:lineRule="auto"/>
    </w:pPr>
    <w:rPr>
      <w:sz w:val="20"/>
    </w:rPr>
  </w:style>
  <w:style w:type="paragraph" w:customStyle="1" w:styleId="Figuretablelegend">
    <w:name w:val="Figure/table legend"/>
    <w:basedOn w:val="Normal"/>
    <w:next w:val="Normal"/>
    <w:rsid w:val="00011002"/>
    <w:pPr>
      <w:pageBreakBefore/>
      <w:outlineLvl w:val="0"/>
    </w:pPr>
    <w:rPr>
      <w:b/>
    </w:rPr>
  </w:style>
  <w:style w:type="paragraph" w:styleId="Header">
    <w:name w:val="header"/>
    <w:basedOn w:val="Normal"/>
    <w:link w:val="HeaderChar"/>
    <w:uiPriority w:val="99"/>
    <w:unhideWhenUsed/>
    <w:rsid w:val="000C2B5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C2B59"/>
    <w:rPr>
      <w:rFonts w:ascii="Arial" w:eastAsia="Times New Roman" w:hAnsi="Arial" w:cs="Times New Roman"/>
      <w:sz w:val="18"/>
      <w:szCs w:val="18"/>
    </w:rPr>
  </w:style>
  <w:style w:type="paragraph" w:customStyle="1" w:styleId="listalpha">
    <w:name w:val="list:alpha"/>
    <w:basedOn w:val="Normal"/>
    <w:rsid w:val="005F664E"/>
    <w:pPr>
      <w:numPr>
        <w:numId w:val="5"/>
      </w:numPr>
      <w:tabs>
        <w:tab w:val="left" w:pos="432"/>
      </w:tabs>
      <w:spacing w:after="120" w:line="240" w:lineRule="auto"/>
    </w:pPr>
    <w:rPr>
      <w:rFonts w:ascii="Times New Roman" w:eastAsiaTheme="minorEastAsia" w:hAnsi="Times New Roman"/>
      <w:szCs w:val="24"/>
    </w:rPr>
  </w:style>
  <w:style w:type="paragraph" w:styleId="ListParagraph">
    <w:name w:val="List Paragraph"/>
    <w:basedOn w:val="Normal"/>
    <w:link w:val="ListParagraphChar"/>
    <w:uiPriority w:val="34"/>
    <w:qFormat/>
    <w:rsid w:val="005F664E"/>
    <w:pPr>
      <w:spacing w:after="0" w:line="240" w:lineRule="auto"/>
      <w:ind w:left="720"/>
      <w:contextualSpacing/>
    </w:pPr>
    <w:rPr>
      <w:rFonts w:ascii="Times New Roman" w:eastAsiaTheme="minorEastAsia" w:hAnsi="Times New Roman"/>
      <w:szCs w:val="24"/>
    </w:rPr>
  </w:style>
  <w:style w:type="paragraph" w:customStyle="1" w:styleId="HeadingNoTOC">
    <w:name w:val="Heading (No TOC)"/>
    <w:next w:val="Normal"/>
    <w:uiPriority w:val="99"/>
    <w:qFormat/>
    <w:rsid w:val="005F664E"/>
    <w:pPr>
      <w:spacing w:before="240" w:after="0" w:line="240" w:lineRule="auto"/>
    </w:pPr>
    <w:rPr>
      <w:rFonts w:ascii="Times New Roman Bold" w:hAnsi="Times New Roman Bold" w:cs="Cordia New"/>
      <w:sz w:val="24"/>
      <w:szCs w:val="24"/>
      <w:lang w:val="en-US" w:eastAsia="ja-JP"/>
    </w:rPr>
  </w:style>
  <w:style w:type="paragraph" w:customStyle="1" w:styleId="CPTInstructional">
    <w:name w:val="CPT_Instructional"/>
    <w:basedOn w:val="Normal"/>
    <w:qFormat/>
    <w:rsid w:val="005F664E"/>
    <w:pPr>
      <w:spacing w:before="120" w:after="120" w:line="280" w:lineRule="atLeast"/>
    </w:pPr>
    <w:rPr>
      <w:rFonts w:ascii="Times New Roman" w:eastAsia="Calibri" w:hAnsi="Times New Roman" w:cs="Arial"/>
      <w:vanish/>
      <w:color w:val="FF0000"/>
      <w:sz w:val="22"/>
      <w:lang w:val="en-US"/>
    </w:rPr>
  </w:style>
  <w:style w:type="paragraph" w:customStyle="1" w:styleId="CPTExample">
    <w:name w:val="CPT_Example"/>
    <w:basedOn w:val="Normal"/>
    <w:next w:val="Normal"/>
    <w:link w:val="CPTExampleChar"/>
    <w:rsid w:val="005F664E"/>
    <w:pPr>
      <w:spacing w:before="120" w:after="120" w:line="280" w:lineRule="atLeast"/>
    </w:pPr>
    <w:rPr>
      <w:rFonts w:eastAsiaTheme="minorEastAsia"/>
      <w:i/>
      <w:color w:val="00B050"/>
      <w:sz w:val="20"/>
      <w:lang w:val="en-US"/>
    </w:rPr>
  </w:style>
  <w:style w:type="character" w:customStyle="1" w:styleId="ListParagraphChar">
    <w:name w:val="List Paragraph Char"/>
    <w:basedOn w:val="DefaultParagraphFont"/>
    <w:link w:val="ListParagraph"/>
    <w:uiPriority w:val="34"/>
    <w:locked/>
    <w:rsid w:val="005F664E"/>
    <w:rPr>
      <w:rFonts w:ascii="Times New Roman" w:hAnsi="Times New Roman" w:cs="Times New Roman"/>
      <w:sz w:val="24"/>
      <w:szCs w:val="24"/>
    </w:rPr>
  </w:style>
  <w:style w:type="character" w:customStyle="1" w:styleId="CPTVariable">
    <w:name w:val="CPT_Variable"/>
    <w:basedOn w:val="DefaultParagraphFont"/>
    <w:uiPriority w:val="1"/>
    <w:qFormat/>
    <w:rsid w:val="005F664E"/>
    <w:rPr>
      <w:color w:val="0070C0"/>
    </w:rPr>
  </w:style>
  <w:style w:type="character" w:customStyle="1" w:styleId="CPTExampleChar">
    <w:name w:val="CPT_Example Char"/>
    <w:basedOn w:val="DefaultParagraphFont"/>
    <w:link w:val="CPTExample"/>
    <w:rsid w:val="005F664E"/>
    <w:rPr>
      <w:rFonts w:ascii="Arial" w:hAnsi="Arial" w:cs="Times New Roman"/>
      <w:i/>
      <w:color w:val="00B050"/>
      <w:sz w:val="20"/>
      <w:szCs w:val="20"/>
      <w:lang w:val="en-US"/>
    </w:rPr>
  </w:style>
  <w:style w:type="character" w:customStyle="1" w:styleId="normaltextrun1">
    <w:name w:val="normaltextrun1"/>
    <w:basedOn w:val="DefaultParagraphFont"/>
    <w:rsid w:val="005F664E"/>
  </w:style>
  <w:style w:type="paragraph" w:customStyle="1" w:styleId="paragraph">
    <w:name w:val="paragraph"/>
    <w:basedOn w:val="Normal"/>
    <w:rsid w:val="005F664E"/>
    <w:pPr>
      <w:spacing w:after="0" w:line="240" w:lineRule="auto"/>
    </w:pPr>
    <w:rPr>
      <w:rFonts w:ascii="宋体" w:eastAsia="宋体" w:hAnsi="宋体" w:cs="宋体"/>
      <w:szCs w:val="24"/>
      <w:lang w:val="en-US" w:eastAsia="zh-CN"/>
    </w:rPr>
  </w:style>
  <w:style w:type="character" w:customStyle="1" w:styleId="eop">
    <w:name w:val="eop"/>
    <w:basedOn w:val="DefaultParagraphFont"/>
    <w:rsid w:val="005F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Kerren Davenport</dc:creator>
  <cp:keywords/>
  <dc:description/>
  <cp:lastModifiedBy>Chan Gao</cp:lastModifiedBy>
  <cp:revision>3</cp:revision>
  <dcterms:created xsi:type="dcterms:W3CDTF">2021-07-28T06:50:00Z</dcterms:created>
  <dcterms:modified xsi:type="dcterms:W3CDTF">2021-07-28T06:51:00Z</dcterms:modified>
</cp:coreProperties>
</file>