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BA65" w14:textId="77777777" w:rsidR="00D647E7" w:rsidRPr="00EA5DDD" w:rsidRDefault="00D647E7" w:rsidP="00D647E7">
      <w:pPr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>Supplementary Table S4. Positive serum panel and the number and proportion of samples positive in MNT and FMIA.</w:t>
      </w:r>
    </w:p>
    <w:tbl>
      <w:tblPr>
        <w:tblW w:w="9142" w:type="dxa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1559"/>
        <w:gridCol w:w="2126"/>
        <w:gridCol w:w="1559"/>
        <w:gridCol w:w="2268"/>
      </w:tblGrid>
      <w:tr w:rsidR="00D647E7" w:rsidRPr="001D7C40" w14:paraId="3C06837C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238265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4E1E07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Number of samples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AE2DB5F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 xml:space="preserve">Percentage of FMIA positive samples also positive in MNT </w:t>
            </w:r>
            <w:r w:rsidRPr="00FC3C7D">
              <w:rPr>
                <w:rFonts w:ascii="Times New Roman" w:hAnsi="Times New Roman"/>
                <w:sz w:val="24"/>
              </w:rPr>
              <w:br/>
              <w:t>(number of all FMIA positive samples)</w:t>
            </w:r>
          </w:p>
        </w:tc>
      </w:tr>
      <w:tr w:rsidR="00D647E7" w:rsidRPr="001D7C40" w14:paraId="62D5328B" w14:textId="77777777" w:rsidTr="00045DC2">
        <w:trPr>
          <w:trHeight w:val="276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F9D2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DPO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BF5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All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AB5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MNT positive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063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IgG positive*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FF9D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IgA positive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10838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IgM positive</w:t>
            </w:r>
          </w:p>
        </w:tc>
      </w:tr>
      <w:tr w:rsidR="00D647E7" w:rsidRPr="001D7C40" w14:paraId="3BCF44B9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F569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&lt;13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ABC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3FA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3F5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214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CC53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</w:tr>
      <w:tr w:rsidR="00D647E7" w:rsidRPr="001D7C40" w14:paraId="4042C320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4C5E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13-20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7FDA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F88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D3A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DEB1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99E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</w:tr>
      <w:tr w:rsidR="00D647E7" w:rsidRPr="001D7C40" w14:paraId="340EE4CF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EDC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21-28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AEC3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DCF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A86A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8A8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02D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</w:tr>
      <w:tr w:rsidR="00D647E7" w:rsidRPr="001D7C40" w14:paraId="786BBE82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9C8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29-36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CAA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BBE4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BD1F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6F2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(30)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83B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90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(27)</w:t>
            </w:r>
          </w:p>
        </w:tc>
      </w:tr>
      <w:tr w:rsidR="00D647E7" w:rsidRPr="001D7C40" w14:paraId="49E553D6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3D3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37-51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2692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7E9D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2320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7783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95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437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73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</w:tr>
      <w:tr w:rsidR="00D647E7" w:rsidRPr="001D7C40" w14:paraId="16B27A68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1B1F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52-150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10E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C66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B7A1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(49)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5568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49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047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38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</w:tr>
      <w:tr w:rsidR="00D647E7" w:rsidRPr="001D7C40" w14:paraId="1BFA3C2B" w14:textId="77777777" w:rsidTr="00045DC2">
        <w:trPr>
          <w:trHeight w:val="27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FDC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115" w14:textId="77777777" w:rsidR="00D647E7" w:rsidRPr="00FC3C7D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EDA0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BA7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(143)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F80E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82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(117)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861" w14:textId="77777777" w:rsidR="00D647E7" w:rsidRPr="00662A72" w:rsidRDefault="00D647E7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72">
              <w:rPr>
                <w:rFonts w:ascii="Times New Roman" w:hAnsi="Times New Roman"/>
                <w:sz w:val="24"/>
                <w:szCs w:val="24"/>
              </w:rPr>
              <w:t>73</w:t>
            </w:r>
            <w:r w:rsidRPr="00662A72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%</w:t>
            </w:r>
            <w:r w:rsidRPr="00662A72">
              <w:rPr>
                <w:rFonts w:ascii="Times New Roman" w:hAnsi="Times New Roman"/>
                <w:sz w:val="24"/>
                <w:szCs w:val="24"/>
              </w:rPr>
              <w:t xml:space="preserve"> (106)</w:t>
            </w:r>
          </w:p>
        </w:tc>
      </w:tr>
    </w:tbl>
    <w:p w14:paraId="69E309AC" w14:textId="77777777" w:rsidR="00D647E7" w:rsidRDefault="00D647E7" w:rsidP="00D647E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 xml:space="preserve">MNT = microneutralisation test, DPO = days </w:t>
      </w:r>
      <w:r>
        <w:rPr>
          <w:rFonts w:ascii="Times New Roman" w:hAnsi="Times New Roman" w:cs="Times New Roman"/>
          <w:sz w:val="24"/>
          <w:szCs w:val="24"/>
        </w:rPr>
        <w:t>post-onset</w:t>
      </w:r>
      <w:r w:rsidRPr="00EA5DDD">
        <w:rPr>
          <w:rFonts w:ascii="Times New Roman" w:hAnsi="Times New Roman" w:cs="Times New Roman"/>
          <w:sz w:val="24"/>
          <w:szCs w:val="24"/>
        </w:rPr>
        <w:t xml:space="preserve"> of symptoms at sample collection. </w:t>
      </w:r>
      <w:r w:rsidRPr="00EA5DDD">
        <w:rPr>
          <w:rFonts w:ascii="Times New Roman" w:hAnsi="Times New Roman" w:cs="Times New Roman"/>
          <w:sz w:val="24"/>
          <w:szCs w:val="24"/>
        </w:rPr>
        <w:br/>
        <w:t>* = Determined with spike glycoprotein antibody thresholds.</w:t>
      </w:r>
    </w:p>
    <w:p w14:paraId="4295A47E" w14:textId="77777777" w:rsidR="002F137C" w:rsidRPr="00D604F5" w:rsidRDefault="002F137C" w:rsidP="00D604F5"/>
    <w:sectPr w:rsidR="002F137C" w:rsidRPr="00D604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1"/>
    <w:rsid w:val="000F5FDB"/>
    <w:rsid w:val="00280251"/>
    <w:rsid w:val="002F137C"/>
    <w:rsid w:val="0054032B"/>
    <w:rsid w:val="00BE3E02"/>
    <w:rsid w:val="00D604F5"/>
    <w:rsid w:val="00D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166"/>
  <w15:chartTrackingRefBased/>
  <w15:docId w15:val="{A14C3304-252E-4799-95EF-94E9B56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pPr>
      <w:spacing w:after="0" w:line="480" w:lineRule="auto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25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51"/>
    <w:rPr>
      <w:rFonts w:asciiTheme="majorHAnsi" w:hAnsiTheme="majorHAnsi"/>
      <w:b/>
      <w:bCs/>
      <w:lang w:val="en-GB"/>
    </w:rPr>
  </w:style>
  <w:style w:type="paragraph" w:styleId="NoSpacing">
    <w:name w:val="No Spacing"/>
    <w:qFormat/>
    <w:rsid w:val="00280251"/>
    <w:pPr>
      <w:spacing w:after="240" w:line="360" w:lineRule="auto"/>
    </w:pPr>
    <w:rPr>
      <w:rFonts w:asciiTheme="majorHAnsi" w:eastAsia="Calibri" w:hAnsiTheme="majorHAnsi" w:cs="Times New Roman"/>
      <w:b/>
      <w:bCs/>
      <w:sz w:val="24"/>
    </w:rPr>
  </w:style>
  <w:style w:type="table" w:styleId="TableGrid">
    <w:name w:val="Table Grid"/>
    <w:basedOn w:val="TableNormal"/>
    <w:uiPriority w:val="59"/>
    <w:rsid w:val="005403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BE3E02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3E02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653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Solastie Anna</dc:creator>
  <cp:keywords/>
  <dc:description/>
  <cp:lastModifiedBy>Solastie Anna</cp:lastModifiedBy>
  <cp:revision>2</cp:revision>
  <dcterms:created xsi:type="dcterms:W3CDTF">2021-07-22T16:11:00Z</dcterms:created>
  <dcterms:modified xsi:type="dcterms:W3CDTF">2021-07-22T16:11:00Z</dcterms:modified>
</cp:coreProperties>
</file>