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98963" w14:textId="7A818C47" w:rsidR="00785567" w:rsidRDefault="00E72584" w:rsidP="00E72584">
      <w:pPr>
        <w:pStyle w:val="Rubrik2"/>
        <w:rPr>
          <w:rFonts w:ascii="Times New Roman" w:hAnsi="Times New Roman" w:cs="Times New Roman"/>
          <w:b/>
          <w:color w:val="auto"/>
          <w:sz w:val="24"/>
          <w:szCs w:val="24"/>
        </w:rPr>
      </w:pPr>
      <w:r w:rsidRPr="00920579">
        <w:rPr>
          <w:rFonts w:ascii="Times New Roman" w:hAnsi="Times New Roman" w:cs="Times New Roman"/>
          <w:b/>
          <w:color w:val="auto"/>
          <w:sz w:val="24"/>
          <w:szCs w:val="24"/>
        </w:rPr>
        <w:t>APPENDIX</w:t>
      </w:r>
    </w:p>
    <w:p w14:paraId="56EF8C6F" w14:textId="29C95F22" w:rsidR="00DE43F6" w:rsidRDefault="00DE43F6" w:rsidP="00DE43F6"/>
    <w:p w14:paraId="1C22EBC8" w14:textId="77777777" w:rsidR="00DE43F6" w:rsidRPr="00DE43F6" w:rsidRDefault="00DE43F6" w:rsidP="00DE43F6">
      <w:pPr>
        <w:rPr>
          <w:rFonts w:ascii="Times New Roman" w:hAnsi="Times New Roman" w:cs="Times New Roman"/>
          <w:b/>
          <w:bCs/>
        </w:rPr>
      </w:pPr>
      <w:r w:rsidRPr="00DE43F6">
        <w:rPr>
          <w:rFonts w:ascii="Times New Roman" w:hAnsi="Times New Roman" w:cs="Times New Roman"/>
          <w:b/>
          <w:bCs/>
          <w:lang w:val="fr-FR"/>
        </w:rPr>
        <w:t xml:space="preserve">Infection fatality rate of COVID-19 in community-dwelling populations with emphasis on the elderly: An overview </w:t>
      </w:r>
    </w:p>
    <w:p w14:paraId="7E3D3848" w14:textId="7985F15E" w:rsidR="00DE43F6" w:rsidRPr="00DE43F6" w:rsidRDefault="00DE43F6" w:rsidP="00DE43F6">
      <w:pPr>
        <w:rPr>
          <w:rFonts w:ascii="Times New Roman" w:hAnsi="Times New Roman" w:cs="Times New Roman"/>
          <w:i/>
          <w:iCs/>
          <w:vertAlign w:val="superscript"/>
        </w:rPr>
      </w:pPr>
      <w:r w:rsidRPr="00DE43F6">
        <w:rPr>
          <w:rFonts w:ascii="Times New Roman" w:hAnsi="Times New Roman" w:cs="Times New Roman"/>
        </w:rPr>
        <w:t>Cathrine Axfors</w:t>
      </w:r>
      <w:r w:rsidRPr="00DE43F6">
        <w:rPr>
          <w:rFonts w:ascii="Times New Roman" w:hAnsi="Times New Roman" w:cs="Times New Roman"/>
          <w:vertAlign w:val="superscript"/>
        </w:rPr>
        <w:t>1</w:t>
      </w:r>
      <w:r w:rsidRPr="00DE43F6">
        <w:rPr>
          <w:rFonts w:ascii="Times New Roman" w:hAnsi="Times New Roman" w:cs="Times New Roman"/>
        </w:rPr>
        <w:t>, John P.A. Ioannidis</w:t>
      </w:r>
      <w:r w:rsidRPr="00DE43F6">
        <w:rPr>
          <w:rFonts w:ascii="Times New Roman" w:hAnsi="Times New Roman" w:cs="Times New Roman"/>
          <w:vertAlign w:val="superscript"/>
        </w:rPr>
        <w:t>1,2</w:t>
      </w:r>
    </w:p>
    <w:p w14:paraId="14111A77" w14:textId="7E4CBA79" w:rsidR="00DE43F6" w:rsidRPr="00DE43F6" w:rsidRDefault="00DE43F6" w:rsidP="00DE43F6">
      <w:pPr>
        <w:rPr>
          <w:rFonts w:ascii="Times New Roman" w:hAnsi="Times New Roman" w:cs="Times New Roman"/>
        </w:rPr>
      </w:pPr>
      <w:r w:rsidRPr="00DE43F6">
        <w:rPr>
          <w:rFonts w:ascii="Times New Roman" w:hAnsi="Times New Roman" w:cs="Times New Roman"/>
          <w:vertAlign w:val="superscript"/>
        </w:rPr>
        <w:t>1</w:t>
      </w:r>
      <w:r w:rsidRPr="00DE43F6">
        <w:rPr>
          <w:rFonts w:ascii="Times New Roman" w:hAnsi="Times New Roman" w:cs="Times New Roman"/>
        </w:rPr>
        <w:t>Meta-Research Innovation Center at Stanford (METRICS), Stanford University, Stanford, California, USA</w:t>
      </w:r>
    </w:p>
    <w:p w14:paraId="6F310305" w14:textId="77777777" w:rsidR="00DE43F6" w:rsidRPr="00DE43F6" w:rsidRDefault="00DE43F6" w:rsidP="00DE43F6">
      <w:pPr>
        <w:rPr>
          <w:rFonts w:ascii="Times New Roman" w:hAnsi="Times New Roman" w:cs="Times New Roman"/>
        </w:rPr>
      </w:pPr>
      <w:r w:rsidRPr="00DE43F6">
        <w:rPr>
          <w:rFonts w:ascii="Times New Roman" w:hAnsi="Times New Roman" w:cs="Times New Roman"/>
          <w:vertAlign w:val="superscript"/>
        </w:rPr>
        <w:t>2</w:t>
      </w:r>
      <w:r w:rsidRPr="00DE43F6">
        <w:rPr>
          <w:rFonts w:ascii="Times New Roman" w:hAnsi="Times New Roman" w:cs="Times New Roman"/>
        </w:rPr>
        <w:t>Departments of Medicine, of Epidemiology and Population Health, of Biomedical Data Science, and of Statistics, Stanford University, Stanford, California, USA</w:t>
      </w:r>
    </w:p>
    <w:p w14:paraId="464DD512" w14:textId="77777777" w:rsidR="00DE43F6" w:rsidRPr="00DE43F6" w:rsidRDefault="00DE43F6" w:rsidP="00DE43F6">
      <w:pPr>
        <w:rPr>
          <w:rFonts w:ascii="Times New Roman" w:hAnsi="Times New Roman" w:cs="Times New Roman"/>
        </w:rPr>
      </w:pPr>
    </w:p>
    <w:p w14:paraId="32F3EFED" w14:textId="77777777" w:rsidR="00DE43F6" w:rsidRPr="00DE43F6" w:rsidRDefault="00DE43F6" w:rsidP="00DE43F6">
      <w:pPr>
        <w:rPr>
          <w:rFonts w:ascii="Times New Roman" w:hAnsi="Times New Roman" w:cs="Times New Roman"/>
        </w:rPr>
      </w:pPr>
      <w:r w:rsidRPr="00DE43F6">
        <w:rPr>
          <w:rFonts w:ascii="Times New Roman" w:hAnsi="Times New Roman" w:cs="Times New Roman"/>
        </w:rPr>
        <w:t>Address correspondence to: John P.A. Ioannidis, Stanford Prevention Research Center, Medical School Office Building, Room X306, 1265 Welch Road, Stanford CA 94305, USA</w:t>
      </w:r>
    </w:p>
    <w:p w14:paraId="53482F83" w14:textId="77777777" w:rsidR="00DE43F6" w:rsidRPr="00DE43F6" w:rsidRDefault="00DE43F6" w:rsidP="00DE43F6">
      <w:pPr>
        <w:rPr>
          <w:rFonts w:ascii="Times New Roman" w:hAnsi="Times New Roman" w:cs="Times New Roman"/>
        </w:rPr>
      </w:pPr>
      <w:r w:rsidRPr="00DE43F6">
        <w:rPr>
          <w:rFonts w:ascii="Times New Roman" w:hAnsi="Times New Roman" w:cs="Times New Roman"/>
        </w:rPr>
        <w:t xml:space="preserve">Tel: 650-7045584; E-mail: </w:t>
      </w:r>
      <w:hyperlink r:id="rId8" w:history="1">
        <w:r w:rsidRPr="00DE43F6">
          <w:rPr>
            <w:rStyle w:val="Hyperlnk"/>
            <w:rFonts w:ascii="Times New Roman" w:hAnsi="Times New Roman" w:cs="Times New Roman"/>
          </w:rPr>
          <w:t>jioannid@stanford.edu</w:t>
        </w:r>
      </w:hyperlink>
    </w:p>
    <w:p w14:paraId="2D535E57" w14:textId="20303403" w:rsidR="00DE43F6" w:rsidRDefault="00DE43F6" w:rsidP="00DE43F6">
      <w:pPr>
        <w:rPr>
          <w:rFonts w:ascii="Times New Roman" w:hAnsi="Times New Roman" w:cs="Times New Roman"/>
        </w:rPr>
      </w:pPr>
    </w:p>
    <w:p w14:paraId="74482C5B" w14:textId="4CAEBDB4" w:rsidR="00DE43F6" w:rsidRDefault="00DE43F6" w:rsidP="00DE43F6">
      <w:pPr>
        <w:rPr>
          <w:rFonts w:ascii="Times New Roman" w:hAnsi="Times New Roman" w:cs="Times New Roman"/>
        </w:rPr>
      </w:pPr>
    </w:p>
    <w:p w14:paraId="2FFF290C" w14:textId="77777777" w:rsidR="00D7411D" w:rsidRDefault="00DE43F6" w:rsidP="00D7411D">
      <w:pPr>
        <w:pStyle w:val="Liststycke"/>
        <w:numPr>
          <w:ilvl w:val="0"/>
          <w:numId w:val="10"/>
        </w:numPr>
        <w:spacing w:line="276" w:lineRule="auto"/>
        <w:rPr>
          <w:rFonts w:ascii="Times New Roman" w:hAnsi="Times New Roman" w:cs="Times New Roman"/>
        </w:rPr>
      </w:pPr>
      <w:r w:rsidRPr="00DE43F6">
        <w:rPr>
          <w:rFonts w:ascii="Times New Roman" w:hAnsi="Times New Roman" w:cs="Times New Roman"/>
          <w:b/>
        </w:rPr>
        <w:t xml:space="preserve">Appendix Figure 1. </w:t>
      </w:r>
      <w:r w:rsidRPr="00DE43F6">
        <w:rPr>
          <w:rFonts w:ascii="Times New Roman" w:hAnsi="Times New Roman" w:cs="Times New Roman"/>
        </w:rPr>
        <w:t>Flowchart of the search and selection process.</w:t>
      </w:r>
    </w:p>
    <w:p w14:paraId="105D1D93" w14:textId="77777777" w:rsidR="00072D21" w:rsidRPr="00DE43F6" w:rsidRDefault="00072D21" w:rsidP="00072D21">
      <w:pPr>
        <w:pStyle w:val="Liststycke"/>
        <w:numPr>
          <w:ilvl w:val="0"/>
          <w:numId w:val="10"/>
        </w:numPr>
        <w:spacing w:line="276" w:lineRule="auto"/>
        <w:rPr>
          <w:rFonts w:ascii="Times New Roman" w:hAnsi="Times New Roman" w:cs="Times New Roman"/>
        </w:rPr>
      </w:pPr>
      <w:r w:rsidRPr="00DE43F6">
        <w:rPr>
          <w:rFonts w:ascii="Times New Roman" w:hAnsi="Times New Roman" w:cs="Times New Roman"/>
          <w:b/>
        </w:rPr>
        <w:t>Appendix Figure 2</w:t>
      </w:r>
      <w:r w:rsidRPr="00DE43F6">
        <w:rPr>
          <w:rFonts w:ascii="Times New Roman" w:hAnsi="Times New Roman" w:cs="Times New Roman"/>
        </w:rPr>
        <w:t>. Age-specific infection fatality rates (IFRs) in this work and some previously published overviews (log-scale and normal scale).</w:t>
      </w:r>
      <w:bookmarkStart w:id="0" w:name="_GoBack"/>
      <w:bookmarkEnd w:id="0"/>
    </w:p>
    <w:p w14:paraId="7FE50589" w14:textId="44DEBCD6" w:rsidR="00DE43F6" w:rsidRPr="00D7411D" w:rsidRDefault="00DE43F6" w:rsidP="00D7411D">
      <w:pPr>
        <w:pStyle w:val="Liststycke"/>
        <w:numPr>
          <w:ilvl w:val="0"/>
          <w:numId w:val="10"/>
        </w:numPr>
        <w:spacing w:line="276" w:lineRule="auto"/>
        <w:rPr>
          <w:rFonts w:ascii="Times New Roman" w:hAnsi="Times New Roman" w:cs="Times New Roman"/>
        </w:rPr>
      </w:pPr>
      <w:r w:rsidRPr="00D7411D">
        <w:rPr>
          <w:rFonts w:ascii="Times New Roman" w:hAnsi="Times New Roman" w:cs="Times New Roman"/>
          <w:b/>
        </w:rPr>
        <w:t>Appendix Table 1</w:t>
      </w:r>
      <w:r w:rsidRPr="00D7411D">
        <w:rPr>
          <w:rFonts w:ascii="Times New Roman" w:hAnsi="Times New Roman" w:cs="Times New Roman"/>
        </w:rPr>
        <w:t>. Amendments to protocol</w:t>
      </w:r>
    </w:p>
    <w:p w14:paraId="1FC87F75" w14:textId="77777777" w:rsidR="00DE43F6" w:rsidRPr="00DE43F6" w:rsidRDefault="00DE43F6" w:rsidP="00D7411D">
      <w:pPr>
        <w:pStyle w:val="Liststycke"/>
        <w:numPr>
          <w:ilvl w:val="0"/>
          <w:numId w:val="10"/>
        </w:numPr>
        <w:spacing w:line="276" w:lineRule="auto"/>
        <w:rPr>
          <w:rFonts w:ascii="Times New Roman" w:hAnsi="Times New Roman" w:cs="Times New Roman"/>
        </w:rPr>
      </w:pPr>
      <w:r w:rsidRPr="00DE43F6">
        <w:rPr>
          <w:rFonts w:ascii="Times New Roman" w:hAnsi="Times New Roman" w:cs="Times New Roman"/>
          <w:b/>
        </w:rPr>
        <w:t>Appendix Table 2</w:t>
      </w:r>
      <w:r w:rsidRPr="00DE43F6">
        <w:rPr>
          <w:rFonts w:ascii="Times New Roman" w:hAnsi="Times New Roman" w:cs="Times New Roman"/>
        </w:rPr>
        <w:t>. Sources for COVID-19 mortality statistics and population statistics.</w:t>
      </w:r>
    </w:p>
    <w:p w14:paraId="268E959E" w14:textId="77777777" w:rsidR="00DE43F6" w:rsidRPr="00DE43F6" w:rsidRDefault="00DE43F6" w:rsidP="00D7411D">
      <w:pPr>
        <w:pStyle w:val="Liststycke"/>
        <w:numPr>
          <w:ilvl w:val="0"/>
          <w:numId w:val="10"/>
        </w:numPr>
        <w:spacing w:line="276" w:lineRule="auto"/>
        <w:rPr>
          <w:rFonts w:ascii="Times New Roman" w:hAnsi="Times New Roman" w:cs="Times New Roman"/>
        </w:rPr>
      </w:pPr>
      <w:r w:rsidRPr="00DE43F6">
        <w:rPr>
          <w:rFonts w:ascii="Times New Roman" w:hAnsi="Times New Roman" w:cs="Times New Roman"/>
          <w:b/>
        </w:rPr>
        <w:t>Appendix Table 3.</w:t>
      </w:r>
      <w:r w:rsidRPr="00DE43F6">
        <w:rPr>
          <w:rFonts w:ascii="Times New Roman" w:hAnsi="Times New Roman" w:cs="Times New Roman"/>
        </w:rPr>
        <w:t xml:space="preserve"> Reports not included, which sampled or potentially sampled ≥1000 participants ≥70 years of age.</w:t>
      </w:r>
    </w:p>
    <w:p w14:paraId="07BA3967" w14:textId="77777777" w:rsidR="00DE43F6" w:rsidRPr="00DE43F6" w:rsidRDefault="00DE43F6" w:rsidP="00D7411D">
      <w:pPr>
        <w:pStyle w:val="Liststycke"/>
        <w:numPr>
          <w:ilvl w:val="0"/>
          <w:numId w:val="10"/>
        </w:numPr>
        <w:spacing w:line="276" w:lineRule="auto"/>
        <w:rPr>
          <w:rFonts w:ascii="Times New Roman" w:hAnsi="Times New Roman" w:cs="Times New Roman"/>
        </w:rPr>
      </w:pPr>
      <w:r w:rsidRPr="00DE43F6">
        <w:rPr>
          <w:rFonts w:ascii="Times New Roman" w:hAnsi="Times New Roman" w:cs="Times New Roman"/>
          <w:b/>
          <w:bCs/>
        </w:rPr>
        <w:t>Appendix Table 4.</w:t>
      </w:r>
      <w:r w:rsidRPr="00DE43F6">
        <w:rPr>
          <w:rFonts w:ascii="Times New Roman" w:hAnsi="Times New Roman" w:cs="Times New Roman"/>
        </w:rPr>
        <w:t xml:space="preserve"> Uncorrected and seroreversion-corrected infection fatality rate in community-dwelling elderly</w:t>
      </w:r>
    </w:p>
    <w:p w14:paraId="0814EEBC" w14:textId="77777777" w:rsidR="00DE43F6" w:rsidRPr="00DE43F6" w:rsidRDefault="00DE43F6" w:rsidP="00D7411D">
      <w:pPr>
        <w:pStyle w:val="Liststycke"/>
        <w:numPr>
          <w:ilvl w:val="0"/>
          <w:numId w:val="10"/>
        </w:numPr>
        <w:spacing w:line="276" w:lineRule="auto"/>
        <w:rPr>
          <w:rFonts w:ascii="Times New Roman" w:hAnsi="Times New Roman" w:cs="Times New Roman"/>
        </w:rPr>
      </w:pPr>
      <w:r w:rsidRPr="00DE43F6">
        <w:rPr>
          <w:rFonts w:ascii="Times New Roman" w:hAnsi="Times New Roman" w:cs="Times New Roman"/>
          <w:b/>
        </w:rPr>
        <w:t>Appendix Table 5</w:t>
      </w:r>
      <w:r w:rsidRPr="00DE43F6">
        <w:rPr>
          <w:rFonts w:ascii="Times New Roman" w:hAnsi="Times New Roman" w:cs="Times New Roman"/>
        </w:rPr>
        <w:t>. Sensitivity analysis with a later cutoff for cumulative COVID-19 mortality (study midpoint plus two weeks instead of plus one week).</w:t>
      </w:r>
    </w:p>
    <w:p w14:paraId="6F013552" w14:textId="2C02ABDA" w:rsidR="00DE43F6" w:rsidRPr="00DE43F6" w:rsidRDefault="00DE43F6" w:rsidP="00D7411D">
      <w:pPr>
        <w:pStyle w:val="Liststycke"/>
        <w:numPr>
          <w:ilvl w:val="0"/>
          <w:numId w:val="10"/>
        </w:numPr>
        <w:spacing w:line="276" w:lineRule="auto"/>
        <w:rPr>
          <w:rFonts w:ascii="Times New Roman" w:hAnsi="Times New Roman" w:cs="Times New Roman"/>
        </w:rPr>
      </w:pPr>
      <w:r>
        <w:rPr>
          <w:rFonts w:ascii="Times New Roman" w:hAnsi="Times New Roman" w:cs="Times New Roman"/>
          <w:b/>
        </w:rPr>
        <w:t>Appendix text</w:t>
      </w:r>
    </w:p>
    <w:p w14:paraId="07823A3E" w14:textId="0DF831C5" w:rsidR="00E72584" w:rsidRPr="00920579" w:rsidRDefault="00E72584" w:rsidP="00E72584">
      <w:pPr>
        <w:rPr>
          <w:rFonts w:ascii="Times New Roman" w:hAnsi="Times New Roman" w:cs="Times New Roman"/>
        </w:rPr>
      </w:pPr>
    </w:p>
    <w:p w14:paraId="73E3276B" w14:textId="77777777" w:rsidR="00DE43F6" w:rsidRDefault="00DE43F6">
      <w:pPr>
        <w:rPr>
          <w:rFonts w:ascii="Times New Roman" w:hAnsi="Times New Roman" w:cs="Times New Roman"/>
          <w:b/>
        </w:rPr>
      </w:pPr>
      <w:r>
        <w:rPr>
          <w:rFonts w:ascii="Times New Roman" w:hAnsi="Times New Roman" w:cs="Times New Roman"/>
          <w:b/>
        </w:rPr>
        <w:br w:type="page"/>
      </w:r>
    </w:p>
    <w:p w14:paraId="6A4C0D5E" w14:textId="5F0F9565" w:rsidR="008E15BF" w:rsidRPr="00920579" w:rsidRDefault="008E15BF" w:rsidP="008E15BF">
      <w:pPr>
        <w:spacing w:line="360" w:lineRule="auto"/>
        <w:rPr>
          <w:rFonts w:ascii="Times New Roman" w:hAnsi="Times New Roman" w:cs="Times New Roman"/>
        </w:rPr>
      </w:pPr>
      <w:r w:rsidRPr="00645902">
        <w:rPr>
          <w:rFonts w:ascii="Times New Roman" w:hAnsi="Times New Roman" w:cs="Times New Roman"/>
          <w:b/>
        </w:rPr>
        <w:lastRenderedPageBreak/>
        <w:t>Appendix Figure 1.</w:t>
      </w:r>
      <w:r w:rsidRPr="00920579">
        <w:rPr>
          <w:rFonts w:ascii="Times New Roman" w:hAnsi="Times New Roman" w:cs="Times New Roman"/>
          <w:b/>
        </w:rPr>
        <w:t xml:space="preserve"> </w:t>
      </w:r>
      <w:r w:rsidRPr="00920579">
        <w:rPr>
          <w:rFonts w:ascii="Times New Roman" w:hAnsi="Times New Roman" w:cs="Times New Roman"/>
        </w:rPr>
        <w:t>Flowchart of the search and selection process.</w:t>
      </w:r>
    </w:p>
    <w:p w14:paraId="02A9CC22" w14:textId="2152DE6D" w:rsidR="008E15BF" w:rsidRPr="00920579" w:rsidRDefault="00020FA7" w:rsidP="008E15BF">
      <w:pPr>
        <w:rPr>
          <w:rFonts w:ascii="Times New Roman" w:hAnsi="Times New Roman" w:cs="Times New Roman"/>
          <w:highlight w:val="yellow"/>
        </w:rPr>
      </w:pPr>
      <w:r>
        <w:rPr>
          <w:rFonts w:ascii="Times New Roman" w:hAnsi="Times New Roman" w:cs="Times New Roman"/>
          <w:noProof/>
        </w:rPr>
        <w:drawing>
          <wp:inline distT="0" distB="0" distL="0" distR="0" wp14:anchorId="032BB539" wp14:editId="012638F2">
            <wp:extent cx="6179820" cy="6300992"/>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2021-07-06.png"/>
                    <pic:cNvPicPr/>
                  </pic:nvPicPr>
                  <pic:blipFill>
                    <a:blip r:embed="rId9">
                      <a:extLst>
                        <a:ext uri="{28A0092B-C50C-407E-A947-70E740481C1C}">
                          <a14:useLocalDpi xmlns:a14="http://schemas.microsoft.com/office/drawing/2010/main" val="0"/>
                        </a:ext>
                      </a:extLst>
                    </a:blip>
                    <a:stretch>
                      <a:fillRect/>
                    </a:stretch>
                  </pic:blipFill>
                  <pic:spPr>
                    <a:xfrm>
                      <a:off x="0" y="0"/>
                      <a:ext cx="6184910" cy="6306181"/>
                    </a:xfrm>
                    <a:prstGeom prst="rect">
                      <a:avLst/>
                    </a:prstGeom>
                  </pic:spPr>
                </pic:pic>
              </a:graphicData>
            </a:graphic>
          </wp:inline>
        </w:drawing>
      </w:r>
    </w:p>
    <w:p w14:paraId="4708E6EE" w14:textId="77777777" w:rsidR="008E15BF" w:rsidRPr="00920579" w:rsidRDefault="008E15BF" w:rsidP="008E15BF">
      <w:pPr>
        <w:rPr>
          <w:rFonts w:ascii="Times New Roman" w:hAnsi="Times New Roman" w:cs="Times New Roman"/>
          <w:highlight w:val="yellow"/>
        </w:rPr>
      </w:pPr>
    </w:p>
    <w:p w14:paraId="6F2823F9" w14:textId="00721440" w:rsidR="001C69D5" w:rsidRPr="00BC5CFA" w:rsidRDefault="001C69D5" w:rsidP="008E15BF">
      <w:pPr>
        <w:rPr>
          <w:rFonts w:ascii="Times New Roman" w:hAnsi="Times New Roman" w:cs="Times New Roman"/>
          <w:sz w:val="22"/>
        </w:rPr>
      </w:pPr>
      <w:r w:rsidRPr="00BC5CFA">
        <w:rPr>
          <w:rFonts w:ascii="Times New Roman" w:hAnsi="Times New Roman" w:cs="Times New Roman"/>
          <w:sz w:val="22"/>
        </w:rPr>
        <w:t xml:space="preserve">Systematic reviews </w:t>
      </w:r>
      <w:r w:rsidR="005F4607" w:rsidRPr="00BC5CFA">
        <w:rPr>
          <w:rFonts w:ascii="Times New Roman" w:hAnsi="Times New Roman" w:cs="Times New Roman"/>
          <w:sz w:val="22"/>
        </w:rPr>
        <w:t xml:space="preserve">used </w:t>
      </w:r>
      <w:r w:rsidRPr="00BC5CFA">
        <w:rPr>
          <w:rFonts w:ascii="Times New Roman" w:hAnsi="Times New Roman" w:cs="Times New Roman"/>
          <w:sz w:val="22"/>
        </w:rPr>
        <w:t>as sources: SeroTracker (7); Chen et al (12), Franceschi et al (11), Ioannidis (13).</w:t>
      </w:r>
    </w:p>
    <w:p w14:paraId="337F7939" w14:textId="71AE1978" w:rsidR="00BC5CFA" w:rsidRPr="00BC5CFA" w:rsidRDefault="00BC5CFA" w:rsidP="008E15BF">
      <w:pPr>
        <w:rPr>
          <w:rFonts w:ascii="Times New Roman" w:hAnsi="Times New Roman" w:cs="Times New Roman"/>
          <w:sz w:val="22"/>
        </w:rPr>
      </w:pPr>
      <w:r w:rsidRPr="00BC5CFA">
        <w:rPr>
          <w:rFonts w:ascii="Times New Roman" w:hAnsi="Times New Roman" w:cs="Times New Roman"/>
          <w:sz w:val="22"/>
        </w:rPr>
        <w:t xml:space="preserve">SeroTracker is a living systematic review with daily screening of published articles (MEDLINE, Embase, Web of Science, Cochrane), preprints (medRxiv, bioRxiv), government reports, and news articles. Data on identified seroprevalence studies are available for downloading at </w:t>
      </w:r>
      <w:hyperlink r:id="rId10" w:history="1">
        <w:r w:rsidRPr="00BC5CFA">
          <w:rPr>
            <w:rStyle w:val="Hyperlnk"/>
            <w:rFonts w:ascii="Times New Roman" w:hAnsi="Times New Roman" w:cs="Times New Roman"/>
            <w:sz w:val="22"/>
          </w:rPr>
          <w:t>www.serotracker.com</w:t>
        </w:r>
      </w:hyperlink>
      <w:r w:rsidRPr="00BC5CFA">
        <w:rPr>
          <w:rFonts w:ascii="Times New Roman" w:hAnsi="Times New Roman" w:cs="Times New Roman"/>
          <w:sz w:val="22"/>
        </w:rPr>
        <w:t xml:space="preserve"> including study characteristics such as sampled age groups.</w:t>
      </w:r>
    </w:p>
    <w:p w14:paraId="16A7B566" w14:textId="53CBDB96" w:rsidR="008E15BF" w:rsidRDefault="008E15BF" w:rsidP="008E15BF">
      <w:pPr>
        <w:rPr>
          <w:rFonts w:ascii="Times New Roman" w:hAnsi="Times New Roman" w:cs="Times New Roman"/>
        </w:rPr>
      </w:pPr>
      <w:r w:rsidRPr="00BC5CFA">
        <w:rPr>
          <w:rFonts w:ascii="Times New Roman" w:hAnsi="Times New Roman" w:cs="Times New Roman"/>
          <w:sz w:val="22"/>
        </w:rPr>
        <w:t>*High-risk participants: healthcare workers, essential workers, contacts to COVID-19 patients</w:t>
      </w:r>
      <w:r w:rsidR="0053111C" w:rsidRPr="00BC5CFA">
        <w:rPr>
          <w:rFonts w:ascii="Times New Roman" w:hAnsi="Times New Roman" w:cs="Times New Roman"/>
          <w:sz w:val="22"/>
        </w:rPr>
        <w:t>, or residual patient samples where COVID-19-related visits were not excluded</w:t>
      </w:r>
      <w:r w:rsidRPr="00BC5CFA">
        <w:rPr>
          <w:rFonts w:ascii="Times New Roman" w:hAnsi="Times New Roman" w:cs="Times New Roman"/>
          <w:sz w:val="22"/>
        </w:rPr>
        <w:t>.</w:t>
      </w:r>
      <w:r w:rsidR="00593F28" w:rsidRPr="00BC5CFA">
        <w:rPr>
          <w:rFonts w:ascii="Times New Roman" w:hAnsi="Times New Roman" w:cs="Times New Roman"/>
          <w:sz w:val="22"/>
        </w:rPr>
        <w:t xml:space="preserve"> In the final sample (23 reports), one presented data on two eligible surveys.</w:t>
      </w:r>
      <w:r>
        <w:rPr>
          <w:rFonts w:ascii="Times New Roman" w:hAnsi="Times New Roman" w:cs="Times New Roman"/>
        </w:rPr>
        <w:br w:type="page"/>
      </w:r>
    </w:p>
    <w:p w14:paraId="7106DAFF" w14:textId="77777777" w:rsidR="00FC2626" w:rsidRDefault="00FC2626" w:rsidP="003D2499">
      <w:pPr>
        <w:rPr>
          <w:rFonts w:ascii="Times New Roman" w:hAnsi="Times New Roman" w:cs="Times New Roman"/>
          <w:b/>
        </w:rPr>
        <w:sectPr w:rsidR="00FC2626" w:rsidSect="00B507C6">
          <w:footerReference w:type="default" r:id="rId11"/>
          <w:pgSz w:w="12240" w:h="15840"/>
          <w:pgMar w:top="1440" w:right="1043" w:bottom="1440" w:left="1440" w:header="720" w:footer="720" w:gutter="0"/>
          <w:cols w:space="720"/>
          <w:docGrid w:linePitch="360"/>
        </w:sectPr>
      </w:pPr>
    </w:p>
    <w:p w14:paraId="6E3982C7" w14:textId="5ED3739B" w:rsidR="003D2499" w:rsidRDefault="003D2499" w:rsidP="003D2499">
      <w:pPr>
        <w:rPr>
          <w:rFonts w:ascii="Times New Roman" w:hAnsi="Times New Roman" w:cs="Times New Roman"/>
        </w:rPr>
      </w:pPr>
      <w:r w:rsidRPr="00291EF8">
        <w:rPr>
          <w:rFonts w:ascii="Times New Roman" w:hAnsi="Times New Roman" w:cs="Times New Roman"/>
          <w:b/>
        </w:rPr>
        <w:lastRenderedPageBreak/>
        <w:t>Appendix Figure 2</w:t>
      </w:r>
      <w:r>
        <w:rPr>
          <w:rFonts w:ascii="Times New Roman" w:hAnsi="Times New Roman" w:cs="Times New Roman"/>
        </w:rPr>
        <w:t>. Age-specific infection fatality rates (IFRs) in this work and some previously published overviews (log-scale and normal scale).</w:t>
      </w:r>
    </w:p>
    <w:p w14:paraId="2F5B078D" w14:textId="77777777" w:rsidR="003D2499" w:rsidRDefault="003D2499" w:rsidP="003D2499">
      <w:pPr>
        <w:rPr>
          <w:noProof/>
        </w:rPr>
      </w:pPr>
    </w:p>
    <w:p w14:paraId="523D7E6B" w14:textId="77777777" w:rsidR="003D2499" w:rsidRDefault="003D2499" w:rsidP="003D2499">
      <w:pPr>
        <w:rPr>
          <w:rFonts w:ascii="Times New Roman" w:hAnsi="Times New Roman" w:cs="Times New Roman"/>
        </w:rPr>
      </w:pPr>
    </w:p>
    <w:p w14:paraId="1C27B2AE" w14:textId="77777777" w:rsidR="003D2499" w:rsidRDefault="003D2499" w:rsidP="003D2499">
      <w:pPr>
        <w:rPr>
          <w:rFonts w:ascii="Times New Roman" w:hAnsi="Times New Roman" w:cs="Times New Roman"/>
        </w:rPr>
      </w:pPr>
      <w:r>
        <w:rPr>
          <w:noProof/>
        </w:rPr>
        <w:drawing>
          <wp:inline distT="0" distB="0" distL="0" distR="0" wp14:anchorId="2B696220" wp14:editId="0337AE3D">
            <wp:extent cx="8191500" cy="3901394"/>
            <wp:effectExtent l="0" t="0" r="0" b="444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06888" cy="3908723"/>
                    </a:xfrm>
                    <a:prstGeom prst="rect">
                      <a:avLst/>
                    </a:prstGeom>
                  </pic:spPr>
                </pic:pic>
              </a:graphicData>
            </a:graphic>
          </wp:inline>
        </w:drawing>
      </w:r>
    </w:p>
    <w:p w14:paraId="39FE6E97" w14:textId="77777777" w:rsidR="003D2499" w:rsidRDefault="003D2499" w:rsidP="003D2499">
      <w:pPr>
        <w:rPr>
          <w:rFonts w:ascii="Times New Roman" w:hAnsi="Times New Roman" w:cs="Times New Roman"/>
        </w:rPr>
      </w:pPr>
      <w:r>
        <w:rPr>
          <w:rFonts w:ascii="Times New Roman" w:hAnsi="Times New Roman" w:cs="Times New Roman"/>
        </w:rPr>
        <w:t xml:space="preserve"> </w:t>
      </w:r>
    </w:p>
    <w:p w14:paraId="06CED7EF" w14:textId="77777777" w:rsidR="00FC2626" w:rsidRDefault="003D2499" w:rsidP="003D2499">
      <w:pPr>
        <w:rPr>
          <w:rFonts w:ascii="Times New Roman" w:hAnsi="Times New Roman" w:cs="Times New Roman"/>
        </w:rPr>
        <w:sectPr w:rsidR="00FC2626" w:rsidSect="00FC2626">
          <w:pgSz w:w="15840" w:h="12240" w:orient="landscape"/>
          <w:pgMar w:top="1440" w:right="1440" w:bottom="1043" w:left="1440" w:header="720" w:footer="720" w:gutter="0"/>
          <w:cols w:space="720"/>
          <w:docGrid w:linePitch="360"/>
        </w:sectPr>
      </w:pPr>
      <w:r>
        <w:rPr>
          <w:rFonts w:ascii="Times New Roman" w:hAnsi="Times New Roman" w:cs="Times New Roman"/>
        </w:rPr>
        <w:t xml:space="preserve">The eldest groups, which do not have an upper age bound, are placed </w:t>
      </w:r>
      <w:r w:rsidRPr="007D6605">
        <w:rPr>
          <w:rFonts w:ascii="Times New Roman" w:hAnsi="Times New Roman" w:cs="Times New Roman"/>
        </w:rPr>
        <w:t>at the midpoint of their lower bound and 110.</w:t>
      </w:r>
      <w:r w:rsidRPr="007D6605" w:rsidDel="001C1498">
        <w:rPr>
          <w:rFonts w:ascii="Times New Roman" w:hAnsi="Times New Roman" w:cs="Times New Roman"/>
        </w:rPr>
        <w:t xml:space="preserve"> </w:t>
      </w:r>
      <w:r>
        <w:rPr>
          <w:rFonts w:ascii="Times New Roman" w:hAnsi="Times New Roman" w:cs="Times New Roman"/>
        </w:rPr>
        <w:t>CDC: Centers for Disease Control and Prevention. ICCRT: Imperial College COVID-19 response team.</w:t>
      </w:r>
    </w:p>
    <w:p w14:paraId="322C9677" w14:textId="28A098FA" w:rsidR="00E72584" w:rsidRPr="002C48CB" w:rsidRDefault="00656E90" w:rsidP="00E72584">
      <w:pPr>
        <w:rPr>
          <w:rFonts w:ascii="Times New Roman" w:hAnsi="Times New Roman" w:cs="Times New Roman"/>
          <w:vertAlign w:val="superscript"/>
        </w:rPr>
      </w:pPr>
      <w:r w:rsidRPr="00532C91">
        <w:rPr>
          <w:rFonts w:ascii="Times New Roman" w:hAnsi="Times New Roman" w:cs="Times New Roman"/>
          <w:b/>
        </w:rPr>
        <w:lastRenderedPageBreak/>
        <w:t>Appen</w:t>
      </w:r>
      <w:r w:rsidR="00CA0C8A" w:rsidRPr="00532C91">
        <w:rPr>
          <w:rFonts w:ascii="Times New Roman" w:hAnsi="Times New Roman" w:cs="Times New Roman"/>
          <w:b/>
        </w:rPr>
        <w:t>dix Table 1</w:t>
      </w:r>
      <w:r w:rsidRPr="00532C91">
        <w:rPr>
          <w:rFonts w:ascii="Times New Roman" w:hAnsi="Times New Roman" w:cs="Times New Roman"/>
        </w:rPr>
        <w:t>.</w:t>
      </w:r>
      <w:r w:rsidRPr="00920579">
        <w:rPr>
          <w:rFonts w:ascii="Times New Roman" w:hAnsi="Times New Roman" w:cs="Times New Roman"/>
        </w:rPr>
        <w:t xml:space="preserve"> </w:t>
      </w:r>
      <w:r w:rsidR="00920579" w:rsidRPr="00920579">
        <w:rPr>
          <w:rFonts w:ascii="Times New Roman" w:hAnsi="Times New Roman" w:cs="Times New Roman"/>
        </w:rPr>
        <w:t>Amendments to</w:t>
      </w:r>
      <w:r w:rsidRPr="00920579">
        <w:rPr>
          <w:rFonts w:ascii="Times New Roman" w:hAnsi="Times New Roman" w:cs="Times New Roman"/>
        </w:rPr>
        <w:t xml:space="preserve"> protocol.</w:t>
      </w:r>
      <w:r w:rsidR="002C48CB">
        <w:rPr>
          <w:rFonts w:ascii="Times New Roman" w:hAnsi="Times New Roman" w:cs="Times New Roman"/>
          <w:vertAlign w:val="superscript"/>
        </w:rPr>
        <w:t>*</w:t>
      </w:r>
    </w:p>
    <w:tbl>
      <w:tblPr>
        <w:tblStyle w:val="Tabellrutnt"/>
        <w:tblW w:w="0" w:type="auto"/>
        <w:tblLook w:val="04A0" w:firstRow="1" w:lastRow="0" w:firstColumn="1" w:lastColumn="0" w:noHBand="0" w:noVBand="1"/>
      </w:tblPr>
      <w:tblGrid>
        <w:gridCol w:w="1342"/>
        <w:gridCol w:w="4387"/>
        <w:gridCol w:w="4018"/>
      </w:tblGrid>
      <w:tr w:rsidR="00CF537A" w:rsidRPr="00BA0F29" w14:paraId="6621EBC3" w14:textId="77777777" w:rsidTr="00B507C6">
        <w:tc>
          <w:tcPr>
            <w:tcW w:w="0" w:type="auto"/>
          </w:tcPr>
          <w:p w14:paraId="20BE57A2" w14:textId="3CD029C5" w:rsidR="00920579" w:rsidRPr="00BA0F29" w:rsidRDefault="002C48CB" w:rsidP="00E72584">
            <w:pPr>
              <w:rPr>
                <w:rFonts w:ascii="Times New Roman" w:hAnsi="Times New Roman" w:cs="Times New Roman"/>
                <w:b/>
                <w:sz w:val="20"/>
                <w:szCs w:val="20"/>
                <w:vertAlign w:val="superscript"/>
              </w:rPr>
            </w:pPr>
            <w:r>
              <w:rPr>
                <w:rFonts w:ascii="Times New Roman" w:hAnsi="Times New Roman" w:cs="Times New Roman"/>
                <w:b/>
                <w:sz w:val="20"/>
                <w:szCs w:val="20"/>
              </w:rPr>
              <w:t>Manuscript s</w:t>
            </w:r>
            <w:r w:rsidR="00F01C74" w:rsidRPr="00BA0F29">
              <w:rPr>
                <w:rFonts w:ascii="Times New Roman" w:hAnsi="Times New Roman" w:cs="Times New Roman"/>
                <w:b/>
                <w:sz w:val="20"/>
                <w:szCs w:val="20"/>
              </w:rPr>
              <w:t>ection</w:t>
            </w:r>
          </w:p>
        </w:tc>
        <w:tc>
          <w:tcPr>
            <w:tcW w:w="0" w:type="auto"/>
          </w:tcPr>
          <w:p w14:paraId="413492A1" w14:textId="0A26A9E9" w:rsidR="00920579" w:rsidRPr="00BA0F29" w:rsidRDefault="00920579" w:rsidP="00E72584">
            <w:pPr>
              <w:rPr>
                <w:rFonts w:ascii="Times New Roman" w:hAnsi="Times New Roman" w:cs="Times New Roman"/>
                <w:b/>
                <w:sz w:val="20"/>
                <w:szCs w:val="20"/>
              </w:rPr>
            </w:pPr>
            <w:r w:rsidRPr="00BA0F29">
              <w:rPr>
                <w:rFonts w:ascii="Times New Roman" w:hAnsi="Times New Roman" w:cs="Times New Roman"/>
                <w:b/>
                <w:sz w:val="20"/>
                <w:szCs w:val="20"/>
              </w:rPr>
              <w:t>Amendment</w:t>
            </w:r>
          </w:p>
        </w:tc>
        <w:tc>
          <w:tcPr>
            <w:tcW w:w="0" w:type="auto"/>
          </w:tcPr>
          <w:p w14:paraId="18EA0DD9" w14:textId="1A895388" w:rsidR="00920579" w:rsidRPr="00BA0F29" w:rsidRDefault="00920579" w:rsidP="00E72584">
            <w:pPr>
              <w:rPr>
                <w:rFonts w:ascii="Times New Roman" w:hAnsi="Times New Roman" w:cs="Times New Roman"/>
                <w:b/>
                <w:sz w:val="20"/>
                <w:szCs w:val="20"/>
              </w:rPr>
            </w:pPr>
            <w:r w:rsidRPr="00BA0F29">
              <w:rPr>
                <w:rFonts w:ascii="Times New Roman" w:hAnsi="Times New Roman" w:cs="Times New Roman"/>
                <w:b/>
                <w:sz w:val="20"/>
                <w:szCs w:val="20"/>
              </w:rPr>
              <w:t>Rationale</w:t>
            </w:r>
          </w:p>
        </w:tc>
      </w:tr>
      <w:tr w:rsidR="00CF537A" w:rsidRPr="00B507C6" w14:paraId="7D210823" w14:textId="77777777" w:rsidTr="00B507C6">
        <w:tc>
          <w:tcPr>
            <w:tcW w:w="0" w:type="auto"/>
          </w:tcPr>
          <w:p w14:paraId="4A38BAFE" w14:textId="2A841D91" w:rsidR="00920579" w:rsidRPr="00B507C6" w:rsidRDefault="00F01C74" w:rsidP="00E72584">
            <w:pPr>
              <w:rPr>
                <w:rFonts w:ascii="Times New Roman" w:hAnsi="Times New Roman" w:cs="Times New Roman"/>
                <w:sz w:val="20"/>
                <w:szCs w:val="20"/>
              </w:rPr>
            </w:pPr>
            <w:r w:rsidRPr="00B507C6">
              <w:rPr>
                <w:rFonts w:ascii="Times New Roman" w:hAnsi="Times New Roman" w:cs="Times New Roman"/>
                <w:sz w:val="20"/>
                <w:szCs w:val="20"/>
              </w:rPr>
              <w:t>Eligibility criteria</w:t>
            </w:r>
          </w:p>
        </w:tc>
        <w:tc>
          <w:tcPr>
            <w:tcW w:w="0" w:type="auto"/>
          </w:tcPr>
          <w:p w14:paraId="7D6A7B23" w14:textId="4D1BF1E3" w:rsidR="00920579" w:rsidRPr="00B507C6" w:rsidRDefault="001520E9" w:rsidP="00142A42">
            <w:pPr>
              <w:rPr>
                <w:rFonts w:ascii="Times New Roman" w:hAnsi="Times New Roman" w:cs="Times New Roman"/>
                <w:sz w:val="20"/>
                <w:szCs w:val="20"/>
              </w:rPr>
            </w:pPr>
            <w:r w:rsidRPr="00B507C6">
              <w:rPr>
                <w:rFonts w:ascii="Times New Roman" w:hAnsi="Times New Roman" w:cs="Times New Roman"/>
                <w:sz w:val="20"/>
                <w:szCs w:val="20"/>
              </w:rPr>
              <w:t>Added one eligibility criterion: e</w:t>
            </w:r>
            <w:r w:rsidR="00F01C74" w:rsidRPr="00B507C6">
              <w:rPr>
                <w:rFonts w:ascii="Times New Roman" w:hAnsi="Times New Roman" w:cs="Times New Roman"/>
                <w:sz w:val="20"/>
                <w:szCs w:val="20"/>
              </w:rPr>
              <w:t xml:space="preserve">xcluding seroprevalence studies </w:t>
            </w:r>
            <w:r w:rsidR="00142A42" w:rsidRPr="00B507C6">
              <w:rPr>
                <w:rFonts w:ascii="Times New Roman" w:hAnsi="Times New Roman" w:cs="Times New Roman"/>
                <w:sz w:val="20"/>
                <w:szCs w:val="20"/>
              </w:rPr>
              <w:t>that sampled participants</w:t>
            </w:r>
            <w:r w:rsidR="00F01C74" w:rsidRPr="00B507C6">
              <w:rPr>
                <w:rFonts w:ascii="Times New Roman" w:hAnsi="Times New Roman" w:cs="Times New Roman"/>
                <w:sz w:val="20"/>
                <w:szCs w:val="20"/>
              </w:rPr>
              <w:t xml:space="preserve"> after Dec 31, 2020</w:t>
            </w:r>
            <w:r w:rsidR="00386038" w:rsidRPr="00B507C6">
              <w:rPr>
                <w:rFonts w:ascii="Times New Roman" w:hAnsi="Times New Roman" w:cs="Times New Roman"/>
                <w:sz w:val="20"/>
                <w:szCs w:val="20"/>
              </w:rPr>
              <w:t>.</w:t>
            </w:r>
          </w:p>
        </w:tc>
        <w:tc>
          <w:tcPr>
            <w:tcW w:w="0" w:type="auto"/>
          </w:tcPr>
          <w:p w14:paraId="7902D7E3" w14:textId="039C7CB2" w:rsidR="00920579" w:rsidRPr="00B507C6" w:rsidRDefault="00731640" w:rsidP="00731640">
            <w:pPr>
              <w:rPr>
                <w:rFonts w:ascii="Times New Roman" w:hAnsi="Times New Roman" w:cs="Times New Roman"/>
                <w:sz w:val="20"/>
                <w:szCs w:val="20"/>
              </w:rPr>
            </w:pPr>
            <w:r w:rsidRPr="00731640">
              <w:rPr>
                <w:rFonts w:ascii="Times New Roman" w:hAnsi="Times New Roman" w:cs="Times New Roman"/>
                <w:sz w:val="20"/>
                <w:szCs w:val="20"/>
              </w:rPr>
              <w:t>IFR may be substantially affected (mostly shifting downwards) by vaccination (especially with prioritization among the most aged and frail individuals), better treatment, and new variants emerging and becoming dominant in 2021</w:t>
            </w:r>
            <w:r>
              <w:rPr>
                <w:rFonts w:ascii="Times New Roman" w:hAnsi="Times New Roman" w:cs="Times New Roman"/>
                <w:sz w:val="20"/>
                <w:szCs w:val="20"/>
              </w:rPr>
              <w:t xml:space="preserve">. </w:t>
            </w:r>
            <w:r w:rsidR="00F01C74" w:rsidRPr="00B507C6">
              <w:rPr>
                <w:rFonts w:ascii="Times New Roman" w:hAnsi="Times New Roman" w:cs="Times New Roman"/>
                <w:sz w:val="20"/>
                <w:szCs w:val="20"/>
              </w:rPr>
              <w:t xml:space="preserve">We located </w:t>
            </w:r>
            <w:r>
              <w:rPr>
                <w:rFonts w:ascii="Times New Roman" w:hAnsi="Times New Roman" w:cs="Times New Roman"/>
                <w:sz w:val="20"/>
                <w:szCs w:val="20"/>
              </w:rPr>
              <w:t xml:space="preserve">only </w:t>
            </w:r>
            <w:r w:rsidR="00F01C74" w:rsidRPr="00B507C6">
              <w:rPr>
                <w:rFonts w:ascii="Times New Roman" w:hAnsi="Times New Roman" w:cs="Times New Roman"/>
                <w:sz w:val="20"/>
                <w:szCs w:val="20"/>
              </w:rPr>
              <w:t xml:space="preserve">one study </w:t>
            </w:r>
            <w:r>
              <w:rPr>
                <w:rFonts w:ascii="Times New Roman" w:hAnsi="Times New Roman" w:cs="Times New Roman"/>
                <w:sz w:val="20"/>
                <w:szCs w:val="20"/>
              </w:rPr>
              <w:t xml:space="preserve">with sampling in 2021 </w:t>
            </w:r>
            <w:r w:rsidR="00F01C74" w:rsidRPr="00B507C6">
              <w:rPr>
                <w:rFonts w:ascii="Times New Roman" w:hAnsi="Times New Roman" w:cs="Times New Roman"/>
                <w:sz w:val="20"/>
                <w:szCs w:val="20"/>
              </w:rPr>
              <w:t>(Office of National Statistics</w:t>
            </w:r>
            <w:r w:rsidR="000F35F7" w:rsidRPr="00B507C6">
              <w:rPr>
                <w:rFonts w:ascii="Times New Roman" w:hAnsi="Times New Roman" w:cs="Times New Roman"/>
                <w:sz w:val="20"/>
                <w:szCs w:val="20"/>
              </w:rPr>
              <w:t xml:space="preserve">, </w:t>
            </w:r>
            <w:r w:rsidR="00DA2E48" w:rsidRPr="00B507C6">
              <w:rPr>
                <w:rFonts w:ascii="Times New Roman" w:hAnsi="Times New Roman" w:cs="Times New Roman"/>
                <w:sz w:val="20"/>
                <w:szCs w:val="20"/>
              </w:rPr>
              <w:t xml:space="preserve">United Kingdom, </w:t>
            </w:r>
            <w:r w:rsidR="000F35F7" w:rsidRPr="00B507C6">
              <w:rPr>
                <w:rFonts w:ascii="Times New Roman" w:hAnsi="Times New Roman" w:cs="Times New Roman"/>
                <w:sz w:val="20"/>
                <w:szCs w:val="20"/>
              </w:rPr>
              <w:t>February 2021</w:t>
            </w:r>
            <w:r w:rsidR="00F01C74" w:rsidRPr="00B507C6">
              <w:rPr>
                <w:rFonts w:ascii="Times New Roman" w:hAnsi="Times New Roman" w:cs="Times New Roman"/>
                <w:sz w:val="20"/>
                <w:szCs w:val="20"/>
              </w:rPr>
              <w:t>).</w:t>
            </w:r>
          </w:p>
        </w:tc>
      </w:tr>
      <w:tr w:rsidR="00CF537A" w:rsidRPr="00B507C6" w14:paraId="6C0F3837" w14:textId="77777777" w:rsidTr="00B507C6">
        <w:tc>
          <w:tcPr>
            <w:tcW w:w="0" w:type="auto"/>
          </w:tcPr>
          <w:p w14:paraId="359667FE" w14:textId="48765D9F" w:rsidR="008D5AEC" w:rsidRPr="00B507C6" w:rsidRDefault="008D5AEC" w:rsidP="00E72584">
            <w:pPr>
              <w:rPr>
                <w:rFonts w:ascii="Times New Roman" w:hAnsi="Times New Roman" w:cs="Times New Roman"/>
                <w:sz w:val="20"/>
                <w:szCs w:val="20"/>
              </w:rPr>
            </w:pPr>
            <w:r>
              <w:rPr>
                <w:rFonts w:ascii="Times New Roman" w:hAnsi="Times New Roman" w:cs="Times New Roman"/>
                <w:sz w:val="20"/>
                <w:szCs w:val="20"/>
              </w:rPr>
              <w:t>Eligibility criteria</w:t>
            </w:r>
          </w:p>
        </w:tc>
        <w:tc>
          <w:tcPr>
            <w:tcW w:w="0" w:type="auto"/>
          </w:tcPr>
          <w:p w14:paraId="66204C7E" w14:textId="4CBCC98D" w:rsidR="008D5AEC" w:rsidRPr="00B507C6" w:rsidRDefault="008D5AEC" w:rsidP="00FD111D">
            <w:pPr>
              <w:rPr>
                <w:rFonts w:ascii="Times New Roman" w:hAnsi="Times New Roman" w:cs="Times New Roman"/>
                <w:sz w:val="20"/>
                <w:szCs w:val="20"/>
              </w:rPr>
            </w:pPr>
            <w:r>
              <w:rPr>
                <w:rFonts w:ascii="Times New Roman" w:hAnsi="Times New Roman" w:cs="Times New Roman"/>
                <w:sz w:val="20"/>
                <w:szCs w:val="20"/>
              </w:rPr>
              <w:t>Added clarification: For studie</w:t>
            </w:r>
            <w:r w:rsidR="009E1024">
              <w:rPr>
                <w:rFonts w:ascii="Times New Roman" w:hAnsi="Times New Roman" w:cs="Times New Roman"/>
                <w:sz w:val="20"/>
                <w:szCs w:val="20"/>
              </w:rPr>
              <w:t>s with several sampled subregions</w:t>
            </w:r>
            <w:r>
              <w:rPr>
                <w:rFonts w:ascii="Times New Roman" w:hAnsi="Times New Roman" w:cs="Times New Roman"/>
                <w:sz w:val="20"/>
                <w:szCs w:val="20"/>
              </w:rPr>
              <w:t xml:space="preserve"> </w:t>
            </w:r>
            <w:r w:rsidR="009E1024">
              <w:rPr>
                <w:rFonts w:ascii="Times New Roman" w:hAnsi="Times New Roman" w:cs="Times New Roman"/>
                <w:sz w:val="20"/>
                <w:szCs w:val="20"/>
              </w:rPr>
              <w:t xml:space="preserve">of a country </w:t>
            </w:r>
            <w:r>
              <w:rPr>
                <w:rFonts w:ascii="Times New Roman" w:hAnsi="Times New Roman" w:cs="Times New Roman"/>
                <w:sz w:val="20"/>
                <w:szCs w:val="20"/>
              </w:rPr>
              <w:t xml:space="preserve">we applied the criterion of ≥1000 sampled individuals ≥70 years for each </w:t>
            </w:r>
            <w:r w:rsidR="009E1024">
              <w:rPr>
                <w:rFonts w:ascii="Times New Roman" w:hAnsi="Times New Roman" w:cs="Times New Roman"/>
                <w:sz w:val="20"/>
                <w:szCs w:val="20"/>
              </w:rPr>
              <w:t>subregion, unless (1) the sampling locations were dispersed across the country so as to form a reasonable representation of the entire country, in which case the country was considered the location; or (2) an aggregate seroprevalence estimate was available</w:t>
            </w:r>
            <w:r w:rsidR="001C69D5">
              <w:rPr>
                <w:rFonts w:ascii="Times New Roman" w:hAnsi="Times New Roman" w:cs="Times New Roman"/>
                <w:sz w:val="20"/>
                <w:szCs w:val="20"/>
              </w:rPr>
              <w:t xml:space="preserve"> </w:t>
            </w:r>
            <w:r w:rsidR="001C69D5">
              <w:rPr>
                <w:rFonts w:ascii="Times New Roman" w:hAnsi="Times New Roman" w:cs="Times New Roman"/>
                <w:i/>
                <w:sz w:val="20"/>
                <w:szCs w:val="20"/>
              </w:rPr>
              <w:t>and</w:t>
            </w:r>
            <w:r w:rsidR="009E1024">
              <w:rPr>
                <w:rFonts w:ascii="Times New Roman" w:hAnsi="Times New Roman" w:cs="Times New Roman"/>
                <w:sz w:val="20"/>
                <w:szCs w:val="20"/>
              </w:rPr>
              <w:t xml:space="preserve"> age-stratified COVID-19 mortality statistics and population statistics </w:t>
            </w:r>
            <w:r w:rsidR="001C69D5">
              <w:rPr>
                <w:rFonts w:ascii="Times New Roman" w:hAnsi="Times New Roman" w:cs="Times New Roman"/>
                <w:sz w:val="20"/>
                <w:szCs w:val="20"/>
              </w:rPr>
              <w:t xml:space="preserve">were available </w:t>
            </w:r>
            <w:r w:rsidR="009E1024">
              <w:rPr>
                <w:rFonts w:ascii="Times New Roman" w:hAnsi="Times New Roman" w:cs="Times New Roman"/>
                <w:sz w:val="20"/>
                <w:szCs w:val="20"/>
              </w:rPr>
              <w:t>for each subregion, in which case the regions combined were considered the location.</w:t>
            </w:r>
          </w:p>
        </w:tc>
        <w:tc>
          <w:tcPr>
            <w:tcW w:w="0" w:type="auto"/>
          </w:tcPr>
          <w:p w14:paraId="00237A15" w14:textId="3DFE66F6" w:rsidR="008D5AEC" w:rsidRPr="00B507C6" w:rsidRDefault="00BA0F29" w:rsidP="00BA0F29">
            <w:pPr>
              <w:rPr>
                <w:rFonts w:ascii="Times New Roman" w:hAnsi="Times New Roman" w:cs="Times New Roman"/>
                <w:sz w:val="20"/>
                <w:szCs w:val="20"/>
              </w:rPr>
            </w:pPr>
            <w:r>
              <w:rPr>
                <w:rFonts w:ascii="Times New Roman" w:hAnsi="Times New Roman" w:cs="Times New Roman"/>
                <w:sz w:val="20"/>
                <w:szCs w:val="20"/>
              </w:rPr>
              <w:t xml:space="preserve">Clarification was necessary for this eligibility criterion in the case of studies with several sampled subregions. As far as possible, we strived to combine subregional sampling </w:t>
            </w:r>
            <w:r w:rsidR="00AF7645">
              <w:rPr>
                <w:rFonts w:ascii="Times New Roman" w:hAnsi="Times New Roman" w:cs="Times New Roman"/>
                <w:sz w:val="20"/>
                <w:szCs w:val="20"/>
              </w:rPr>
              <w:t>with the</w:t>
            </w:r>
            <w:r>
              <w:rPr>
                <w:rFonts w:ascii="Times New Roman" w:hAnsi="Times New Roman" w:cs="Times New Roman"/>
                <w:sz w:val="20"/>
                <w:szCs w:val="20"/>
              </w:rPr>
              <w:t xml:space="preserve"> respective COVID-19 mortality and population statistics.</w:t>
            </w:r>
          </w:p>
        </w:tc>
      </w:tr>
      <w:tr w:rsidR="00CF537A" w:rsidRPr="00B507C6" w14:paraId="1D1DCC52" w14:textId="77777777" w:rsidTr="00B507C6">
        <w:tc>
          <w:tcPr>
            <w:tcW w:w="0" w:type="auto"/>
          </w:tcPr>
          <w:p w14:paraId="47CF4C02" w14:textId="32F7C7FD" w:rsidR="00920579" w:rsidRPr="00B507C6" w:rsidRDefault="001D5F1C" w:rsidP="00A23177">
            <w:pPr>
              <w:rPr>
                <w:rFonts w:ascii="Times New Roman" w:hAnsi="Times New Roman" w:cs="Times New Roman"/>
                <w:sz w:val="20"/>
                <w:szCs w:val="20"/>
              </w:rPr>
            </w:pPr>
            <w:r w:rsidRPr="00B507C6">
              <w:rPr>
                <w:rFonts w:ascii="Times New Roman" w:hAnsi="Times New Roman" w:cs="Times New Roman"/>
                <w:sz w:val="20"/>
                <w:szCs w:val="20"/>
              </w:rPr>
              <w:t>Data extraction</w:t>
            </w:r>
          </w:p>
        </w:tc>
        <w:tc>
          <w:tcPr>
            <w:tcW w:w="0" w:type="auto"/>
          </w:tcPr>
          <w:p w14:paraId="76A3CA6E" w14:textId="1BCF05DA" w:rsidR="00920579" w:rsidRPr="00B507C6" w:rsidRDefault="00424F7F" w:rsidP="00FD111D">
            <w:pPr>
              <w:rPr>
                <w:rFonts w:ascii="Times New Roman" w:hAnsi="Times New Roman" w:cs="Times New Roman"/>
                <w:sz w:val="20"/>
                <w:szCs w:val="20"/>
              </w:rPr>
            </w:pPr>
            <w:r w:rsidRPr="00B507C6">
              <w:rPr>
                <w:rFonts w:ascii="Times New Roman" w:hAnsi="Times New Roman" w:cs="Times New Roman"/>
                <w:sz w:val="20"/>
                <w:szCs w:val="20"/>
              </w:rPr>
              <w:t xml:space="preserve">Added clarification: </w:t>
            </w:r>
            <w:r w:rsidR="00A23177" w:rsidRPr="00B507C6">
              <w:rPr>
                <w:rFonts w:ascii="Times New Roman" w:hAnsi="Times New Roman" w:cs="Times New Roman"/>
                <w:sz w:val="20"/>
                <w:szCs w:val="20"/>
              </w:rPr>
              <w:t>We extracted the number of deaths for the primary date from official reports or Worldometer (</w:t>
            </w:r>
            <w:r w:rsidR="001C69D5">
              <w:rPr>
                <w:rFonts w:ascii="Times New Roman" w:hAnsi="Times New Roman" w:cs="Times New Roman"/>
                <w:sz w:val="20"/>
                <w:szCs w:val="20"/>
              </w:rPr>
              <w:t xml:space="preserve">or, </w:t>
            </w:r>
            <w:r w:rsidR="00A23177" w:rsidRPr="00B507C6">
              <w:rPr>
                <w:rFonts w:ascii="Times New Roman" w:hAnsi="Times New Roman" w:cs="Times New Roman"/>
                <w:sz w:val="20"/>
                <w:szCs w:val="20"/>
              </w:rPr>
              <w:t xml:space="preserve">if the location was not present on Worldometer, Wikipedia), whichever </w:t>
            </w:r>
            <w:r w:rsidR="001C69D5">
              <w:rPr>
                <w:rFonts w:ascii="Times New Roman" w:hAnsi="Times New Roman" w:cs="Times New Roman"/>
                <w:sz w:val="20"/>
                <w:szCs w:val="20"/>
              </w:rPr>
              <w:t>presented</w:t>
            </w:r>
            <w:r w:rsidR="001C69D5" w:rsidRPr="00B507C6">
              <w:rPr>
                <w:rFonts w:ascii="Times New Roman" w:hAnsi="Times New Roman" w:cs="Times New Roman"/>
                <w:sz w:val="20"/>
                <w:szCs w:val="20"/>
              </w:rPr>
              <w:t xml:space="preserve"> </w:t>
            </w:r>
            <w:r w:rsidR="00A23177" w:rsidRPr="00B507C6">
              <w:rPr>
                <w:rFonts w:ascii="Times New Roman" w:hAnsi="Times New Roman" w:cs="Times New Roman"/>
                <w:sz w:val="20"/>
                <w:szCs w:val="20"/>
              </w:rPr>
              <w:t xml:space="preserve">the higher </w:t>
            </w:r>
            <w:r w:rsidR="001C69D5">
              <w:rPr>
                <w:rFonts w:ascii="Times New Roman" w:hAnsi="Times New Roman" w:cs="Times New Roman"/>
                <w:sz w:val="20"/>
                <w:szCs w:val="20"/>
              </w:rPr>
              <w:t>number</w:t>
            </w:r>
            <w:r w:rsidR="00A23177" w:rsidRPr="00B507C6">
              <w:rPr>
                <w:rFonts w:ascii="Times New Roman" w:hAnsi="Times New Roman" w:cs="Times New Roman"/>
                <w:sz w:val="20"/>
                <w:szCs w:val="20"/>
              </w:rPr>
              <w:t xml:space="preserve">. For official reports, we preferred the latest updated dataset </w:t>
            </w:r>
            <w:r w:rsidR="00C33746" w:rsidRPr="00B507C6">
              <w:rPr>
                <w:rFonts w:ascii="Times New Roman" w:hAnsi="Times New Roman" w:cs="Times New Roman"/>
                <w:sz w:val="20"/>
                <w:szCs w:val="20"/>
              </w:rPr>
              <w:t xml:space="preserve">of deaths by date of occurrence (not date of reporting) </w:t>
            </w:r>
            <w:r w:rsidR="00A23177" w:rsidRPr="00B507C6">
              <w:rPr>
                <w:rFonts w:ascii="Times New Roman" w:hAnsi="Times New Roman" w:cs="Times New Roman"/>
                <w:sz w:val="20"/>
                <w:szCs w:val="20"/>
              </w:rPr>
              <w:t>if available, otherwise situational reports.</w:t>
            </w:r>
          </w:p>
        </w:tc>
        <w:tc>
          <w:tcPr>
            <w:tcW w:w="0" w:type="auto"/>
          </w:tcPr>
          <w:p w14:paraId="281CBD71" w14:textId="4F52D1D8" w:rsidR="00920579" w:rsidRPr="00B507C6" w:rsidRDefault="00A23177" w:rsidP="00E72584">
            <w:pPr>
              <w:rPr>
                <w:rFonts w:ascii="Times New Roman" w:hAnsi="Times New Roman" w:cs="Times New Roman"/>
                <w:sz w:val="20"/>
                <w:szCs w:val="20"/>
              </w:rPr>
            </w:pPr>
            <w:r w:rsidRPr="00B507C6">
              <w:rPr>
                <w:rFonts w:ascii="Times New Roman" w:hAnsi="Times New Roman" w:cs="Times New Roman"/>
                <w:sz w:val="20"/>
                <w:szCs w:val="20"/>
              </w:rPr>
              <w:t>Minor discrepancies were observed between sources, possibly attributable to retrospectively reported deaths, why the higher number was chosen.</w:t>
            </w:r>
          </w:p>
          <w:p w14:paraId="0499D8C6" w14:textId="3B97F457" w:rsidR="00A23177" w:rsidRPr="00B507C6" w:rsidRDefault="00A23177" w:rsidP="00E72584">
            <w:pPr>
              <w:rPr>
                <w:rFonts w:ascii="Times New Roman" w:hAnsi="Times New Roman" w:cs="Times New Roman"/>
                <w:sz w:val="20"/>
                <w:szCs w:val="20"/>
              </w:rPr>
            </w:pPr>
            <w:r w:rsidRPr="00B507C6">
              <w:rPr>
                <w:rFonts w:ascii="Times New Roman" w:hAnsi="Times New Roman" w:cs="Times New Roman"/>
                <w:sz w:val="20"/>
                <w:szCs w:val="20"/>
              </w:rPr>
              <w:t>Latest available datasets were preferred to situational reports because of the addition of retrospectively reported deaths.</w:t>
            </w:r>
          </w:p>
        </w:tc>
      </w:tr>
      <w:tr w:rsidR="00CF537A" w:rsidRPr="00B507C6" w14:paraId="31BE1222" w14:textId="77777777" w:rsidTr="00B507C6">
        <w:tc>
          <w:tcPr>
            <w:tcW w:w="0" w:type="auto"/>
          </w:tcPr>
          <w:p w14:paraId="382D3DB6" w14:textId="679D5A0A" w:rsidR="00920579" w:rsidRPr="00B507C6" w:rsidRDefault="00852387" w:rsidP="00E72584">
            <w:pPr>
              <w:rPr>
                <w:rFonts w:ascii="Times New Roman" w:hAnsi="Times New Roman" w:cs="Times New Roman"/>
                <w:sz w:val="20"/>
                <w:szCs w:val="20"/>
              </w:rPr>
            </w:pPr>
            <w:r w:rsidRPr="00B507C6">
              <w:rPr>
                <w:rFonts w:ascii="Times New Roman" w:hAnsi="Times New Roman" w:cs="Times New Roman"/>
                <w:sz w:val="20"/>
                <w:szCs w:val="20"/>
              </w:rPr>
              <w:t>Data extraction</w:t>
            </w:r>
          </w:p>
        </w:tc>
        <w:tc>
          <w:tcPr>
            <w:tcW w:w="0" w:type="auto"/>
          </w:tcPr>
          <w:p w14:paraId="3AA5529F" w14:textId="7D32BCCE" w:rsidR="00920579" w:rsidRPr="00B507C6" w:rsidRDefault="00852387" w:rsidP="00E72584">
            <w:pPr>
              <w:rPr>
                <w:rFonts w:ascii="Times New Roman" w:hAnsi="Times New Roman" w:cs="Times New Roman"/>
                <w:sz w:val="20"/>
                <w:szCs w:val="20"/>
              </w:rPr>
            </w:pPr>
            <w:r w:rsidRPr="00B507C6">
              <w:rPr>
                <w:rFonts w:ascii="Times New Roman" w:hAnsi="Times New Roman" w:cs="Times New Roman"/>
                <w:sz w:val="20"/>
                <w:szCs w:val="20"/>
              </w:rPr>
              <w:t>If the number of deaths occurring in nursing homes (i.e., excluding deaths occurring in hospitals) was the only available estimate, we calculated the total number of deaths in nursing home residents with a correction (by multiplying with the median of available ratios of deaths in nursing homes to deaths of nursing home residents in the International Long Term Care Policy Ne</w:t>
            </w:r>
            <w:r w:rsidR="00375E64">
              <w:rPr>
                <w:rFonts w:ascii="Times New Roman" w:hAnsi="Times New Roman" w:cs="Times New Roman"/>
                <w:sz w:val="20"/>
                <w:szCs w:val="20"/>
              </w:rPr>
              <w:t>twork report of October 14</w:t>
            </w:r>
            <w:r w:rsidRPr="00B507C6">
              <w:rPr>
                <w:rFonts w:ascii="Times New Roman" w:hAnsi="Times New Roman" w:cs="Times New Roman"/>
                <w:sz w:val="20"/>
                <w:szCs w:val="20"/>
              </w:rPr>
              <w:t xml:space="preserve"> of countries in the same continent).</w:t>
            </w:r>
          </w:p>
        </w:tc>
        <w:tc>
          <w:tcPr>
            <w:tcW w:w="0" w:type="auto"/>
          </w:tcPr>
          <w:p w14:paraId="735F7FFD" w14:textId="21528E4F" w:rsidR="00920579" w:rsidRPr="00B507C6" w:rsidRDefault="00852387" w:rsidP="00FD111D">
            <w:pPr>
              <w:rPr>
                <w:rFonts w:ascii="Times New Roman" w:hAnsi="Times New Roman" w:cs="Times New Roman"/>
                <w:sz w:val="20"/>
                <w:szCs w:val="20"/>
              </w:rPr>
            </w:pPr>
            <w:r w:rsidRPr="00B507C6">
              <w:rPr>
                <w:rFonts w:ascii="Times New Roman" w:hAnsi="Times New Roman" w:cs="Times New Roman"/>
                <w:sz w:val="20"/>
                <w:szCs w:val="20"/>
              </w:rPr>
              <w:t xml:space="preserve">In order to not count the deaths of nursing home residents occurring in hospital as deaths in community-dwelling elderly. The correction was applied to </w:t>
            </w:r>
            <w:r w:rsidR="001C69D5">
              <w:rPr>
                <w:rFonts w:ascii="Times New Roman" w:hAnsi="Times New Roman" w:cs="Times New Roman"/>
                <w:sz w:val="20"/>
                <w:szCs w:val="20"/>
              </w:rPr>
              <w:t>one</w:t>
            </w:r>
            <w:r w:rsidR="001C69D5" w:rsidRPr="00B507C6">
              <w:rPr>
                <w:rFonts w:ascii="Times New Roman" w:hAnsi="Times New Roman" w:cs="Times New Roman"/>
                <w:sz w:val="20"/>
                <w:szCs w:val="20"/>
              </w:rPr>
              <w:t xml:space="preserve"> </w:t>
            </w:r>
            <w:r w:rsidRPr="00B507C6">
              <w:rPr>
                <w:rFonts w:ascii="Times New Roman" w:hAnsi="Times New Roman" w:cs="Times New Roman"/>
                <w:sz w:val="20"/>
                <w:szCs w:val="20"/>
              </w:rPr>
              <w:t>stud</w:t>
            </w:r>
            <w:r w:rsidR="001C69D5">
              <w:rPr>
                <w:rFonts w:ascii="Times New Roman" w:hAnsi="Times New Roman" w:cs="Times New Roman"/>
                <w:sz w:val="20"/>
                <w:szCs w:val="20"/>
              </w:rPr>
              <w:t>y (Hughes)</w:t>
            </w:r>
            <w:r w:rsidR="00AE6DA2" w:rsidRPr="00B507C6">
              <w:rPr>
                <w:rFonts w:ascii="Times New Roman" w:hAnsi="Times New Roman" w:cs="Times New Roman"/>
                <w:sz w:val="20"/>
                <w:szCs w:val="20"/>
              </w:rPr>
              <w:t>.</w:t>
            </w:r>
          </w:p>
        </w:tc>
      </w:tr>
      <w:tr w:rsidR="00CF537A" w:rsidRPr="00B507C6" w14:paraId="42AA9652" w14:textId="77777777" w:rsidTr="00B507C6">
        <w:tc>
          <w:tcPr>
            <w:tcW w:w="0" w:type="auto"/>
          </w:tcPr>
          <w:p w14:paraId="69D1B80F" w14:textId="50FB31E1" w:rsidR="00920579" w:rsidRPr="00B507C6" w:rsidRDefault="005F7867" w:rsidP="00E72584">
            <w:pPr>
              <w:rPr>
                <w:rFonts w:ascii="Times New Roman" w:hAnsi="Times New Roman" w:cs="Times New Roman"/>
                <w:sz w:val="20"/>
                <w:szCs w:val="20"/>
              </w:rPr>
            </w:pPr>
            <w:r w:rsidRPr="00B507C6">
              <w:rPr>
                <w:rFonts w:ascii="Times New Roman" w:hAnsi="Times New Roman" w:cs="Times New Roman"/>
                <w:sz w:val="20"/>
                <w:szCs w:val="20"/>
              </w:rPr>
              <w:t>Sensitivity analyse</w:t>
            </w:r>
            <w:r w:rsidR="002E2DFB" w:rsidRPr="00B507C6">
              <w:rPr>
                <w:rFonts w:ascii="Times New Roman" w:hAnsi="Times New Roman" w:cs="Times New Roman"/>
                <w:sz w:val="20"/>
                <w:szCs w:val="20"/>
              </w:rPr>
              <w:t>s</w:t>
            </w:r>
          </w:p>
        </w:tc>
        <w:tc>
          <w:tcPr>
            <w:tcW w:w="0" w:type="auto"/>
          </w:tcPr>
          <w:p w14:paraId="2D8EF689" w14:textId="314E5F7E" w:rsidR="00920579" w:rsidRPr="00B507C6" w:rsidRDefault="002E2DFB" w:rsidP="002E2DFB">
            <w:pPr>
              <w:rPr>
                <w:rFonts w:ascii="Times New Roman" w:hAnsi="Times New Roman" w:cs="Times New Roman"/>
                <w:sz w:val="20"/>
                <w:szCs w:val="20"/>
              </w:rPr>
            </w:pPr>
            <w:r w:rsidRPr="00B507C6">
              <w:rPr>
                <w:rFonts w:ascii="Times New Roman" w:hAnsi="Times New Roman" w:cs="Times New Roman"/>
                <w:sz w:val="20"/>
                <w:szCs w:val="20"/>
              </w:rPr>
              <w:t>The seroreversion correction is calculated with a X</w:t>
            </w:r>
            <w:r w:rsidRPr="00B507C6">
              <w:rPr>
                <w:rFonts w:ascii="Times New Roman" w:hAnsi="Times New Roman" w:cs="Times New Roman"/>
                <w:sz w:val="20"/>
                <w:szCs w:val="20"/>
                <w:vertAlign w:val="superscript"/>
              </w:rPr>
              <w:t>m</w:t>
            </w:r>
            <w:r w:rsidRPr="00B507C6">
              <w:rPr>
                <w:rFonts w:ascii="Times New Roman" w:hAnsi="Times New Roman" w:cs="Times New Roman"/>
                <w:sz w:val="20"/>
                <w:szCs w:val="20"/>
              </w:rPr>
              <w:t>-fold correction to the IFR, not (1/X)</w:t>
            </w:r>
            <w:r w:rsidRPr="00B507C6">
              <w:rPr>
                <w:rFonts w:ascii="Times New Roman" w:hAnsi="Times New Roman" w:cs="Times New Roman"/>
                <w:sz w:val="20"/>
                <w:szCs w:val="20"/>
                <w:vertAlign w:val="superscript"/>
              </w:rPr>
              <w:t>m</w:t>
            </w:r>
            <w:r w:rsidRPr="00B507C6">
              <w:rPr>
                <w:rFonts w:ascii="Times New Roman" w:hAnsi="Times New Roman" w:cs="Times New Roman"/>
                <w:sz w:val="20"/>
                <w:szCs w:val="20"/>
              </w:rPr>
              <w:t>-fold.</w:t>
            </w:r>
          </w:p>
        </w:tc>
        <w:tc>
          <w:tcPr>
            <w:tcW w:w="0" w:type="auto"/>
          </w:tcPr>
          <w:p w14:paraId="6094AC80" w14:textId="41AA413B" w:rsidR="00920579" w:rsidRPr="00B507C6" w:rsidRDefault="003F0C3D" w:rsidP="00E72584">
            <w:pPr>
              <w:rPr>
                <w:rFonts w:ascii="Times New Roman" w:hAnsi="Times New Roman" w:cs="Times New Roman"/>
                <w:sz w:val="20"/>
                <w:szCs w:val="20"/>
              </w:rPr>
            </w:pPr>
            <w:r w:rsidRPr="00B507C6">
              <w:rPr>
                <w:rFonts w:ascii="Times New Roman" w:hAnsi="Times New Roman" w:cs="Times New Roman"/>
                <w:sz w:val="20"/>
                <w:szCs w:val="20"/>
              </w:rPr>
              <w:t>Correction of typo</w:t>
            </w:r>
            <w:r w:rsidR="00551808" w:rsidRPr="00B507C6">
              <w:rPr>
                <w:rFonts w:ascii="Times New Roman" w:hAnsi="Times New Roman" w:cs="Times New Roman"/>
                <w:sz w:val="20"/>
                <w:szCs w:val="20"/>
              </w:rPr>
              <w:t xml:space="preserve"> in protocol</w:t>
            </w:r>
            <w:r w:rsidR="004D0BBC" w:rsidRPr="00B507C6">
              <w:rPr>
                <w:rFonts w:ascii="Times New Roman" w:hAnsi="Times New Roman" w:cs="Times New Roman"/>
                <w:sz w:val="20"/>
                <w:szCs w:val="20"/>
              </w:rPr>
              <w:t>.</w:t>
            </w:r>
          </w:p>
        </w:tc>
      </w:tr>
      <w:tr w:rsidR="00CF537A" w:rsidRPr="00B507C6" w14:paraId="09A3993D" w14:textId="77777777" w:rsidTr="00B507C6">
        <w:tc>
          <w:tcPr>
            <w:tcW w:w="0" w:type="auto"/>
          </w:tcPr>
          <w:p w14:paraId="5A3E5158" w14:textId="77777777" w:rsidR="00934294" w:rsidRPr="00B507C6" w:rsidRDefault="00934294" w:rsidP="00CD72AC">
            <w:pPr>
              <w:rPr>
                <w:rFonts w:ascii="Times New Roman" w:hAnsi="Times New Roman" w:cs="Times New Roman"/>
                <w:sz w:val="20"/>
                <w:szCs w:val="20"/>
              </w:rPr>
            </w:pPr>
            <w:r w:rsidRPr="00B507C6">
              <w:rPr>
                <w:rFonts w:ascii="Times New Roman" w:hAnsi="Times New Roman" w:cs="Times New Roman"/>
                <w:sz w:val="20"/>
                <w:szCs w:val="20"/>
              </w:rPr>
              <w:t>Sensitivity analyses</w:t>
            </w:r>
          </w:p>
        </w:tc>
        <w:tc>
          <w:tcPr>
            <w:tcW w:w="0" w:type="auto"/>
          </w:tcPr>
          <w:p w14:paraId="23C38293" w14:textId="77777777" w:rsidR="00934294" w:rsidRPr="00B507C6" w:rsidRDefault="00934294" w:rsidP="00CD72AC">
            <w:pPr>
              <w:rPr>
                <w:rFonts w:ascii="Times New Roman" w:hAnsi="Times New Roman" w:cs="Times New Roman"/>
                <w:sz w:val="20"/>
                <w:szCs w:val="20"/>
              </w:rPr>
            </w:pPr>
            <w:r w:rsidRPr="00B507C6">
              <w:rPr>
                <w:rFonts w:ascii="Times New Roman" w:hAnsi="Times New Roman" w:cs="Times New Roman"/>
                <w:sz w:val="20"/>
                <w:szCs w:val="20"/>
              </w:rPr>
              <w:t>Added clarification: The peak of the first epidemic wave was defined as one week before the date with the highest rolling average 7-day mortality (according to Worldometer, situational reports, or Wikipedia). The first epidemic wave was defined to end by the date with the lowest 7-day average of daily deaths since the beginning of the epidemic. If two or more dates were tied for peak values, we chose the date corresponding to the midpoint between the first and last one.</w:t>
            </w:r>
          </w:p>
        </w:tc>
        <w:tc>
          <w:tcPr>
            <w:tcW w:w="0" w:type="auto"/>
          </w:tcPr>
          <w:p w14:paraId="1E750092" w14:textId="77777777" w:rsidR="00934294" w:rsidRPr="00B507C6" w:rsidRDefault="00934294" w:rsidP="00CD72AC">
            <w:pPr>
              <w:rPr>
                <w:rFonts w:ascii="Times New Roman" w:hAnsi="Times New Roman" w:cs="Times New Roman"/>
                <w:sz w:val="20"/>
                <w:szCs w:val="20"/>
              </w:rPr>
            </w:pPr>
            <w:r w:rsidRPr="00B507C6">
              <w:rPr>
                <w:rFonts w:ascii="Times New Roman" w:hAnsi="Times New Roman" w:cs="Times New Roman"/>
                <w:sz w:val="20"/>
                <w:szCs w:val="20"/>
              </w:rPr>
              <w:t>This definition had been missed in the protocol.</w:t>
            </w:r>
          </w:p>
        </w:tc>
      </w:tr>
      <w:tr w:rsidR="00CF537A" w:rsidRPr="00B507C6" w14:paraId="38691718" w14:textId="77777777" w:rsidTr="00B507C6">
        <w:tc>
          <w:tcPr>
            <w:tcW w:w="0" w:type="auto"/>
          </w:tcPr>
          <w:p w14:paraId="6356F5F1" w14:textId="517532AB" w:rsidR="00920579" w:rsidRPr="00B507C6" w:rsidRDefault="005F7867" w:rsidP="00E72584">
            <w:pPr>
              <w:rPr>
                <w:rFonts w:ascii="Times New Roman" w:hAnsi="Times New Roman" w:cs="Times New Roman"/>
                <w:sz w:val="20"/>
                <w:szCs w:val="20"/>
              </w:rPr>
            </w:pPr>
            <w:r w:rsidRPr="00B507C6">
              <w:rPr>
                <w:rFonts w:ascii="Times New Roman" w:hAnsi="Times New Roman" w:cs="Times New Roman"/>
                <w:sz w:val="20"/>
                <w:szCs w:val="20"/>
              </w:rPr>
              <w:lastRenderedPageBreak/>
              <w:t>Data Synthesis and Analysis</w:t>
            </w:r>
          </w:p>
        </w:tc>
        <w:tc>
          <w:tcPr>
            <w:tcW w:w="0" w:type="auto"/>
          </w:tcPr>
          <w:p w14:paraId="3288360F" w14:textId="77777777" w:rsidR="00920579" w:rsidRPr="00CF537A" w:rsidRDefault="00B271E5" w:rsidP="00EA6180">
            <w:pPr>
              <w:rPr>
                <w:rFonts w:ascii="Times New Roman" w:hAnsi="Times New Roman" w:cs="Times New Roman"/>
                <w:sz w:val="20"/>
                <w:szCs w:val="20"/>
              </w:rPr>
            </w:pPr>
            <w:r w:rsidRPr="00CF537A">
              <w:rPr>
                <w:rFonts w:ascii="Times New Roman" w:hAnsi="Times New Roman" w:cs="Times New Roman"/>
                <w:sz w:val="20"/>
                <w:szCs w:val="20"/>
              </w:rPr>
              <w:t>We a</w:t>
            </w:r>
            <w:r w:rsidR="005F7867" w:rsidRPr="00CF537A">
              <w:rPr>
                <w:rFonts w:ascii="Times New Roman" w:hAnsi="Times New Roman" w:cs="Times New Roman"/>
                <w:sz w:val="20"/>
                <w:szCs w:val="20"/>
              </w:rPr>
              <w:t xml:space="preserve">dded a calculation of </w:t>
            </w:r>
            <w:r w:rsidRPr="00CF537A">
              <w:rPr>
                <w:rFonts w:ascii="Times New Roman" w:hAnsi="Times New Roman" w:cs="Times New Roman"/>
                <w:sz w:val="20"/>
                <w:szCs w:val="20"/>
              </w:rPr>
              <w:t>95% CIs</w:t>
            </w:r>
            <w:r w:rsidR="005F7867" w:rsidRPr="00CF537A">
              <w:rPr>
                <w:rFonts w:ascii="Times New Roman" w:hAnsi="Times New Roman" w:cs="Times New Roman"/>
                <w:sz w:val="20"/>
                <w:szCs w:val="20"/>
              </w:rPr>
              <w:t xml:space="preserve"> of IFRs based on </w:t>
            </w:r>
            <w:r w:rsidRPr="00CF537A">
              <w:rPr>
                <w:rFonts w:ascii="Times New Roman" w:hAnsi="Times New Roman" w:cs="Times New Roman"/>
                <w:sz w:val="20"/>
                <w:szCs w:val="20"/>
              </w:rPr>
              <w:t>extracted 95% CIs</w:t>
            </w:r>
            <w:r w:rsidR="005F7867" w:rsidRPr="00CF537A">
              <w:rPr>
                <w:rFonts w:ascii="Times New Roman" w:hAnsi="Times New Roman" w:cs="Times New Roman"/>
                <w:sz w:val="20"/>
                <w:szCs w:val="20"/>
              </w:rPr>
              <w:t xml:space="preserve"> from seroprevalence estimates. </w:t>
            </w:r>
            <w:r w:rsidRPr="00CF537A">
              <w:rPr>
                <w:rFonts w:ascii="Times New Roman" w:hAnsi="Times New Roman" w:cs="Times New Roman"/>
                <w:sz w:val="20"/>
                <w:szCs w:val="20"/>
              </w:rPr>
              <w:t xml:space="preserve">For studies that did not report such intervals, we </w:t>
            </w:r>
            <w:r w:rsidR="00050FF6" w:rsidRPr="00CF537A">
              <w:rPr>
                <w:rFonts w:ascii="Times New Roman" w:hAnsi="Times New Roman" w:cs="Times New Roman"/>
                <w:sz w:val="20"/>
                <w:szCs w:val="20"/>
              </w:rPr>
              <w:t xml:space="preserve">complemented with a calculation using the </w:t>
            </w:r>
            <w:r w:rsidR="00547CCE" w:rsidRPr="00CF537A">
              <w:rPr>
                <w:rFonts w:ascii="Times New Roman" w:hAnsi="Times New Roman" w:cs="Times New Roman"/>
                <w:sz w:val="20"/>
                <w:szCs w:val="20"/>
              </w:rPr>
              <w:t>number of sampled</w:t>
            </w:r>
            <w:r w:rsidR="00B45B43" w:rsidRPr="00CF537A">
              <w:rPr>
                <w:rFonts w:ascii="Times New Roman" w:hAnsi="Times New Roman" w:cs="Times New Roman"/>
                <w:sz w:val="20"/>
                <w:szCs w:val="20"/>
              </w:rPr>
              <w:t xml:space="preserve"> </w:t>
            </w:r>
            <w:r w:rsidR="00547CCE" w:rsidRPr="00CF537A">
              <w:rPr>
                <w:rFonts w:ascii="Times New Roman" w:hAnsi="Times New Roman" w:cs="Times New Roman"/>
                <w:sz w:val="20"/>
                <w:szCs w:val="20"/>
              </w:rPr>
              <w:t>a</w:t>
            </w:r>
            <w:r w:rsidR="00EA6180" w:rsidRPr="00CF537A">
              <w:rPr>
                <w:rFonts w:ascii="Times New Roman" w:hAnsi="Times New Roman" w:cs="Times New Roman"/>
                <w:sz w:val="20"/>
                <w:szCs w:val="20"/>
              </w:rPr>
              <w:t xml:space="preserve">nd </w:t>
            </w:r>
            <w:r w:rsidR="00050FF6" w:rsidRPr="00CF537A">
              <w:rPr>
                <w:rFonts w:ascii="Times New Roman" w:hAnsi="Times New Roman" w:cs="Times New Roman"/>
                <w:sz w:val="20"/>
                <w:szCs w:val="20"/>
              </w:rPr>
              <w:t xml:space="preserve">seropositive </w:t>
            </w:r>
            <w:r w:rsidR="00B45B43" w:rsidRPr="00CF537A">
              <w:rPr>
                <w:rFonts w:ascii="Times New Roman" w:hAnsi="Times New Roman" w:cs="Times New Roman"/>
                <w:sz w:val="20"/>
                <w:szCs w:val="20"/>
              </w:rPr>
              <w:t xml:space="preserve">elderly </w:t>
            </w:r>
            <w:r w:rsidR="00050FF6" w:rsidRPr="00CF537A">
              <w:rPr>
                <w:rFonts w:ascii="Times New Roman" w:hAnsi="Times New Roman" w:cs="Times New Roman"/>
                <w:sz w:val="20"/>
                <w:szCs w:val="20"/>
              </w:rPr>
              <w:t>individuals.</w:t>
            </w:r>
          </w:p>
          <w:p w14:paraId="1A25F9F7" w14:textId="772A40FE" w:rsidR="00A01D46" w:rsidRPr="00CF537A" w:rsidRDefault="00A01D46" w:rsidP="00FD111D">
            <w:pPr>
              <w:rPr>
                <w:rFonts w:ascii="Times New Roman" w:hAnsi="Times New Roman" w:cs="Times New Roman"/>
                <w:sz w:val="20"/>
                <w:szCs w:val="20"/>
              </w:rPr>
            </w:pPr>
            <w:r w:rsidRPr="00CF537A">
              <w:rPr>
                <w:rFonts w:ascii="Times New Roman" w:hAnsi="Times New Roman" w:cs="Times New Roman"/>
                <w:sz w:val="20"/>
                <w:szCs w:val="20"/>
              </w:rPr>
              <w:t xml:space="preserve">For those that provided adjusted estimates for </w:t>
            </w:r>
            <w:r w:rsidR="00CF2138" w:rsidRPr="00CF537A">
              <w:rPr>
                <w:rFonts w:ascii="Times New Roman" w:hAnsi="Times New Roman" w:cs="Times New Roman"/>
                <w:sz w:val="20"/>
                <w:szCs w:val="20"/>
              </w:rPr>
              <w:t xml:space="preserve">age </w:t>
            </w:r>
            <w:r w:rsidRPr="00CF537A">
              <w:rPr>
                <w:rFonts w:ascii="Times New Roman" w:hAnsi="Times New Roman" w:cs="Times New Roman"/>
                <w:sz w:val="20"/>
                <w:szCs w:val="20"/>
              </w:rPr>
              <w:t>brackets</w:t>
            </w:r>
            <w:r w:rsidR="00CF2138" w:rsidRPr="00CF537A">
              <w:rPr>
                <w:rFonts w:ascii="Times New Roman" w:hAnsi="Times New Roman" w:cs="Times New Roman"/>
                <w:sz w:val="20"/>
                <w:szCs w:val="20"/>
              </w:rPr>
              <w:t xml:space="preserve"> (e.g., 70-79, 80-89, and 90+)</w:t>
            </w:r>
            <w:r w:rsidRPr="00CF537A">
              <w:rPr>
                <w:rFonts w:ascii="Times New Roman" w:hAnsi="Times New Roman" w:cs="Times New Roman"/>
                <w:sz w:val="20"/>
                <w:szCs w:val="20"/>
              </w:rPr>
              <w:t xml:space="preserve">, we combined estimates for each study using a fixed effects inverse variance meta-analysis </w:t>
            </w:r>
            <w:r w:rsidR="00CF2138" w:rsidRPr="00CF537A">
              <w:rPr>
                <w:rFonts w:ascii="Times New Roman" w:hAnsi="Times New Roman" w:cs="Times New Roman"/>
                <w:sz w:val="20"/>
                <w:szCs w:val="20"/>
              </w:rPr>
              <w:t>(</w:t>
            </w:r>
            <w:r w:rsidRPr="00CF537A">
              <w:rPr>
                <w:rFonts w:ascii="Times New Roman" w:hAnsi="Times New Roman" w:cs="Times New Roman"/>
                <w:sz w:val="20"/>
                <w:szCs w:val="20"/>
              </w:rPr>
              <w:t>of arcsine transformed proportions</w:t>
            </w:r>
            <w:r w:rsidR="00CF2138" w:rsidRPr="00CF537A">
              <w:rPr>
                <w:rFonts w:ascii="Times New Roman" w:hAnsi="Times New Roman" w:cs="Times New Roman"/>
                <w:sz w:val="20"/>
                <w:szCs w:val="20"/>
              </w:rPr>
              <w:t xml:space="preserve">) to obtain 95% </w:t>
            </w:r>
            <w:r w:rsidR="005B5329">
              <w:rPr>
                <w:rFonts w:ascii="Times New Roman" w:hAnsi="Times New Roman" w:cs="Times New Roman"/>
                <w:sz w:val="20"/>
                <w:szCs w:val="20"/>
              </w:rPr>
              <w:t>CIs</w:t>
            </w:r>
            <w:r w:rsidRPr="00CF537A">
              <w:rPr>
                <w:rFonts w:ascii="Times New Roman" w:hAnsi="Times New Roman" w:cs="Times New Roman"/>
                <w:sz w:val="20"/>
                <w:szCs w:val="20"/>
              </w:rPr>
              <w:t>.</w:t>
            </w:r>
          </w:p>
        </w:tc>
        <w:tc>
          <w:tcPr>
            <w:tcW w:w="0" w:type="auto"/>
          </w:tcPr>
          <w:p w14:paraId="3DF34349" w14:textId="79729668" w:rsidR="00920579" w:rsidRPr="00B507C6" w:rsidRDefault="005F7867" w:rsidP="00E72584">
            <w:pPr>
              <w:rPr>
                <w:rFonts w:ascii="Times New Roman" w:hAnsi="Times New Roman" w:cs="Times New Roman"/>
                <w:sz w:val="20"/>
                <w:szCs w:val="20"/>
              </w:rPr>
            </w:pPr>
            <w:r w:rsidRPr="00B507C6">
              <w:rPr>
                <w:rFonts w:ascii="Times New Roman" w:hAnsi="Times New Roman" w:cs="Times New Roman"/>
                <w:sz w:val="20"/>
                <w:szCs w:val="20"/>
              </w:rPr>
              <w:t xml:space="preserve">In order to illustrate </w:t>
            </w:r>
            <w:r w:rsidR="00CF2138">
              <w:rPr>
                <w:rFonts w:ascii="Times New Roman" w:hAnsi="Times New Roman" w:cs="Times New Roman"/>
                <w:sz w:val="20"/>
                <w:szCs w:val="20"/>
              </w:rPr>
              <w:t xml:space="preserve">in Figure 1 </w:t>
            </w:r>
            <w:r w:rsidRPr="00B507C6">
              <w:rPr>
                <w:rFonts w:ascii="Times New Roman" w:hAnsi="Times New Roman" w:cs="Times New Roman"/>
                <w:sz w:val="20"/>
                <w:szCs w:val="20"/>
              </w:rPr>
              <w:t xml:space="preserve">the uncertainty of </w:t>
            </w:r>
            <w:r w:rsidR="00B37D3D" w:rsidRPr="00B507C6">
              <w:rPr>
                <w:rFonts w:ascii="Times New Roman" w:hAnsi="Times New Roman" w:cs="Times New Roman"/>
                <w:sz w:val="20"/>
                <w:szCs w:val="20"/>
              </w:rPr>
              <w:t xml:space="preserve">IFR </w:t>
            </w:r>
            <w:r w:rsidRPr="00B507C6">
              <w:rPr>
                <w:rFonts w:ascii="Times New Roman" w:hAnsi="Times New Roman" w:cs="Times New Roman"/>
                <w:sz w:val="20"/>
                <w:szCs w:val="20"/>
              </w:rPr>
              <w:t>estimates arising from seroprevalence sampling</w:t>
            </w:r>
            <w:r w:rsidR="002C48CB">
              <w:rPr>
                <w:rFonts w:ascii="Times New Roman" w:hAnsi="Times New Roman" w:cs="Times New Roman"/>
                <w:sz w:val="20"/>
                <w:szCs w:val="20"/>
              </w:rPr>
              <w:t xml:space="preserve"> as reported by seroprevalence study authors</w:t>
            </w:r>
            <w:r w:rsidR="00CF2138">
              <w:rPr>
                <w:rFonts w:ascii="Times New Roman" w:hAnsi="Times New Roman" w:cs="Times New Roman"/>
                <w:sz w:val="20"/>
                <w:szCs w:val="20"/>
              </w:rPr>
              <w:t>,</w:t>
            </w:r>
            <w:r w:rsidR="002C48CB">
              <w:rPr>
                <w:rFonts w:ascii="Times New Roman" w:hAnsi="Times New Roman" w:cs="Times New Roman"/>
                <w:sz w:val="20"/>
                <w:szCs w:val="20"/>
              </w:rPr>
              <w:t xml:space="preserve"> and to calculate the heterogeneity indicator I-squared</w:t>
            </w:r>
            <w:r w:rsidRPr="00B507C6">
              <w:rPr>
                <w:rFonts w:ascii="Times New Roman" w:hAnsi="Times New Roman" w:cs="Times New Roman"/>
                <w:sz w:val="20"/>
                <w:szCs w:val="20"/>
              </w:rPr>
              <w:t>.</w:t>
            </w:r>
          </w:p>
        </w:tc>
      </w:tr>
      <w:tr w:rsidR="00CF537A" w:rsidRPr="00B507C6" w14:paraId="180894BA" w14:textId="77777777" w:rsidTr="00B507C6">
        <w:tc>
          <w:tcPr>
            <w:tcW w:w="0" w:type="auto"/>
          </w:tcPr>
          <w:p w14:paraId="6459C39F" w14:textId="00E1851E" w:rsidR="00790A5F" w:rsidRPr="00B507C6" w:rsidRDefault="00D37CD2" w:rsidP="00E72584">
            <w:pPr>
              <w:rPr>
                <w:rFonts w:ascii="Times New Roman" w:hAnsi="Times New Roman" w:cs="Times New Roman"/>
                <w:sz w:val="20"/>
                <w:szCs w:val="20"/>
              </w:rPr>
            </w:pPr>
            <w:r>
              <w:rPr>
                <w:rFonts w:ascii="Times New Roman" w:hAnsi="Times New Roman" w:cs="Times New Roman"/>
                <w:sz w:val="20"/>
                <w:szCs w:val="20"/>
              </w:rPr>
              <w:t>Calculated Data Variables</w:t>
            </w:r>
          </w:p>
        </w:tc>
        <w:tc>
          <w:tcPr>
            <w:tcW w:w="0" w:type="auto"/>
          </w:tcPr>
          <w:p w14:paraId="62B29E00" w14:textId="0658C17D" w:rsidR="00CF537A" w:rsidRPr="00B507C6" w:rsidRDefault="00CF537A" w:rsidP="00CF537A">
            <w:pPr>
              <w:rPr>
                <w:rFonts w:ascii="Times New Roman" w:hAnsi="Times New Roman" w:cs="Times New Roman"/>
                <w:sz w:val="20"/>
                <w:szCs w:val="20"/>
                <w:highlight w:val="cyan"/>
              </w:rPr>
            </w:pPr>
            <w:r w:rsidRPr="00CF537A">
              <w:rPr>
                <w:rFonts w:ascii="Times New Roman" w:hAnsi="Times New Roman" w:cs="Times New Roman"/>
                <w:sz w:val="20"/>
                <w:szCs w:val="20"/>
              </w:rPr>
              <w:t>Added clarification: For studies that provided adjusted seroprevalence estimates for age brackets</w:t>
            </w:r>
            <w:r w:rsidR="00CF2138" w:rsidRPr="00CF537A">
              <w:rPr>
                <w:rFonts w:ascii="Times New Roman" w:hAnsi="Times New Roman" w:cs="Times New Roman"/>
                <w:sz w:val="20"/>
                <w:szCs w:val="20"/>
              </w:rPr>
              <w:t xml:space="preserve"> (e.g., 70-79, 80-89, and 90+)</w:t>
            </w:r>
            <w:r w:rsidRPr="00CF537A">
              <w:rPr>
                <w:rFonts w:ascii="Times New Roman" w:hAnsi="Times New Roman" w:cs="Times New Roman"/>
                <w:sz w:val="20"/>
                <w:szCs w:val="20"/>
              </w:rPr>
              <w:t xml:space="preserve"> we calculated the number of infected individuals for each age bracket by multiplying with the corresponding population size. (For community-dwelling elderly, we first subtracted the nursing home population, assuming that the proportion of nursing home residents was equal across the age brackets). Then, we summarized the number of infected individuals in the age brackets to the number of infected individuals for (community-dwelling) elderly.</w:t>
            </w:r>
          </w:p>
        </w:tc>
        <w:tc>
          <w:tcPr>
            <w:tcW w:w="0" w:type="auto"/>
          </w:tcPr>
          <w:p w14:paraId="79644DC6" w14:textId="7B7C6E0A" w:rsidR="00790A5F" w:rsidRPr="00B507C6" w:rsidRDefault="00790A5F" w:rsidP="00E72584">
            <w:pPr>
              <w:rPr>
                <w:rFonts w:ascii="Times New Roman" w:hAnsi="Times New Roman" w:cs="Times New Roman"/>
                <w:sz w:val="20"/>
                <w:szCs w:val="20"/>
              </w:rPr>
            </w:pPr>
            <w:r w:rsidRPr="00B507C6">
              <w:rPr>
                <w:rFonts w:ascii="Times New Roman" w:hAnsi="Times New Roman" w:cs="Times New Roman"/>
                <w:sz w:val="20"/>
                <w:szCs w:val="20"/>
              </w:rPr>
              <w:t xml:space="preserve">In order to be able to use adjusted </w:t>
            </w:r>
            <w:r w:rsidR="005B5329">
              <w:rPr>
                <w:rFonts w:ascii="Times New Roman" w:hAnsi="Times New Roman" w:cs="Times New Roman"/>
                <w:sz w:val="20"/>
                <w:szCs w:val="20"/>
              </w:rPr>
              <w:t xml:space="preserve">seroprevalence </w:t>
            </w:r>
            <w:r w:rsidRPr="00B507C6">
              <w:rPr>
                <w:rFonts w:ascii="Times New Roman" w:hAnsi="Times New Roman" w:cs="Times New Roman"/>
                <w:sz w:val="20"/>
                <w:szCs w:val="20"/>
              </w:rPr>
              <w:t>estimates</w:t>
            </w:r>
            <w:r w:rsidR="003B7985">
              <w:rPr>
                <w:rFonts w:ascii="Times New Roman" w:hAnsi="Times New Roman" w:cs="Times New Roman"/>
                <w:sz w:val="20"/>
                <w:szCs w:val="20"/>
              </w:rPr>
              <w:t xml:space="preserve"> </w:t>
            </w:r>
            <w:r w:rsidR="005B5329">
              <w:rPr>
                <w:rFonts w:ascii="Times New Roman" w:hAnsi="Times New Roman" w:cs="Times New Roman"/>
                <w:sz w:val="20"/>
                <w:szCs w:val="20"/>
              </w:rPr>
              <w:t xml:space="preserve">that were </w:t>
            </w:r>
            <w:r w:rsidR="003B7985">
              <w:rPr>
                <w:rFonts w:ascii="Times New Roman" w:hAnsi="Times New Roman" w:cs="Times New Roman"/>
                <w:sz w:val="20"/>
                <w:szCs w:val="20"/>
              </w:rPr>
              <w:t>provided for age brackets</w:t>
            </w:r>
            <w:r w:rsidR="005B5329">
              <w:rPr>
                <w:rFonts w:ascii="Times New Roman" w:hAnsi="Times New Roman" w:cs="Times New Roman"/>
                <w:sz w:val="20"/>
                <w:szCs w:val="20"/>
              </w:rPr>
              <w:t xml:space="preserve"> that together formed an eligible elderly stratum</w:t>
            </w:r>
            <w:r w:rsidR="003B7985">
              <w:rPr>
                <w:rFonts w:ascii="Times New Roman" w:hAnsi="Times New Roman" w:cs="Times New Roman"/>
                <w:sz w:val="20"/>
                <w:szCs w:val="20"/>
              </w:rPr>
              <w:t>.</w:t>
            </w:r>
          </w:p>
        </w:tc>
      </w:tr>
      <w:tr w:rsidR="00E662F4" w:rsidRPr="00B507C6" w14:paraId="66463FAC" w14:textId="77777777" w:rsidTr="00B507C6">
        <w:tc>
          <w:tcPr>
            <w:tcW w:w="0" w:type="auto"/>
          </w:tcPr>
          <w:p w14:paraId="64EBD497" w14:textId="59A4CDCB" w:rsidR="00E662F4" w:rsidRDefault="00E662F4" w:rsidP="00D37CD2">
            <w:pPr>
              <w:rPr>
                <w:rFonts w:ascii="Times New Roman" w:hAnsi="Times New Roman" w:cs="Times New Roman"/>
                <w:sz w:val="20"/>
                <w:szCs w:val="20"/>
              </w:rPr>
            </w:pPr>
            <w:r>
              <w:rPr>
                <w:rFonts w:ascii="Times New Roman" w:hAnsi="Times New Roman" w:cs="Times New Roman"/>
                <w:sz w:val="20"/>
                <w:szCs w:val="20"/>
              </w:rPr>
              <w:t>Calculated Data Variables</w:t>
            </w:r>
          </w:p>
        </w:tc>
        <w:tc>
          <w:tcPr>
            <w:tcW w:w="0" w:type="auto"/>
          </w:tcPr>
          <w:p w14:paraId="46479805" w14:textId="2396880E" w:rsidR="00E662F4" w:rsidRDefault="00E91443" w:rsidP="00BA0D24">
            <w:pPr>
              <w:rPr>
                <w:rFonts w:ascii="Times New Roman" w:hAnsi="Times New Roman" w:cs="Times New Roman"/>
                <w:sz w:val="20"/>
                <w:szCs w:val="20"/>
                <w:highlight w:val="cyan"/>
              </w:rPr>
            </w:pPr>
            <w:r w:rsidRPr="00FD111D">
              <w:rPr>
                <w:rFonts w:ascii="Times New Roman" w:hAnsi="Times New Roman" w:cs="Times New Roman"/>
                <w:sz w:val="20"/>
                <w:szCs w:val="20"/>
              </w:rPr>
              <w:t xml:space="preserve">For </w:t>
            </w:r>
            <w:r w:rsidR="00BA0D24" w:rsidRPr="00FD111D">
              <w:rPr>
                <w:rFonts w:ascii="Times New Roman" w:hAnsi="Times New Roman" w:cs="Times New Roman"/>
                <w:sz w:val="20"/>
                <w:szCs w:val="20"/>
              </w:rPr>
              <w:t>Qatar</w:t>
            </w:r>
            <w:r w:rsidR="00E662F4" w:rsidRPr="00FD111D">
              <w:rPr>
                <w:rFonts w:ascii="Times New Roman" w:hAnsi="Times New Roman" w:cs="Times New Roman"/>
                <w:sz w:val="20"/>
                <w:szCs w:val="20"/>
              </w:rPr>
              <w:t xml:space="preserve">, </w:t>
            </w:r>
            <w:r w:rsidRPr="00FD111D">
              <w:rPr>
                <w:rFonts w:ascii="Times New Roman" w:hAnsi="Times New Roman" w:cs="Times New Roman"/>
                <w:sz w:val="20"/>
                <w:szCs w:val="20"/>
              </w:rPr>
              <w:t>we</w:t>
            </w:r>
            <w:r w:rsidRPr="00E91443">
              <w:rPr>
                <w:rFonts w:ascii="Times New Roman" w:hAnsi="Times New Roman" w:cs="Times New Roman"/>
                <w:sz w:val="20"/>
                <w:szCs w:val="20"/>
              </w:rPr>
              <w:t xml:space="preserve"> could not retrieve information on the proportion of deaths accounted by nursing home residents</w:t>
            </w:r>
            <w:r>
              <w:rPr>
                <w:rFonts w:ascii="Times New Roman" w:hAnsi="Times New Roman" w:cs="Times New Roman"/>
                <w:sz w:val="20"/>
                <w:szCs w:val="20"/>
              </w:rPr>
              <w:t xml:space="preserve">, and we imputed a value of 10%. Imputation for this country was not prespecified. </w:t>
            </w:r>
          </w:p>
        </w:tc>
        <w:tc>
          <w:tcPr>
            <w:tcW w:w="0" w:type="auto"/>
          </w:tcPr>
          <w:p w14:paraId="439FD8A0" w14:textId="2627F4EA" w:rsidR="00E662F4" w:rsidRPr="00B507C6" w:rsidRDefault="00E91443" w:rsidP="00E72584">
            <w:pPr>
              <w:rPr>
                <w:rFonts w:ascii="Times New Roman" w:hAnsi="Times New Roman" w:cs="Times New Roman"/>
                <w:sz w:val="20"/>
                <w:szCs w:val="20"/>
              </w:rPr>
            </w:pPr>
            <w:r>
              <w:rPr>
                <w:rFonts w:ascii="Times New Roman" w:hAnsi="Times New Roman" w:cs="Times New Roman"/>
                <w:sz w:val="20"/>
                <w:szCs w:val="20"/>
              </w:rPr>
              <w:t>Qatar has a small number of nursing home residents</w:t>
            </w:r>
            <w:r w:rsidR="00A1783B">
              <w:rPr>
                <w:rFonts w:ascii="Times New Roman" w:hAnsi="Times New Roman" w:cs="Times New Roman"/>
                <w:sz w:val="20"/>
                <w:szCs w:val="20"/>
              </w:rPr>
              <w:t xml:space="preserve"> relative to the population</w:t>
            </w:r>
            <w:r>
              <w:rPr>
                <w:rFonts w:ascii="Times New Roman" w:hAnsi="Times New Roman" w:cs="Times New Roman"/>
                <w:sz w:val="20"/>
                <w:szCs w:val="20"/>
              </w:rPr>
              <w:t>, although the number has increased in recent years.</w:t>
            </w:r>
          </w:p>
        </w:tc>
      </w:tr>
      <w:tr w:rsidR="00CF537A" w:rsidRPr="00B507C6" w14:paraId="4C27BAF1" w14:textId="77777777" w:rsidTr="00B507C6">
        <w:tc>
          <w:tcPr>
            <w:tcW w:w="0" w:type="auto"/>
          </w:tcPr>
          <w:p w14:paraId="6F47DE0B" w14:textId="3A654C3A" w:rsidR="00D37CD2" w:rsidRPr="00B507C6" w:rsidRDefault="00D37CD2" w:rsidP="00D37CD2">
            <w:pPr>
              <w:rPr>
                <w:rFonts w:ascii="Times New Roman" w:hAnsi="Times New Roman" w:cs="Times New Roman"/>
                <w:sz w:val="20"/>
                <w:szCs w:val="20"/>
              </w:rPr>
            </w:pPr>
            <w:r>
              <w:rPr>
                <w:rFonts w:ascii="Times New Roman" w:hAnsi="Times New Roman" w:cs="Times New Roman"/>
                <w:sz w:val="20"/>
                <w:szCs w:val="20"/>
              </w:rPr>
              <w:t>Calculated Data Variables</w:t>
            </w:r>
          </w:p>
        </w:tc>
        <w:tc>
          <w:tcPr>
            <w:tcW w:w="0" w:type="auto"/>
          </w:tcPr>
          <w:p w14:paraId="69E73EA0" w14:textId="2B0C3760" w:rsidR="006E269E" w:rsidRDefault="00BD13CB" w:rsidP="008C5412">
            <w:pPr>
              <w:rPr>
                <w:rFonts w:ascii="Times New Roman" w:hAnsi="Times New Roman" w:cs="Times New Roman"/>
                <w:sz w:val="20"/>
                <w:szCs w:val="20"/>
              </w:rPr>
            </w:pPr>
            <w:r w:rsidRPr="00BD13CB">
              <w:rPr>
                <w:rFonts w:ascii="Times New Roman" w:hAnsi="Times New Roman" w:cs="Times New Roman"/>
                <w:sz w:val="20"/>
                <w:szCs w:val="20"/>
              </w:rPr>
              <w:t>We applied a non-prespecified correction for studies that excluded persons with diagnosed COVID-19 from participating in their sample, primarily using study authors’ corrections (e.g., PCR tests) or adding the number of identified COVID-19 cases in community-dwelling elderly for the location until the seroprevalence study midpoint.</w:t>
            </w:r>
          </w:p>
          <w:p w14:paraId="24C88567" w14:textId="1BC8B8B7" w:rsidR="00BD13CB" w:rsidRDefault="00BD13CB" w:rsidP="008C5412">
            <w:pPr>
              <w:rPr>
                <w:rFonts w:ascii="Times New Roman" w:hAnsi="Times New Roman" w:cs="Times New Roman"/>
                <w:sz w:val="20"/>
                <w:szCs w:val="20"/>
              </w:rPr>
            </w:pPr>
          </w:p>
          <w:p w14:paraId="7E630FDB" w14:textId="138BF37C" w:rsidR="00561371" w:rsidRDefault="00561371" w:rsidP="008C5412">
            <w:pPr>
              <w:rPr>
                <w:rFonts w:ascii="Times New Roman" w:hAnsi="Times New Roman" w:cs="Times New Roman"/>
                <w:sz w:val="20"/>
                <w:szCs w:val="20"/>
              </w:rPr>
            </w:pPr>
            <w:r>
              <w:rPr>
                <w:rFonts w:ascii="Times New Roman" w:hAnsi="Times New Roman" w:cs="Times New Roman"/>
                <w:sz w:val="20"/>
                <w:szCs w:val="20"/>
              </w:rPr>
              <w:t>For Gudbjartsson et al, we used the numbers based on seroprevalence and detection of ongoing infections.</w:t>
            </w:r>
          </w:p>
          <w:p w14:paraId="09CF7D0B" w14:textId="77777777" w:rsidR="00561371" w:rsidRDefault="00561371" w:rsidP="008C5412">
            <w:pPr>
              <w:rPr>
                <w:rFonts w:ascii="Times New Roman" w:hAnsi="Times New Roman" w:cs="Times New Roman"/>
                <w:sz w:val="20"/>
                <w:szCs w:val="20"/>
              </w:rPr>
            </w:pPr>
          </w:p>
          <w:p w14:paraId="331E32A6" w14:textId="4A266067" w:rsidR="0047378E" w:rsidRPr="00B507C6" w:rsidRDefault="006E269E" w:rsidP="006E269E">
            <w:pPr>
              <w:rPr>
                <w:rFonts w:ascii="Times New Roman" w:hAnsi="Times New Roman" w:cs="Times New Roman"/>
                <w:sz w:val="20"/>
                <w:szCs w:val="20"/>
                <w:highlight w:val="cyan"/>
              </w:rPr>
            </w:pPr>
            <w:r>
              <w:rPr>
                <w:rFonts w:ascii="Times New Roman" w:hAnsi="Times New Roman" w:cs="Times New Roman"/>
                <w:sz w:val="20"/>
                <w:szCs w:val="20"/>
              </w:rPr>
              <w:t>For Kalish et al, we calculated the number of cases in community-dwelling elderly up to June 20 by retrieving the cumulative number of cases in elderly (≥65) from the COVID-19 Data Tracker at the US CDC (455,585) and subtracting the cumulative number of cases in nursing homes from KFF (240,138), resulting in 215,447 cases. This number was added to the number of infected community-dwelling elderly.</w:t>
            </w:r>
          </w:p>
        </w:tc>
        <w:tc>
          <w:tcPr>
            <w:tcW w:w="0" w:type="auto"/>
          </w:tcPr>
          <w:p w14:paraId="2889DE73" w14:textId="32B3FD33" w:rsidR="00D37CD2" w:rsidRPr="00B507C6" w:rsidRDefault="00561371" w:rsidP="00E72584">
            <w:pPr>
              <w:rPr>
                <w:rFonts w:ascii="Times New Roman" w:hAnsi="Times New Roman" w:cs="Times New Roman"/>
                <w:sz w:val="20"/>
                <w:szCs w:val="20"/>
              </w:rPr>
            </w:pPr>
            <w:r>
              <w:rPr>
                <w:rFonts w:ascii="Times New Roman" w:hAnsi="Times New Roman" w:cs="Times New Roman"/>
                <w:sz w:val="20"/>
                <w:szCs w:val="20"/>
              </w:rPr>
              <w:t>Added in order to represent correctly the number of infected persons.</w:t>
            </w:r>
          </w:p>
        </w:tc>
      </w:tr>
    </w:tbl>
    <w:p w14:paraId="4606C57A" w14:textId="76135FF4" w:rsidR="00523C4D" w:rsidRDefault="00920579" w:rsidP="00E72584">
      <w:pPr>
        <w:rPr>
          <w:rFonts w:ascii="Times New Roman" w:hAnsi="Times New Roman" w:cs="Times New Roman"/>
        </w:rPr>
      </w:pPr>
      <w:r w:rsidRPr="00DD4A00">
        <w:rPr>
          <w:rFonts w:ascii="Times New Roman" w:hAnsi="Times New Roman" w:cs="Times New Roman"/>
          <w:sz w:val="20"/>
          <w:vertAlign w:val="superscript"/>
        </w:rPr>
        <w:t>*</w:t>
      </w:r>
      <w:r w:rsidRPr="00DD4A00">
        <w:rPr>
          <w:rFonts w:ascii="Times New Roman" w:hAnsi="Times New Roman" w:cs="Times New Roman"/>
          <w:sz w:val="20"/>
        </w:rPr>
        <w:t xml:space="preserve"> </w:t>
      </w:r>
      <w:r w:rsidR="008E490F" w:rsidRPr="00DD4A00">
        <w:rPr>
          <w:rFonts w:ascii="Times New Roman" w:hAnsi="Times New Roman" w:cs="Times New Roman"/>
          <w:sz w:val="20"/>
        </w:rPr>
        <w:t xml:space="preserve">Protocol, Open Science Framework: </w:t>
      </w:r>
      <w:hyperlink r:id="rId13" w:history="1">
        <w:r w:rsidR="008E490F" w:rsidRPr="00DD4A00">
          <w:rPr>
            <w:rStyle w:val="Hyperlnk"/>
            <w:rFonts w:ascii="Times New Roman" w:hAnsi="Times New Roman" w:cs="Times New Roman"/>
            <w:sz w:val="20"/>
          </w:rPr>
          <w:t>https://osf.io/47cgb</w:t>
        </w:r>
      </w:hyperlink>
    </w:p>
    <w:p w14:paraId="1E7551B7" w14:textId="77777777" w:rsidR="00C67729" w:rsidRDefault="00C67729">
      <w:pPr>
        <w:rPr>
          <w:rFonts w:ascii="Times New Roman" w:hAnsi="Times New Roman" w:cs="Times New Roman"/>
        </w:rPr>
      </w:pPr>
      <w:r>
        <w:rPr>
          <w:rFonts w:ascii="Times New Roman" w:hAnsi="Times New Roman" w:cs="Times New Roman"/>
        </w:rPr>
        <w:br w:type="page"/>
      </w:r>
    </w:p>
    <w:p w14:paraId="179B954B" w14:textId="65E637AD" w:rsidR="007A1917" w:rsidRDefault="00D834A5">
      <w:pPr>
        <w:rPr>
          <w:rFonts w:ascii="Times New Roman" w:hAnsi="Times New Roman" w:cs="Times New Roman"/>
        </w:rPr>
      </w:pPr>
      <w:r>
        <w:rPr>
          <w:rFonts w:ascii="Times New Roman" w:hAnsi="Times New Roman" w:cs="Times New Roman"/>
          <w:b/>
        </w:rPr>
        <w:lastRenderedPageBreak/>
        <w:t>Appendix Table 2</w:t>
      </w:r>
      <w:r w:rsidR="00CA0C8A">
        <w:rPr>
          <w:rFonts w:ascii="Times New Roman" w:hAnsi="Times New Roman" w:cs="Times New Roman"/>
        </w:rPr>
        <w:t>. Sources for COVID-19 mortality statistics and population statistics.</w:t>
      </w:r>
    </w:p>
    <w:p w14:paraId="630EEEF6" w14:textId="77777777" w:rsidR="007A1917" w:rsidRDefault="007A1917">
      <w:pPr>
        <w:rPr>
          <w:rFonts w:ascii="Times New Roman" w:hAnsi="Times New Roman" w:cs="Times New Roman"/>
        </w:rPr>
      </w:pPr>
    </w:p>
    <w:tbl>
      <w:tblPr>
        <w:tblStyle w:val="Tabellrutnt"/>
        <w:tblW w:w="0" w:type="auto"/>
        <w:tblLook w:val="04A0" w:firstRow="1" w:lastRow="0" w:firstColumn="1" w:lastColumn="0" w:noHBand="0" w:noVBand="1"/>
      </w:tblPr>
      <w:tblGrid>
        <w:gridCol w:w="9747"/>
      </w:tblGrid>
      <w:tr w:rsidR="007E5BFA" w:rsidRPr="00B507C6" w14:paraId="31902868" w14:textId="77777777" w:rsidTr="00B507C6">
        <w:tc>
          <w:tcPr>
            <w:tcW w:w="0" w:type="auto"/>
          </w:tcPr>
          <w:p w14:paraId="044F6901" w14:textId="5FFCE01C" w:rsidR="007E5BFA" w:rsidRPr="00B507C6" w:rsidRDefault="007E5BFA" w:rsidP="00317A40">
            <w:pPr>
              <w:rPr>
                <w:rFonts w:ascii="Times New Roman" w:hAnsi="Times New Roman" w:cs="Times New Roman"/>
                <w:b/>
                <w:sz w:val="20"/>
                <w:szCs w:val="20"/>
              </w:rPr>
            </w:pPr>
            <w:r w:rsidRPr="00B507C6">
              <w:rPr>
                <w:rFonts w:ascii="Times New Roman" w:hAnsi="Times New Roman" w:cs="Times New Roman"/>
                <w:b/>
                <w:sz w:val="20"/>
                <w:szCs w:val="20"/>
              </w:rPr>
              <w:t>Andorra (Study: Royo-Cebrecos)</w:t>
            </w:r>
          </w:p>
        </w:tc>
      </w:tr>
      <w:tr w:rsidR="007E5BFA" w:rsidRPr="00B507C6" w14:paraId="448E3B27" w14:textId="77777777" w:rsidTr="00B507C6">
        <w:tc>
          <w:tcPr>
            <w:tcW w:w="0" w:type="auto"/>
          </w:tcPr>
          <w:p w14:paraId="026AF287" w14:textId="528286FC" w:rsidR="007E5BFA" w:rsidRPr="00B507C6" w:rsidRDefault="007E5BFA" w:rsidP="00317A40">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58952E00" w14:textId="77777777" w:rsidTr="00B507C6">
        <w:tc>
          <w:tcPr>
            <w:tcW w:w="0" w:type="auto"/>
          </w:tcPr>
          <w:p w14:paraId="1F8012EC" w14:textId="210889C3"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Age distribution of COVID-19 deaths: Personal communication E. Heras Muxella and C. Royo-Cebrecos</w:t>
            </w:r>
          </w:p>
        </w:tc>
      </w:tr>
      <w:tr w:rsidR="007E5BFA" w:rsidRPr="00B507C6" w14:paraId="657AD985" w14:textId="77777777" w:rsidTr="00B507C6">
        <w:tc>
          <w:tcPr>
            <w:tcW w:w="0" w:type="auto"/>
          </w:tcPr>
          <w:p w14:paraId="6E128A84" w14:textId="2DDE629F" w:rsidR="007E5BFA" w:rsidRPr="00B507C6" w:rsidRDefault="007E5BFA" w:rsidP="00BA70A3">
            <w:pPr>
              <w:rPr>
                <w:rFonts w:ascii="Times New Roman" w:hAnsi="Times New Roman" w:cs="Times New Roman"/>
                <w:sz w:val="20"/>
                <w:szCs w:val="20"/>
              </w:rPr>
            </w:pPr>
            <w:r w:rsidRPr="00B507C6">
              <w:rPr>
                <w:rFonts w:ascii="Times New Roman" w:hAnsi="Times New Roman" w:cs="Times New Roman"/>
                <w:sz w:val="20"/>
                <w:szCs w:val="20"/>
              </w:rPr>
              <w:t xml:space="preserve">Total number of deaths for the primary date: </w:t>
            </w:r>
            <w:r w:rsidR="00BA70A3" w:rsidRPr="00B507C6">
              <w:rPr>
                <w:rFonts w:ascii="Times New Roman" w:hAnsi="Times New Roman" w:cs="Times New Roman"/>
                <w:sz w:val="20"/>
                <w:szCs w:val="20"/>
              </w:rPr>
              <w:t>Personal communication E. Heras Muxella and C. Royo-Cebrecos</w:t>
            </w:r>
          </w:p>
        </w:tc>
      </w:tr>
      <w:tr w:rsidR="007E5BFA" w:rsidRPr="00B507C6" w14:paraId="303EC4E5" w14:textId="77777777" w:rsidTr="00B507C6">
        <w:tc>
          <w:tcPr>
            <w:tcW w:w="0" w:type="auto"/>
          </w:tcPr>
          <w:p w14:paraId="34F7A446" w14:textId="73370A66" w:rsidR="007E5BFA" w:rsidRPr="00B507C6" w:rsidRDefault="007E5BFA" w:rsidP="004E4EDD">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Personal communication E. Heras Muxella and C. Royo-Cebrecos</w:t>
            </w:r>
          </w:p>
        </w:tc>
      </w:tr>
      <w:tr w:rsidR="007E5BFA" w:rsidRPr="00B507C6" w14:paraId="1524A74D" w14:textId="77777777" w:rsidTr="00B507C6">
        <w:tc>
          <w:tcPr>
            <w:tcW w:w="0" w:type="auto"/>
          </w:tcPr>
          <w:p w14:paraId="731450A4" w14:textId="36474EEA"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336D7120" w14:textId="77777777" w:rsidTr="00B507C6">
        <w:tc>
          <w:tcPr>
            <w:tcW w:w="0" w:type="auto"/>
          </w:tcPr>
          <w:p w14:paraId="4E1E3E85" w14:textId="0E802789"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 xml:space="preserve">Population overall and in elderly: </w:t>
            </w:r>
          </w:p>
          <w:p w14:paraId="3ACC06B6" w14:textId="4B63257D"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https://www.estadistica.ad/serveiestudis/web/banc_dades4.asp?lang=4&amp;codi_tema=2&amp;codi_divisio=2783&amp;codi_subtemes=8</w:t>
            </w:r>
          </w:p>
        </w:tc>
      </w:tr>
      <w:tr w:rsidR="007E5BFA" w:rsidRPr="00B507C6" w14:paraId="4403256A" w14:textId="77777777" w:rsidTr="00B507C6">
        <w:tc>
          <w:tcPr>
            <w:tcW w:w="0" w:type="auto"/>
          </w:tcPr>
          <w:p w14:paraId="5EFEA1FF" w14:textId="50EE590E"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Population in nursing homes: Personal communication E. Heras Muxella and C. Royo-Cebrecos</w:t>
            </w:r>
          </w:p>
        </w:tc>
      </w:tr>
      <w:tr w:rsidR="007E5BFA" w:rsidRPr="00B507C6" w14:paraId="7AA1AEAD" w14:textId="77777777" w:rsidTr="00B507C6">
        <w:tc>
          <w:tcPr>
            <w:tcW w:w="0" w:type="auto"/>
          </w:tcPr>
          <w:p w14:paraId="3E183663" w14:textId="2FBE9E89"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249EABAC" w14:textId="77777777" w:rsidTr="00B507C6">
        <w:tc>
          <w:tcPr>
            <w:tcW w:w="0" w:type="auto"/>
          </w:tcPr>
          <w:p w14:paraId="4E914370" w14:textId="77777777" w:rsidR="007E5BFA" w:rsidRDefault="007E5BFA">
            <w:pPr>
              <w:rPr>
                <w:rFonts w:ascii="Times New Roman" w:hAnsi="Times New Roman" w:cs="Times New Roman"/>
                <w:sz w:val="20"/>
                <w:szCs w:val="20"/>
              </w:rPr>
            </w:pPr>
            <w:r w:rsidRPr="00B507C6">
              <w:rPr>
                <w:rFonts w:ascii="Times New Roman" w:hAnsi="Times New Roman" w:cs="Times New Roman"/>
                <w:sz w:val="20"/>
                <w:szCs w:val="20"/>
              </w:rPr>
              <w:t>Comments:</w:t>
            </w:r>
          </w:p>
          <w:p w14:paraId="3A32EFA4" w14:textId="45E912A7" w:rsidR="00E658DD" w:rsidRPr="00B507C6" w:rsidRDefault="00E658DD">
            <w:pPr>
              <w:rPr>
                <w:rFonts w:ascii="Times New Roman" w:hAnsi="Times New Roman" w:cs="Times New Roman"/>
                <w:sz w:val="20"/>
                <w:szCs w:val="20"/>
              </w:rPr>
            </w:pPr>
            <w:r w:rsidRPr="00E658DD">
              <w:rPr>
                <w:rFonts w:ascii="Times New Roman" w:hAnsi="Times New Roman" w:cs="Times New Roman"/>
                <w:sz w:val="20"/>
                <w:szCs w:val="20"/>
              </w:rPr>
              <w:t xml:space="preserve">Mortality peak is </w:t>
            </w:r>
            <w:r w:rsidR="00ED79D1">
              <w:rPr>
                <w:rFonts w:ascii="Times New Roman" w:hAnsi="Times New Roman" w:cs="Times New Roman"/>
                <w:sz w:val="20"/>
                <w:szCs w:val="20"/>
              </w:rPr>
              <w:t xml:space="preserve">the </w:t>
            </w:r>
            <w:r w:rsidRPr="00E658DD">
              <w:rPr>
                <w:rFonts w:ascii="Times New Roman" w:hAnsi="Times New Roman" w:cs="Times New Roman"/>
                <w:sz w:val="20"/>
                <w:szCs w:val="20"/>
              </w:rPr>
              <w:t>midpoint of April 1</w:t>
            </w:r>
            <w:r w:rsidR="00ED79D1">
              <w:rPr>
                <w:rFonts w:ascii="Times New Roman" w:hAnsi="Times New Roman" w:cs="Times New Roman"/>
                <w:sz w:val="20"/>
                <w:szCs w:val="20"/>
              </w:rPr>
              <w:t>, 2020,</w:t>
            </w:r>
            <w:r w:rsidRPr="00E658DD">
              <w:rPr>
                <w:rFonts w:ascii="Times New Roman" w:hAnsi="Times New Roman" w:cs="Times New Roman"/>
                <w:sz w:val="20"/>
                <w:szCs w:val="20"/>
              </w:rPr>
              <w:t xml:space="preserve"> and April 16</w:t>
            </w:r>
            <w:r w:rsidR="00ED79D1">
              <w:rPr>
                <w:rFonts w:ascii="Times New Roman" w:hAnsi="Times New Roman" w:cs="Times New Roman"/>
                <w:sz w:val="20"/>
                <w:szCs w:val="20"/>
              </w:rPr>
              <w:t>, 2020.</w:t>
            </w:r>
          </w:p>
        </w:tc>
      </w:tr>
      <w:tr w:rsidR="007E5BFA" w:rsidRPr="00B507C6" w14:paraId="340792D0" w14:textId="77777777" w:rsidTr="00B507C6">
        <w:tc>
          <w:tcPr>
            <w:tcW w:w="0" w:type="auto"/>
          </w:tcPr>
          <w:p w14:paraId="47685D69" w14:textId="77777777" w:rsidR="007E5BFA" w:rsidRPr="00B507C6" w:rsidRDefault="007E5BFA">
            <w:pPr>
              <w:rPr>
                <w:rFonts w:ascii="Times New Roman" w:hAnsi="Times New Roman" w:cs="Times New Roman"/>
                <w:sz w:val="20"/>
                <w:szCs w:val="20"/>
              </w:rPr>
            </w:pPr>
          </w:p>
        </w:tc>
      </w:tr>
      <w:tr w:rsidR="007E5BFA" w:rsidRPr="00B507C6" w14:paraId="627AFACD" w14:textId="77777777" w:rsidTr="00B507C6">
        <w:tc>
          <w:tcPr>
            <w:tcW w:w="0" w:type="auto"/>
          </w:tcPr>
          <w:p w14:paraId="20747193" w14:textId="603D3DB2"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Belgium (Study: Herzog)</w:t>
            </w:r>
          </w:p>
        </w:tc>
      </w:tr>
      <w:tr w:rsidR="007E5BFA" w:rsidRPr="00B507C6" w14:paraId="7DC0A562" w14:textId="77777777" w:rsidTr="00B507C6">
        <w:tc>
          <w:tcPr>
            <w:tcW w:w="0" w:type="auto"/>
          </w:tcPr>
          <w:p w14:paraId="0A44B53C" w14:textId="43701827"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 and personal communication S. Herzog</w:t>
            </w:r>
          </w:p>
        </w:tc>
      </w:tr>
      <w:tr w:rsidR="007E5BFA" w:rsidRPr="00B507C6" w14:paraId="370FF5F9" w14:textId="77777777" w:rsidTr="00B507C6">
        <w:tc>
          <w:tcPr>
            <w:tcW w:w="0" w:type="auto"/>
          </w:tcPr>
          <w:p w14:paraId="67020417" w14:textId="63DD8FB0"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Age distribution of COVID-19 deaths: Personal communication I</w:t>
            </w:r>
            <w:r w:rsidR="00F4227C">
              <w:rPr>
                <w:rFonts w:ascii="Times New Roman" w:hAnsi="Times New Roman" w:cs="Times New Roman"/>
                <w:sz w:val="20"/>
                <w:szCs w:val="20"/>
              </w:rPr>
              <w:t>.</w:t>
            </w:r>
            <w:r w:rsidRPr="00B507C6">
              <w:rPr>
                <w:rFonts w:ascii="Times New Roman" w:hAnsi="Times New Roman" w:cs="Times New Roman"/>
                <w:sz w:val="20"/>
                <w:szCs w:val="20"/>
              </w:rPr>
              <w:t xml:space="preserve"> Peeters, Sciensano, the Belgian Institute for Health</w:t>
            </w:r>
          </w:p>
        </w:tc>
      </w:tr>
      <w:tr w:rsidR="007E5BFA" w:rsidRPr="00B507C6" w14:paraId="654609FB" w14:textId="77777777" w:rsidTr="00B507C6">
        <w:tc>
          <w:tcPr>
            <w:tcW w:w="0" w:type="auto"/>
          </w:tcPr>
          <w:p w14:paraId="16C3480E" w14:textId="45DE2F06"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Personal communication I</w:t>
            </w:r>
            <w:r w:rsidR="00F4227C">
              <w:rPr>
                <w:rFonts w:ascii="Times New Roman" w:hAnsi="Times New Roman" w:cs="Times New Roman"/>
                <w:sz w:val="20"/>
                <w:szCs w:val="20"/>
              </w:rPr>
              <w:t>.</w:t>
            </w:r>
            <w:r w:rsidRPr="00B507C6">
              <w:rPr>
                <w:rFonts w:ascii="Times New Roman" w:hAnsi="Times New Roman" w:cs="Times New Roman"/>
                <w:sz w:val="20"/>
                <w:szCs w:val="20"/>
              </w:rPr>
              <w:t xml:space="preserve"> Peeters, Sciensano, the Belgian Institute for Health (number as of April 1, 2020)</w:t>
            </w:r>
          </w:p>
        </w:tc>
      </w:tr>
      <w:tr w:rsidR="007E5BFA" w:rsidRPr="00B507C6" w14:paraId="181D47A9" w14:textId="77777777" w:rsidTr="00B507C6">
        <w:tc>
          <w:tcPr>
            <w:tcW w:w="0" w:type="auto"/>
          </w:tcPr>
          <w:p w14:paraId="08A1FF2A" w14:textId="77777777" w:rsidR="007E5BFA" w:rsidRPr="00B507C6" w:rsidRDefault="007E5BFA" w:rsidP="00301F4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Situational report (COVID-19 – BULLETIN EPIDEMIOLOGIQUE</w:t>
            </w:r>
          </w:p>
          <w:p w14:paraId="29A67AFB" w14:textId="03CE66E6" w:rsidR="007E5BFA" w:rsidRPr="00B507C6" w:rsidRDefault="007E5BFA" w:rsidP="00301F43">
            <w:pPr>
              <w:rPr>
                <w:rFonts w:ascii="Times New Roman" w:hAnsi="Times New Roman" w:cs="Times New Roman"/>
                <w:sz w:val="20"/>
                <w:szCs w:val="20"/>
              </w:rPr>
            </w:pPr>
            <w:r w:rsidRPr="00B507C6">
              <w:rPr>
                <w:rFonts w:ascii="Times New Roman" w:hAnsi="Times New Roman" w:cs="Times New Roman"/>
                <w:sz w:val="20"/>
                <w:szCs w:val="20"/>
              </w:rPr>
              <w:t>DU 10 AVRIL 2020, Sciensano) retrieved from https://covid-19.sciensano.be/fr/covid-19-situation-epidemiologique</w:t>
            </w:r>
          </w:p>
        </w:tc>
      </w:tr>
      <w:tr w:rsidR="007E5BFA" w:rsidRPr="00B507C6" w14:paraId="2DB8CBFC" w14:textId="77777777" w:rsidTr="00B507C6">
        <w:tc>
          <w:tcPr>
            <w:tcW w:w="0" w:type="auto"/>
          </w:tcPr>
          <w:p w14:paraId="593CCBF2" w14:textId="0E446029"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6307C2C0" w14:textId="77777777" w:rsidTr="00B507C6">
        <w:tc>
          <w:tcPr>
            <w:tcW w:w="0" w:type="auto"/>
          </w:tcPr>
          <w:p w14:paraId="6D7326E9" w14:textId="402409E8" w:rsidR="007E5BFA" w:rsidRPr="00B507C6" w:rsidRDefault="007E5BFA" w:rsidP="004D7799">
            <w:pPr>
              <w:rPr>
                <w:rFonts w:ascii="Times New Roman" w:hAnsi="Times New Roman" w:cs="Times New Roman"/>
                <w:sz w:val="20"/>
                <w:szCs w:val="20"/>
              </w:rPr>
            </w:pPr>
            <w:r w:rsidRPr="00B507C6">
              <w:rPr>
                <w:rFonts w:ascii="Times New Roman" w:hAnsi="Times New Roman" w:cs="Times New Roman"/>
                <w:sz w:val="20"/>
                <w:szCs w:val="20"/>
              </w:rPr>
              <w:t xml:space="preserve">Population overall and in elderly (Jan 1, 2020): Dataset (Population de la Belgique par âge, au 1er janvier) retrieved from https://www.plan.be/databases/data-35-fr-perspectives_de_population_2020_2070 </w:t>
            </w:r>
          </w:p>
        </w:tc>
      </w:tr>
      <w:tr w:rsidR="007E5BFA" w:rsidRPr="00B507C6" w14:paraId="34A86CE3" w14:textId="77777777" w:rsidTr="00B507C6">
        <w:tc>
          <w:tcPr>
            <w:tcW w:w="0" w:type="auto"/>
          </w:tcPr>
          <w:p w14:paraId="4AA0EB32" w14:textId="77BEDC15"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Population in nursing homes: Personal communication I</w:t>
            </w:r>
            <w:r w:rsidR="00F4227C">
              <w:rPr>
                <w:rFonts w:ascii="Times New Roman" w:hAnsi="Times New Roman" w:cs="Times New Roman"/>
                <w:sz w:val="20"/>
                <w:szCs w:val="20"/>
              </w:rPr>
              <w:t>.</w:t>
            </w:r>
            <w:r w:rsidRPr="00B507C6">
              <w:rPr>
                <w:rFonts w:ascii="Times New Roman" w:hAnsi="Times New Roman" w:cs="Times New Roman"/>
                <w:sz w:val="20"/>
                <w:szCs w:val="20"/>
              </w:rPr>
              <w:t xml:space="preserve"> Peeters, Sciensano, the Belgian Institute for Health</w:t>
            </w:r>
          </w:p>
        </w:tc>
      </w:tr>
      <w:tr w:rsidR="007E5BFA" w:rsidRPr="00B507C6" w14:paraId="4ADF794A" w14:textId="77777777" w:rsidTr="00B507C6">
        <w:tc>
          <w:tcPr>
            <w:tcW w:w="0" w:type="auto"/>
          </w:tcPr>
          <w:p w14:paraId="52EDB2CA" w14:textId="4BAD4D3A" w:rsidR="007E5BFA" w:rsidRPr="00B507C6" w:rsidRDefault="007E5BFA">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423BDCF8" w14:textId="77777777" w:rsidTr="00B507C6">
        <w:tc>
          <w:tcPr>
            <w:tcW w:w="0" w:type="auto"/>
          </w:tcPr>
          <w:p w14:paraId="4B9BB824" w14:textId="77777777" w:rsidR="007E5BFA" w:rsidRDefault="007E5BFA">
            <w:pPr>
              <w:rPr>
                <w:rFonts w:ascii="Times New Roman" w:hAnsi="Times New Roman" w:cs="Times New Roman"/>
                <w:sz w:val="20"/>
                <w:szCs w:val="20"/>
              </w:rPr>
            </w:pPr>
            <w:r w:rsidRPr="00B507C6">
              <w:rPr>
                <w:rFonts w:ascii="Times New Roman" w:hAnsi="Times New Roman" w:cs="Times New Roman"/>
                <w:sz w:val="20"/>
                <w:szCs w:val="20"/>
              </w:rPr>
              <w:t>Comments:</w:t>
            </w:r>
          </w:p>
          <w:p w14:paraId="4BD3A2D4" w14:textId="6C4F2AAD" w:rsidR="00E658DD" w:rsidRPr="00B507C6" w:rsidRDefault="00E658DD">
            <w:pPr>
              <w:rPr>
                <w:rFonts w:ascii="Times New Roman" w:hAnsi="Times New Roman" w:cs="Times New Roman"/>
                <w:sz w:val="20"/>
                <w:szCs w:val="20"/>
              </w:rPr>
            </w:pPr>
            <w:r w:rsidRPr="00E658DD">
              <w:rPr>
                <w:rFonts w:ascii="Times New Roman" w:hAnsi="Times New Roman" w:cs="Times New Roman"/>
                <w:sz w:val="20"/>
                <w:szCs w:val="20"/>
              </w:rPr>
              <w:t>Only using Collection period 1 (Mar 30-Apr 5) while there are 4 more, ending July 4 (none of the others have &gt;1000 elderly).</w:t>
            </w:r>
          </w:p>
        </w:tc>
      </w:tr>
      <w:tr w:rsidR="007E5BFA" w:rsidRPr="00B507C6" w14:paraId="07AA3CBD" w14:textId="77777777" w:rsidTr="00B507C6">
        <w:tc>
          <w:tcPr>
            <w:tcW w:w="0" w:type="auto"/>
          </w:tcPr>
          <w:p w14:paraId="364C022B" w14:textId="77777777" w:rsidR="007E5BFA" w:rsidRPr="00B507C6" w:rsidRDefault="007E5BFA">
            <w:pPr>
              <w:rPr>
                <w:rFonts w:ascii="Times New Roman" w:hAnsi="Times New Roman" w:cs="Times New Roman"/>
                <w:sz w:val="20"/>
                <w:szCs w:val="20"/>
              </w:rPr>
            </w:pPr>
          </w:p>
        </w:tc>
      </w:tr>
      <w:tr w:rsidR="007E5BFA" w:rsidRPr="00B507C6" w14:paraId="5F4BC257" w14:textId="77777777" w:rsidTr="00B507C6">
        <w:tc>
          <w:tcPr>
            <w:tcW w:w="0" w:type="auto"/>
          </w:tcPr>
          <w:p w14:paraId="7CEF285A" w14:textId="35EE2A6C"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Canada (Study: Canadian Blood Services)</w:t>
            </w:r>
          </w:p>
        </w:tc>
      </w:tr>
      <w:tr w:rsidR="007E5BFA" w:rsidRPr="00B507C6" w14:paraId="26D75870" w14:textId="77777777" w:rsidTr="00B507C6">
        <w:tc>
          <w:tcPr>
            <w:tcW w:w="0" w:type="auto"/>
          </w:tcPr>
          <w:p w14:paraId="38D15E6F" w14:textId="75C971A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60744F6C" w14:textId="77777777" w:rsidTr="00B507C6">
        <w:tc>
          <w:tcPr>
            <w:tcW w:w="0" w:type="auto"/>
          </w:tcPr>
          <w:p w14:paraId="2E6887A5" w14:textId="4B6B7E2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Situational report May 22</w:t>
            </w:r>
          </w:p>
        </w:tc>
      </w:tr>
      <w:tr w:rsidR="007E5BFA" w:rsidRPr="00B507C6" w14:paraId="1E0CB575" w14:textId="77777777" w:rsidTr="00B507C6">
        <w:tc>
          <w:tcPr>
            <w:tcW w:w="0" w:type="auto"/>
          </w:tcPr>
          <w:p w14:paraId="6917C536" w14:textId="3A51267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Worldometers.info</w:t>
            </w:r>
            <w:r w:rsidR="000831BD">
              <w:rPr>
                <w:rFonts w:ascii="Times New Roman" w:hAnsi="Times New Roman" w:cs="Times New Roman"/>
                <w:sz w:val="20"/>
                <w:szCs w:val="20"/>
              </w:rPr>
              <w:t xml:space="preserve"> (accessed June 1, 2021)</w:t>
            </w:r>
          </w:p>
        </w:tc>
      </w:tr>
      <w:tr w:rsidR="007E5BFA" w:rsidRPr="00B507C6" w14:paraId="3F18E92E" w14:textId="77777777" w:rsidTr="00B507C6">
        <w:tc>
          <w:tcPr>
            <w:tcW w:w="0" w:type="auto"/>
          </w:tcPr>
          <w:p w14:paraId="6899F8B5" w14:textId="79A9390D" w:rsidR="007E5BFA" w:rsidRPr="00B507C6" w:rsidRDefault="007E5BFA" w:rsidP="00F91821">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Comas-Herrera A, Zalakaín J, Litwin C, Hsu AT, Lemmon E, Henderson D and Fernández J-L (2020) Mortality associated with COVID-19 outbreaks in care homes: early international evidence. Article in LTCcovid.org, International Long-Term Care Policy Network, CPEC-LSE, 26 June 2020.</w:t>
            </w:r>
          </w:p>
        </w:tc>
      </w:tr>
      <w:tr w:rsidR="007E5BFA" w:rsidRPr="00B507C6" w14:paraId="588897B5" w14:textId="77777777" w:rsidTr="00B507C6">
        <w:tc>
          <w:tcPr>
            <w:tcW w:w="0" w:type="auto"/>
          </w:tcPr>
          <w:p w14:paraId="39B668F2" w14:textId="254679B5"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0FEA7BCF" w14:textId="77777777" w:rsidTr="00B507C6">
        <w:tc>
          <w:tcPr>
            <w:tcW w:w="0" w:type="auto"/>
          </w:tcPr>
          <w:p w14:paraId="0B30E3F5" w14:textId="583CDD4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elderly: StatCan Census 2016, dataset retrieved from https://www12.statcan.gc.ca/census-recensement/2016/dp-pd/index-eng.cfm</w:t>
            </w:r>
          </w:p>
        </w:tc>
      </w:tr>
      <w:tr w:rsidR="007E5BFA" w:rsidRPr="00B507C6" w14:paraId="0F294264" w14:textId="77777777" w:rsidTr="00B507C6">
        <w:tc>
          <w:tcPr>
            <w:tcW w:w="0" w:type="auto"/>
          </w:tcPr>
          <w:p w14:paraId="1981CB29" w14:textId="37200FC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StatCan Census 2016, dataset retrieved from https://www12.statcan.gc.ca/census-recensement/2016/dp-pd/index-eng.cfm</w:t>
            </w:r>
          </w:p>
        </w:tc>
      </w:tr>
      <w:tr w:rsidR="007E5BFA" w:rsidRPr="00B507C6" w14:paraId="1FDE7EF5" w14:textId="77777777" w:rsidTr="00B507C6">
        <w:tc>
          <w:tcPr>
            <w:tcW w:w="0" w:type="auto"/>
          </w:tcPr>
          <w:p w14:paraId="3CE4A0AA" w14:textId="06A10D9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StatCan Census 2016, dataset retrieved from https://www12.statcan.gc.ca/census-recensement/2016/dp-pd/index-eng.cfm</w:t>
            </w:r>
          </w:p>
        </w:tc>
      </w:tr>
      <w:tr w:rsidR="007E5BFA" w:rsidRPr="00B507C6" w14:paraId="4F0D27BF" w14:textId="77777777" w:rsidTr="00B507C6">
        <w:tc>
          <w:tcPr>
            <w:tcW w:w="0" w:type="auto"/>
          </w:tcPr>
          <w:p w14:paraId="307277A2" w14:textId="77777777" w:rsidR="007E5BFA" w:rsidRPr="00B507C6" w:rsidRDefault="007E5BFA">
            <w:pPr>
              <w:rPr>
                <w:rFonts w:ascii="Times New Roman" w:hAnsi="Times New Roman" w:cs="Times New Roman"/>
                <w:sz w:val="20"/>
                <w:szCs w:val="20"/>
              </w:rPr>
            </w:pPr>
          </w:p>
        </w:tc>
      </w:tr>
      <w:tr w:rsidR="007E5BFA" w:rsidRPr="00B507C6" w14:paraId="4852964A" w14:textId="77777777" w:rsidTr="00B507C6">
        <w:tc>
          <w:tcPr>
            <w:tcW w:w="0" w:type="auto"/>
          </w:tcPr>
          <w:p w14:paraId="1F3C2782" w14:textId="7581AFEB"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 xml:space="preserve">Canada (Study: </w:t>
            </w:r>
            <w:r w:rsidR="00FD111D">
              <w:rPr>
                <w:rFonts w:ascii="Times New Roman" w:hAnsi="Times New Roman" w:cs="Times New Roman"/>
                <w:b/>
                <w:sz w:val="20"/>
                <w:szCs w:val="20"/>
              </w:rPr>
              <w:t xml:space="preserve">Tang / </w:t>
            </w:r>
            <w:r w:rsidRPr="00B507C6">
              <w:rPr>
                <w:rFonts w:ascii="Times New Roman" w:hAnsi="Times New Roman" w:cs="Times New Roman"/>
                <w:b/>
                <w:sz w:val="20"/>
                <w:szCs w:val="20"/>
              </w:rPr>
              <w:t>Ab-C Study)</w:t>
            </w:r>
          </w:p>
        </w:tc>
      </w:tr>
      <w:tr w:rsidR="007E5BFA" w:rsidRPr="00B507C6" w14:paraId="195AE24A" w14:textId="77777777" w:rsidTr="00B507C6">
        <w:tc>
          <w:tcPr>
            <w:tcW w:w="0" w:type="auto"/>
          </w:tcPr>
          <w:p w14:paraId="739D5C76" w14:textId="0134FCD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4900C9AF" w14:textId="77777777" w:rsidTr="00B507C6">
        <w:tc>
          <w:tcPr>
            <w:tcW w:w="0" w:type="auto"/>
          </w:tcPr>
          <w:p w14:paraId="4EA7FCA2" w14:textId="5FD1BD4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Seroprevalence study</w:t>
            </w:r>
          </w:p>
        </w:tc>
      </w:tr>
      <w:tr w:rsidR="007E5BFA" w:rsidRPr="00B507C6" w14:paraId="2E729BDD" w14:textId="77777777" w:rsidTr="00B507C6">
        <w:tc>
          <w:tcPr>
            <w:tcW w:w="0" w:type="auto"/>
          </w:tcPr>
          <w:p w14:paraId="3E461318" w14:textId="76C28B78"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Seroprevalence study</w:t>
            </w:r>
          </w:p>
        </w:tc>
      </w:tr>
      <w:tr w:rsidR="007E5BFA" w:rsidRPr="00B507C6" w14:paraId="6BDDD8C7" w14:textId="77777777" w:rsidTr="00B507C6">
        <w:tc>
          <w:tcPr>
            <w:tcW w:w="0" w:type="auto"/>
          </w:tcPr>
          <w:p w14:paraId="7DD24745" w14:textId="61FFEFC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Seroprevalence study</w:t>
            </w:r>
          </w:p>
        </w:tc>
      </w:tr>
      <w:tr w:rsidR="007E5BFA" w:rsidRPr="00B507C6" w14:paraId="4DD5932F" w14:textId="77777777" w:rsidTr="00B507C6">
        <w:tc>
          <w:tcPr>
            <w:tcW w:w="0" w:type="auto"/>
          </w:tcPr>
          <w:p w14:paraId="38D23FA2" w14:textId="12FF090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2FF4CDAA" w14:textId="77777777" w:rsidTr="00B507C6">
        <w:tc>
          <w:tcPr>
            <w:tcW w:w="0" w:type="auto"/>
          </w:tcPr>
          <w:p w14:paraId="157C4E9D" w14:textId="2D1FADE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lastRenderedPageBreak/>
              <w:t>Population overall: Seroprevalence study</w:t>
            </w:r>
          </w:p>
        </w:tc>
      </w:tr>
      <w:tr w:rsidR="007E5BFA" w:rsidRPr="00B507C6" w14:paraId="3A9B7D45" w14:textId="77777777" w:rsidTr="00B507C6">
        <w:tc>
          <w:tcPr>
            <w:tcW w:w="0" w:type="auto"/>
          </w:tcPr>
          <w:p w14:paraId="5D82CE78" w14:textId="1E912BE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elderly: Seroprevalence study</w:t>
            </w:r>
          </w:p>
        </w:tc>
      </w:tr>
      <w:tr w:rsidR="007E5BFA" w:rsidRPr="00B507C6" w14:paraId="553B173E" w14:textId="77777777" w:rsidTr="00B507C6">
        <w:tc>
          <w:tcPr>
            <w:tcW w:w="0" w:type="auto"/>
          </w:tcPr>
          <w:p w14:paraId="7A2197CE" w14:textId="6AE7721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Seroprevalence study</w:t>
            </w:r>
          </w:p>
        </w:tc>
      </w:tr>
      <w:tr w:rsidR="007E5BFA" w:rsidRPr="00B507C6" w14:paraId="28DD89B4" w14:textId="77777777" w:rsidTr="00B507C6">
        <w:tc>
          <w:tcPr>
            <w:tcW w:w="0" w:type="auto"/>
          </w:tcPr>
          <w:p w14:paraId="56F77745" w14:textId="50E3C0DF"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Seroprevalence study</w:t>
            </w:r>
          </w:p>
        </w:tc>
      </w:tr>
      <w:tr w:rsidR="007E5BFA" w:rsidRPr="00B507C6" w14:paraId="335D5A19" w14:textId="77777777" w:rsidTr="00B507C6">
        <w:tc>
          <w:tcPr>
            <w:tcW w:w="0" w:type="auto"/>
          </w:tcPr>
          <w:p w14:paraId="36A352B7" w14:textId="700E08D6" w:rsidR="007E5BFA" w:rsidRDefault="007E5BFA" w:rsidP="006F5853">
            <w:pPr>
              <w:rPr>
                <w:rFonts w:ascii="Times New Roman" w:hAnsi="Times New Roman" w:cs="Times New Roman"/>
                <w:color w:val="FF0000"/>
                <w:sz w:val="20"/>
                <w:szCs w:val="20"/>
              </w:rPr>
            </w:pPr>
            <w:r w:rsidRPr="00B507C6">
              <w:rPr>
                <w:rFonts w:ascii="Times New Roman" w:hAnsi="Times New Roman" w:cs="Times New Roman"/>
                <w:sz w:val="20"/>
                <w:szCs w:val="20"/>
              </w:rPr>
              <w:t xml:space="preserve">Comments: </w:t>
            </w:r>
            <w:r w:rsidRPr="00E33CB1">
              <w:rPr>
                <w:rFonts w:ascii="Times New Roman" w:hAnsi="Times New Roman" w:cs="Times New Roman"/>
                <w:sz w:val="20"/>
                <w:szCs w:val="20"/>
              </w:rPr>
              <w:t xml:space="preserve">Definition of nursing home </w:t>
            </w:r>
            <w:r w:rsidR="00E33CB1">
              <w:rPr>
                <w:rFonts w:ascii="Times New Roman" w:hAnsi="Times New Roman" w:cs="Times New Roman"/>
                <w:sz w:val="20"/>
                <w:szCs w:val="20"/>
              </w:rPr>
              <w:t xml:space="preserve">in this study </w:t>
            </w:r>
            <w:r w:rsidRPr="00E33CB1">
              <w:rPr>
                <w:rFonts w:ascii="Times New Roman" w:hAnsi="Times New Roman" w:cs="Times New Roman"/>
                <w:sz w:val="20"/>
                <w:szCs w:val="20"/>
              </w:rPr>
              <w:t>include</w:t>
            </w:r>
            <w:r w:rsidR="00E33CB1">
              <w:rPr>
                <w:rFonts w:ascii="Times New Roman" w:hAnsi="Times New Roman" w:cs="Times New Roman"/>
                <w:sz w:val="20"/>
                <w:szCs w:val="20"/>
              </w:rPr>
              <w:t>s</w:t>
            </w:r>
            <w:r w:rsidRPr="00E33CB1">
              <w:rPr>
                <w:rFonts w:ascii="Times New Roman" w:hAnsi="Times New Roman" w:cs="Times New Roman"/>
                <w:sz w:val="20"/>
                <w:szCs w:val="20"/>
              </w:rPr>
              <w:t xml:space="preserve"> mixed care and retirement homes.</w:t>
            </w:r>
          </w:p>
          <w:p w14:paraId="7842096F" w14:textId="6575F9A5" w:rsidR="00E658DD" w:rsidRDefault="00E658DD" w:rsidP="006F5853">
            <w:pPr>
              <w:rPr>
                <w:rFonts w:ascii="Times New Roman" w:hAnsi="Times New Roman" w:cs="Times New Roman"/>
                <w:sz w:val="20"/>
                <w:szCs w:val="20"/>
              </w:rPr>
            </w:pPr>
            <w:r w:rsidRPr="00E658DD">
              <w:rPr>
                <w:rFonts w:ascii="Times New Roman" w:hAnsi="Times New Roman" w:cs="Times New Roman"/>
                <w:sz w:val="20"/>
                <w:szCs w:val="20"/>
              </w:rPr>
              <w:t xml:space="preserve">Confidence intervals for adjusted seroprevalence </w:t>
            </w:r>
            <w:r w:rsidR="00D456AA">
              <w:rPr>
                <w:rFonts w:ascii="Times New Roman" w:hAnsi="Times New Roman" w:cs="Times New Roman"/>
                <w:sz w:val="20"/>
                <w:szCs w:val="20"/>
              </w:rPr>
              <w:t xml:space="preserve">were </w:t>
            </w:r>
            <w:r w:rsidRPr="00E658DD">
              <w:rPr>
                <w:rFonts w:ascii="Times New Roman" w:hAnsi="Times New Roman" w:cs="Times New Roman"/>
                <w:sz w:val="20"/>
                <w:szCs w:val="20"/>
              </w:rPr>
              <w:t>calculated using the inferred number of adjusted seropositive individuals.</w:t>
            </w:r>
          </w:p>
          <w:p w14:paraId="55F88A97" w14:textId="4F88C518" w:rsidR="00E658DD" w:rsidRPr="00B507C6" w:rsidRDefault="00E658DD" w:rsidP="006F5853">
            <w:pPr>
              <w:rPr>
                <w:rFonts w:ascii="Times New Roman" w:hAnsi="Times New Roman" w:cs="Times New Roman"/>
                <w:sz w:val="20"/>
                <w:szCs w:val="20"/>
              </w:rPr>
            </w:pPr>
            <w:r w:rsidRPr="00E658DD">
              <w:rPr>
                <w:rFonts w:ascii="Times New Roman" w:hAnsi="Times New Roman" w:cs="Times New Roman"/>
                <w:sz w:val="20"/>
                <w:szCs w:val="20"/>
              </w:rPr>
              <w:t>Note the alternative definition of "possible" positives depending on which controls are used, here: "Definite or possible".</w:t>
            </w:r>
          </w:p>
        </w:tc>
      </w:tr>
      <w:tr w:rsidR="007E5BFA" w:rsidRPr="00B507C6" w14:paraId="0DA1D926" w14:textId="77777777" w:rsidTr="00B507C6">
        <w:tc>
          <w:tcPr>
            <w:tcW w:w="0" w:type="auto"/>
          </w:tcPr>
          <w:p w14:paraId="70F67C70" w14:textId="77777777" w:rsidR="007E5BFA" w:rsidRPr="00B507C6" w:rsidRDefault="007E5BFA">
            <w:pPr>
              <w:rPr>
                <w:rFonts w:ascii="Times New Roman" w:hAnsi="Times New Roman" w:cs="Times New Roman"/>
                <w:sz w:val="20"/>
                <w:szCs w:val="20"/>
              </w:rPr>
            </w:pPr>
          </w:p>
        </w:tc>
      </w:tr>
      <w:tr w:rsidR="007E5BFA" w:rsidRPr="00B507C6" w14:paraId="15E1B698" w14:textId="77777777" w:rsidTr="00B507C6">
        <w:tc>
          <w:tcPr>
            <w:tcW w:w="0" w:type="auto"/>
          </w:tcPr>
          <w:p w14:paraId="686D4695" w14:textId="7D59D1C0" w:rsidR="007E5BFA" w:rsidRPr="00B507C6" w:rsidRDefault="007E5BFA" w:rsidP="0059504D">
            <w:pPr>
              <w:rPr>
                <w:rFonts w:ascii="Times New Roman" w:hAnsi="Times New Roman" w:cs="Times New Roman"/>
                <w:b/>
                <w:sz w:val="20"/>
                <w:szCs w:val="20"/>
              </w:rPr>
            </w:pPr>
            <w:r w:rsidRPr="00B507C6">
              <w:rPr>
                <w:rFonts w:ascii="Times New Roman" w:hAnsi="Times New Roman" w:cs="Times New Roman"/>
                <w:b/>
                <w:sz w:val="20"/>
                <w:szCs w:val="20"/>
              </w:rPr>
              <w:t>Canada [Ontario] (Study: Public Health Ontario)</w:t>
            </w:r>
          </w:p>
        </w:tc>
      </w:tr>
      <w:tr w:rsidR="007E5BFA" w:rsidRPr="00B507C6" w14:paraId="7E2D37DD" w14:textId="77777777" w:rsidTr="00B507C6">
        <w:tc>
          <w:tcPr>
            <w:tcW w:w="0" w:type="auto"/>
          </w:tcPr>
          <w:p w14:paraId="76F3D1EC" w14:textId="00F941F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Personal communication Public Health Ontario Communications</w:t>
            </w:r>
          </w:p>
        </w:tc>
      </w:tr>
      <w:tr w:rsidR="007E5BFA" w:rsidRPr="00B507C6" w14:paraId="29BE941C" w14:textId="77777777" w:rsidTr="00B507C6">
        <w:tc>
          <w:tcPr>
            <w:tcW w:w="0" w:type="auto"/>
          </w:tcPr>
          <w:p w14:paraId="27C5161F" w14:textId="2AE6C8B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Enhanced Epidemiological Summary (COVID-19 Case Fatality, Case Identification, and Attack Rates in Ontario), May 17, retrieved from https://www.publichealthontario.ca/en/data-and-analysis/infectious-disease/covid-19-data-surveillance/weekly-epi-summary-archive</w:t>
            </w:r>
          </w:p>
        </w:tc>
      </w:tr>
      <w:tr w:rsidR="007E5BFA" w:rsidRPr="00B507C6" w14:paraId="3D0BB497" w14:textId="77777777" w:rsidTr="00B507C6">
        <w:tc>
          <w:tcPr>
            <w:tcW w:w="0" w:type="auto"/>
          </w:tcPr>
          <w:p w14:paraId="0F44B03F" w14:textId="2525DA9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Wikipedia</w:t>
            </w:r>
          </w:p>
        </w:tc>
      </w:tr>
      <w:tr w:rsidR="007E5BFA" w:rsidRPr="00B507C6" w14:paraId="447DEB73" w14:textId="77777777" w:rsidTr="00B507C6">
        <w:tc>
          <w:tcPr>
            <w:tcW w:w="0" w:type="auto"/>
          </w:tcPr>
          <w:p w14:paraId="051BCDB1" w14:textId="3BF2A3B5" w:rsidR="007E5BFA" w:rsidRPr="00B507C6" w:rsidRDefault="007E5BFA" w:rsidP="009E4D45">
            <w:pPr>
              <w:rPr>
                <w:rFonts w:ascii="Times New Roman" w:hAnsi="Times New Roman" w:cs="Times New Roman"/>
                <w:sz w:val="20"/>
                <w:szCs w:val="20"/>
              </w:rPr>
            </w:pPr>
            <w:r w:rsidRPr="00B507C6">
              <w:rPr>
                <w:rFonts w:ascii="Times New Roman" w:hAnsi="Times New Roman" w:cs="Times New Roman"/>
                <w:sz w:val="20"/>
                <w:szCs w:val="20"/>
              </w:rPr>
              <w:t xml:space="preserve">COVID-19 deaths in nursing home residents: Dataset at https://data.ontario.ca/en/dataset/long-term-care-home-covid-19-data </w:t>
            </w:r>
          </w:p>
        </w:tc>
      </w:tr>
      <w:tr w:rsidR="007E5BFA" w:rsidRPr="00B507C6" w14:paraId="6C028407" w14:textId="77777777" w:rsidTr="00B507C6">
        <w:tc>
          <w:tcPr>
            <w:tcW w:w="0" w:type="auto"/>
          </w:tcPr>
          <w:p w14:paraId="2DBE870D" w14:textId="4FD36A4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Dataset at https://covid-19.ontario.ca/data (accessed April 30, 2021)</w:t>
            </w:r>
          </w:p>
        </w:tc>
      </w:tr>
      <w:tr w:rsidR="007E5BFA" w:rsidRPr="00B507C6" w14:paraId="09B4EA5A" w14:textId="77777777" w:rsidTr="00B507C6">
        <w:tc>
          <w:tcPr>
            <w:tcW w:w="0" w:type="auto"/>
          </w:tcPr>
          <w:p w14:paraId="37900492" w14:textId="2A0C291F" w:rsidR="007E5BFA" w:rsidRPr="00B507C6" w:rsidRDefault="007E5BFA" w:rsidP="00605CD4">
            <w:pPr>
              <w:rPr>
                <w:rFonts w:ascii="Times New Roman" w:hAnsi="Times New Roman" w:cs="Times New Roman"/>
                <w:sz w:val="20"/>
                <w:szCs w:val="20"/>
              </w:rPr>
            </w:pPr>
            <w:r w:rsidRPr="00B507C6">
              <w:rPr>
                <w:rFonts w:ascii="Times New Roman" w:hAnsi="Times New Roman" w:cs="Times New Roman"/>
                <w:sz w:val="20"/>
                <w:szCs w:val="20"/>
              </w:rPr>
              <w:t>Population overall and in elderly: StatCan Census 2016, dataset at https://www12.statcan.gc.ca/census-recensement/2016/dp-pd/index-eng.cfm</w:t>
            </w:r>
          </w:p>
        </w:tc>
      </w:tr>
      <w:tr w:rsidR="007E5BFA" w:rsidRPr="00B507C6" w14:paraId="4598F222" w14:textId="77777777" w:rsidTr="00B507C6">
        <w:tc>
          <w:tcPr>
            <w:tcW w:w="0" w:type="auto"/>
          </w:tcPr>
          <w:p w14:paraId="435FD25E" w14:textId="5BCFE2D5"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StatCan Census 2016, dataset at https://www12.statcan.gc.ca/census-recensement/2016/dp-pd/index-eng.cfm</w:t>
            </w:r>
          </w:p>
        </w:tc>
      </w:tr>
      <w:tr w:rsidR="007E5BFA" w:rsidRPr="00B507C6" w14:paraId="786458D1" w14:textId="77777777" w:rsidTr="00B507C6">
        <w:tc>
          <w:tcPr>
            <w:tcW w:w="0" w:type="auto"/>
          </w:tcPr>
          <w:p w14:paraId="178DE6D5" w14:textId="437D193E" w:rsidR="007E5BFA" w:rsidRPr="00B507C6" w:rsidRDefault="007E5BFA" w:rsidP="0059504D">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StatCan Census 2016, dataset at https://www12.statcan.gc.ca/census-recensement/2016/dp-pd/index-eng.cfm</w:t>
            </w:r>
          </w:p>
        </w:tc>
      </w:tr>
      <w:tr w:rsidR="007E5BFA" w:rsidRPr="00B507C6" w14:paraId="1C71A6D4" w14:textId="77777777" w:rsidTr="00B507C6">
        <w:tc>
          <w:tcPr>
            <w:tcW w:w="0" w:type="auto"/>
          </w:tcPr>
          <w:p w14:paraId="3CB04D5A" w14:textId="79F70B2D" w:rsidR="007E5BFA" w:rsidRPr="00B507C6" w:rsidRDefault="007E5BFA" w:rsidP="00D456AA">
            <w:pPr>
              <w:rPr>
                <w:rFonts w:ascii="Times New Roman" w:hAnsi="Times New Roman" w:cs="Times New Roman"/>
                <w:sz w:val="20"/>
                <w:szCs w:val="20"/>
              </w:rPr>
            </w:pPr>
            <w:r w:rsidRPr="00B507C6">
              <w:rPr>
                <w:rFonts w:ascii="Times New Roman" w:hAnsi="Times New Roman" w:cs="Times New Roman"/>
                <w:sz w:val="20"/>
                <w:szCs w:val="20"/>
              </w:rPr>
              <w:t>Comments:</w:t>
            </w:r>
            <w:r w:rsidR="00E658DD">
              <w:rPr>
                <w:rFonts w:ascii="Times New Roman" w:hAnsi="Times New Roman" w:cs="Times New Roman"/>
                <w:sz w:val="20"/>
                <w:szCs w:val="20"/>
              </w:rPr>
              <w:t xml:space="preserve"> </w:t>
            </w:r>
            <w:r w:rsidR="00E658DD" w:rsidRPr="00E658DD">
              <w:rPr>
                <w:rFonts w:ascii="Times New Roman" w:hAnsi="Times New Roman" w:cs="Times New Roman"/>
                <w:sz w:val="20"/>
                <w:szCs w:val="20"/>
              </w:rPr>
              <w:t>100% of the nursing home deaths reported were in elderly 70+</w:t>
            </w:r>
            <w:r w:rsidR="00ED79D1">
              <w:rPr>
                <w:rFonts w:ascii="Times New Roman" w:hAnsi="Times New Roman" w:cs="Times New Roman"/>
                <w:sz w:val="20"/>
                <w:szCs w:val="20"/>
              </w:rPr>
              <w:t>.</w:t>
            </w:r>
          </w:p>
        </w:tc>
      </w:tr>
      <w:tr w:rsidR="007E5BFA" w:rsidRPr="00B507C6" w14:paraId="6C34B3F2" w14:textId="77777777" w:rsidTr="00B507C6">
        <w:tc>
          <w:tcPr>
            <w:tcW w:w="0" w:type="auto"/>
          </w:tcPr>
          <w:p w14:paraId="75659C2C" w14:textId="77777777" w:rsidR="007E5BFA" w:rsidRPr="00B507C6" w:rsidRDefault="007E5BFA">
            <w:pPr>
              <w:rPr>
                <w:rFonts w:ascii="Times New Roman" w:hAnsi="Times New Roman" w:cs="Times New Roman"/>
                <w:sz w:val="20"/>
                <w:szCs w:val="20"/>
              </w:rPr>
            </w:pPr>
          </w:p>
        </w:tc>
      </w:tr>
      <w:tr w:rsidR="007E5BFA" w:rsidRPr="00B507C6" w14:paraId="29C9062C" w14:textId="77777777" w:rsidTr="00B507C6">
        <w:tc>
          <w:tcPr>
            <w:tcW w:w="0" w:type="auto"/>
          </w:tcPr>
          <w:p w14:paraId="31FA996C" w14:textId="3B36E9CB"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Denmark [3 regions] (Study: Pedersen)</w:t>
            </w:r>
          </w:p>
        </w:tc>
      </w:tr>
      <w:tr w:rsidR="007E5BFA" w:rsidRPr="00B507C6" w14:paraId="28B0F308" w14:textId="77777777" w:rsidTr="00B507C6">
        <w:tc>
          <w:tcPr>
            <w:tcW w:w="0" w:type="auto"/>
          </w:tcPr>
          <w:p w14:paraId="26DA8591" w14:textId="0ECB6C72"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0CF31C7B" w14:textId="77777777" w:rsidTr="00B507C6">
        <w:tc>
          <w:tcPr>
            <w:tcW w:w="0" w:type="auto"/>
          </w:tcPr>
          <w:p w14:paraId="276852A0" w14:textId="506A9ED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Seroprevalence study</w:t>
            </w:r>
          </w:p>
        </w:tc>
      </w:tr>
      <w:tr w:rsidR="007E5BFA" w:rsidRPr="00B507C6" w14:paraId="2345D53C" w14:textId="77777777" w:rsidTr="00B507C6">
        <w:tc>
          <w:tcPr>
            <w:tcW w:w="0" w:type="auto"/>
          </w:tcPr>
          <w:p w14:paraId="6598634A" w14:textId="44430842"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Dataset at https://covid19.ssi.dk/overvagningsdata/download-fil-med-overvaagningdata [Deaths_over_time.csv] (Accessed February 17, 2021)</w:t>
            </w:r>
          </w:p>
        </w:tc>
      </w:tr>
      <w:tr w:rsidR="007E5BFA" w:rsidRPr="00B507C6" w14:paraId="0E462095" w14:textId="77777777" w:rsidTr="00B507C6">
        <w:tc>
          <w:tcPr>
            <w:tcW w:w="0" w:type="auto"/>
          </w:tcPr>
          <w:p w14:paraId="49122395" w14:textId="4684486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Comas-Herrera A, Zalakaín J, Litwin C, Hsu AT, Lemmon E, Henderson D and Fernández J-L (2020) Mortality associated with COVID-19 outbreaks in care homes: early international evidence. Article in LTCcovid.org, International Long-Term Care Policy Network, CPEC-LSE, 26 June 2020.</w:t>
            </w:r>
          </w:p>
        </w:tc>
      </w:tr>
      <w:tr w:rsidR="007E5BFA" w:rsidRPr="00B507C6" w14:paraId="4E5CA732" w14:textId="77777777" w:rsidTr="00B507C6">
        <w:tc>
          <w:tcPr>
            <w:tcW w:w="0" w:type="auto"/>
          </w:tcPr>
          <w:p w14:paraId="335CA5CF" w14:textId="0E8C066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71FCADBE" w14:textId="77777777" w:rsidTr="00B507C6">
        <w:tc>
          <w:tcPr>
            <w:tcW w:w="0" w:type="auto"/>
          </w:tcPr>
          <w:p w14:paraId="538714C3" w14:textId="6C97CE8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Dataset at https://www.statistikbanken.dk/statbank5a/selectvarval/saveselections.asp</w:t>
            </w:r>
          </w:p>
        </w:tc>
      </w:tr>
      <w:tr w:rsidR="007E5BFA" w:rsidRPr="00B507C6" w14:paraId="18189C82" w14:textId="77777777" w:rsidTr="00B507C6">
        <w:tc>
          <w:tcPr>
            <w:tcW w:w="0" w:type="auto"/>
          </w:tcPr>
          <w:p w14:paraId="7743DCD8" w14:textId="6C3777A1" w:rsidR="007E5BFA" w:rsidRPr="00B507C6" w:rsidRDefault="007E5BFA" w:rsidP="00AB0763">
            <w:pPr>
              <w:rPr>
                <w:rFonts w:ascii="Times New Roman" w:hAnsi="Times New Roman" w:cs="Times New Roman"/>
                <w:sz w:val="20"/>
                <w:szCs w:val="20"/>
              </w:rPr>
            </w:pPr>
            <w:r w:rsidRPr="00B507C6">
              <w:rPr>
                <w:rFonts w:ascii="Times New Roman" w:hAnsi="Times New Roman" w:cs="Times New Roman"/>
                <w:sz w:val="20"/>
                <w:szCs w:val="20"/>
              </w:rPr>
              <w:t>Population in nursing homes: Dataset ("Antal beboere pa plejehjem") at https://sundhedsdatastyrelsen.dk/da/tal-og-analyser/analyser-og-rapporter/sundhedsvaesenet/plejehjem</w:t>
            </w:r>
          </w:p>
        </w:tc>
      </w:tr>
      <w:tr w:rsidR="007E5BFA" w:rsidRPr="00A62B58" w14:paraId="3BFC0867" w14:textId="77777777" w:rsidTr="00B507C6">
        <w:tc>
          <w:tcPr>
            <w:tcW w:w="0" w:type="auto"/>
          </w:tcPr>
          <w:p w14:paraId="0338E187" w14:textId="71E59C9D" w:rsidR="007E5BFA" w:rsidRPr="00B507C6" w:rsidRDefault="007E5BFA" w:rsidP="00C84035">
            <w:pPr>
              <w:rPr>
                <w:rFonts w:ascii="Times New Roman" w:hAnsi="Times New Roman" w:cs="Times New Roman"/>
                <w:sz w:val="20"/>
                <w:szCs w:val="20"/>
                <w:lang w:val="sv-SE"/>
              </w:rPr>
            </w:pPr>
            <w:r w:rsidRPr="00B507C6">
              <w:rPr>
                <w:rFonts w:ascii="Times New Roman" w:hAnsi="Times New Roman" w:cs="Times New Roman"/>
                <w:sz w:val="20"/>
                <w:szCs w:val="20"/>
                <w:lang w:val="sv-SE"/>
              </w:rPr>
              <w:t xml:space="preserve">Proportion of elderly among nursing home residents: Statistics Denmark, dataset (“Indskrevne i pleje- og ældreboliger efter område, tid, alder og foranstaltningsart”) </w:t>
            </w:r>
          </w:p>
        </w:tc>
      </w:tr>
      <w:tr w:rsidR="007E5BFA" w:rsidRPr="00B507C6" w14:paraId="310B50C3" w14:textId="77777777" w:rsidTr="00B507C6">
        <w:tc>
          <w:tcPr>
            <w:tcW w:w="0" w:type="auto"/>
          </w:tcPr>
          <w:p w14:paraId="312C0184" w14:textId="77777777"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w:t>
            </w:r>
          </w:p>
          <w:p w14:paraId="4EDB38C0" w14:textId="384B568F" w:rsidR="00E658DD" w:rsidRPr="00B507C6" w:rsidRDefault="00E658DD" w:rsidP="00D456AA">
            <w:pPr>
              <w:rPr>
                <w:rFonts w:ascii="Times New Roman" w:hAnsi="Times New Roman" w:cs="Times New Roman"/>
                <w:sz w:val="20"/>
                <w:szCs w:val="20"/>
              </w:rPr>
            </w:pPr>
            <w:r w:rsidRPr="00E658DD">
              <w:rPr>
                <w:rFonts w:ascii="Times New Roman" w:hAnsi="Times New Roman" w:cs="Times New Roman"/>
                <w:sz w:val="20"/>
                <w:szCs w:val="20"/>
              </w:rPr>
              <w:t xml:space="preserve">Proportion </w:t>
            </w:r>
            <w:r w:rsidR="00D456AA">
              <w:rPr>
                <w:rFonts w:ascii="Times New Roman" w:hAnsi="Times New Roman" w:cs="Times New Roman"/>
                <w:sz w:val="20"/>
                <w:szCs w:val="20"/>
              </w:rPr>
              <w:t>of those aged</w:t>
            </w:r>
            <w:r w:rsidR="00D456AA" w:rsidRPr="00E658DD">
              <w:rPr>
                <w:rFonts w:ascii="Times New Roman" w:hAnsi="Times New Roman" w:cs="Times New Roman"/>
                <w:sz w:val="20"/>
                <w:szCs w:val="20"/>
              </w:rPr>
              <w:t xml:space="preserve"> </w:t>
            </w:r>
            <w:r w:rsidR="00D456AA">
              <w:rPr>
                <w:rFonts w:ascii="Times New Roman" w:hAnsi="Times New Roman" w:cs="Times New Roman"/>
                <w:sz w:val="20"/>
                <w:szCs w:val="20"/>
              </w:rPr>
              <w:t>≥</w:t>
            </w:r>
            <w:r w:rsidRPr="00E658DD">
              <w:rPr>
                <w:rFonts w:ascii="Times New Roman" w:hAnsi="Times New Roman" w:cs="Times New Roman"/>
                <w:sz w:val="20"/>
                <w:szCs w:val="20"/>
              </w:rPr>
              <w:t>85</w:t>
            </w:r>
            <w:r w:rsidR="00D456AA">
              <w:rPr>
                <w:rFonts w:ascii="Times New Roman" w:hAnsi="Times New Roman" w:cs="Times New Roman"/>
                <w:sz w:val="20"/>
                <w:szCs w:val="20"/>
              </w:rPr>
              <w:t xml:space="preserve"> years among all elderly (≥</w:t>
            </w:r>
            <w:r w:rsidRPr="00E658DD">
              <w:rPr>
                <w:rFonts w:ascii="Times New Roman" w:hAnsi="Times New Roman" w:cs="Times New Roman"/>
                <w:sz w:val="20"/>
                <w:szCs w:val="20"/>
              </w:rPr>
              <w:t>70</w:t>
            </w:r>
            <w:r w:rsidR="00D456AA">
              <w:rPr>
                <w:rFonts w:ascii="Times New Roman" w:hAnsi="Times New Roman" w:cs="Times New Roman"/>
                <w:sz w:val="20"/>
                <w:szCs w:val="20"/>
              </w:rPr>
              <w:t xml:space="preserve"> years)</w:t>
            </w:r>
            <w:r w:rsidRPr="00E658DD">
              <w:rPr>
                <w:rFonts w:ascii="Times New Roman" w:hAnsi="Times New Roman" w:cs="Times New Roman"/>
                <w:sz w:val="20"/>
                <w:szCs w:val="20"/>
              </w:rPr>
              <w:t xml:space="preserve"> is derived from Statistics Denmark (the whole country): 14.86%</w:t>
            </w:r>
          </w:p>
        </w:tc>
      </w:tr>
      <w:tr w:rsidR="007E5BFA" w:rsidRPr="00B507C6" w14:paraId="152558A1" w14:textId="77777777" w:rsidTr="00B507C6">
        <w:tc>
          <w:tcPr>
            <w:tcW w:w="0" w:type="auto"/>
          </w:tcPr>
          <w:p w14:paraId="2C3D4350" w14:textId="77777777" w:rsidR="007E5BFA" w:rsidRPr="00B507C6" w:rsidRDefault="007E5BFA">
            <w:pPr>
              <w:rPr>
                <w:rFonts w:ascii="Times New Roman" w:hAnsi="Times New Roman" w:cs="Times New Roman"/>
                <w:sz w:val="20"/>
                <w:szCs w:val="20"/>
              </w:rPr>
            </w:pPr>
          </w:p>
        </w:tc>
      </w:tr>
      <w:tr w:rsidR="007E5BFA" w:rsidRPr="00B507C6" w14:paraId="4A864091" w14:textId="77777777" w:rsidTr="00B507C6">
        <w:tc>
          <w:tcPr>
            <w:tcW w:w="0" w:type="auto"/>
          </w:tcPr>
          <w:p w14:paraId="529E5B0C" w14:textId="773DA606"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Dominican Republic (Study: Paulino-Ramirez)</w:t>
            </w:r>
          </w:p>
        </w:tc>
      </w:tr>
      <w:tr w:rsidR="007E5BFA" w:rsidRPr="00B507C6" w14:paraId="35AD83A0" w14:textId="77777777" w:rsidTr="00B507C6">
        <w:tc>
          <w:tcPr>
            <w:tcW w:w="0" w:type="auto"/>
          </w:tcPr>
          <w:p w14:paraId="76786DA0" w14:textId="29C707C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0A1D69B1" w14:textId="77777777" w:rsidTr="00B507C6">
        <w:tc>
          <w:tcPr>
            <w:tcW w:w="0" w:type="auto"/>
          </w:tcPr>
          <w:p w14:paraId="5C9F57DB" w14:textId="545E2ECE" w:rsidR="007E5BFA" w:rsidRPr="00B507C6" w:rsidRDefault="007E5BFA" w:rsidP="006A423E">
            <w:pPr>
              <w:rPr>
                <w:rFonts w:ascii="Times New Roman" w:hAnsi="Times New Roman" w:cs="Times New Roman"/>
                <w:sz w:val="20"/>
                <w:szCs w:val="20"/>
              </w:rPr>
            </w:pPr>
            <w:r w:rsidRPr="00B507C6">
              <w:rPr>
                <w:rFonts w:ascii="Times New Roman" w:hAnsi="Times New Roman" w:cs="Times New Roman"/>
                <w:sz w:val="20"/>
                <w:szCs w:val="20"/>
              </w:rPr>
              <w:t>Age distribution of COVID-19 deaths: Boletín especial #65, Enfermedad por Coronavirus 2019 (COVID-19), Figura 4, situational report with data from May 22, retrieved from https://coronavirusrd.gob.do/documentos/boletines/</w:t>
            </w:r>
          </w:p>
        </w:tc>
      </w:tr>
      <w:tr w:rsidR="007E5BFA" w:rsidRPr="00B507C6" w14:paraId="7C84BA87" w14:textId="77777777" w:rsidTr="00B507C6">
        <w:tc>
          <w:tcPr>
            <w:tcW w:w="0" w:type="auto"/>
          </w:tcPr>
          <w:p w14:paraId="256C66B9" w14:textId="4F4428C7" w:rsidR="007E5BFA" w:rsidRPr="00B507C6" w:rsidRDefault="007E5BFA" w:rsidP="00873707">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Boletín especial #65, Enfermedad por Coronavirus 2019 (COVID-19), situational report with data from May 22, retrieved from https://coronavirusrd.gob.do/documentos/boletines/</w:t>
            </w:r>
          </w:p>
        </w:tc>
      </w:tr>
      <w:tr w:rsidR="007E5BFA" w:rsidRPr="00B507C6" w14:paraId="04E94B10" w14:textId="77777777" w:rsidTr="00B507C6">
        <w:tc>
          <w:tcPr>
            <w:tcW w:w="0" w:type="auto"/>
          </w:tcPr>
          <w:p w14:paraId="0AF4C2FC" w14:textId="15B475A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Unavailable, imputed</w:t>
            </w:r>
          </w:p>
        </w:tc>
      </w:tr>
      <w:tr w:rsidR="007E5BFA" w:rsidRPr="00B507C6" w14:paraId="739EF0AA" w14:textId="77777777" w:rsidTr="00B507C6">
        <w:tc>
          <w:tcPr>
            <w:tcW w:w="0" w:type="auto"/>
          </w:tcPr>
          <w:p w14:paraId="04F15DFD" w14:textId="621721E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7848E666" w14:textId="77777777" w:rsidTr="00B507C6">
        <w:tc>
          <w:tcPr>
            <w:tcW w:w="0" w:type="auto"/>
          </w:tcPr>
          <w:p w14:paraId="33839475" w14:textId="5983828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lastRenderedPageBreak/>
              <w:t>Population overall and in elderly: populationpyramid.net</w:t>
            </w:r>
          </w:p>
        </w:tc>
      </w:tr>
      <w:tr w:rsidR="007E5BFA" w:rsidRPr="00B507C6" w14:paraId="02416FAE" w14:textId="77777777" w:rsidTr="00B507C6">
        <w:tc>
          <w:tcPr>
            <w:tcW w:w="0" w:type="auto"/>
          </w:tcPr>
          <w:p w14:paraId="74977ED4" w14:textId="0EB53552"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Population in nursing homes: </w:t>
            </w:r>
            <w:r w:rsidR="00083E7D">
              <w:rPr>
                <w:rFonts w:ascii="Times New Roman" w:hAnsi="Times New Roman" w:cs="Times New Roman"/>
                <w:sz w:val="20"/>
                <w:szCs w:val="20"/>
              </w:rPr>
              <w:t>”L</w:t>
            </w:r>
            <w:r w:rsidR="00083E7D" w:rsidRPr="003444F3">
              <w:rPr>
                <w:rFonts w:ascii="Times New Roman" w:hAnsi="Times New Roman" w:cs="Times New Roman"/>
                <w:sz w:val="20"/>
                <w:szCs w:val="20"/>
              </w:rPr>
              <w:t>iving Arrangements of Older Persons: A Report</w:t>
            </w:r>
            <w:r w:rsidR="00083E7D">
              <w:rPr>
                <w:rFonts w:ascii="Times New Roman" w:hAnsi="Times New Roman" w:cs="Times New Roman"/>
                <w:sz w:val="20"/>
                <w:szCs w:val="20"/>
              </w:rPr>
              <w:t xml:space="preserve"> </w:t>
            </w:r>
            <w:r w:rsidR="00083E7D" w:rsidRPr="003444F3">
              <w:rPr>
                <w:rFonts w:ascii="Times New Roman" w:hAnsi="Times New Roman" w:cs="Times New Roman"/>
                <w:sz w:val="20"/>
                <w:szCs w:val="20"/>
              </w:rPr>
              <w:t>on an Expanded International Dataset</w:t>
            </w:r>
            <w:r w:rsidR="00083E7D">
              <w:rPr>
                <w:rFonts w:ascii="Times New Roman" w:hAnsi="Times New Roman" w:cs="Times New Roman"/>
                <w:sz w:val="20"/>
                <w:szCs w:val="20"/>
              </w:rPr>
              <w:t xml:space="preserve">”, United Nations (2017), Table </w:t>
            </w:r>
            <w:r w:rsidR="00083E7D" w:rsidRPr="00D07DCE">
              <w:rPr>
                <w:rFonts w:ascii="Times New Roman" w:hAnsi="Times New Roman" w:cs="Times New Roman"/>
                <w:sz w:val="20"/>
                <w:szCs w:val="20"/>
              </w:rPr>
              <w:t>A.III.1</w:t>
            </w:r>
            <w:r w:rsidR="00083E7D">
              <w:rPr>
                <w:rFonts w:ascii="Times New Roman" w:hAnsi="Times New Roman" w:cs="Times New Roman"/>
                <w:sz w:val="20"/>
                <w:szCs w:val="20"/>
              </w:rPr>
              <w:t xml:space="preserve">, retrieved from </w:t>
            </w:r>
            <w:r w:rsidR="00083E7D" w:rsidRPr="003444F3">
              <w:rPr>
                <w:rFonts w:ascii="Times New Roman" w:hAnsi="Times New Roman" w:cs="Times New Roman"/>
                <w:sz w:val="20"/>
                <w:szCs w:val="20"/>
              </w:rPr>
              <w:t>https://www.un.org/en/development/desa/population/publications/pdf/ageing/LivingArrangements.pdf</w:t>
            </w:r>
            <w:r w:rsidR="00083E7D">
              <w:rPr>
                <w:rFonts w:ascii="Times New Roman" w:hAnsi="Times New Roman" w:cs="Times New Roman"/>
                <w:sz w:val="20"/>
                <w:szCs w:val="20"/>
              </w:rPr>
              <w:t xml:space="preserve"> </w:t>
            </w:r>
            <w:r w:rsidR="00083E7D" w:rsidRPr="00B507C6">
              <w:rPr>
                <w:rFonts w:ascii="Times New Roman" w:hAnsi="Times New Roman" w:cs="Times New Roman"/>
                <w:sz w:val="20"/>
                <w:szCs w:val="20"/>
              </w:rPr>
              <w:t xml:space="preserve"> </w:t>
            </w:r>
          </w:p>
        </w:tc>
      </w:tr>
      <w:tr w:rsidR="007E5BFA" w:rsidRPr="00B507C6" w14:paraId="51152A12" w14:textId="77777777" w:rsidTr="00B507C6">
        <w:tc>
          <w:tcPr>
            <w:tcW w:w="0" w:type="auto"/>
          </w:tcPr>
          <w:p w14:paraId="23662813" w14:textId="7777777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75BBEC36" w14:textId="77777777" w:rsidTr="00B507C6">
        <w:tc>
          <w:tcPr>
            <w:tcW w:w="0" w:type="auto"/>
          </w:tcPr>
          <w:p w14:paraId="59A4E775" w14:textId="77777777" w:rsidR="007E5BFA" w:rsidRPr="00B507C6" w:rsidRDefault="007E5BFA">
            <w:pPr>
              <w:rPr>
                <w:rFonts w:ascii="Times New Roman" w:hAnsi="Times New Roman" w:cs="Times New Roman"/>
                <w:sz w:val="20"/>
                <w:szCs w:val="20"/>
              </w:rPr>
            </w:pPr>
          </w:p>
        </w:tc>
      </w:tr>
      <w:tr w:rsidR="007E5BFA" w:rsidRPr="00B507C6" w14:paraId="4E6ACCEF" w14:textId="77777777" w:rsidTr="00B507C6">
        <w:tc>
          <w:tcPr>
            <w:tcW w:w="0" w:type="auto"/>
          </w:tcPr>
          <w:p w14:paraId="01DF3CDC" w14:textId="3D44AE29"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France (Study: INSERM)</w:t>
            </w:r>
          </w:p>
        </w:tc>
      </w:tr>
      <w:tr w:rsidR="007E5BFA" w:rsidRPr="00B507C6" w14:paraId="6FEE24E2" w14:textId="77777777" w:rsidTr="00B507C6">
        <w:tc>
          <w:tcPr>
            <w:tcW w:w="0" w:type="auto"/>
          </w:tcPr>
          <w:p w14:paraId="1BA5E00E" w14:textId="4B241CA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022AAA08" w14:textId="77777777" w:rsidTr="00B507C6">
        <w:tc>
          <w:tcPr>
            <w:tcW w:w="0" w:type="auto"/>
          </w:tcPr>
          <w:p w14:paraId="1E09EB57" w14:textId="28266773" w:rsidR="007E5BFA" w:rsidRPr="00B507C6" w:rsidRDefault="007E5BFA" w:rsidP="002E171F">
            <w:pPr>
              <w:rPr>
                <w:rFonts w:ascii="Times New Roman" w:hAnsi="Times New Roman" w:cs="Times New Roman"/>
                <w:sz w:val="20"/>
                <w:szCs w:val="20"/>
              </w:rPr>
            </w:pPr>
            <w:r w:rsidRPr="00B507C6">
              <w:rPr>
                <w:rFonts w:ascii="Times New Roman" w:hAnsi="Times New Roman" w:cs="Times New Roman"/>
                <w:sz w:val="20"/>
                <w:szCs w:val="20"/>
              </w:rPr>
              <w:t>Age distribution of COVID-19 deaths: Point épidémiologique hebdomadaire du 29 mai 2020, Santé publique France, Tableau 2 and Tableau 3, retrieved from https://www.santepubliquefrance.fr/recherche/#search=COVID%2019%20%20%20point%20epidemiologique&amp;publications=donn%C3%A9es&amp;regions=National&amp;sort=date</w:t>
            </w:r>
          </w:p>
        </w:tc>
      </w:tr>
      <w:tr w:rsidR="007E5BFA" w:rsidRPr="00B507C6" w14:paraId="162EDA71" w14:textId="77777777" w:rsidTr="00B507C6">
        <w:tc>
          <w:tcPr>
            <w:tcW w:w="0" w:type="auto"/>
          </w:tcPr>
          <w:p w14:paraId="39C99833" w14:textId="0BC505E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Worldometers.info</w:t>
            </w:r>
            <w:r w:rsidR="00863F46">
              <w:rPr>
                <w:rFonts w:ascii="Times New Roman" w:hAnsi="Times New Roman" w:cs="Times New Roman"/>
                <w:sz w:val="20"/>
                <w:szCs w:val="20"/>
              </w:rPr>
              <w:t xml:space="preserve"> (accessed June 1, 2021)</w:t>
            </w:r>
          </w:p>
        </w:tc>
      </w:tr>
      <w:tr w:rsidR="007E5BFA" w:rsidRPr="00B507C6" w14:paraId="278C8A31" w14:textId="77777777" w:rsidTr="00B507C6">
        <w:tc>
          <w:tcPr>
            <w:tcW w:w="0" w:type="auto"/>
          </w:tcPr>
          <w:p w14:paraId="1E7EE204" w14:textId="4268D663" w:rsidR="007E5BFA" w:rsidRPr="00B507C6" w:rsidRDefault="007E5BFA" w:rsidP="000324FB">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Point épidémiologique hebdomadaire du 29 mai 2020, Santé publique France, Tableau 2, retrieved from https://www.santepubliquefrance.fr/recherche/#search=COVID%2019%20%20%20point%20epidemiologique&amp;publications=donn%C3%A9es&amp;regions=National&amp;sort=date</w:t>
            </w:r>
          </w:p>
        </w:tc>
      </w:tr>
      <w:tr w:rsidR="007E5BFA" w:rsidRPr="00B507C6" w14:paraId="5F82E525" w14:textId="77777777" w:rsidTr="00B507C6">
        <w:tc>
          <w:tcPr>
            <w:tcW w:w="0" w:type="auto"/>
          </w:tcPr>
          <w:p w14:paraId="559E3EBC" w14:textId="11AC2685"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7C60E8EF" w14:textId="77777777" w:rsidTr="00B507C6">
        <w:tc>
          <w:tcPr>
            <w:tcW w:w="0" w:type="auto"/>
          </w:tcPr>
          <w:p w14:paraId="3B9D953B" w14:textId="63B23CB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INSEE (Age structure of the population on 1</w:t>
            </w:r>
            <w:r w:rsidRPr="00B507C6">
              <w:rPr>
                <w:rFonts w:ascii="Times New Roman" w:hAnsi="Times New Roman" w:cs="Times New Roman"/>
                <w:sz w:val="20"/>
                <w:szCs w:val="20"/>
                <w:vertAlign w:val="superscript"/>
              </w:rPr>
              <w:t>st</w:t>
            </w:r>
            <w:r w:rsidRPr="00B507C6">
              <w:rPr>
                <w:rFonts w:ascii="Times New Roman" w:hAnsi="Times New Roman" w:cs="Times New Roman"/>
                <w:sz w:val="20"/>
                <w:szCs w:val="20"/>
              </w:rPr>
              <w:t xml:space="preserve"> January 2020, metropolitan France), dataset at https://www.insee.fr/en/statistiques/5015921?sommaire=5015923</w:t>
            </w:r>
          </w:p>
        </w:tc>
      </w:tr>
      <w:tr w:rsidR="007E5BFA" w:rsidRPr="00B507C6" w14:paraId="12282547" w14:textId="77777777" w:rsidTr="00B507C6">
        <w:tc>
          <w:tcPr>
            <w:tcW w:w="0" w:type="auto"/>
          </w:tcPr>
          <w:p w14:paraId="1D2386E6" w14:textId="23B8E365" w:rsidR="007E5BFA" w:rsidRPr="00B507C6" w:rsidRDefault="007E5BFA" w:rsidP="007B7C85">
            <w:pPr>
              <w:rPr>
                <w:rFonts w:ascii="Times New Roman" w:hAnsi="Times New Roman" w:cs="Times New Roman"/>
                <w:sz w:val="20"/>
                <w:szCs w:val="20"/>
              </w:rPr>
            </w:pPr>
            <w:r w:rsidRPr="00B507C6">
              <w:rPr>
                <w:rFonts w:ascii="Times New Roman" w:hAnsi="Times New Roman" w:cs="Times New Roman"/>
                <w:sz w:val="20"/>
                <w:szCs w:val="20"/>
              </w:rPr>
              <w:t>Population in nursing homes: INSEE (Structures d'hébergement pour personnes âgées, December 31, 2016), dataset at https://www.insee.fr/fr/statistiques/3676717?sommaire=3696937</w:t>
            </w:r>
          </w:p>
        </w:tc>
      </w:tr>
      <w:tr w:rsidR="007E5BFA" w:rsidRPr="00B507C6" w14:paraId="145C350E" w14:textId="77777777" w:rsidTr="00B507C6">
        <w:tc>
          <w:tcPr>
            <w:tcW w:w="0" w:type="auto"/>
          </w:tcPr>
          <w:p w14:paraId="292ACD11" w14:textId="7777777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2280C2E6" w14:textId="77777777" w:rsidTr="00B507C6">
        <w:tc>
          <w:tcPr>
            <w:tcW w:w="0" w:type="auto"/>
          </w:tcPr>
          <w:p w14:paraId="306C19ED" w14:textId="658F056A" w:rsidR="007E5BFA" w:rsidRPr="00B507C6" w:rsidRDefault="007E5BFA" w:rsidP="00595CDF">
            <w:pPr>
              <w:rPr>
                <w:rFonts w:ascii="Times New Roman" w:hAnsi="Times New Roman" w:cs="Times New Roman"/>
                <w:sz w:val="20"/>
                <w:szCs w:val="20"/>
              </w:rPr>
            </w:pPr>
            <w:r w:rsidRPr="00B507C6">
              <w:rPr>
                <w:rFonts w:ascii="Times New Roman" w:hAnsi="Times New Roman" w:cs="Times New Roman"/>
                <w:sz w:val="20"/>
                <w:szCs w:val="20"/>
              </w:rPr>
              <w:t>Comments: The number of deaths in elderly is derived from Tableau 3 (deaths occurring in hospital) and Tableau 2 (deaths in care homes) assuming that 98% of the 10248 deaths in care homes were among persons 65 years and older according to our prespecification.</w:t>
            </w:r>
          </w:p>
        </w:tc>
      </w:tr>
      <w:tr w:rsidR="007E5BFA" w:rsidRPr="00B507C6" w14:paraId="36EE789D" w14:textId="77777777" w:rsidTr="00B507C6">
        <w:tc>
          <w:tcPr>
            <w:tcW w:w="0" w:type="auto"/>
          </w:tcPr>
          <w:p w14:paraId="5152EBDD" w14:textId="77777777" w:rsidR="007E5BFA" w:rsidRPr="00B507C6" w:rsidRDefault="007E5BFA">
            <w:pPr>
              <w:rPr>
                <w:rFonts w:ascii="Times New Roman" w:hAnsi="Times New Roman" w:cs="Times New Roman"/>
                <w:sz w:val="20"/>
                <w:szCs w:val="20"/>
              </w:rPr>
            </w:pPr>
          </w:p>
        </w:tc>
      </w:tr>
      <w:tr w:rsidR="007E5BFA" w:rsidRPr="00B507C6" w14:paraId="465274C5" w14:textId="77777777" w:rsidTr="00B507C6">
        <w:tc>
          <w:tcPr>
            <w:tcW w:w="0" w:type="auto"/>
          </w:tcPr>
          <w:p w14:paraId="5499941F" w14:textId="4DCD4C82" w:rsidR="007E5BFA" w:rsidRPr="00B507C6" w:rsidRDefault="007E5BFA" w:rsidP="004D7799">
            <w:pPr>
              <w:rPr>
                <w:rFonts w:ascii="Times New Roman" w:hAnsi="Times New Roman" w:cs="Times New Roman"/>
                <w:b/>
                <w:sz w:val="20"/>
                <w:szCs w:val="20"/>
              </w:rPr>
            </w:pPr>
            <w:r w:rsidRPr="00B507C6">
              <w:rPr>
                <w:rFonts w:ascii="Times New Roman" w:hAnsi="Times New Roman" w:cs="Times New Roman"/>
                <w:b/>
                <w:sz w:val="20"/>
                <w:szCs w:val="20"/>
              </w:rPr>
              <w:t>France, Ile-de-France (Study: Carrat)</w:t>
            </w:r>
          </w:p>
        </w:tc>
      </w:tr>
      <w:tr w:rsidR="007E5BFA" w:rsidRPr="00B507C6" w14:paraId="39D807C0" w14:textId="77777777" w:rsidTr="00B507C6">
        <w:tc>
          <w:tcPr>
            <w:tcW w:w="0" w:type="auto"/>
          </w:tcPr>
          <w:p w14:paraId="2E8EF16F" w14:textId="25B1C9F2"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61A6D461" w14:textId="77777777" w:rsidTr="00B507C6">
        <w:tc>
          <w:tcPr>
            <w:tcW w:w="0" w:type="auto"/>
          </w:tcPr>
          <w:p w14:paraId="2FAE23C6" w14:textId="17CB1BEF" w:rsidR="007E5BFA" w:rsidRPr="00B507C6" w:rsidRDefault="007E5BFA" w:rsidP="00C03B9F">
            <w:pPr>
              <w:rPr>
                <w:rFonts w:ascii="Times New Roman" w:hAnsi="Times New Roman" w:cs="Times New Roman"/>
                <w:sz w:val="20"/>
                <w:szCs w:val="20"/>
              </w:rPr>
            </w:pPr>
            <w:r w:rsidRPr="00B507C6">
              <w:rPr>
                <w:rFonts w:ascii="Times New Roman" w:hAnsi="Times New Roman" w:cs="Times New Roman"/>
                <w:sz w:val="20"/>
                <w:szCs w:val="20"/>
              </w:rPr>
              <w:t>Age distribution of COVID-19 deaths: (1) DONNÉES DE SURVEILLANCE. SURVEILLANCE DE LA MORTALITÉ AU COURS DE L'ÉPIDÉMIE DE COVID-19 DU 2 MARS AU 31 MAI 2020 EN FRANCE, Santé publique France; (2) Point épidémio régional Ile-de-France Spécial COVID-19 28 mai 2020, Santé publique France</w:t>
            </w:r>
          </w:p>
        </w:tc>
      </w:tr>
      <w:tr w:rsidR="007E5BFA" w:rsidRPr="00B507C6" w14:paraId="76287E4F" w14:textId="77777777" w:rsidTr="00B507C6">
        <w:tc>
          <w:tcPr>
            <w:tcW w:w="0" w:type="auto"/>
          </w:tcPr>
          <w:p w14:paraId="582E8619" w14:textId="211CC5A5" w:rsidR="007E5BFA" w:rsidRPr="00B507C6" w:rsidRDefault="007E5BFA" w:rsidP="00C03B9F">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DONNÉES DE SURVEILLANCE. SURVEILLANCE DE LA MORTALITÉ AU COURS DE L'ÉPIDÉMIE DE COVID-19 DU 2 MARS AU 31 MAI 2020 EN FRANCE, Santé publique France</w:t>
            </w:r>
          </w:p>
        </w:tc>
      </w:tr>
      <w:tr w:rsidR="007E5BFA" w:rsidRPr="00B507C6" w14:paraId="4D020587" w14:textId="77777777" w:rsidTr="00B507C6">
        <w:tc>
          <w:tcPr>
            <w:tcW w:w="0" w:type="auto"/>
          </w:tcPr>
          <w:p w14:paraId="0A8292F1" w14:textId="4EE3EBEE" w:rsidR="007E5BFA" w:rsidRPr="00B507C6" w:rsidRDefault="007E5BFA" w:rsidP="00C03B9F">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DONNÉES DE SURVEILLANCE. SURVEILLANCE DE LA MORTALITÉ AU COURS DE L'ÉPIDÉMIE DE COVID-19 DU 2 MARS AU 31 MAI 2020 EN FRANCE, Santé publique France</w:t>
            </w:r>
          </w:p>
        </w:tc>
      </w:tr>
      <w:tr w:rsidR="007E5BFA" w:rsidRPr="00B507C6" w14:paraId="3FA3C70B" w14:textId="77777777" w:rsidTr="00B507C6">
        <w:tc>
          <w:tcPr>
            <w:tcW w:w="0" w:type="auto"/>
          </w:tcPr>
          <w:p w14:paraId="619AECEC" w14:textId="5B880D75" w:rsidR="007E5BFA" w:rsidRPr="00B507C6" w:rsidRDefault="007E5BFA" w:rsidP="00C03B9F">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DONNÉES DE SURVEILLANCE. SURVEILLANCE DE LA MORTALITÉ AU COURS DE L'ÉPIDÉMIE DE COVID-19 DU 2 MARS AU 31 MAI 2020 EN FRANCE, Santé publique France</w:t>
            </w:r>
          </w:p>
        </w:tc>
      </w:tr>
      <w:tr w:rsidR="007E5BFA" w:rsidRPr="00B507C6" w14:paraId="31BD5070" w14:textId="77777777" w:rsidTr="00B507C6">
        <w:tc>
          <w:tcPr>
            <w:tcW w:w="0" w:type="auto"/>
          </w:tcPr>
          <w:p w14:paraId="0917BC14" w14:textId="2856DD0A"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Population overall:</w:t>
            </w:r>
            <w:r w:rsidR="00592F53" w:rsidRPr="008A2FA1">
              <w:rPr>
                <w:rFonts w:ascii="Times New Roman" w:hAnsi="Times New Roman" w:cs="Times New Roman"/>
                <w:sz w:val="20"/>
                <w:szCs w:val="20"/>
              </w:rPr>
              <w:t xml:space="preserve"> Webpage https://www.insee.fr/en/statistiques/3696316?p1=r11&amp;p2=r97&amp;lang=en&amp;annee=2020 (accessed May 31, 2021)</w:t>
            </w:r>
          </w:p>
        </w:tc>
      </w:tr>
      <w:tr w:rsidR="007E5BFA" w:rsidRPr="00B507C6" w14:paraId="3E1A688E" w14:textId="77777777" w:rsidTr="00B507C6">
        <w:tc>
          <w:tcPr>
            <w:tcW w:w="0" w:type="auto"/>
          </w:tcPr>
          <w:p w14:paraId="46C3A9D6" w14:textId="45D7F131"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Population in elderly:</w:t>
            </w:r>
            <w:r w:rsidR="00592F53" w:rsidRPr="008A2FA1">
              <w:rPr>
                <w:rFonts w:ascii="Times New Roman" w:hAnsi="Times New Roman" w:cs="Times New Roman"/>
                <w:sz w:val="20"/>
                <w:szCs w:val="20"/>
              </w:rPr>
              <w:t xml:space="preserve"> Webpage https://www.insee.fr/en/statistiques/3696316?p1=r11&amp;p2=r97&amp;lang=en&amp;annee=2020 (accessed May 31, 2021)</w:t>
            </w:r>
          </w:p>
        </w:tc>
      </w:tr>
      <w:tr w:rsidR="007E5BFA" w:rsidRPr="00B507C6" w14:paraId="680F0ED6" w14:textId="77777777" w:rsidTr="00B507C6">
        <w:tc>
          <w:tcPr>
            <w:tcW w:w="0" w:type="auto"/>
          </w:tcPr>
          <w:p w14:paraId="1629D8B8" w14:textId="7163D3F6"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Population in nursing homes:</w:t>
            </w:r>
            <w:r w:rsidR="008A2FA1" w:rsidRPr="008A2FA1">
              <w:rPr>
                <w:rFonts w:ascii="Times New Roman" w:hAnsi="Times New Roman" w:cs="Times New Roman"/>
                <w:sz w:val="20"/>
                <w:szCs w:val="20"/>
              </w:rPr>
              <w:t xml:space="preserve"> Webpage https://www.insee.fr/fr/statistiques/4124769#tableau-figure4 (accessed May 31, 2021)</w:t>
            </w:r>
          </w:p>
        </w:tc>
      </w:tr>
      <w:tr w:rsidR="007E5BFA" w:rsidRPr="00B507C6" w14:paraId="6D96D2C7" w14:textId="77777777" w:rsidTr="00B507C6">
        <w:tc>
          <w:tcPr>
            <w:tcW w:w="0" w:type="auto"/>
          </w:tcPr>
          <w:p w14:paraId="24B91584" w14:textId="77777777"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Proportion of elderly among nursing home residents: Imputed (average of available values)</w:t>
            </w:r>
          </w:p>
        </w:tc>
      </w:tr>
      <w:tr w:rsidR="007E5BFA" w:rsidRPr="00B507C6" w14:paraId="4A9CA6D2" w14:textId="77777777" w:rsidTr="00B507C6">
        <w:tc>
          <w:tcPr>
            <w:tcW w:w="0" w:type="auto"/>
          </w:tcPr>
          <w:p w14:paraId="6874EEC0" w14:textId="77777777" w:rsidR="00A743FD" w:rsidRDefault="007E5BFA" w:rsidP="00166730">
            <w:pPr>
              <w:rPr>
                <w:rFonts w:ascii="Times New Roman" w:hAnsi="Times New Roman" w:cs="Times New Roman"/>
                <w:sz w:val="20"/>
                <w:szCs w:val="20"/>
              </w:rPr>
            </w:pPr>
            <w:r w:rsidRPr="00B507C6">
              <w:rPr>
                <w:rFonts w:ascii="Times New Roman" w:hAnsi="Times New Roman" w:cs="Times New Roman"/>
                <w:sz w:val="20"/>
                <w:szCs w:val="20"/>
              </w:rPr>
              <w:t xml:space="preserve">Comments: </w:t>
            </w:r>
          </w:p>
          <w:p w14:paraId="3ACC9503" w14:textId="77777777" w:rsidR="001E749F" w:rsidRPr="00044910" w:rsidRDefault="001E749F" w:rsidP="001E749F">
            <w:pPr>
              <w:rPr>
                <w:rFonts w:ascii="Times New Roman" w:hAnsi="Times New Roman" w:cs="Times New Roman"/>
                <w:sz w:val="20"/>
                <w:szCs w:val="20"/>
              </w:rPr>
            </w:pPr>
            <w:r w:rsidRPr="00044910">
              <w:rPr>
                <w:rFonts w:ascii="Times New Roman" w:hAnsi="Times New Roman" w:cs="Times New Roman"/>
                <w:sz w:val="20"/>
                <w:szCs w:val="20"/>
              </w:rPr>
              <w:t>The report “Surveillance de la mortali</w:t>
            </w:r>
            <w:r>
              <w:rPr>
                <w:rFonts w:ascii="Times New Roman" w:hAnsi="Times New Roman" w:cs="Times New Roman"/>
                <w:sz w:val="20"/>
                <w:szCs w:val="20"/>
              </w:rPr>
              <w:t xml:space="preserve">té …” by Santé publique France, </w:t>
            </w:r>
            <w:r w:rsidRPr="00044910">
              <w:rPr>
                <w:rFonts w:ascii="Times New Roman" w:hAnsi="Times New Roman" w:cs="Times New Roman"/>
                <w:sz w:val="20"/>
                <w:szCs w:val="20"/>
              </w:rPr>
              <w:t>Table 5, lists the number of COVID-19 deaths in hospitalized patients and the nursing home residents’ COVID-19 deaths</w:t>
            </w:r>
            <w:r>
              <w:rPr>
                <w:rFonts w:ascii="Times New Roman" w:hAnsi="Times New Roman" w:cs="Times New Roman"/>
                <w:sz w:val="20"/>
                <w:szCs w:val="20"/>
              </w:rPr>
              <w:t xml:space="preserve"> by May 31</w:t>
            </w:r>
            <w:r w:rsidRPr="00044910">
              <w:rPr>
                <w:rFonts w:ascii="Times New Roman" w:hAnsi="Times New Roman" w:cs="Times New Roman"/>
                <w:sz w:val="20"/>
                <w:szCs w:val="20"/>
              </w:rPr>
              <w:t xml:space="preserve">, per region. </w:t>
            </w:r>
            <w:r>
              <w:rPr>
                <w:rFonts w:ascii="Times New Roman" w:hAnsi="Times New Roman" w:cs="Times New Roman"/>
                <w:sz w:val="20"/>
                <w:szCs w:val="20"/>
              </w:rPr>
              <w:t xml:space="preserve">In </w:t>
            </w:r>
            <w:r w:rsidRPr="00044910">
              <w:rPr>
                <w:rFonts w:ascii="Times New Roman" w:hAnsi="Times New Roman" w:cs="Times New Roman"/>
                <w:sz w:val="20"/>
                <w:szCs w:val="20"/>
              </w:rPr>
              <w:t>I</w:t>
            </w:r>
            <w:r>
              <w:rPr>
                <w:rFonts w:ascii="Times New Roman" w:hAnsi="Times New Roman" w:cs="Times New Roman"/>
                <w:sz w:val="20"/>
                <w:szCs w:val="20"/>
              </w:rPr>
              <w:t>le-de-</w:t>
            </w:r>
            <w:r w:rsidRPr="00044910">
              <w:rPr>
                <w:rFonts w:ascii="Times New Roman" w:hAnsi="Times New Roman" w:cs="Times New Roman"/>
                <w:sz w:val="20"/>
                <w:szCs w:val="20"/>
              </w:rPr>
              <w:t>F</w:t>
            </w:r>
            <w:r>
              <w:rPr>
                <w:rFonts w:ascii="Times New Roman" w:hAnsi="Times New Roman" w:cs="Times New Roman"/>
                <w:sz w:val="20"/>
                <w:szCs w:val="20"/>
              </w:rPr>
              <w:t>rance</w:t>
            </w:r>
            <w:r w:rsidRPr="00044910">
              <w:rPr>
                <w:rFonts w:ascii="Times New Roman" w:hAnsi="Times New Roman" w:cs="Times New Roman"/>
                <w:sz w:val="20"/>
                <w:szCs w:val="20"/>
              </w:rPr>
              <w:t xml:space="preserve">: 7262 hospitalized, 4368 EHPAD/EMS (total 7262+4368). </w:t>
            </w:r>
          </w:p>
          <w:p w14:paraId="557D7007" w14:textId="77777777" w:rsidR="001E749F" w:rsidRDefault="001E749F" w:rsidP="001E749F">
            <w:pPr>
              <w:rPr>
                <w:rFonts w:ascii="Times New Roman" w:hAnsi="Times New Roman" w:cs="Times New Roman"/>
                <w:sz w:val="20"/>
                <w:szCs w:val="20"/>
              </w:rPr>
            </w:pPr>
            <w:r>
              <w:rPr>
                <w:rFonts w:ascii="Times New Roman" w:hAnsi="Times New Roman" w:cs="Times New Roman"/>
                <w:sz w:val="20"/>
                <w:szCs w:val="20"/>
              </w:rPr>
              <w:t>The region of Ile-de-</w:t>
            </w:r>
            <w:r w:rsidRPr="00044910">
              <w:rPr>
                <w:rFonts w:ascii="Times New Roman" w:hAnsi="Times New Roman" w:cs="Times New Roman"/>
                <w:sz w:val="20"/>
                <w:szCs w:val="20"/>
              </w:rPr>
              <w:t>F</w:t>
            </w:r>
            <w:r>
              <w:rPr>
                <w:rFonts w:ascii="Times New Roman" w:hAnsi="Times New Roman" w:cs="Times New Roman"/>
                <w:sz w:val="20"/>
                <w:szCs w:val="20"/>
              </w:rPr>
              <w:t>rance</w:t>
            </w:r>
            <w:r w:rsidRPr="00044910">
              <w:rPr>
                <w:rFonts w:ascii="Times New Roman" w:hAnsi="Times New Roman" w:cs="Times New Roman"/>
                <w:sz w:val="20"/>
                <w:szCs w:val="20"/>
              </w:rPr>
              <w:t xml:space="preserve"> has a situational report from May 28, listing age distribution of deaths occurring in hospitalized patients up to May 26 in Tableau 5: 5229/6930 (age cutoff 70 years) with age information. Total </w:t>
            </w:r>
            <w:r>
              <w:rPr>
                <w:rFonts w:ascii="Times New Roman" w:hAnsi="Times New Roman" w:cs="Times New Roman"/>
                <w:sz w:val="20"/>
                <w:szCs w:val="20"/>
              </w:rPr>
              <w:t xml:space="preserve">number </w:t>
            </w:r>
            <w:r>
              <w:rPr>
                <w:rFonts w:ascii="Times New Roman" w:hAnsi="Times New Roman" w:cs="Times New Roman"/>
                <w:sz w:val="20"/>
                <w:szCs w:val="20"/>
              </w:rPr>
              <w:lastRenderedPageBreak/>
              <w:t xml:space="preserve">of </w:t>
            </w:r>
            <w:r w:rsidRPr="00044910">
              <w:rPr>
                <w:rFonts w:ascii="Times New Roman" w:hAnsi="Times New Roman" w:cs="Times New Roman"/>
                <w:sz w:val="20"/>
                <w:szCs w:val="20"/>
              </w:rPr>
              <w:t xml:space="preserve">deaths </w:t>
            </w:r>
            <w:r>
              <w:rPr>
                <w:rFonts w:ascii="Times New Roman" w:hAnsi="Times New Roman" w:cs="Times New Roman"/>
                <w:sz w:val="20"/>
                <w:szCs w:val="20"/>
              </w:rPr>
              <w:t xml:space="preserve">were </w:t>
            </w:r>
            <w:r w:rsidRPr="00044910">
              <w:rPr>
                <w:rFonts w:ascii="Times New Roman" w:hAnsi="Times New Roman" w:cs="Times New Roman"/>
                <w:sz w:val="20"/>
                <w:szCs w:val="20"/>
              </w:rPr>
              <w:t>6958. Note that this number does not inclu</w:t>
            </w:r>
            <w:r>
              <w:rPr>
                <w:rFonts w:ascii="Times New Roman" w:hAnsi="Times New Roman" w:cs="Times New Roman"/>
                <w:sz w:val="20"/>
                <w:szCs w:val="20"/>
              </w:rPr>
              <w:t>de the nursing home residents’ deaths, which</w:t>
            </w:r>
            <w:r w:rsidRPr="00044910">
              <w:rPr>
                <w:rFonts w:ascii="Times New Roman" w:hAnsi="Times New Roman" w:cs="Times New Roman"/>
                <w:sz w:val="20"/>
                <w:szCs w:val="20"/>
              </w:rPr>
              <w:t xml:space="preserve"> is </w:t>
            </w:r>
            <w:r>
              <w:rPr>
                <w:rFonts w:ascii="Times New Roman" w:hAnsi="Times New Roman" w:cs="Times New Roman"/>
                <w:sz w:val="20"/>
                <w:szCs w:val="20"/>
              </w:rPr>
              <w:t>here added using the proportion of deaths in the Santé publique report, May 31.</w:t>
            </w:r>
            <w:r w:rsidRPr="00044910">
              <w:rPr>
                <w:rFonts w:ascii="Times New Roman" w:hAnsi="Times New Roman" w:cs="Times New Roman"/>
                <w:sz w:val="20"/>
                <w:szCs w:val="20"/>
              </w:rPr>
              <w:t xml:space="preserve"> </w:t>
            </w:r>
          </w:p>
          <w:p w14:paraId="483F9183" w14:textId="77777777" w:rsidR="001E749F" w:rsidRDefault="001E749F" w:rsidP="001E749F">
            <w:pPr>
              <w:rPr>
                <w:rFonts w:ascii="Times New Roman" w:hAnsi="Times New Roman" w:cs="Times New Roman"/>
                <w:sz w:val="20"/>
                <w:szCs w:val="20"/>
              </w:rPr>
            </w:pPr>
            <w:r>
              <w:rPr>
                <w:rFonts w:ascii="Times New Roman" w:hAnsi="Times New Roman" w:cs="Times New Roman"/>
                <w:sz w:val="20"/>
                <w:szCs w:val="20"/>
              </w:rPr>
              <w:t xml:space="preserve">Total number of deaths = </w:t>
            </w:r>
            <w:r w:rsidRPr="00044910">
              <w:rPr>
                <w:rFonts w:ascii="Times New Roman" w:hAnsi="Times New Roman" w:cs="Times New Roman"/>
                <w:sz w:val="20"/>
                <w:szCs w:val="20"/>
              </w:rPr>
              <w:t>(4368/11630)*6958+6958</w:t>
            </w:r>
            <w:r>
              <w:rPr>
                <w:rFonts w:ascii="Times New Roman" w:hAnsi="Times New Roman" w:cs="Times New Roman"/>
                <w:sz w:val="20"/>
                <w:szCs w:val="20"/>
              </w:rPr>
              <w:t xml:space="preserve"> </w:t>
            </w:r>
            <w:r w:rsidRPr="00044910">
              <w:rPr>
                <w:rFonts w:ascii="Times New Roman" w:hAnsi="Times New Roman" w:cs="Times New Roman"/>
                <w:sz w:val="20"/>
                <w:szCs w:val="20"/>
              </w:rPr>
              <w:t>=</w:t>
            </w:r>
            <w:r>
              <w:rPr>
                <w:rFonts w:ascii="Times New Roman" w:hAnsi="Times New Roman" w:cs="Times New Roman"/>
                <w:sz w:val="20"/>
                <w:szCs w:val="20"/>
              </w:rPr>
              <w:t xml:space="preserve"> 9571. Number of deaths in elderly ≥70 years = </w:t>
            </w:r>
            <w:r w:rsidRPr="00044910">
              <w:rPr>
                <w:rFonts w:ascii="Times New Roman" w:hAnsi="Times New Roman" w:cs="Times New Roman"/>
                <w:sz w:val="20"/>
                <w:szCs w:val="20"/>
              </w:rPr>
              <w:t>(4368/11630)*6958*0.95+5229</w:t>
            </w:r>
            <w:r>
              <w:rPr>
                <w:rFonts w:ascii="Times New Roman" w:hAnsi="Times New Roman" w:cs="Times New Roman"/>
                <w:sz w:val="20"/>
                <w:szCs w:val="20"/>
              </w:rPr>
              <w:t xml:space="preserve"> </w:t>
            </w:r>
            <w:r w:rsidRPr="00044910">
              <w:rPr>
                <w:rFonts w:ascii="Times New Roman" w:hAnsi="Times New Roman" w:cs="Times New Roman"/>
                <w:sz w:val="20"/>
                <w:szCs w:val="20"/>
              </w:rPr>
              <w:t>=</w:t>
            </w:r>
            <w:r>
              <w:rPr>
                <w:rFonts w:ascii="Times New Roman" w:hAnsi="Times New Roman" w:cs="Times New Roman"/>
                <w:sz w:val="20"/>
                <w:szCs w:val="20"/>
              </w:rPr>
              <w:t xml:space="preserve"> </w:t>
            </w:r>
            <w:r w:rsidRPr="00044910">
              <w:rPr>
                <w:rFonts w:ascii="Times New Roman" w:hAnsi="Times New Roman" w:cs="Times New Roman"/>
                <w:sz w:val="20"/>
                <w:szCs w:val="20"/>
              </w:rPr>
              <w:t>7712</w:t>
            </w:r>
            <w:r>
              <w:rPr>
                <w:rFonts w:ascii="Times New Roman" w:hAnsi="Times New Roman" w:cs="Times New Roman"/>
                <w:sz w:val="20"/>
                <w:szCs w:val="20"/>
              </w:rPr>
              <w:t>.</w:t>
            </w:r>
          </w:p>
          <w:p w14:paraId="4E210185" w14:textId="31F6804B" w:rsidR="00A743FD" w:rsidRPr="00B507C6" w:rsidRDefault="00A743FD" w:rsidP="001E749F">
            <w:pPr>
              <w:rPr>
                <w:rFonts w:ascii="Times New Roman" w:hAnsi="Times New Roman" w:cs="Times New Roman"/>
                <w:sz w:val="20"/>
                <w:szCs w:val="20"/>
              </w:rPr>
            </w:pPr>
            <w:r w:rsidRPr="00A743FD">
              <w:rPr>
                <w:rFonts w:ascii="Times New Roman" w:hAnsi="Times New Roman" w:cs="Times New Roman"/>
                <w:sz w:val="20"/>
                <w:szCs w:val="20"/>
              </w:rPr>
              <w:t xml:space="preserve">Three regions were sampled in </w:t>
            </w:r>
            <w:r w:rsidR="001E749F">
              <w:rPr>
                <w:rFonts w:ascii="Times New Roman" w:hAnsi="Times New Roman" w:cs="Times New Roman"/>
                <w:sz w:val="20"/>
                <w:szCs w:val="20"/>
              </w:rPr>
              <w:t>the</w:t>
            </w:r>
            <w:r w:rsidR="001E749F" w:rsidRPr="00A743FD">
              <w:rPr>
                <w:rFonts w:ascii="Times New Roman" w:hAnsi="Times New Roman" w:cs="Times New Roman"/>
                <w:sz w:val="20"/>
                <w:szCs w:val="20"/>
              </w:rPr>
              <w:t xml:space="preserve"> </w:t>
            </w:r>
            <w:r w:rsidRPr="00A743FD">
              <w:rPr>
                <w:rFonts w:ascii="Times New Roman" w:hAnsi="Times New Roman" w:cs="Times New Roman"/>
                <w:sz w:val="20"/>
                <w:szCs w:val="20"/>
              </w:rPr>
              <w:t>study</w:t>
            </w:r>
            <w:r w:rsidR="001E749F">
              <w:rPr>
                <w:rFonts w:ascii="Times New Roman" w:hAnsi="Times New Roman" w:cs="Times New Roman"/>
                <w:sz w:val="20"/>
                <w:szCs w:val="20"/>
              </w:rPr>
              <w:t xml:space="preserve"> by Carrat</w:t>
            </w:r>
            <w:r w:rsidRPr="00A743FD">
              <w:rPr>
                <w:rFonts w:ascii="Times New Roman" w:hAnsi="Times New Roman" w:cs="Times New Roman"/>
                <w:sz w:val="20"/>
                <w:szCs w:val="20"/>
              </w:rPr>
              <w:t xml:space="preserve">, and two </w:t>
            </w:r>
            <w:r w:rsidR="001E749F">
              <w:rPr>
                <w:rFonts w:ascii="Times New Roman" w:hAnsi="Times New Roman" w:cs="Times New Roman"/>
                <w:sz w:val="20"/>
                <w:szCs w:val="20"/>
              </w:rPr>
              <w:t xml:space="preserve">were eligible </w:t>
            </w:r>
            <w:r w:rsidRPr="00A743FD">
              <w:rPr>
                <w:rFonts w:ascii="Times New Roman" w:hAnsi="Times New Roman" w:cs="Times New Roman"/>
                <w:sz w:val="20"/>
                <w:szCs w:val="20"/>
              </w:rPr>
              <w:t>(the ones with &gt;1000 participants 70+): I</w:t>
            </w:r>
            <w:r w:rsidR="001E749F">
              <w:rPr>
                <w:rFonts w:ascii="Times New Roman" w:hAnsi="Times New Roman" w:cs="Times New Roman"/>
                <w:sz w:val="20"/>
                <w:szCs w:val="20"/>
              </w:rPr>
              <w:t>le-de-France</w:t>
            </w:r>
            <w:r w:rsidRPr="00A743FD">
              <w:rPr>
                <w:rFonts w:ascii="Times New Roman" w:hAnsi="Times New Roman" w:cs="Times New Roman"/>
                <w:sz w:val="20"/>
                <w:szCs w:val="20"/>
              </w:rPr>
              <w:t xml:space="preserve"> and Nouvelle Aquitaine. Using primary outcome (ELISA-S). Figure 2 (weighted estimates) an</w:t>
            </w:r>
            <w:r>
              <w:rPr>
                <w:rFonts w:ascii="Times New Roman" w:hAnsi="Times New Roman" w:cs="Times New Roman"/>
                <w:sz w:val="20"/>
                <w:szCs w:val="20"/>
              </w:rPr>
              <w:t>d Suppl figure 5 (unweighted).</w:t>
            </w:r>
          </w:p>
        </w:tc>
      </w:tr>
      <w:tr w:rsidR="007E5BFA" w:rsidRPr="00B507C6" w14:paraId="774845C4" w14:textId="77777777" w:rsidTr="00B507C6">
        <w:tc>
          <w:tcPr>
            <w:tcW w:w="0" w:type="auto"/>
          </w:tcPr>
          <w:p w14:paraId="4A915B53" w14:textId="77777777" w:rsidR="007E5BFA" w:rsidRPr="00B507C6" w:rsidRDefault="007E5BFA">
            <w:pPr>
              <w:rPr>
                <w:rFonts w:ascii="Times New Roman" w:hAnsi="Times New Roman" w:cs="Times New Roman"/>
                <w:sz w:val="20"/>
                <w:szCs w:val="20"/>
              </w:rPr>
            </w:pPr>
          </w:p>
        </w:tc>
      </w:tr>
      <w:tr w:rsidR="007E5BFA" w:rsidRPr="00B507C6" w14:paraId="26EA4580" w14:textId="77777777" w:rsidTr="00B507C6">
        <w:tc>
          <w:tcPr>
            <w:tcW w:w="0" w:type="auto"/>
          </w:tcPr>
          <w:p w14:paraId="2AA97940" w14:textId="31C32658"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France, Nouvelle Aquitaine (Study: Carrat)</w:t>
            </w:r>
          </w:p>
        </w:tc>
      </w:tr>
      <w:tr w:rsidR="007E5BFA" w:rsidRPr="00B507C6" w14:paraId="33B9FA35" w14:textId="77777777" w:rsidTr="00B507C6">
        <w:tc>
          <w:tcPr>
            <w:tcW w:w="0" w:type="auto"/>
          </w:tcPr>
          <w:p w14:paraId="22DCC4BF" w14:textId="78BFA30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4E11B9D3" w14:textId="77777777" w:rsidTr="00B507C6">
        <w:tc>
          <w:tcPr>
            <w:tcW w:w="0" w:type="auto"/>
          </w:tcPr>
          <w:p w14:paraId="00C0983A" w14:textId="4C0C6B0D" w:rsidR="007E5BFA" w:rsidRPr="00B507C6" w:rsidRDefault="007E5BFA" w:rsidP="002E13E8">
            <w:pPr>
              <w:rPr>
                <w:rFonts w:ascii="Times New Roman" w:hAnsi="Times New Roman" w:cs="Times New Roman"/>
                <w:sz w:val="20"/>
                <w:szCs w:val="20"/>
              </w:rPr>
            </w:pPr>
            <w:r w:rsidRPr="00B507C6">
              <w:rPr>
                <w:rFonts w:ascii="Times New Roman" w:hAnsi="Times New Roman" w:cs="Times New Roman"/>
                <w:sz w:val="20"/>
                <w:szCs w:val="20"/>
              </w:rPr>
              <w:t>Age distribution of COVID-19 deaths: Point épidémio régional Nouvelle-Aquitaine Spécial COVID-19 28 mai 2020, Santé publique France</w:t>
            </w:r>
          </w:p>
        </w:tc>
      </w:tr>
      <w:tr w:rsidR="007E5BFA" w:rsidRPr="00B507C6" w14:paraId="55BFBA77" w14:textId="77777777" w:rsidTr="00B507C6">
        <w:tc>
          <w:tcPr>
            <w:tcW w:w="0" w:type="auto"/>
          </w:tcPr>
          <w:p w14:paraId="1912BB6E" w14:textId="62CDA383" w:rsidR="007E5BFA" w:rsidRPr="00B507C6" w:rsidRDefault="007E5BFA" w:rsidP="00DA6A01">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Point épidémio régional Nouvelle-Aquitaine Spécial COVID-19 28 mai 2020, Santé publique France</w:t>
            </w:r>
          </w:p>
        </w:tc>
      </w:tr>
      <w:tr w:rsidR="007E5BFA" w:rsidRPr="00B507C6" w14:paraId="3D462124" w14:textId="77777777" w:rsidTr="00B507C6">
        <w:tc>
          <w:tcPr>
            <w:tcW w:w="0" w:type="auto"/>
          </w:tcPr>
          <w:p w14:paraId="376154DA" w14:textId="556E260C" w:rsidR="007E5BFA" w:rsidRPr="00B507C6" w:rsidRDefault="007E5BFA" w:rsidP="00C03B9F">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DONNÉES DE SURVEILLANCE. SURVEILLANCE DE LA MORTALITÉ AU COURS DE L'ÉPIDÉMIE DE COVID-19 DU 2 MARS AU 31 MAI 2020 EN FRANCE, Santé publique France</w:t>
            </w:r>
          </w:p>
        </w:tc>
      </w:tr>
      <w:tr w:rsidR="007E5BFA" w:rsidRPr="00B507C6" w14:paraId="03DF69F9" w14:textId="77777777" w:rsidTr="00B507C6">
        <w:tc>
          <w:tcPr>
            <w:tcW w:w="0" w:type="auto"/>
          </w:tcPr>
          <w:p w14:paraId="4672467B" w14:textId="2FB0D8FC" w:rsidR="007E5BFA" w:rsidRPr="00B507C6" w:rsidRDefault="007E5BFA" w:rsidP="0021618E">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DONNÉES DE SURVEILLANCE. SURVEILLANCE DE LA MORTALITÉ AU COURS DE L'ÉPIDÉMIE DE COVID-19 DU 2 MARS AU 31 MAI 2020 EN FRANCE, Santé publique France</w:t>
            </w:r>
          </w:p>
        </w:tc>
      </w:tr>
      <w:tr w:rsidR="007E5BFA" w:rsidRPr="00B507C6" w14:paraId="3E2ADB5F" w14:textId="77777777" w:rsidTr="00B507C6">
        <w:tc>
          <w:tcPr>
            <w:tcW w:w="0" w:type="auto"/>
          </w:tcPr>
          <w:p w14:paraId="2CF12BC8" w14:textId="33BCA6A0"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Population overall:</w:t>
            </w:r>
            <w:r w:rsidR="00592F53" w:rsidRPr="008A2FA1">
              <w:rPr>
                <w:rFonts w:ascii="Times New Roman" w:hAnsi="Times New Roman" w:cs="Times New Roman"/>
                <w:sz w:val="20"/>
                <w:szCs w:val="20"/>
              </w:rPr>
              <w:t xml:space="preserve"> Webpage https://www.insee.fr/en/statistiques/3696316?p1=r11&amp;p2=r97&amp;lang=en&amp;annee=2020 (accessed May 31, 2021)</w:t>
            </w:r>
          </w:p>
        </w:tc>
      </w:tr>
      <w:tr w:rsidR="007E5BFA" w:rsidRPr="00B507C6" w14:paraId="534E4CB6" w14:textId="77777777" w:rsidTr="00B507C6">
        <w:tc>
          <w:tcPr>
            <w:tcW w:w="0" w:type="auto"/>
          </w:tcPr>
          <w:p w14:paraId="0D2EA7FA" w14:textId="6E50F525"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Population in elderly:</w:t>
            </w:r>
            <w:r w:rsidR="00592F53" w:rsidRPr="008A2FA1">
              <w:rPr>
                <w:rFonts w:ascii="Times New Roman" w:hAnsi="Times New Roman" w:cs="Times New Roman"/>
                <w:sz w:val="20"/>
                <w:szCs w:val="20"/>
              </w:rPr>
              <w:t xml:space="preserve"> Webpage https://www.insee.fr/en/statistiques/3696316?p1=r11&amp;p2=r97&amp;lang=en&amp;annee=2020 (accessed May 31, 2021)</w:t>
            </w:r>
          </w:p>
        </w:tc>
      </w:tr>
      <w:tr w:rsidR="007E5BFA" w:rsidRPr="00B507C6" w14:paraId="76204732" w14:textId="77777777" w:rsidTr="00B507C6">
        <w:tc>
          <w:tcPr>
            <w:tcW w:w="0" w:type="auto"/>
          </w:tcPr>
          <w:p w14:paraId="7DE1BD74" w14:textId="1716B2EE"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Population in nursing homes:</w:t>
            </w:r>
            <w:r w:rsidR="008A2FA1" w:rsidRPr="008A2FA1">
              <w:rPr>
                <w:rFonts w:ascii="Times New Roman" w:hAnsi="Times New Roman" w:cs="Times New Roman"/>
                <w:sz w:val="20"/>
                <w:szCs w:val="20"/>
              </w:rPr>
              <w:t xml:space="preserve"> Webpage https://www.insee.fr/fr/statistiques/4294178#tableau-figure2 (accessed May 31, 2021)</w:t>
            </w:r>
          </w:p>
        </w:tc>
      </w:tr>
      <w:tr w:rsidR="007E5BFA" w:rsidRPr="00B507C6" w14:paraId="51807D19" w14:textId="77777777" w:rsidTr="00B507C6">
        <w:tc>
          <w:tcPr>
            <w:tcW w:w="0" w:type="auto"/>
          </w:tcPr>
          <w:p w14:paraId="4F58532E" w14:textId="77777777" w:rsidR="007E5BFA" w:rsidRPr="008A2FA1" w:rsidRDefault="007E5BFA" w:rsidP="006F5853">
            <w:pPr>
              <w:rPr>
                <w:rFonts w:ascii="Times New Roman" w:hAnsi="Times New Roman" w:cs="Times New Roman"/>
                <w:sz w:val="20"/>
                <w:szCs w:val="20"/>
              </w:rPr>
            </w:pPr>
            <w:r w:rsidRPr="008A2FA1">
              <w:rPr>
                <w:rFonts w:ascii="Times New Roman" w:hAnsi="Times New Roman" w:cs="Times New Roman"/>
                <w:sz w:val="20"/>
                <w:szCs w:val="20"/>
              </w:rPr>
              <w:t>Proportion of elderly among nursing home residents: Imputed (average of available values)</w:t>
            </w:r>
          </w:p>
        </w:tc>
      </w:tr>
      <w:tr w:rsidR="007E5BFA" w:rsidRPr="00B507C6" w14:paraId="7D72D482" w14:textId="77777777" w:rsidTr="00B507C6">
        <w:tc>
          <w:tcPr>
            <w:tcW w:w="0" w:type="auto"/>
          </w:tcPr>
          <w:p w14:paraId="4EE00F46" w14:textId="77777777" w:rsidR="00A743FD" w:rsidRDefault="007E5BFA" w:rsidP="00A743FD">
            <w:pPr>
              <w:rPr>
                <w:rFonts w:ascii="Times New Roman" w:hAnsi="Times New Roman" w:cs="Times New Roman"/>
                <w:sz w:val="20"/>
                <w:szCs w:val="20"/>
              </w:rPr>
            </w:pPr>
            <w:r w:rsidRPr="008A2FA1">
              <w:rPr>
                <w:rFonts w:ascii="Times New Roman" w:hAnsi="Times New Roman" w:cs="Times New Roman"/>
                <w:sz w:val="20"/>
                <w:szCs w:val="20"/>
              </w:rPr>
              <w:t>Comments:</w:t>
            </w:r>
            <w:r w:rsidR="008A2FA1" w:rsidRPr="008A2FA1">
              <w:rPr>
                <w:rFonts w:ascii="Times New Roman" w:hAnsi="Times New Roman" w:cs="Times New Roman"/>
                <w:sz w:val="20"/>
                <w:szCs w:val="20"/>
              </w:rPr>
              <w:t xml:space="preserve"> </w:t>
            </w:r>
          </w:p>
          <w:p w14:paraId="6A12B0EF" w14:textId="77777777" w:rsidR="001E749F" w:rsidRPr="00044910" w:rsidRDefault="001E749F" w:rsidP="001E749F">
            <w:pPr>
              <w:rPr>
                <w:rFonts w:ascii="Times New Roman" w:hAnsi="Times New Roman" w:cs="Times New Roman"/>
                <w:sz w:val="20"/>
                <w:szCs w:val="20"/>
              </w:rPr>
            </w:pPr>
            <w:r w:rsidRPr="00044910">
              <w:rPr>
                <w:rFonts w:ascii="Times New Roman" w:hAnsi="Times New Roman" w:cs="Times New Roman"/>
                <w:sz w:val="20"/>
                <w:szCs w:val="20"/>
              </w:rPr>
              <w:t xml:space="preserve">The report “Surveillance de la mortalité …” by Santé publique France, Table 5, lists the number of COVID-19 deaths in hospitalized patients and the nursing home residents’ COVID-19 deaths, per region. Nouvelle Aquitaine: 406 hospitalized, 129 EHPAD/EMS (total 406+129). </w:t>
            </w:r>
          </w:p>
          <w:p w14:paraId="6A1AA65A" w14:textId="77777777" w:rsidR="001E749F" w:rsidRDefault="001E749F" w:rsidP="001E749F">
            <w:pPr>
              <w:rPr>
                <w:rFonts w:ascii="Times New Roman" w:hAnsi="Times New Roman" w:cs="Times New Roman"/>
                <w:sz w:val="20"/>
                <w:szCs w:val="20"/>
              </w:rPr>
            </w:pPr>
            <w:r>
              <w:rPr>
                <w:rFonts w:ascii="Times New Roman" w:hAnsi="Times New Roman" w:cs="Times New Roman"/>
                <w:sz w:val="20"/>
                <w:szCs w:val="20"/>
              </w:rPr>
              <w:t xml:space="preserve">The region of </w:t>
            </w:r>
            <w:r w:rsidRPr="002D028B">
              <w:rPr>
                <w:rFonts w:ascii="Times New Roman" w:hAnsi="Times New Roman" w:cs="Times New Roman"/>
                <w:sz w:val="20"/>
                <w:szCs w:val="20"/>
              </w:rPr>
              <w:t>Nouvelle Aquitaine has a situational report from May 28, listing age distribution of all deaths up to May 25 in Tableau 7: 409/448 (age cutoff 65 years).</w:t>
            </w:r>
          </w:p>
          <w:p w14:paraId="2E6C1B9B" w14:textId="2690BDC6" w:rsidR="001E749F" w:rsidRDefault="001E749F" w:rsidP="00A743FD">
            <w:pPr>
              <w:rPr>
                <w:rFonts w:ascii="Times New Roman" w:hAnsi="Times New Roman" w:cs="Times New Roman"/>
                <w:sz w:val="20"/>
                <w:szCs w:val="20"/>
              </w:rPr>
            </w:pPr>
            <w:r w:rsidRPr="008A2FA1">
              <w:rPr>
                <w:rFonts w:ascii="Times New Roman" w:hAnsi="Times New Roman" w:cs="Times New Roman"/>
                <w:sz w:val="20"/>
                <w:szCs w:val="20"/>
              </w:rPr>
              <w:t xml:space="preserve">Population in nursing homes: </w:t>
            </w:r>
            <w:r>
              <w:rPr>
                <w:rFonts w:ascii="Times New Roman" w:hAnsi="Times New Roman" w:cs="Times New Roman"/>
                <w:sz w:val="20"/>
                <w:szCs w:val="20"/>
              </w:rPr>
              <w:t xml:space="preserve">Derived from the Insee webpage </w:t>
            </w:r>
            <w:r w:rsidRPr="008A2FA1">
              <w:rPr>
                <w:rFonts w:ascii="Times New Roman" w:hAnsi="Times New Roman" w:cs="Times New Roman"/>
                <w:sz w:val="20"/>
                <w:szCs w:val="20"/>
              </w:rPr>
              <w:t>Figure 2, Number of dependent seniors (2016)</w:t>
            </w:r>
            <w:r>
              <w:rPr>
                <w:rFonts w:ascii="Times New Roman" w:hAnsi="Times New Roman" w:cs="Times New Roman"/>
                <w:sz w:val="20"/>
                <w:szCs w:val="20"/>
              </w:rPr>
              <w:t>,</w:t>
            </w:r>
            <w:r w:rsidRPr="008A2FA1">
              <w:rPr>
                <w:rFonts w:ascii="Times New Roman" w:hAnsi="Times New Roman" w:cs="Times New Roman"/>
                <w:sz w:val="20"/>
                <w:szCs w:val="20"/>
              </w:rPr>
              <w:t xml:space="preserve"> </w:t>
            </w:r>
            <w:r>
              <w:rPr>
                <w:rFonts w:ascii="Times New Roman" w:hAnsi="Times New Roman" w:cs="Times New Roman"/>
                <w:sz w:val="20"/>
                <w:szCs w:val="20"/>
              </w:rPr>
              <w:t>n=</w:t>
            </w:r>
            <w:r w:rsidRPr="008A2FA1">
              <w:rPr>
                <w:rFonts w:ascii="Times New Roman" w:hAnsi="Times New Roman" w:cs="Times New Roman"/>
                <w:sz w:val="20"/>
                <w:szCs w:val="20"/>
              </w:rPr>
              <w:t>331,200. In text: "in 2016, 8 out of 10 dependent elderly people lived at home" [and the others in institutions].</w:t>
            </w:r>
          </w:p>
          <w:p w14:paraId="494BF8C8" w14:textId="6752A1D1" w:rsidR="00A743FD" w:rsidRPr="008A2FA1" w:rsidRDefault="00A743FD" w:rsidP="00A743FD">
            <w:pPr>
              <w:rPr>
                <w:rFonts w:ascii="Times New Roman" w:hAnsi="Times New Roman" w:cs="Times New Roman"/>
                <w:sz w:val="20"/>
                <w:szCs w:val="20"/>
              </w:rPr>
            </w:pPr>
            <w:r w:rsidRPr="00A743FD">
              <w:rPr>
                <w:rFonts w:ascii="Times New Roman" w:hAnsi="Times New Roman" w:cs="Times New Roman"/>
                <w:sz w:val="20"/>
                <w:szCs w:val="20"/>
              </w:rPr>
              <w:t xml:space="preserve">Three regions were sampled in </w:t>
            </w:r>
            <w:r w:rsidR="00B947DB">
              <w:rPr>
                <w:rFonts w:ascii="Times New Roman" w:hAnsi="Times New Roman" w:cs="Times New Roman"/>
                <w:sz w:val="20"/>
                <w:szCs w:val="20"/>
              </w:rPr>
              <w:t>the</w:t>
            </w:r>
            <w:r w:rsidR="00B947DB" w:rsidRPr="00A743FD">
              <w:rPr>
                <w:rFonts w:ascii="Times New Roman" w:hAnsi="Times New Roman" w:cs="Times New Roman"/>
                <w:sz w:val="20"/>
                <w:szCs w:val="20"/>
              </w:rPr>
              <w:t xml:space="preserve"> </w:t>
            </w:r>
            <w:r w:rsidRPr="00A743FD">
              <w:rPr>
                <w:rFonts w:ascii="Times New Roman" w:hAnsi="Times New Roman" w:cs="Times New Roman"/>
                <w:sz w:val="20"/>
                <w:szCs w:val="20"/>
              </w:rPr>
              <w:t>study</w:t>
            </w:r>
            <w:r w:rsidR="00B947DB">
              <w:rPr>
                <w:rFonts w:ascii="Times New Roman" w:hAnsi="Times New Roman" w:cs="Times New Roman"/>
                <w:sz w:val="20"/>
                <w:szCs w:val="20"/>
              </w:rPr>
              <w:t xml:space="preserve"> by Carrat</w:t>
            </w:r>
            <w:r w:rsidRPr="00A743FD">
              <w:rPr>
                <w:rFonts w:ascii="Times New Roman" w:hAnsi="Times New Roman" w:cs="Times New Roman"/>
                <w:sz w:val="20"/>
                <w:szCs w:val="20"/>
              </w:rPr>
              <w:t xml:space="preserve">, and two </w:t>
            </w:r>
            <w:r w:rsidR="00B947DB">
              <w:rPr>
                <w:rFonts w:ascii="Times New Roman" w:hAnsi="Times New Roman" w:cs="Times New Roman"/>
                <w:sz w:val="20"/>
                <w:szCs w:val="20"/>
              </w:rPr>
              <w:t xml:space="preserve">were eligible </w:t>
            </w:r>
            <w:r w:rsidRPr="00A743FD">
              <w:rPr>
                <w:rFonts w:ascii="Times New Roman" w:hAnsi="Times New Roman" w:cs="Times New Roman"/>
                <w:sz w:val="20"/>
                <w:szCs w:val="20"/>
              </w:rPr>
              <w:t xml:space="preserve">(the ones with &gt;1000 participants 70+): </w:t>
            </w:r>
            <w:r w:rsidR="00B947DB">
              <w:rPr>
                <w:rFonts w:ascii="Times New Roman" w:hAnsi="Times New Roman" w:cs="Times New Roman"/>
                <w:sz w:val="20"/>
                <w:szCs w:val="20"/>
              </w:rPr>
              <w:t>Ile-de-France</w:t>
            </w:r>
            <w:r w:rsidR="00B947DB" w:rsidRPr="00A743FD">
              <w:rPr>
                <w:rFonts w:ascii="Times New Roman" w:hAnsi="Times New Roman" w:cs="Times New Roman"/>
                <w:sz w:val="20"/>
                <w:szCs w:val="20"/>
              </w:rPr>
              <w:t xml:space="preserve"> </w:t>
            </w:r>
            <w:r w:rsidRPr="00A743FD">
              <w:rPr>
                <w:rFonts w:ascii="Times New Roman" w:hAnsi="Times New Roman" w:cs="Times New Roman"/>
                <w:sz w:val="20"/>
                <w:szCs w:val="20"/>
              </w:rPr>
              <w:t>and Nouvelle Aquitaine. Using primary outcome (ELISA-S). Figure 2 (weighted estimates) an</w:t>
            </w:r>
            <w:r w:rsidR="00ED79D1">
              <w:rPr>
                <w:rFonts w:ascii="Times New Roman" w:hAnsi="Times New Roman" w:cs="Times New Roman"/>
                <w:sz w:val="20"/>
                <w:szCs w:val="20"/>
              </w:rPr>
              <w:t>d Suppl figure 5 (unweighted).</w:t>
            </w:r>
          </w:p>
        </w:tc>
      </w:tr>
      <w:tr w:rsidR="007E5BFA" w:rsidRPr="00B507C6" w14:paraId="05696C08" w14:textId="77777777" w:rsidTr="00B507C6">
        <w:tc>
          <w:tcPr>
            <w:tcW w:w="0" w:type="auto"/>
          </w:tcPr>
          <w:p w14:paraId="2BC399BE" w14:textId="77777777" w:rsidR="007E5BFA" w:rsidRPr="00B507C6" w:rsidRDefault="007E5BFA">
            <w:pPr>
              <w:rPr>
                <w:rFonts w:ascii="Times New Roman" w:hAnsi="Times New Roman" w:cs="Times New Roman"/>
                <w:sz w:val="20"/>
                <w:szCs w:val="20"/>
              </w:rPr>
            </w:pPr>
          </w:p>
        </w:tc>
      </w:tr>
      <w:tr w:rsidR="007E5BFA" w:rsidRPr="00B507C6" w14:paraId="63D61861" w14:textId="77777777" w:rsidTr="00B507C6">
        <w:tc>
          <w:tcPr>
            <w:tcW w:w="0" w:type="auto"/>
          </w:tcPr>
          <w:p w14:paraId="0B60FB0C" w14:textId="1482AE26"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Hungary (Study: Merkely)</w:t>
            </w:r>
          </w:p>
        </w:tc>
      </w:tr>
      <w:tr w:rsidR="007E5BFA" w:rsidRPr="00B507C6" w14:paraId="6E113F9F" w14:textId="77777777" w:rsidTr="00B507C6">
        <w:tc>
          <w:tcPr>
            <w:tcW w:w="0" w:type="auto"/>
          </w:tcPr>
          <w:p w14:paraId="79887FE4" w14:textId="308466AE" w:rsidR="007E5BFA" w:rsidRPr="00B507C6" w:rsidRDefault="007E5BFA" w:rsidP="00233334">
            <w:pPr>
              <w:rPr>
                <w:rFonts w:ascii="Times New Roman" w:hAnsi="Times New Roman" w:cs="Times New Roman"/>
                <w:sz w:val="20"/>
                <w:szCs w:val="20"/>
              </w:rPr>
            </w:pPr>
            <w:r w:rsidRPr="00B507C6">
              <w:rPr>
                <w:rFonts w:ascii="Times New Roman" w:hAnsi="Times New Roman" w:cs="Times New Roman"/>
                <w:sz w:val="20"/>
                <w:szCs w:val="20"/>
              </w:rPr>
              <w:t>Seroprevalence information: Personal communication Z. Vokó</w:t>
            </w:r>
          </w:p>
        </w:tc>
      </w:tr>
      <w:tr w:rsidR="007E5BFA" w:rsidRPr="00B507C6" w14:paraId="014D2B95" w14:textId="77777777" w:rsidTr="00B507C6">
        <w:tc>
          <w:tcPr>
            <w:tcW w:w="0" w:type="auto"/>
          </w:tcPr>
          <w:p w14:paraId="1AED5F08" w14:textId="77777777" w:rsidR="007E5BFA" w:rsidRPr="00B507C6" w:rsidRDefault="007E5BFA" w:rsidP="00054BEE">
            <w:pPr>
              <w:rPr>
                <w:rFonts w:ascii="Times New Roman" w:hAnsi="Times New Roman" w:cs="Times New Roman"/>
                <w:sz w:val="20"/>
                <w:szCs w:val="20"/>
              </w:rPr>
            </w:pPr>
            <w:r w:rsidRPr="00B507C6">
              <w:rPr>
                <w:rFonts w:ascii="Times New Roman" w:hAnsi="Times New Roman" w:cs="Times New Roman"/>
                <w:sz w:val="20"/>
                <w:szCs w:val="20"/>
              </w:rPr>
              <w:t>Age distribution of COVID-19 deaths: Early phase of the COVID-19 outbreak in Hungary and post-lockdown scenarios</w:t>
            </w:r>
          </w:p>
          <w:p w14:paraId="26C2976C" w14:textId="7BA920DD" w:rsidR="007E5BFA" w:rsidRPr="00B507C6" w:rsidRDefault="007E5BFA" w:rsidP="00054BEE">
            <w:pPr>
              <w:rPr>
                <w:rFonts w:ascii="Times New Roman" w:hAnsi="Times New Roman" w:cs="Times New Roman"/>
                <w:sz w:val="20"/>
                <w:szCs w:val="20"/>
              </w:rPr>
            </w:pPr>
            <w:r w:rsidRPr="00B507C6">
              <w:rPr>
                <w:rFonts w:ascii="Times New Roman" w:hAnsi="Times New Roman" w:cs="Times New Roman"/>
                <w:sz w:val="20"/>
                <w:szCs w:val="20"/>
              </w:rPr>
              <w:t>Gergely Röst, Ferenc A. Bartha, Norbert Bogya, Péter Boldog, Attila Dénes, Tamás Ferenci, Krisztina J. Horváth, Attila Juhász, Csilla Nagy, Tamás Tekeli, Zsolt Vizi, Beatrix Oroszi. (Version 1) medRxiv 2020.06.02.20119313; doi: https://doi.org/10.1101/2020.06.02.20119313</w:t>
            </w:r>
          </w:p>
        </w:tc>
      </w:tr>
      <w:tr w:rsidR="007E5BFA" w:rsidRPr="00B507C6" w14:paraId="4DF46E4D" w14:textId="77777777" w:rsidTr="00B507C6">
        <w:tc>
          <w:tcPr>
            <w:tcW w:w="0" w:type="auto"/>
          </w:tcPr>
          <w:p w14:paraId="088DB4D8" w14:textId="4021CDC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Worldometers.info</w:t>
            </w:r>
            <w:r w:rsidR="00863F46">
              <w:rPr>
                <w:rFonts w:ascii="Times New Roman" w:hAnsi="Times New Roman" w:cs="Times New Roman"/>
                <w:sz w:val="20"/>
                <w:szCs w:val="20"/>
              </w:rPr>
              <w:t xml:space="preserve"> (accessed June 1, 2021)</w:t>
            </w:r>
          </w:p>
        </w:tc>
      </w:tr>
      <w:tr w:rsidR="007E5BFA" w:rsidRPr="00B507C6" w14:paraId="147DFACC" w14:textId="77777777" w:rsidTr="00B507C6">
        <w:tc>
          <w:tcPr>
            <w:tcW w:w="0" w:type="auto"/>
          </w:tcPr>
          <w:p w14:paraId="35385757" w14:textId="01D323A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Comas-Herrera A, Zalakaín J, Litwin C, Hsu AT, Lane N and Fernández J-L (2020) Mortality associated with COVID-19 outbreaks in care homes: early international evidence. Article in LTCcovid.org, International Long-Term Care Policy Network, CPEC-LSE, 21 May 2020.</w:t>
            </w:r>
          </w:p>
        </w:tc>
      </w:tr>
      <w:tr w:rsidR="007E5BFA" w:rsidRPr="00B507C6" w14:paraId="0AAD3AA8" w14:textId="77777777" w:rsidTr="00B507C6">
        <w:tc>
          <w:tcPr>
            <w:tcW w:w="0" w:type="auto"/>
          </w:tcPr>
          <w:p w14:paraId="400B25F9" w14:textId="3CB98ED2"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379920E9" w14:textId="77777777" w:rsidTr="00B507C6">
        <w:tc>
          <w:tcPr>
            <w:tcW w:w="0" w:type="auto"/>
          </w:tcPr>
          <w:p w14:paraId="32B00876" w14:textId="33758CF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populationpyramid.net</w:t>
            </w:r>
          </w:p>
        </w:tc>
      </w:tr>
      <w:tr w:rsidR="007E5BFA" w:rsidRPr="00B507C6" w14:paraId="32D4FAF2" w14:textId="77777777" w:rsidTr="00B507C6">
        <w:tc>
          <w:tcPr>
            <w:tcW w:w="0" w:type="auto"/>
          </w:tcPr>
          <w:p w14:paraId="08554433" w14:textId="27F91B8F"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Comas-Herrera A, Zalakaín J, Lemmon E, Henderson D, Litwin C, Hsu AT, Schmidt AE, Arling G and Fernández J-L (2020) Mortality associated with COVID-19 in care homes: international evidence. Article in LTCcovid.org, International Long-Term Care Policy Network, CPEC-LSE, 14 October. (page 10, in text)</w:t>
            </w:r>
          </w:p>
        </w:tc>
      </w:tr>
      <w:tr w:rsidR="007E5BFA" w:rsidRPr="00B507C6" w14:paraId="16BBB81A" w14:textId="77777777" w:rsidTr="00B507C6">
        <w:tc>
          <w:tcPr>
            <w:tcW w:w="0" w:type="auto"/>
          </w:tcPr>
          <w:p w14:paraId="2FABF573" w14:textId="22ACD5F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lastRenderedPageBreak/>
              <w:t>Proportion of elderly among nursing home residents: Comas-Herrera A, Zalakaín J, Lemmon E, Henderson D, Litwin C, Hsu AT, Schmidt AE, Arling G and Fernández J-L (2020) Mortality associated with COVID-19 in care homes: international evidence. Article in LTCcovid.org, International Long-Term Care Policy Network, CPEC-LSE, 14 October. (page 10, in text)</w:t>
            </w:r>
          </w:p>
        </w:tc>
      </w:tr>
      <w:tr w:rsidR="00D915A6" w:rsidRPr="00B507C6" w14:paraId="37A90F41" w14:textId="77777777" w:rsidTr="00B507C6">
        <w:tc>
          <w:tcPr>
            <w:tcW w:w="0" w:type="auto"/>
          </w:tcPr>
          <w:p w14:paraId="4712CF57" w14:textId="77777777" w:rsidR="00D915A6" w:rsidRPr="00B507C6" w:rsidRDefault="00D915A6">
            <w:pPr>
              <w:rPr>
                <w:rFonts w:ascii="Times New Roman" w:hAnsi="Times New Roman" w:cs="Times New Roman"/>
                <w:sz w:val="20"/>
                <w:szCs w:val="20"/>
              </w:rPr>
            </w:pPr>
          </w:p>
        </w:tc>
      </w:tr>
      <w:tr w:rsidR="007E5BFA" w:rsidRPr="00B507C6" w14:paraId="7C7B341E" w14:textId="77777777" w:rsidTr="00B507C6">
        <w:tc>
          <w:tcPr>
            <w:tcW w:w="0" w:type="auto"/>
          </w:tcPr>
          <w:p w14:paraId="79CB4ABB" w14:textId="7DAF1A08"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Iceland (Study: Gudbjartsson)</w:t>
            </w:r>
          </w:p>
        </w:tc>
      </w:tr>
      <w:tr w:rsidR="007E5BFA" w:rsidRPr="00B507C6" w14:paraId="13C7EE72" w14:textId="77777777" w:rsidTr="00B507C6">
        <w:tc>
          <w:tcPr>
            <w:tcW w:w="0" w:type="auto"/>
          </w:tcPr>
          <w:p w14:paraId="7EDFD740" w14:textId="6B02B05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 and https://www.ruv.is/frett/2020/04/20/annad-andlat-ur-covid-19-a-hjukrunarheimilinu-bergi (5 infected nursing home residents)</w:t>
            </w:r>
          </w:p>
        </w:tc>
      </w:tr>
      <w:tr w:rsidR="007E5BFA" w:rsidRPr="00B507C6" w14:paraId="777AB669" w14:textId="77777777" w:rsidTr="00B507C6">
        <w:tc>
          <w:tcPr>
            <w:tcW w:w="0" w:type="auto"/>
          </w:tcPr>
          <w:p w14:paraId="78133BE4" w14:textId="7146EA6B" w:rsidR="007E5BFA" w:rsidRPr="00B507C6" w:rsidRDefault="007E5BFA" w:rsidP="00AA3DDF">
            <w:pPr>
              <w:rPr>
                <w:rFonts w:ascii="Times New Roman" w:hAnsi="Times New Roman" w:cs="Times New Roman"/>
                <w:sz w:val="20"/>
                <w:szCs w:val="20"/>
              </w:rPr>
            </w:pPr>
            <w:r w:rsidRPr="00B507C6">
              <w:rPr>
                <w:rFonts w:ascii="Times New Roman" w:hAnsi="Times New Roman" w:cs="Times New Roman"/>
                <w:sz w:val="20"/>
                <w:szCs w:val="20"/>
              </w:rPr>
              <w:t xml:space="preserve">Age distribution of COVID-19 deaths: Webpage, https://www.covid.is/data-old (last updated: June </w:t>
            </w:r>
            <w:r w:rsidR="000831BD">
              <w:rPr>
                <w:rFonts w:ascii="Times New Roman" w:hAnsi="Times New Roman" w:cs="Times New Roman"/>
                <w:sz w:val="20"/>
                <w:szCs w:val="20"/>
              </w:rPr>
              <w:t>14, 2020; accessed: May 29, 2021</w:t>
            </w:r>
            <w:r w:rsidRPr="00B507C6">
              <w:rPr>
                <w:rFonts w:ascii="Times New Roman" w:hAnsi="Times New Roman" w:cs="Times New Roman"/>
                <w:sz w:val="20"/>
                <w:szCs w:val="20"/>
              </w:rPr>
              <w:t>)</w:t>
            </w:r>
          </w:p>
        </w:tc>
      </w:tr>
      <w:tr w:rsidR="007E5BFA" w:rsidRPr="00B507C6" w14:paraId="02F889FA" w14:textId="77777777" w:rsidTr="00B507C6">
        <w:tc>
          <w:tcPr>
            <w:tcW w:w="0" w:type="auto"/>
          </w:tcPr>
          <w:p w14:paraId="39B4CDAF" w14:textId="31E9468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Total number of deaths for the primary date: Webpage, https://www.covid.is/data-old (last updated: June </w:t>
            </w:r>
            <w:r w:rsidR="000831BD">
              <w:rPr>
                <w:rFonts w:ascii="Times New Roman" w:hAnsi="Times New Roman" w:cs="Times New Roman"/>
                <w:sz w:val="20"/>
                <w:szCs w:val="20"/>
              </w:rPr>
              <w:t>14, 2020; accessed: May 29, 2021</w:t>
            </w:r>
            <w:r w:rsidRPr="00B507C6">
              <w:rPr>
                <w:rFonts w:ascii="Times New Roman" w:hAnsi="Times New Roman" w:cs="Times New Roman"/>
                <w:sz w:val="20"/>
                <w:szCs w:val="20"/>
              </w:rPr>
              <w:t>)</w:t>
            </w:r>
          </w:p>
        </w:tc>
      </w:tr>
      <w:tr w:rsidR="007E5BFA" w:rsidRPr="00B507C6" w14:paraId="5D610FF3" w14:textId="77777777" w:rsidTr="00B507C6">
        <w:tc>
          <w:tcPr>
            <w:tcW w:w="0" w:type="auto"/>
          </w:tcPr>
          <w:p w14:paraId="13D1E8DB" w14:textId="0341A94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Wikipedia</w:t>
            </w:r>
          </w:p>
        </w:tc>
      </w:tr>
      <w:tr w:rsidR="007E5BFA" w:rsidRPr="00B507C6" w14:paraId="52D0D697" w14:textId="77777777" w:rsidTr="00B507C6">
        <w:tc>
          <w:tcPr>
            <w:tcW w:w="0" w:type="auto"/>
          </w:tcPr>
          <w:p w14:paraId="6FADCF17" w14:textId="692BBDA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5CBF3022" w14:textId="77777777" w:rsidTr="00B507C6">
        <w:tc>
          <w:tcPr>
            <w:tcW w:w="0" w:type="auto"/>
          </w:tcPr>
          <w:p w14:paraId="30C53FE4" w14:textId="5FD19C5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populationpyramid.net</w:t>
            </w:r>
          </w:p>
        </w:tc>
      </w:tr>
      <w:tr w:rsidR="007E5BFA" w:rsidRPr="00B507C6" w14:paraId="68A1C8F6" w14:textId="77777777" w:rsidTr="00B507C6">
        <w:tc>
          <w:tcPr>
            <w:tcW w:w="0" w:type="auto"/>
          </w:tcPr>
          <w:p w14:paraId="21684075" w14:textId="71E5839F" w:rsidR="007E5BFA" w:rsidRPr="00B507C6" w:rsidRDefault="007E5BFA" w:rsidP="007552FE">
            <w:pPr>
              <w:rPr>
                <w:rFonts w:ascii="Times New Roman" w:hAnsi="Times New Roman" w:cs="Times New Roman"/>
                <w:sz w:val="20"/>
                <w:szCs w:val="20"/>
              </w:rPr>
            </w:pPr>
            <w:r w:rsidRPr="00B507C6">
              <w:rPr>
                <w:rFonts w:ascii="Times New Roman" w:hAnsi="Times New Roman" w:cs="Times New Roman"/>
                <w:sz w:val="20"/>
                <w:szCs w:val="20"/>
              </w:rPr>
              <w:t>Population in nursing homes: Dataset "Occupants of retirement homes and nursing homes and wards by type of institution 1993-2010" (selection: 2010, In nursing homes) retrieved from https://px.hagstofa.is/pxen/pxweb/en/Samfelag/Samfelag__felagsmal__aldradir/HEI03004.px</w:t>
            </w:r>
          </w:p>
        </w:tc>
      </w:tr>
      <w:tr w:rsidR="007E5BFA" w:rsidRPr="00B507C6" w14:paraId="0680998A" w14:textId="77777777" w:rsidTr="00B507C6">
        <w:tc>
          <w:tcPr>
            <w:tcW w:w="0" w:type="auto"/>
          </w:tcPr>
          <w:p w14:paraId="21A7613B" w14:textId="7777777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3D09138C" w14:textId="77777777" w:rsidTr="00B507C6">
        <w:tc>
          <w:tcPr>
            <w:tcW w:w="0" w:type="auto"/>
          </w:tcPr>
          <w:p w14:paraId="71004E58" w14:textId="7AEFDBD5"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w:t>
            </w:r>
          </w:p>
          <w:p w14:paraId="5ED17449" w14:textId="41C53350" w:rsidR="00A743FD" w:rsidRDefault="00A743FD" w:rsidP="006F5853">
            <w:pPr>
              <w:rPr>
                <w:rFonts w:ascii="Times New Roman" w:hAnsi="Times New Roman" w:cs="Times New Roman"/>
                <w:sz w:val="20"/>
                <w:szCs w:val="20"/>
              </w:rPr>
            </w:pPr>
            <w:r>
              <w:rPr>
                <w:rFonts w:ascii="Times New Roman" w:hAnsi="Times New Roman" w:cs="Times New Roman"/>
                <w:sz w:val="20"/>
                <w:szCs w:val="20"/>
              </w:rPr>
              <w:t>The seroprevalence study</w:t>
            </w:r>
            <w:r w:rsidR="00013D47">
              <w:rPr>
                <w:rFonts w:ascii="Times New Roman" w:hAnsi="Times New Roman" w:cs="Times New Roman"/>
                <w:sz w:val="20"/>
                <w:szCs w:val="20"/>
              </w:rPr>
              <w:t xml:space="preserve"> </w:t>
            </w:r>
            <w:r w:rsidR="00013D47" w:rsidRPr="00013D47">
              <w:rPr>
                <w:rFonts w:ascii="Times New Roman" w:hAnsi="Times New Roman" w:cs="Times New Roman"/>
                <w:sz w:val="20"/>
                <w:szCs w:val="20"/>
              </w:rPr>
              <w:t>excluded previously COVID-19-diagnosed persons, and</w:t>
            </w:r>
            <w:r>
              <w:rPr>
                <w:rFonts w:ascii="Times New Roman" w:hAnsi="Times New Roman" w:cs="Times New Roman"/>
                <w:sz w:val="20"/>
                <w:szCs w:val="20"/>
              </w:rPr>
              <w:t xml:space="preserve"> </w:t>
            </w:r>
            <w:r w:rsidR="00013D47">
              <w:rPr>
                <w:rFonts w:ascii="Times New Roman" w:hAnsi="Times New Roman" w:cs="Times New Roman"/>
                <w:sz w:val="20"/>
                <w:szCs w:val="20"/>
              </w:rPr>
              <w:t>presents prevalence based on</w:t>
            </w:r>
            <w:r w:rsidR="00013D47" w:rsidRPr="00A743FD">
              <w:rPr>
                <w:rFonts w:ascii="Times New Roman" w:hAnsi="Times New Roman" w:cs="Times New Roman"/>
                <w:sz w:val="20"/>
                <w:szCs w:val="20"/>
              </w:rPr>
              <w:t xml:space="preserve"> </w:t>
            </w:r>
            <w:r w:rsidRPr="00A743FD">
              <w:rPr>
                <w:rFonts w:ascii="Times New Roman" w:hAnsi="Times New Roman" w:cs="Times New Roman"/>
                <w:sz w:val="20"/>
                <w:szCs w:val="20"/>
              </w:rPr>
              <w:t>antibody tests</w:t>
            </w:r>
            <w:r>
              <w:rPr>
                <w:rFonts w:ascii="Times New Roman" w:hAnsi="Times New Roman" w:cs="Times New Roman"/>
                <w:sz w:val="20"/>
                <w:szCs w:val="20"/>
              </w:rPr>
              <w:t xml:space="preserve"> </w:t>
            </w:r>
            <w:r w:rsidR="00013D47">
              <w:rPr>
                <w:rFonts w:ascii="Times New Roman" w:hAnsi="Times New Roman" w:cs="Times New Roman"/>
                <w:sz w:val="20"/>
                <w:szCs w:val="20"/>
              </w:rPr>
              <w:t xml:space="preserve">and </w:t>
            </w:r>
            <w:r>
              <w:rPr>
                <w:rFonts w:ascii="Times New Roman" w:hAnsi="Times New Roman" w:cs="Times New Roman"/>
                <w:sz w:val="20"/>
                <w:szCs w:val="20"/>
              </w:rPr>
              <w:t xml:space="preserve">PCR </w:t>
            </w:r>
            <w:r w:rsidR="00013D47">
              <w:rPr>
                <w:rFonts w:ascii="Times New Roman" w:hAnsi="Times New Roman" w:cs="Times New Roman"/>
                <w:sz w:val="20"/>
                <w:szCs w:val="20"/>
              </w:rPr>
              <w:t>tests</w:t>
            </w:r>
            <w:r w:rsidRPr="00A743FD">
              <w:rPr>
                <w:rFonts w:ascii="Times New Roman" w:hAnsi="Times New Roman" w:cs="Times New Roman"/>
                <w:sz w:val="20"/>
                <w:szCs w:val="20"/>
              </w:rPr>
              <w:t xml:space="preserve">. The estimate given is the number of infected Icelanders </w:t>
            </w:r>
            <w:r w:rsidR="00013D47">
              <w:rPr>
                <w:rFonts w:ascii="Times New Roman" w:hAnsi="Times New Roman" w:cs="Times New Roman"/>
                <w:sz w:val="20"/>
                <w:szCs w:val="20"/>
              </w:rPr>
              <w:t xml:space="preserve">of age </w:t>
            </w:r>
            <w:r w:rsidRPr="00A743FD">
              <w:rPr>
                <w:rFonts w:ascii="Times New Roman" w:hAnsi="Times New Roman" w:cs="Times New Roman"/>
                <w:sz w:val="20"/>
                <w:szCs w:val="20"/>
              </w:rPr>
              <w:t>70+ (</w:t>
            </w:r>
            <w:r w:rsidR="00013D47">
              <w:rPr>
                <w:rFonts w:ascii="Times New Roman" w:hAnsi="Times New Roman" w:cs="Times New Roman"/>
                <w:sz w:val="20"/>
                <w:szCs w:val="20"/>
              </w:rPr>
              <w:t xml:space="preserve">i.e., the absolute number, </w:t>
            </w:r>
            <w:r w:rsidRPr="00A743FD">
              <w:rPr>
                <w:rFonts w:ascii="Times New Roman" w:hAnsi="Times New Roman" w:cs="Times New Roman"/>
                <w:sz w:val="20"/>
                <w:szCs w:val="20"/>
              </w:rPr>
              <w:t xml:space="preserve">not seroprevalence), Table S7 (n=165.4). In the calculations to follow, we subtract 5 infections in nursing homes, see website source. </w:t>
            </w:r>
            <w:r w:rsidR="00013D47">
              <w:rPr>
                <w:rFonts w:ascii="Times New Roman" w:hAnsi="Times New Roman" w:cs="Times New Roman"/>
                <w:sz w:val="20"/>
                <w:szCs w:val="20"/>
              </w:rPr>
              <w:t>Gudbjartsson’s</w:t>
            </w:r>
            <w:r w:rsidR="00013D47" w:rsidRPr="00A743FD">
              <w:rPr>
                <w:rFonts w:ascii="Times New Roman" w:hAnsi="Times New Roman" w:cs="Times New Roman"/>
                <w:sz w:val="20"/>
                <w:szCs w:val="20"/>
              </w:rPr>
              <w:t xml:space="preserve"> </w:t>
            </w:r>
            <w:r w:rsidR="0013568F">
              <w:rPr>
                <w:rFonts w:ascii="Times New Roman" w:hAnsi="Times New Roman" w:cs="Times New Roman"/>
                <w:sz w:val="20"/>
                <w:szCs w:val="20"/>
              </w:rPr>
              <w:t xml:space="preserve">estimated </w:t>
            </w:r>
            <w:r w:rsidRPr="00A743FD">
              <w:rPr>
                <w:rFonts w:ascii="Times New Roman" w:hAnsi="Times New Roman" w:cs="Times New Roman"/>
                <w:sz w:val="20"/>
                <w:szCs w:val="20"/>
              </w:rPr>
              <w:t>IFR is 4.4% (1.9%, 8.3%).</w:t>
            </w:r>
            <w:r w:rsidR="0013568F">
              <w:rPr>
                <w:rFonts w:ascii="Times New Roman" w:hAnsi="Times New Roman" w:cs="Times New Roman"/>
                <w:sz w:val="20"/>
                <w:szCs w:val="20"/>
              </w:rPr>
              <w:t xml:space="preserve"> Since no confidence intervals are given for the number of infected persons (or seroprevalence), their confidence intervals for IFR are used in Figure 1.</w:t>
            </w:r>
          </w:p>
          <w:p w14:paraId="0E8EF51D" w14:textId="7A20AD9D" w:rsidR="00A743FD" w:rsidRPr="00B507C6" w:rsidRDefault="00A743FD" w:rsidP="006F5853">
            <w:pPr>
              <w:rPr>
                <w:rFonts w:ascii="Times New Roman" w:hAnsi="Times New Roman" w:cs="Times New Roman"/>
                <w:sz w:val="20"/>
                <w:szCs w:val="20"/>
              </w:rPr>
            </w:pPr>
            <w:r w:rsidRPr="00A743FD">
              <w:rPr>
                <w:rFonts w:ascii="Times New Roman" w:hAnsi="Times New Roman" w:cs="Times New Roman"/>
                <w:sz w:val="20"/>
                <w:szCs w:val="20"/>
              </w:rPr>
              <w:t>Mortality peak date is</w:t>
            </w:r>
            <w:r w:rsidR="003E29CD">
              <w:rPr>
                <w:rFonts w:ascii="Times New Roman" w:hAnsi="Times New Roman" w:cs="Times New Roman"/>
                <w:sz w:val="20"/>
                <w:szCs w:val="20"/>
              </w:rPr>
              <w:t xml:space="preserve"> the</w:t>
            </w:r>
            <w:r w:rsidRPr="00A743FD">
              <w:rPr>
                <w:rFonts w:ascii="Times New Roman" w:hAnsi="Times New Roman" w:cs="Times New Roman"/>
                <w:sz w:val="20"/>
                <w:szCs w:val="20"/>
              </w:rPr>
              <w:t xml:space="preserve"> midpoint between March 27 and April 23.</w:t>
            </w:r>
          </w:p>
        </w:tc>
      </w:tr>
      <w:tr w:rsidR="007E5BFA" w:rsidRPr="00B507C6" w14:paraId="379A526B" w14:textId="77777777" w:rsidTr="00B507C6">
        <w:tc>
          <w:tcPr>
            <w:tcW w:w="0" w:type="auto"/>
          </w:tcPr>
          <w:p w14:paraId="0E50956F" w14:textId="77777777" w:rsidR="007E5BFA" w:rsidRPr="00B507C6" w:rsidRDefault="007E5BFA">
            <w:pPr>
              <w:rPr>
                <w:rFonts w:ascii="Times New Roman" w:hAnsi="Times New Roman" w:cs="Times New Roman"/>
                <w:sz w:val="20"/>
                <w:szCs w:val="20"/>
              </w:rPr>
            </w:pPr>
          </w:p>
        </w:tc>
      </w:tr>
      <w:tr w:rsidR="007E5BFA" w:rsidRPr="00B507C6" w14:paraId="559EA123" w14:textId="77777777" w:rsidTr="00B507C6">
        <w:tc>
          <w:tcPr>
            <w:tcW w:w="0" w:type="auto"/>
          </w:tcPr>
          <w:p w14:paraId="730CB136" w14:textId="75631B2B"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India (Study: Murhekar)</w:t>
            </w:r>
          </w:p>
        </w:tc>
      </w:tr>
      <w:tr w:rsidR="007E5BFA" w:rsidRPr="00B507C6" w14:paraId="2434C120" w14:textId="77777777" w:rsidTr="00B507C6">
        <w:tc>
          <w:tcPr>
            <w:tcW w:w="0" w:type="auto"/>
          </w:tcPr>
          <w:p w14:paraId="44EA7B0E" w14:textId="41648FE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6F56E41E" w14:textId="77777777" w:rsidTr="00B507C6">
        <w:tc>
          <w:tcPr>
            <w:tcW w:w="0" w:type="auto"/>
          </w:tcPr>
          <w:p w14:paraId="16E1BF2C" w14:textId="3FFBDCA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Age distribution of COVID-19 deaths: </w:t>
            </w:r>
            <w:r w:rsidR="00D3156E" w:rsidRPr="00D3156E">
              <w:rPr>
                <w:rFonts w:ascii="Times New Roman" w:hAnsi="Times New Roman" w:cs="Times New Roman"/>
                <w:sz w:val="20"/>
                <w:szCs w:val="20"/>
              </w:rPr>
              <w:t>Press conference by India's health secretary October 13, referenced at https://science.thewire.in/health/india-covid-19-mortality-comorbidities-age-health-ministry/</w:t>
            </w:r>
          </w:p>
        </w:tc>
      </w:tr>
      <w:tr w:rsidR="007E5BFA" w:rsidRPr="00B507C6" w14:paraId="37C42B20" w14:textId="77777777" w:rsidTr="00B507C6">
        <w:tc>
          <w:tcPr>
            <w:tcW w:w="0" w:type="auto"/>
          </w:tcPr>
          <w:p w14:paraId="737A3713" w14:textId="1CF50B7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Worldometers.info</w:t>
            </w:r>
            <w:r w:rsidR="00863F46">
              <w:rPr>
                <w:rFonts w:ascii="Times New Roman" w:hAnsi="Times New Roman" w:cs="Times New Roman"/>
                <w:sz w:val="20"/>
                <w:szCs w:val="20"/>
              </w:rPr>
              <w:t xml:space="preserve"> (accessed June 1, 2021)</w:t>
            </w:r>
          </w:p>
        </w:tc>
      </w:tr>
      <w:tr w:rsidR="007E5BFA" w:rsidRPr="00B507C6" w14:paraId="74D564B6" w14:textId="77777777" w:rsidTr="00B507C6">
        <w:tc>
          <w:tcPr>
            <w:tcW w:w="0" w:type="auto"/>
          </w:tcPr>
          <w:p w14:paraId="7BB74908" w14:textId="5CACC07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Unavailable, imputed</w:t>
            </w:r>
          </w:p>
        </w:tc>
      </w:tr>
      <w:tr w:rsidR="007E5BFA" w:rsidRPr="00B507C6" w14:paraId="7FDFBC68" w14:textId="77777777" w:rsidTr="00B507C6">
        <w:tc>
          <w:tcPr>
            <w:tcW w:w="0" w:type="auto"/>
          </w:tcPr>
          <w:p w14:paraId="3985862A" w14:textId="5E959BF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6AEC4BB1" w14:textId="77777777" w:rsidTr="00B507C6">
        <w:tc>
          <w:tcPr>
            <w:tcW w:w="0" w:type="auto"/>
          </w:tcPr>
          <w:p w14:paraId="454BDC70" w14:textId="112AA38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populationpyramid.net</w:t>
            </w:r>
          </w:p>
        </w:tc>
      </w:tr>
      <w:tr w:rsidR="007E5BFA" w:rsidRPr="00B507C6" w14:paraId="64E57B1B" w14:textId="77777777" w:rsidTr="00B507C6">
        <w:tc>
          <w:tcPr>
            <w:tcW w:w="0" w:type="auto"/>
          </w:tcPr>
          <w:p w14:paraId="7271FB38" w14:textId="454E664B" w:rsidR="007E5BFA" w:rsidRPr="00B507C6" w:rsidRDefault="007E5BFA" w:rsidP="00800EAF">
            <w:pPr>
              <w:rPr>
                <w:rFonts w:ascii="Times New Roman" w:hAnsi="Times New Roman" w:cs="Times New Roman"/>
                <w:sz w:val="20"/>
                <w:szCs w:val="20"/>
              </w:rPr>
            </w:pPr>
            <w:r w:rsidRPr="00B507C6">
              <w:rPr>
                <w:rFonts w:ascii="Times New Roman" w:hAnsi="Times New Roman" w:cs="Times New Roman"/>
                <w:sz w:val="20"/>
                <w:szCs w:val="20"/>
              </w:rPr>
              <w:t xml:space="preserve">Population in nursing homes: </w:t>
            </w:r>
            <w:r w:rsidR="00800EAF">
              <w:rPr>
                <w:rFonts w:ascii="Times New Roman" w:hAnsi="Times New Roman" w:cs="Times New Roman"/>
                <w:sz w:val="20"/>
                <w:szCs w:val="20"/>
              </w:rPr>
              <w:t>“</w:t>
            </w:r>
            <w:r w:rsidR="006E410F">
              <w:rPr>
                <w:rFonts w:ascii="Times New Roman" w:hAnsi="Times New Roman" w:cs="Times New Roman"/>
                <w:sz w:val="20"/>
                <w:szCs w:val="20"/>
              </w:rPr>
              <w:t xml:space="preserve">Report </w:t>
            </w:r>
            <w:r w:rsidR="00800EAF">
              <w:rPr>
                <w:rFonts w:ascii="Times New Roman" w:hAnsi="Times New Roman" w:cs="Times New Roman"/>
                <w:sz w:val="20"/>
                <w:szCs w:val="20"/>
              </w:rPr>
              <w:t xml:space="preserve">on old age facilities in India”, </w:t>
            </w:r>
            <w:r w:rsidR="006E410F">
              <w:rPr>
                <w:rFonts w:ascii="Times New Roman" w:hAnsi="Times New Roman" w:cs="Times New Roman"/>
                <w:sz w:val="20"/>
                <w:szCs w:val="20"/>
              </w:rPr>
              <w:t>Tata Trusts, Samarth, and United Nations Population Fund</w:t>
            </w:r>
            <w:r w:rsidR="0093768C">
              <w:rPr>
                <w:rFonts w:ascii="Times New Roman" w:hAnsi="Times New Roman" w:cs="Times New Roman"/>
                <w:sz w:val="20"/>
                <w:szCs w:val="20"/>
              </w:rPr>
              <w:t xml:space="preserve"> (2018)</w:t>
            </w:r>
            <w:r w:rsidR="006E410F">
              <w:rPr>
                <w:rFonts w:ascii="Times New Roman" w:hAnsi="Times New Roman" w:cs="Times New Roman"/>
                <w:sz w:val="20"/>
                <w:szCs w:val="20"/>
              </w:rPr>
              <w:t xml:space="preserve">, retrieved from </w:t>
            </w:r>
            <w:r w:rsidR="006E410F" w:rsidRPr="006E410F">
              <w:rPr>
                <w:rFonts w:ascii="Times New Roman" w:hAnsi="Times New Roman" w:cs="Times New Roman"/>
                <w:sz w:val="20"/>
                <w:szCs w:val="20"/>
              </w:rPr>
              <w:t>https://www.tatatrusts.org/upload/pdf/report-on-old-age-facilities-in-india.pdf</w:t>
            </w:r>
          </w:p>
        </w:tc>
      </w:tr>
      <w:tr w:rsidR="007E5BFA" w:rsidRPr="00B507C6" w14:paraId="6242F163" w14:textId="77777777" w:rsidTr="00B507C6">
        <w:tc>
          <w:tcPr>
            <w:tcW w:w="0" w:type="auto"/>
          </w:tcPr>
          <w:p w14:paraId="49B1AE77" w14:textId="77777777" w:rsidR="007E5BFA" w:rsidRPr="00B507C6" w:rsidRDefault="007E5BFA">
            <w:pPr>
              <w:rPr>
                <w:rFonts w:ascii="Times New Roman" w:hAnsi="Times New Roman" w:cs="Times New Roman"/>
                <w:sz w:val="20"/>
                <w:szCs w:val="20"/>
              </w:rPr>
            </w:pPr>
          </w:p>
        </w:tc>
      </w:tr>
      <w:tr w:rsidR="007E5BFA" w:rsidRPr="00B507C6" w14:paraId="6FFF06D7" w14:textId="77777777" w:rsidTr="00B507C6">
        <w:tc>
          <w:tcPr>
            <w:tcW w:w="0" w:type="auto"/>
          </w:tcPr>
          <w:p w14:paraId="777CDDBB" w14:textId="7C022F4F"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India [Tamil Nadu] (Study: Malani)</w:t>
            </w:r>
          </w:p>
        </w:tc>
      </w:tr>
      <w:tr w:rsidR="007E5BFA" w:rsidRPr="00B507C6" w14:paraId="46AFADDE" w14:textId="77777777" w:rsidTr="00B507C6">
        <w:tc>
          <w:tcPr>
            <w:tcW w:w="0" w:type="auto"/>
          </w:tcPr>
          <w:p w14:paraId="78D6CB86" w14:textId="094C0F8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5061C8BA" w14:textId="77777777" w:rsidTr="00B507C6">
        <w:tc>
          <w:tcPr>
            <w:tcW w:w="0" w:type="auto"/>
          </w:tcPr>
          <w:p w14:paraId="5CAE02A6" w14:textId="35B5DA9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Seroprevalence study</w:t>
            </w:r>
          </w:p>
        </w:tc>
      </w:tr>
      <w:tr w:rsidR="007E5BFA" w:rsidRPr="00B507C6" w14:paraId="03A4D0CA" w14:textId="77777777" w:rsidTr="00B507C6">
        <w:tc>
          <w:tcPr>
            <w:tcW w:w="0" w:type="auto"/>
          </w:tcPr>
          <w:p w14:paraId="525E6741" w14:textId="4783A89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Seroprevalence study</w:t>
            </w:r>
          </w:p>
        </w:tc>
      </w:tr>
      <w:tr w:rsidR="007E5BFA" w:rsidRPr="00B507C6" w14:paraId="5BCBA1EA" w14:textId="77777777" w:rsidTr="00B507C6">
        <w:tc>
          <w:tcPr>
            <w:tcW w:w="0" w:type="auto"/>
          </w:tcPr>
          <w:p w14:paraId="64EA9A77" w14:textId="66591F6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Unavailable, imputed</w:t>
            </w:r>
          </w:p>
        </w:tc>
      </w:tr>
      <w:tr w:rsidR="007E5BFA" w:rsidRPr="00B507C6" w14:paraId="5E65A3B0" w14:textId="77777777" w:rsidTr="00B507C6">
        <w:tc>
          <w:tcPr>
            <w:tcW w:w="0" w:type="auto"/>
          </w:tcPr>
          <w:p w14:paraId="2E0F678C" w14:textId="6DDF5EDA"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Wikipedia</w:t>
            </w:r>
          </w:p>
        </w:tc>
      </w:tr>
      <w:tr w:rsidR="007E5BFA" w:rsidRPr="00B507C6" w14:paraId="5EC76959" w14:textId="77777777" w:rsidTr="00B507C6">
        <w:tc>
          <w:tcPr>
            <w:tcW w:w="0" w:type="auto"/>
          </w:tcPr>
          <w:p w14:paraId="7C458A06" w14:textId="5F017BA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Seroprevalence study (Census 2011)</w:t>
            </w:r>
          </w:p>
        </w:tc>
      </w:tr>
      <w:tr w:rsidR="007E5BFA" w:rsidRPr="00B507C6" w14:paraId="086CDBC1" w14:textId="77777777" w:rsidTr="00B507C6">
        <w:tc>
          <w:tcPr>
            <w:tcW w:w="0" w:type="auto"/>
          </w:tcPr>
          <w:p w14:paraId="72918719" w14:textId="737E526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Population in nursing homes: </w:t>
            </w:r>
            <w:r w:rsidR="002C2D39">
              <w:rPr>
                <w:rFonts w:ascii="Times New Roman" w:hAnsi="Times New Roman" w:cs="Times New Roman"/>
                <w:sz w:val="20"/>
                <w:szCs w:val="20"/>
              </w:rPr>
              <w:t xml:space="preserve">“Report on old age facilities in India”, Tata Trusts, Samarth, and United Nations Population Fund (2018), retrieved from </w:t>
            </w:r>
            <w:r w:rsidR="002C2D39" w:rsidRPr="00973F28">
              <w:rPr>
                <w:rFonts w:ascii="Times New Roman" w:hAnsi="Times New Roman" w:cs="Times New Roman"/>
                <w:sz w:val="20"/>
                <w:szCs w:val="20"/>
              </w:rPr>
              <w:t>https://www.tatatrusts.org/upload/pdf/report-on-old-age-facilities-in-india.pdf</w:t>
            </w:r>
            <w:r w:rsidR="00973F28">
              <w:rPr>
                <w:rFonts w:ascii="Times New Roman" w:hAnsi="Times New Roman" w:cs="Times New Roman"/>
                <w:sz w:val="20"/>
                <w:szCs w:val="20"/>
              </w:rPr>
              <w:t xml:space="preserve"> </w:t>
            </w:r>
            <w:r w:rsidR="002C2D39">
              <w:rPr>
                <w:rFonts w:ascii="Times New Roman" w:hAnsi="Times New Roman" w:cs="Times New Roman"/>
                <w:sz w:val="20"/>
                <w:szCs w:val="20"/>
              </w:rPr>
              <w:t>(proportion in India applied to population in Tamil Nadu)</w:t>
            </w:r>
          </w:p>
        </w:tc>
      </w:tr>
      <w:tr w:rsidR="007E5BFA" w:rsidRPr="00B507C6" w14:paraId="64552DE9" w14:textId="77777777" w:rsidTr="00B507C6">
        <w:tc>
          <w:tcPr>
            <w:tcW w:w="0" w:type="auto"/>
          </w:tcPr>
          <w:p w14:paraId="533726B9" w14:textId="7777777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3D59899F" w14:textId="77777777" w:rsidTr="00B507C6">
        <w:tc>
          <w:tcPr>
            <w:tcW w:w="0" w:type="auto"/>
          </w:tcPr>
          <w:p w14:paraId="4AA8C26B" w14:textId="77777777"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w:t>
            </w:r>
          </w:p>
          <w:p w14:paraId="32CF3743" w14:textId="58A053BF" w:rsidR="000A395A" w:rsidRPr="00B507C6" w:rsidRDefault="000A395A" w:rsidP="006F5853">
            <w:pPr>
              <w:rPr>
                <w:rFonts w:ascii="Times New Roman" w:hAnsi="Times New Roman" w:cs="Times New Roman"/>
                <w:sz w:val="20"/>
                <w:szCs w:val="20"/>
              </w:rPr>
            </w:pPr>
            <w:r w:rsidRPr="000A395A">
              <w:rPr>
                <w:rFonts w:ascii="Times New Roman" w:hAnsi="Times New Roman" w:cs="Times New Roman"/>
                <w:sz w:val="20"/>
                <w:szCs w:val="20"/>
              </w:rPr>
              <w:t xml:space="preserve">Mortality peak is </w:t>
            </w:r>
            <w:r w:rsidR="00ED79D1">
              <w:rPr>
                <w:rFonts w:ascii="Times New Roman" w:hAnsi="Times New Roman" w:cs="Times New Roman"/>
                <w:sz w:val="20"/>
                <w:szCs w:val="20"/>
              </w:rPr>
              <w:t xml:space="preserve">the </w:t>
            </w:r>
            <w:r w:rsidRPr="000A395A">
              <w:rPr>
                <w:rFonts w:ascii="Times New Roman" w:hAnsi="Times New Roman" w:cs="Times New Roman"/>
                <w:sz w:val="20"/>
                <w:szCs w:val="20"/>
              </w:rPr>
              <w:t>midpoint of Sept 15</w:t>
            </w:r>
            <w:r w:rsidR="00ED79D1">
              <w:rPr>
                <w:rFonts w:ascii="Times New Roman" w:hAnsi="Times New Roman" w:cs="Times New Roman"/>
                <w:sz w:val="20"/>
                <w:szCs w:val="20"/>
              </w:rPr>
              <w:t>, 2020,</w:t>
            </w:r>
            <w:r w:rsidRPr="000A395A">
              <w:rPr>
                <w:rFonts w:ascii="Times New Roman" w:hAnsi="Times New Roman" w:cs="Times New Roman"/>
                <w:sz w:val="20"/>
                <w:szCs w:val="20"/>
              </w:rPr>
              <w:t xml:space="preserve"> and Sept 19</w:t>
            </w:r>
            <w:r w:rsidR="00ED79D1">
              <w:rPr>
                <w:rFonts w:ascii="Times New Roman" w:hAnsi="Times New Roman" w:cs="Times New Roman"/>
                <w:sz w:val="20"/>
                <w:szCs w:val="20"/>
              </w:rPr>
              <w:t>, 2020.</w:t>
            </w:r>
          </w:p>
        </w:tc>
      </w:tr>
      <w:tr w:rsidR="00A96657" w:rsidRPr="00B507C6" w14:paraId="50088810" w14:textId="77777777" w:rsidTr="00723FA2">
        <w:tc>
          <w:tcPr>
            <w:tcW w:w="0" w:type="auto"/>
          </w:tcPr>
          <w:p w14:paraId="6278D176" w14:textId="77777777" w:rsidR="00A96657" w:rsidRPr="00B507C6" w:rsidRDefault="00A96657" w:rsidP="00723FA2">
            <w:pPr>
              <w:rPr>
                <w:rFonts w:ascii="Times New Roman" w:hAnsi="Times New Roman" w:cs="Times New Roman"/>
                <w:sz w:val="20"/>
                <w:szCs w:val="20"/>
              </w:rPr>
            </w:pPr>
          </w:p>
        </w:tc>
      </w:tr>
      <w:tr w:rsidR="00A96657" w:rsidRPr="00B507C6" w14:paraId="4FCDF033" w14:textId="77777777" w:rsidTr="00723FA2">
        <w:tc>
          <w:tcPr>
            <w:tcW w:w="0" w:type="auto"/>
          </w:tcPr>
          <w:p w14:paraId="7258B2BD" w14:textId="77777777" w:rsidR="00A96657" w:rsidRPr="00D915A6" w:rsidRDefault="00A96657" w:rsidP="00723FA2">
            <w:pPr>
              <w:rPr>
                <w:rFonts w:ascii="Times New Roman" w:hAnsi="Times New Roman" w:cs="Times New Roman"/>
                <w:b/>
                <w:sz w:val="20"/>
                <w:szCs w:val="20"/>
              </w:rPr>
            </w:pPr>
            <w:r>
              <w:rPr>
                <w:rFonts w:ascii="Times New Roman" w:hAnsi="Times New Roman" w:cs="Times New Roman"/>
                <w:b/>
                <w:sz w:val="20"/>
                <w:szCs w:val="20"/>
              </w:rPr>
              <w:t>Italy (Study: Istat)</w:t>
            </w:r>
          </w:p>
        </w:tc>
      </w:tr>
      <w:tr w:rsidR="00A96657" w:rsidRPr="00B507C6" w14:paraId="3FAC179D" w14:textId="77777777" w:rsidTr="00723FA2">
        <w:tc>
          <w:tcPr>
            <w:tcW w:w="0" w:type="auto"/>
          </w:tcPr>
          <w:p w14:paraId="2A84B1F7" w14:textId="77777777" w:rsidR="00A96657" w:rsidRPr="00B507C6" w:rsidRDefault="00A96657" w:rsidP="00723FA2">
            <w:pPr>
              <w:rPr>
                <w:rFonts w:ascii="Times New Roman" w:hAnsi="Times New Roman" w:cs="Times New Roman"/>
                <w:sz w:val="20"/>
                <w:szCs w:val="20"/>
              </w:rPr>
            </w:pPr>
            <w:r>
              <w:rPr>
                <w:rFonts w:ascii="Times New Roman" w:hAnsi="Times New Roman" w:cs="Times New Roman"/>
                <w:sz w:val="20"/>
                <w:szCs w:val="20"/>
              </w:rPr>
              <w:t>Seroprevalence information: Seroprevalence study</w:t>
            </w:r>
          </w:p>
        </w:tc>
      </w:tr>
      <w:tr w:rsidR="00A96657" w:rsidRPr="00B507C6" w14:paraId="10C71D2C" w14:textId="77777777" w:rsidTr="00723FA2">
        <w:tc>
          <w:tcPr>
            <w:tcW w:w="0" w:type="auto"/>
          </w:tcPr>
          <w:p w14:paraId="4812B56E" w14:textId="77777777" w:rsidR="00A96657" w:rsidRPr="00B507C6" w:rsidRDefault="00A96657" w:rsidP="00723FA2">
            <w:pPr>
              <w:rPr>
                <w:rFonts w:ascii="Times New Roman" w:hAnsi="Times New Roman" w:cs="Times New Roman"/>
                <w:sz w:val="20"/>
                <w:szCs w:val="20"/>
              </w:rPr>
            </w:pPr>
            <w:r>
              <w:rPr>
                <w:rFonts w:ascii="Times New Roman" w:hAnsi="Times New Roman" w:cs="Times New Roman"/>
                <w:sz w:val="20"/>
                <w:szCs w:val="20"/>
              </w:rPr>
              <w:lastRenderedPageBreak/>
              <w:t xml:space="preserve">Age distribution of COVID-19 deaths: </w:t>
            </w:r>
            <w:r w:rsidRPr="00307C89">
              <w:rPr>
                <w:rFonts w:ascii="Times New Roman" w:hAnsi="Times New Roman" w:cs="Times New Roman"/>
                <w:sz w:val="20"/>
                <w:szCs w:val="20"/>
              </w:rPr>
              <w:t>Epidemia COVID-19</w:t>
            </w:r>
            <w:r>
              <w:rPr>
                <w:rFonts w:ascii="Times New Roman" w:hAnsi="Times New Roman" w:cs="Times New Roman"/>
                <w:sz w:val="20"/>
                <w:szCs w:val="20"/>
              </w:rPr>
              <w:t xml:space="preserve">, </w:t>
            </w:r>
            <w:r w:rsidRPr="00307C89">
              <w:rPr>
                <w:rFonts w:ascii="Times New Roman" w:hAnsi="Times New Roman" w:cs="Times New Roman"/>
                <w:sz w:val="20"/>
                <w:szCs w:val="20"/>
              </w:rPr>
              <w:t>Aggiornamento nazionale</w:t>
            </w:r>
            <w:r>
              <w:rPr>
                <w:rFonts w:ascii="Times New Roman" w:hAnsi="Times New Roman" w:cs="Times New Roman"/>
                <w:sz w:val="20"/>
                <w:szCs w:val="20"/>
              </w:rPr>
              <w:t xml:space="preserve">, </w:t>
            </w:r>
            <w:r w:rsidRPr="00307C89">
              <w:rPr>
                <w:rFonts w:ascii="Times New Roman" w:hAnsi="Times New Roman" w:cs="Times New Roman"/>
                <w:sz w:val="20"/>
                <w:szCs w:val="20"/>
              </w:rPr>
              <w:t>23 giugno 2020 – ore 11:00</w:t>
            </w:r>
            <w:r>
              <w:rPr>
                <w:rFonts w:ascii="Times New Roman" w:hAnsi="Times New Roman" w:cs="Times New Roman"/>
                <w:sz w:val="20"/>
                <w:szCs w:val="20"/>
              </w:rPr>
              <w:t xml:space="preserve">, </w:t>
            </w:r>
            <w:r w:rsidRPr="00307C89">
              <w:rPr>
                <w:rFonts w:ascii="Times New Roman" w:hAnsi="Times New Roman" w:cs="Times New Roman"/>
                <w:sz w:val="20"/>
                <w:szCs w:val="20"/>
              </w:rPr>
              <w:t>DATA PUBBLICAZIONE: 26 GIUGNO 2020</w:t>
            </w:r>
            <w:r>
              <w:rPr>
                <w:rFonts w:ascii="Times New Roman" w:hAnsi="Times New Roman" w:cs="Times New Roman"/>
                <w:sz w:val="20"/>
                <w:szCs w:val="20"/>
              </w:rPr>
              <w:t>, ISS,</w:t>
            </w:r>
            <w:r w:rsidRPr="00D915A6">
              <w:rPr>
                <w:rFonts w:ascii="Times New Roman" w:hAnsi="Times New Roman" w:cs="Times New Roman"/>
                <w:sz w:val="20"/>
                <w:szCs w:val="20"/>
              </w:rPr>
              <w:t xml:space="preserve"> retrieved from https://www.epicentro.iss.it/coronavirus/bollettino/Bollettino-sorveglianza-integrata-COVID-19_23-giugno-2020.pdf</w:t>
            </w:r>
          </w:p>
        </w:tc>
      </w:tr>
      <w:tr w:rsidR="00A96657" w:rsidRPr="00B507C6" w14:paraId="1F4EF58A" w14:textId="77777777" w:rsidTr="00723FA2">
        <w:tc>
          <w:tcPr>
            <w:tcW w:w="0" w:type="auto"/>
          </w:tcPr>
          <w:p w14:paraId="41B6DD27" w14:textId="77777777" w:rsidR="00A96657" w:rsidRPr="00B507C6" w:rsidRDefault="00A96657" w:rsidP="00723FA2">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Worldometers.info</w:t>
            </w:r>
          </w:p>
        </w:tc>
      </w:tr>
      <w:tr w:rsidR="00A96657" w:rsidRPr="00B507C6" w14:paraId="1891E96E" w14:textId="77777777" w:rsidTr="00723FA2">
        <w:tc>
          <w:tcPr>
            <w:tcW w:w="0" w:type="auto"/>
          </w:tcPr>
          <w:p w14:paraId="332E76D7" w14:textId="77777777" w:rsidR="00A96657" w:rsidRPr="00B507C6" w:rsidRDefault="00A96657" w:rsidP="00723FA2">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w:t>
            </w:r>
            <w:r>
              <w:rPr>
                <w:rFonts w:ascii="Times New Roman" w:hAnsi="Times New Roman" w:cs="Times New Roman"/>
                <w:sz w:val="20"/>
                <w:szCs w:val="20"/>
              </w:rPr>
              <w:t xml:space="preserve"> (1)</w:t>
            </w:r>
            <w:r w:rsidRPr="00B507C6">
              <w:rPr>
                <w:rFonts w:ascii="Times New Roman" w:hAnsi="Times New Roman" w:cs="Times New Roman"/>
                <w:sz w:val="20"/>
                <w:szCs w:val="20"/>
              </w:rPr>
              <w:t xml:space="preserve"> </w:t>
            </w:r>
            <w:r w:rsidRPr="00D915A6">
              <w:rPr>
                <w:rFonts w:ascii="Times New Roman" w:hAnsi="Times New Roman" w:cs="Times New Roman"/>
                <w:sz w:val="20"/>
                <w:szCs w:val="20"/>
              </w:rPr>
              <w:t xml:space="preserve">Comas-Herrera A, Zalakaín J, Litwin C, Hsu AT, Lemmon E, Henderson D and Fernández J-L (2020) Mortality associated with COVID-19 outbreaks in care homes: early international evidence. Article in LTCcovid.org, International Long-Term Care Policy </w:t>
            </w:r>
            <w:r>
              <w:rPr>
                <w:rFonts w:ascii="Times New Roman" w:hAnsi="Times New Roman" w:cs="Times New Roman"/>
                <w:sz w:val="20"/>
                <w:szCs w:val="20"/>
              </w:rPr>
              <w:t>Network, CPEC-LSE, 26 June 2020 [for the absolute number of nursing home residents estimated to have died by May 5, 2020, n=9212]; (2) Worldometers.info [for the total number of deaths at the corresponding date, n=29389]</w:t>
            </w:r>
          </w:p>
        </w:tc>
      </w:tr>
      <w:tr w:rsidR="00A96657" w:rsidRPr="00B507C6" w14:paraId="242F9F65" w14:textId="77777777" w:rsidTr="00723FA2">
        <w:tc>
          <w:tcPr>
            <w:tcW w:w="0" w:type="auto"/>
          </w:tcPr>
          <w:p w14:paraId="30B4D3D7" w14:textId="77777777" w:rsidR="00A96657" w:rsidRPr="00B507C6" w:rsidRDefault="00A96657" w:rsidP="00723FA2">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A96657" w:rsidRPr="00B507C6" w14:paraId="4D9A602A" w14:textId="77777777" w:rsidTr="00723FA2">
        <w:tc>
          <w:tcPr>
            <w:tcW w:w="0" w:type="auto"/>
          </w:tcPr>
          <w:p w14:paraId="5202B9AF" w14:textId="77777777" w:rsidR="00A96657" w:rsidRPr="00B507C6" w:rsidRDefault="00A96657" w:rsidP="00723FA2">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populationpyramid.net</w:t>
            </w:r>
          </w:p>
        </w:tc>
      </w:tr>
      <w:tr w:rsidR="00A96657" w:rsidRPr="00B507C6" w14:paraId="51B4C971" w14:textId="77777777" w:rsidTr="00723FA2">
        <w:tc>
          <w:tcPr>
            <w:tcW w:w="0" w:type="auto"/>
          </w:tcPr>
          <w:p w14:paraId="3668132F" w14:textId="77777777" w:rsidR="00A96657" w:rsidRPr="00B507C6" w:rsidRDefault="00A96657" w:rsidP="00723FA2">
            <w:pPr>
              <w:rPr>
                <w:rFonts w:ascii="Times New Roman" w:hAnsi="Times New Roman" w:cs="Times New Roman"/>
                <w:sz w:val="20"/>
                <w:szCs w:val="20"/>
              </w:rPr>
            </w:pPr>
            <w:r>
              <w:rPr>
                <w:rFonts w:ascii="Times New Roman" w:hAnsi="Times New Roman" w:cs="Times New Roman"/>
                <w:sz w:val="20"/>
                <w:szCs w:val="20"/>
              </w:rPr>
              <w:t xml:space="preserve">Population in nursing homes: </w:t>
            </w:r>
            <w:r w:rsidRPr="00D915A6">
              <w:rPr>
                <w:rFonts w:ascii="Times New Roman" w:hAnsi="Times New Roman" w:cs="Times New Roman"/>
                <w:sz w:val="20"/>
                <w:szCs w:val="20"/>
              </w:rPr>
              <w:t>Comas-Herrera A, Zalakaín J, Litwin C, Hsu AT, Lemmon E, Henderson D and Fernández J-L (2020) Mortality associated with COVID-19 outbreaks in care homes: early international evidence. Article in LTCcovid.org, International Long-Term Care Policy Network, CP</w:t>
            </w:r>
            <w:r>
              <w:rPr>
                <w:rFonts w:ascii="Times New Roman" w:hAnsi="Times New Roman" w:cs="Times New Roman"/>
                <w:sz w:val="20"/>
                <w:szCs w:val="20"/>
              </w:rPr>
              <w:t>EC-LSE, 26 June 2020</w:t>
            </w:r>
          </w:p>
        </w:tc>
      </w:tr>
      <w:tr w:rsidR="00A96657" w:rsidRPr="00B507C6" w14:paraId="75D6C335" w14:textId="77777777" w:rsidTr="00723FA2">
        <w:tc>
          <w:tcPr>
            <w:tcW w:w="0" w:type="auto"/>
          </w:tcPr>
          <w:p w14:paraId="1FA0C5F3" w14:textId="77777777" w:rsidR="00A96657" w:rsidRPr="00B507C6" w:rsidRDefault="00A96657" w:rsidP="00723FA2">
            <w:pPr>
              <w:rPr>
                <w:rFonts w:ascii="Times New Roman" w:hAnsi="Times New Roman" w:cs="Times New Roman"/>
                <w:sz w:val="20"/>
                <w:szCs w:val="20"/>
              </w:rPr>
            </w:pPr>
            <w:r>
              <w:rPr>
                <w:rFonts w:ascii="Times New Roman" w:hAnsi="Times New Roman" w:cs="Times New Roman"/>
                <w:sz w:val="20"/>
                <w:szCs w:val="20"/>
              </w:rPr>
              <w:t>Proportion of elderly among nursing home residents: Imputed (average of available values)</w:t>
            </w:r>
          </w:p>
        </w:tc>
      </w:tr>
      <w:tr w:rsidR="00A96657" w:rsidRPr="00B507C6" w14:paraId="755CD498" w14:textId="77777777" w:rsidTr="00723FA2">
        <w:tc>
          <w:tcPr>
            <w:tcW w:w="0" w:type="auto"/>
          </w:tcPr>
          <w:p w14:paraId="4B0BB07B" w14:textId="77777777" w:rsidR="00A96657" w:rsidRDefault="00A96657" w:rsidP="00723FA2">
            <w:pPr>
              <w:rPr>
                <w:rFonts w:ascii="Times New Roman" w:hAnsi="Times New Roman" w:cs="Times New Roman"/>
                <w:sz w:val="20"/>
                <w:szCs w:val="20"/>
              </w:rPr>
            </w:pPr>
            <w:r>
              <w:rPr>
                <w:rFonts w:ascii="Times New Roman" w:hAnsi="Times New Roman" w:cs="Times New Roman"/>
                <w:sz w:val="20"/>
                <w:szCs w:val="20"/>
              </w:rPr>
              <w:t xml:space="preserve">Comments: </w:t>
            </w:r>
          </w:p>
          <w:p w14:paraId="1A7E2BA3" w14:textId="77777777" w:rsidR="00A96657" w:rsidRPr="00B507C6" w:rsidRDefault="00A96657" w:rsidP="00723FA2">
            <w:pPr>
              <w:rPr>
                <w:rFonts w:ascii="Times New Roman" w:hAnsi="Times New Roman" w:cs="Times New Roman"/>
                <w:sz w:val="20"/>
                <w:szCs w:val="20"/>
              </w:rPr>
            </w:pPr>
            <w:r>
              <w:rPr>
                <w:rFonts w:ascii="Times New Roman" w:hAnsi="Times New Roman" w:cs="Times New Roman"/>
                <w:sz w:val="20"/>
                <w:szCs w:val="20"/>
              </w:rPr>
              <w:t>COVID-19 deaths in nursing home residents, calculated f</w:t>
            </w:r>
            <w:r w:rsidRPr="00D915A6">
              <w:rPr>
                <w:rFonts w:ascii="Times New Roman" w:hAnsi="Times New Roman" w:cs="Times New Roman"/>
                <w:sz w:val="20"/>
                <w:szCs w:val="20"/>
              </w:rPr>
              <w:t>rom LTC Policy Network report June 26, Table 2: 3.1% of 297,158 residents were estimated to have died of COVID-19 at that point.</w:t>
            </w:r>
          </w:p>
        </w:tc>
      </w:tr>
      <w:tr w:rsidR="00A96657" w:rsidRPr="00B507C6" w14:paraId="52E0A78B" w14:textId="77777777" w:rsidTr="00B507C6">
        <w:tc>
          <w:tcPr>
            <w:tcW w:w="0" w:type="auto"/>
          </w:tcPr>
          <w:p w14:paraId="72D0E4A6" w14:textId="77777777" w:rsidR="00A96657" w:rsidRPr="00B507C6" w:rsidRDefault="00A96657" w:rsidP="003444F3">
            <w:pPr>
              <w:rPr>
                <w:rFonts w:ascii="Times New Roman" w:hAnsi="Times New Roman" w:cs="Times New Roman"/>
                <w:b/>
                <w:sz w:val="20"/>
                <w:szCs w:val="20"/>
              </w:rPr>
            </w:pPr>
          </w:p>
        </w:tc>
      </w:tr>
      <w:tr w:rsidR="007E5BFA" w:rsidRPr="00B507C6" w14:paraId="7D1960DC" w14:textId="77777777" w:rsidTr="00B507C6">
        <w:tc>
          <w:tcPr>
            <w:tcW w:w="0" w:type="auto"/>
          </w:tcPr>
          <w:p w14:paraId="4F3536F0" w14:textId="6BFC66B2" w:rsidR="007E5BFA" w:rsidRPr="00B507C6" w:rsidRDefault="007E5BFA" w:rsidP="003444F3">
            <w:pPr>
              <w:rPr>
                <w:rFonts w:ascii="Times New Roman" w:hAnsi="Times New Roman" w:cs="Times New Roman"/>
                <w:b/>
                <w:sz w:val="20"/>
                <w:szCs w:val="20"/>
              </w:rPr>
            </w:pPr>
            <w:r w:rsidRPr="00B507C6">
              <w:rPr>
                <w:rFonts w:ascii="Times New Roman" w:hAnsi="Times New Roman" w:cs="Times New Roman"/>
                <w:b/>
                <w:sz w:val="20"/>
                <w:szCs w:val="20"/>
              </w:rPr>
              <w:t>Qatar (Study: Abu-Raddad)</w:t>
            </w:r>
          </w:p>
        </w:tc>
      </w:tr>
      <w:tr w:rsidR="007E5BFA" w:rsidRPr="00B507C6" w14:paraId="724CEDD6" w14:textId="77777777" w:rsidTr="00B507C6">
        <w:tc>
          <w:tcPr>
            <w:tcW w:w="0" w:type="auto"/>
          </w:tcPr>
          <w:p w14:paraId="6551E29B" w14:textId="6CCD339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53F8DCCD" w14:textId="77777777" w:rsidTr="00B507C6">
        <w:tc>
          <w:tcPr>
            <w:tcW w:w="0" w:type="auto"/>
          </w:tcPr>
          <w:p w14:paraId="0C4D10DF" w14:textId="2F51983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Seroprevalence study</w:t>
            </w:r>
          </w:p>
        </w:tc>
      </w:tr>
      <w:tr w:rsidR="007E5BFA" w:rsidRPr="00B507C6" w14:paraId="2A7052F9" w14:textId="77777777" w:rsidTr="00B507C6">
        <w:tc>
          <w:tcPr>
            <w:tcW w:w="0" w:type="auto"/>
          </w:tcPr>
          <w:p w14:paraId="0D3B85A8" w14:textId="6D4B5D8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Worldometers.info</w:t>
            </w:r>
            <w:r w:rsidR="00863F46">
              <w:rPr>
                <w:rFonts w:ascii="Times New Roman" w:hAnsi="Times New Roman" w:cs="Times New Roman"/>
                <w:sz w:val="20"/>
                <w:szCs w:val="20"/>
              </w:rPr>
              <w:t xml:space="preserve"> (accessed June 1, 2021)</w:t>
            </w:r>
          </w:p>
        </w:tc>
      </w:tr>
      <w:tr w:rsidR="007E5BFA" w:rsidRPr="00B507C6" w14:paraId="2FB841E6" w14:textId="77777777" w:rsidTr="00B507C6">
        <w:tc>
          <w:tcPr>
            <w:tcW w:w="0" w:type="auto"/>
          </w:tcPr>
          <w:p w14:paraId="322BE709" w14:textId="3967165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Unavailable, imputed</w:t>
            </w:r>
          </w:p>
        </w:tc>
      </w:tr>
      <w:tr w:rsidR="007E5BFA" w:rsidRPr="00B507C6" w14:paraId="6068ACEC" w14:textId="77777777" w:rsidTr="00B507C6">
        <w:tc>
          <w:tcPr>
            <w:tcW w:w="0" w:type="auto"/>
          </w:tcPr>
          <w:p w14:paraId="4AC4ED32" w14:textId="1755C8B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4A470FE5" w14:textId="77777777" w:rsidTr="00B507C6">
        <w:tc>
          <w:tcPr>
            <w:tcW w:w="0" w:type="auto"/>
          </w:tcPr>
          <w:p w14:paraId="2ABEC868" w14:textId="4584ECAB" w:rsidR="007E5BFA" w:rsidRPr="00B507C6" w:rsidRDefault="007E5BFA" w:rsidP="00D06BFA">
            <w:pPr>
              <w:rPr>
                <w:rFonts w:ascii="Times New Roman" w:hAnsi="Times New Roman" w:cs="Times New Roman"/>
                <w:sz w:val="20"/>
                <w:szCs w:val="20"/>
              </w:rPr>
            </w:pPr>
            <w:r w:rsidRPr="00B507C6">
              <w:rPr>
                <w:rFonts w:ascii="Times New Roman" w:hAnsi="Times New Roman" w:cs="Times New Roman"/>
                <w:sz w:val="20"/>
                <w:szCs w:val="20"/>
              </w:rPr>
              <w:t xml:space="preserve">Population overall and in elderly: </w:t>
            </w:r>
            <w:r w:rsidR="00D06BFA">
              <w:rPr>
                <w:rFonts w:ascii="Times New Roman" w:hAnsi="Times New Roman" w:cs="Times New Roman"/>
                <w:sz w:val="20"/>
                <w:szCs w:val="20"/>
              </w:rPr>
              <w:t>populationpyramid.net</w:t>
            </w:r>
          </w:p>
        </w:tc>
      </w:tr>
      <w:tr w:rsidR="007E5BFA" w:rsidRPr="00B507C6" w14:paraId="1E26F478" w14:textId="77777777" w:rsidTr="00B507C6">
        <w:tc>
          <w:tcPr>
            <w:tcW w:w="0" w:type="auto"/>
          </w:tcPr>
          <w:p w14:paraId="658DFCD1" w14:textId="6CD725FF" w:rsidR="007E5BFA" w:rsidRPr="00B507C6" w:rsidRDefault="007E5BFA" w:rsidP="003444F3">
            <w:pPr>
              <w:rPr>
                <w:rFonts w:ascii="Times New Roman" w:hAnsi="Times New Roman" w:cs="Times New Roman"/>
                <w:sz w:val="20"/>
                <w:szCs w:val="20"/>
              </w:rPr>
            </w:pPr>
            <w:r w:rsidRPr="00B507C6">
              <w:rPr>
                <w:rFonts w:ascii="Times New Roman" w:hAnsi="Times New Roman" w:cs="Times New Roman"/>
                <w:sz w:val="20"/>
                <w:szCs w:val="20"/>
              </w:rPr>
              <w:t>Population in nursing homes:</w:t>
            </w:r>
            <w:r w:rsidR="003444F3">
              <w:t xml:space="preserve"> </w:t>
            </w:r>
            <w:r w:rsidR="003444F3">
              <w:rPr>
                <w:rFonts w:ascii="Times New Roman" w:hAnsi="Times New Roman" w:cs="Times New Roman"/>
                <w:sz w:val="20"/>
                <w:szCs w:val="20"/>
              </w:rPr>
              <w:t>”L</w:t>
            </w:r>
            <w:r w:rsidR="003444F3" w:rsidRPr="003444F3">
              <w:rPr>
                <w:rFonts w:ascii="Times New Roman" w:hAnsi="Times New Roman" w:cs="Times New Roman"/>
                <w:sz w:val="20"/>
                <w:szCs w:val="20"/>
              </w:rPr>
              <w:t>iving Arrangements of Older Persons: A Report</w:t>
            </w:r>
            <w:r w:rsidR="003444F3">
              <w:rPr>
                <w:rFonts w:ascii="Times New Roman" w:hAnsi="Times New Roman" w:cs="Times New Roman"/>
                <w:sz w:val="20"/>
                <w:szCs w:val="20"/>
              </w:rPr>
              <w:t xml:space="preserve"> </w:t>
            </w:r>
            <w:r w:rsidR="003444F3" w:rsidRPr="003444F3">
              <w:rPr>
                <w:rFonts w:ascii="Times New Roman" w:hAnsi="Times New Roman" w:cs="Times New Roman"/>
                <w:sz w:val="20"/>
                <w:szCs w:val="20"/>
              </w:rPr>
              <w:t>on an Expanded International Dataset</w:t>
            </w:r>
            <w:r w:rsidR="003444F3">
              <w:rPr>
                <w:rFonts w:ascii="Times New Roman" w:hAnsi="Times New Roman" w:cs="Times New Roman"/>
                <w:sz w:val="20"/>
                <w:szCs w:val="20"/>
              </w:rPr>
              <w:t>”, United Nations (2017)</w:t>
            </w:r>
            <w:r w:rsidR="00D07DCE">
              <w:rPr>
                <w:rFonts w:ascii="Times New Roman" w:hAnsi="Times New Roman" w:cs="Times New Roman"/>
                <w:sz w:val="20"/>
                <w:szCs w:val="20"/>
              </w:rPr>
              <w:t>,</w:t>
            </w:r>
            <w:r w:rsidR="003444F3">
              <w:rPr>
                <w:rFonts w:ascii="Times New Roman" w:hAnsi="Times New Roman" w:cs="Times New Roman"/>
                <w:sz w:val="20"/>
                <w:szCs w:val="20"/>
              </w:rPr>
              <w:t xml:space="preserve"> </w:t>
            </w:r>
            <w:r w:rsidR="00D07DCE">
              <w:rPr>
                <w:rFonts w:ascii="Times New Roman" w:hAnsi="Times New Roman" w:cs="Times New Roman"/>
                <w:sz w:val="20"/>
                <w:szCs w:val="20"/>
              </w:rPr>
              <w:t xml:space="preserve">Table </w:t>
            </w:r>
            <w:r w:rsidR="00D07DCE" w:rsidRPr="00D07DCE">
              <w:rPr>
                <w:rFonts w:ascii="Times New Roman" w:hAnsi="Times New Roman" w:cs="Times New Roman"/>
                <w:sz w:val="20"/>
                <w:szCs w:val="20"/>
              </w:rPr>
              <w:t>A.III.1</w:t>
            </w:r>
            <w:r w:rsidR="00D07DCE">
              <w:rPr>
                <w:rFonts w:ascii="Times New Roman" w:hAnsi="Times New Roman" w:cs="Times New Roman"/>
                <w:sz w:val="20"/>
                <w:szCs w:val="20"/>
              </w:rPr>
              <w:t xml:space="preserve">, </w:t>
            </w:r>
            <w:r w:rsidR="003444F3">
              <w:rPr>
                <w:rFonts w:ascii="Times New Roman" w:hAnsi="Times New Roman" w:cs="Times New Roman"/>
                <w:sz w:val="20"/>
                <w:szCs w:val="20"/>
              </w:rPr>
              <w:t xml:space="preserve">retrieved from </w:t>
            </w:r>
            <w:r w:rsidR="003444F3" w:rsidRPr="003444F3">
              <w:rPr>
                <w:rFonts w:ascii="Times New Roman" w:hAnsi="Times New Roman" w:cs="Times New Roman"/>
                <w:sz w:val="20"/>
                <w:szCs w:val="20"/>
              </w:rPr>
              <w:t>https://www.un.org/en/development/desa/population/publications/pdf/ageing/LivingArrangements.pdf</w:t>
            </w:r>
            <w:r w:rsidR="003444F3">
              <w:rPr>
                <w:rFonts w:ascii="Times New Roman" w:hAnsi="Times New Roman" w:cs="Times New Roman"/>
                <w:sz w:val="20"/>
                <w:szCs w:val="20"/>
              </w:rPr>
              <w:t xml:space="preserve"> </w:t>
            </w:r>
            <w:r w:rsidRPr="00B507C6">
              <w:rPr>
                <w:rFonts w:ascii="Times New Roman" w:hAnsi="Times New Roman" w:cs="Times New Roman"/>
                <w:sz w:val="20"/>
                <w:szCs w:val="20"/>
              </w:rPr>
              <w:t xml:space="preserve"> </w:t>
            </w:r>
          </w:p>
        </w:tc>
      </w:tr>
      <w:tr w:rsidR="007E5BFA" w:rsidRPr="00B507C6" w14:paraId="10BA7781" w14:textId="77777777" w:rsidTr="00B507C6">
        <w:tc>
          <w:tcPr>
            <w:tcW w:w="0" w:type="auto"/>
          </w:tcPr>
          <w:p w14:paraId="577D67F9" w14:textId="7777777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Imputed (average of available values)</w:t>
            </w:r>
          </w:p>
        </w:tc>
      </w:tr>
      <w:tr w:rsidR="007E5BFA" w:rsidRPr="00B507C6" w14:paraId="56CB3BAD" w14:textId="77777777" w:rsidTr="00B507C6">
        <w:tc>
          <w:tcPr>
            <w:tcW w:w="0" w:type="auto"/>
          </w:tcPr>
          <w:p w14:paraId="0DDAA541" w14:textId="77777777"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w:t>
            </w:r>
          </w:p>
          <w:p w14:paraId="4A9D96E7" w14:textId="3D446DBD" w:rsidR="00D07DCE" w:rsidRDefault="000A395A" w:rsidP="006F5853">
            <w:pPr>
              <w:rPr>
                <w:rFonts w:ascii="Times New Roman" w:hAnsi="Times New Roman" w:cs="Times New Roman"/>
                <w:sz w:val="20"/>
                <w:szCs w:val="20"/>
              </w:rPr>
            </w:pPr>
            <w:r w:rsidRPr="000A395A">
              <w:rPr>
                <w:rFonts w:ascii="Times New Roman" w:hAnsi="Times New Roman" w:cs="Times New Roman"/>
                <w:sz w:val="20"/>
                <w:szCs w:val="20"/>
              </w:rPr>
              <w:t>Confidence intervals for adjusted seroprevalence not reported in study, and so calculated using the inferred adjusted number of seropositive individuals.</w:t>
            </w:r>
          </w:p>
          <w:p w14:paraId="12FAC35C" w14:textId="0532B192" w:rsidR="000A395A" w:rsidRDefault="00D07DCE" w:rsidP="006F5853">
            <w:pPr>
              <w:rPr>
                <w:rFonts w:ascii="Times New Roman" w:hAnsi="Times New Roman" w:cs="Times New Roman"/>
                <w:sz w:val="20"/>
                <w:szCs w:val="20"/>
              </w:rPr>
            </w:pPr>
            <w:r>
              <w:rPr>
                <w:rFonts w:ascii="Times New Roman" w:hAnsi="Times New Roman" w:cs="Times New Roman"/>
                <w:sz w:val="20"/>
                <w:szCs w:val="20"/>
              </w:rPr>
              <w:t>Population in nursing homes: The number for females (0.5% of elderly living in institutions) selected since the d</w:t>
            </w:r>
            <w:r w:rsidRPr="00D07DCE">
              <w:rPr>
                <w:rFonts w:ascii="Times New Roman" w:hAnsi="Times New Roman" w:cs="Times New Roman"/>
                <w:sz w:val="20"/>
                <w:szCs w:val="20"/>
              </w:rPr>
              <w:t xml:space="preserve">efinition </w:t>
            </w:r>
            <w:r>
              <w:rPr>
                <w:rFonts w:ascii="Times New Roman" w:hAnsi="Times New Roman" w:cs="Times New Roman"/>
                <w:sz w:val="20"/>
                <w:szCs w:val="20"/>
              </w:rPr>
              <w:t xml:space="preserve">of institutional living </w:t>
            </w:r>
            <w:r w:rsidRPr="00D07DCE">
              <w:rPr>
                <w:rFonts w:ascii="Times New Roman" w:hAnsi="Times New Roman" w:cs="Times New Roman"/>
                <w:sz w:val="20"/>
                <w:szCs w:val="20"/>
              </w:rPr>
              <w:t>incl</w:t>
            </w:r>
            <w:r>
              <w:rPr>
                <w:rFonts w:ascii="Times New Roman" w:hAnsi="Times New Roman" w:cs="Times New Roman"/>
                <w:sz w:val="20"/>
                <w:szCs w:val="20"/>
              </w:rPr>
              <w:t>uded</w:t>
            </w:r>
            <w:r w:rsidRPr="00D07DCE">
              <w:rPr>
                <w:rFonts w:ascii="Times New Roman" w:hAnsi="Times New Roman" w:cs="Times New Roman"/>
                <w:sz w:val="20"/>
                <w:szCs w:val="20"/>
              </w:rPr>
              <w:t xml:space="preserve"> ot</w:t>
            </w:r>
            <w:r>
              <w:rPr>
                <w:rFonts w:ascii="Times New Roman" w:hAnsi="Times New Roman" w:cs="Times New Roman"/>
                <w:sz w:val="20"/>
                <w:szCs w:val="20"/>
              </w:rPr>
              <w:t>her collective housing than elderly homes, and the m</w:t>
            </w:r>
            <w:r w:rsidRPr="00D07DCE">
              <w:rPr>
                <w:rFonts w:ascii="Times New Roman" w:hAnsi="Times New Roman" w:cs="Times New Roman"/>
                <w:sz w:val="20"/>
                <w:szCs w:val="20"/>
              </w:rPr>
              <w:t>ale population includes a large number of workers living in collective quarters.</w:t>
            </w:r>
          </w:p>
          <w:p w14:paraId="5C875386" w14:textId="348E18D3" w:rsidR="000A395A" w:rsidRPr="00B507C6" w:rsidRDefault="000A395A" w:rsidP="006F5853">
            <w:pPr>
              <w:rPr>
                <w:rFonts w:ascii="Times New Roman" w:hAnsi="Times New Roman" w:cs="Times New Roman"/>
                <w:sz w:val="20"/>
                <w:szCs w:val="20"/>
              </w:rPr>
            </w:pPr>
            <w:r w:rsidRPr="000A395A">
              <w:rPr>
                <w:rFonts w:ascii="Times New Roman" w:hAnsi="Times New Roman" w:cs="Times New Roman"/>
                <w:sz w:val="20"/>
                <w:szCs w:val="20"/>
              </w:rPr>
              <w:t xml:space="preserve">Mortality peak date is </w:t>
            </w:r>
            <w:r w:rsidR="00ED79D1">
              <w:rPr>
                <w:rFonts w:ascii="Times New Roman" w:hAnsi="Times New Roman" w:cs="Times New Roman"/>
                <w:sz w:val="20"/>
                <w:szCs w:val="20"/>
              </w:rPr>
              <w:t xml:space="preserve">the </w:t>
            </w:r>
            <w:r w:rsidRPr="000A395A">
              <w:rPr>
                <w:rFonts w:ascii="Times New Roman" w:hAnsi="Times New Roman" w:cs="Times New Roman"/>
                <w:sz w:val="20"/>
                <w:szCs w:val="20"/>
              </w:rPr>
              <w:t>midpoint between June 21</w:t>
            </w:r>
            <w:r w:rsidR="00ED79D1">
              <w:rPr>
                <w:rFonts w:ascii="Times New Roman" w:hAnsi="Times New Roman" w:cs="Times New Roman"/>
                <w:sz w:val="20"/>
                <w:szCs w:val="20"/>
              </w:rPr>
              <w:t>, 2020,</w:t>
            </w:r>
            <w:r w:rsidRPr="000A395A">
              <w:rPr>
                <w:rFonts w:ascii="Times New Roman" w:hAnsi="Times New Roman" w:cs="Times New Roman"/>
                <w:sz w:val="20"/>
                <w:szCs w:val="20"/>
              </w:rPr>
              <w:t xml:space="preserve"> and July 10</w:t>
            </w:r>
            <w:r w:rsidR="00ED79D1">
              <w:rPr>
                <w:rFonts w:ascii="Times New Roman" w:hAnsi="Times New Roman" w:cs="Times New Roman"/>
                <w:sz w:val="20"/>
                <w:szCs w:val="20"/>
              </w:rPr>
              <w:t>, 2020</w:t>
            </w:r>
            <w:r w:rsidRPr="000A395A">
              <w:rPr>
                <w:rFonts w:ascii="Times New Roman" w:hAnsi="Times New Roman" w:cs="Times New Roman"/>
                <w:sz w:val="20"/>
                <w:szCs w:val="20"/>
              </w:rPr>
              <w:t>.</w:t>
            </w:r>
          </w:p>
        </w:tc>
      </w:tr>
      <w:tr w:rsidR="007E5BFA" w:rsidRPr="00B507C6" w14:paraId="60AEF8D5" w14:textId="77777777" w:rsidTr="00B507C6">
        <w:tc>
          <w:tcPr>
            <w:tcW w:w="0" w:type="auto"/>
          </w:tcPr>
          <w:p w14:paraId="285BFD61" w14:textId="77777777" w:rsidR="007E5BFA" w:rsidRPr="00B507C6" w:rsidRDefault="007E5BFA">
            <w:pPr>
              <w:rPr>
                <w:rFonts w:ascii="Times New Roman" w:hAnsi="Times New Roman" w:cs="Times New Roman"/>
                <w:sz w:val="20"/>
                <w:szCs w:val="20"/>
              </w:rPr>
            </w:pPr>
          </w:p>
        </w:tc>
      </w:tr>
      <w:tr w:rsidR="007E5BFA" w:rsidRPr="00B507C6" w14:paraId="20ACB343" w14:textId="77777777" w:rsidTr="00B507C6">
        <w:tc>
          <w:tcPr>
            <w:tcW w:w="0" w:type="auto"/>
          </w:tcPr>
          <w:p w14:paraId="6FF1E408" w14:textId="6CCD1688" w:rsidR="007E5BFA" w:rsidRPr="00B507C6" w:rsidRDefault="007E5BFA" w:rsidP="008A1CC5">
            <w:pPr>
              <w:rPr>
                <w:rFonts w:ascii="Times New Roman" w:hAnsi="Times New Roman" w:cs="Times New Roman"/>
                <w:b/>
                <w:sz w:val="20"/>
                <w:szCs w:val="20"/>
              </w:rPr>
            </w:pPr>
            <w:r w:rsidRPr="00B507C6">
              <w:rPr>
                <w:rFonts w:ascii="Times New Roman" w:hAnsi="Times New Roman" w:cs="Times New Roman"/>
                <w:b/>
                <w:sz w:val="20"/>
                <w:szCs w:val="20"/>
              </w:rPr>
              <w:t xml:space="preserve">Spain (Study: </w:t>
            </w:r>
            <w:r w:rsidR="008A1CC5">
              <w:rPr>
                <w:rFonts w:ascii="Times New Roman" w:hAnsi="Times New Roman" w:cs="Times New Roman"/>
                <w:b/>
                <w:sz w:val="20"/>
                <w:szCs w:val="20"/>
              </w:rPr>
              <w:t>Ministerio de Sanidad and Instituto de Salud Carlos III</w:t>
            </w:r>
            <w:r w:rsidRPr="00B507C6">
              <w:rPr>
                <w:rFonts w:ascii="Times New Roman" w:hAnsi="Times New Roman" w:cs="Times New Roman"/>
                <w:b/>
                <w:sz w:val="20"/>
                <w:szCs w:val="20"/>
              </w:rPr>
              <w:t>)</w:t>
            </w:r>
          </w:p>
        </w:tc>
      </w:tr>
      <w:tr w:rsidR="007E5BFA" w:rsidRPr="00B507C6" w14:paraId="3C664A33" w14:textId="77777777" w:rsidTr="00B507C6">
        <w:tc>
          <w:tcPr>
            <w:tcW w:w="0" w:type="auto"/>
          </w:tcPr>
          <w:p w14:paraId="758435B0" w14:textId="6EF1D25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67F77C0F" w14:textId="77777777" w:rsidTr="00B507C6">
        <w:tc>
          <w:tcPr>
            <w:tcW w:w="0" w:type="auto"/>
          </w:tcPr>
          <w:p w14:paraId="3B396BC2" w14:textId="25ED794B" w:rsidR="007E5BFA" w:rsidRPr="00B507C6" w:rsidRDefault="007E5BFA" w:rsidP="008A1CC5">
            <w:pPr>
              <w:rPr>
                <w:rFonts w:ascii="Times New Roman" w:hAnsi="Times New Roman" w:cs="Times New Roman"/>
                <w:sz w:val="20"/>
                <w:szCs w:val="20"/>
              </w:rPr>
            </w:pPr>
            <w:r w:rsidRPr="00B507C6">
              <w:rPr>
                <w:rFonts w:ascii="Times New Roman" w:hAnsi="Times New Roman" w:cs="Times New Roman"/>
                <w:sz w:val="20"/>
                <w:szCs w:val="20"/>
              </w:rPr>
              <w:t xml:space="preserve">Age distribution of COVID-19 deaths: </w:t>
            </w:r>
            <w:r w:rsidR="008A1CC5" w:rsidRPr="008A1CC5">
              <w:rPr>
                <w:rFonts w:ascii="Times New Roman" w:hAnsi="Times New Roman" w:cs="Times New Roman"/>
                <w:sz w:val="20"/>
                <w:szCs w:val="20"/>
              </w:rPr>
              <w:t xml:space="preserve">Dataset "casos_hosp_uci_def_sexo_edad_provres.csv" </w:t>
            </w:r>
            <w:r w:rsidR="008A1CC5">
              <w:rPr>
                <w:rFonts w:ascii="Times New Roman" w:hAnsi="Times New Roman" w:cs="Times New Roman"/>
                <w:sz w:val="20"/>
                <w:szCs w:val="20"/>
              </w:rPr>
              <w:t>retrieved from</w:t>
            </w:r>
            <w:r w:rsidR="008A1CC5" w:rsidRPr="008A1CC5">
              <w:rPr>
                <w:rFonts w:ascii="Times New Roman" w:hAnsi="Times New Roman" w:cs="Times New Roman"/>
                <w:sz w:val="20"/>
                <w:szCs w:val="20"/>
              </w:rPr>
              <w:t xml:space="preserve"> https://cnecovid.isciii.es/covid19/#documentación-y-datos, </w:t>
            </w:r>
            <w:r w:rsidR="008A1CC5">
              <w:rPr>
                <w:rFonts w:ascii="Times New Roman" w:hAnsi="Times New Roman" w:cs="Times New Roman"/>
                <w:sz w:val="20"/>
                <w:szCs w:val="20"/>
              </w:rPr>
              <w:t>accessed</w:t>
            </w:r>
            <w:r w:rsidR="008A1CC5" w:rsidRPr="008A1CC5">
              <w:rPr>
                <w:rFonts w:ascii="Times New Roman" w:hAnsi="Times New Roman" w:cs="Times New Roman"/>
                <w:sz w:val="20"/>
                <w:szCs w:val="20"/>
              </w:rPr>
              <w:t xml:space="preserve"> 2021-06-23</w:t>
            </w:r>
          </w:p>
        </w:tc>
      </w:tr>
      <w:tr w:rsidR="007E5BFA" w:rsidRPr="00B507C6" w14:paraId="2EDAEDCF" w14:textId="77777777" w:rsidTr="00B507C6">
        <w:tc>
          <w:tcPr>
            <w:tcW w:w="0" w:type="auto"/>
          </w:tcPr>
          <w:p w14:paraId="1C5F2C42" w14:textId="2E97727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Total number of deaths for the primary date: </w:t>
            </w:r>
            <w:r w:rsidR="008A1CC5" w:rsidRPr="008A1CC5">
              <w:rPr>
                <w:rFonts w:ascii="Times New Roman" w:hAnsi="Times New Roman" w:cs="Times New Roman"/>
                <w:sz w:val="20"/>
                <w:szCs w:val="20"/>
              </w:rPr>
              <w:t xml:space="preserve">Dataset "casos_hosp_uci_def_sexo_edad_provres.csv" </w:t>
            </w:r>
            <w:r w:rsidR="008A1CC5">
              <w:rPr>
                <w:rFonts w:ascii="Times New Roman" w:hAnsi="Times New Roman" w:cs="Times New Roman"/>
                <w:sz w:val="20"/>
                <w:szCs w:val="20"/>
              </w:rPr>
              <w:t>retrieved from</w:t>
            </w:r>
            <w:r w:rsidR="008A1CC5" w:rsidRPr="008A1CC5">
              <w:rPr>
                <w:rFonts w:ascii="Times New Roman" w:hAnsi="Times New Roman" w:cs="Times New Roman"/>
                <w:sz w:val="20"/>
                <w:szCs w:val="20"/>
              </w:rPr>
              <w:t xml:space="preserve"> https://cnecovid.isciii.es/covid19/#documentación-y-datos, </w:t>
            </w:r>
            <w:r w:rsidR="008A1CC5">
              <w:rPr>
                <w:rFonts w:ascii="Times New Roman" w:hAnsi="Times New Roman" w:cs="Times New Roman"/>
                <w:sz w:val="20"/>
                <w:szCs w:val="20"/>
              </w:rPr>
              <w:t>accessed</w:t>
            </w:r>
            <w:r w:rsidR="008A1CC5" w:rsidRPr="008A1CC5">
              <w:rPr>
                <w:rFonts w:ascii="Times New Roman" w:hAnsi="Times New Roman" w:cs="Times New Roman"/>
                <w:sz w:val="20"/>
                <w:szCs w:val="20"/>
              </w:rPr>
              <w:t xml:space="preserve"> 2021-06-23</w:t>
            </w:r>
          </w:p>
        </w:tc>
      </w:tr>
      <w:tr w:rsidR="007E5BFA" w:rsidRPr="00B507C6" w14:paraId="704620CF" w14:textId="77777777" w:rsidTr="00B507C6">
        <w:tc>
          <w:tcPr>
            <w:tcW w:w="0" w:type="auto"/>
          </w:tcPr>
          <w:p w14:paraId="1FE1E8E8" w14:textId="617B594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COVID-19 deaths in nursing home residents: </w:t>
            </w:r>
            <w:r w:rsidR="008A1CC5" w:rsidRPr="008A1CC5">
              <w:rPr>
                <w:rFonts w:ascii="Times New Roman" w:hAnsi="Times New Roman" w:cs="Times New Roman"/>
                <w:sz w:val="20"/>
                <w:szCs w:val="20"/>
              </w:rPr>
              <w:t>Comas-Herrera A, Zalakaín J, Lemmon E, Henderson D, Litwin C, Hsu AT, Schmidt AE, Arling G, Kruse F and Fernández J-L (2020) Mortality associated with COVID-19 in care homes: international evidence. Article in LTCcovid.org, International Long-Term Care Policy Network, CPEC-LSE, 1st February 2021.</w:t>
            </w:r>
          </w:p>
        </w:tc>
      </w:tr>
      <w:tr w:rsidR="007E5BFA" w:rsidRPr="00B507C6" w14:paraId="53D6E2E7" w14:textId="77777777" w:rsidTr="00B507C6">
        <w:tc>
          <w:tcPr>
            <w:tcW w:w="0" w:type="auto"/>
          </w:tcPr>
          <w:p w14:paraId="4D659AD6" w14:textId="2399A5F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69DE8E4A" w14:textId="77777777" w:rsidTr="00B507C6">
        <w:tc>
          <w:tcPr>
            <w:tcW w:w="0" w:type="auto"/>
          </w:tcPr>
          <w:p w14:paraId="75CB95CD" w14:textId="03C9881F"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populationpyramid.net</w:t>
            </w:r>
          </w:p>
        </w:tc>
      </w:tr>
      <w:tr w:rsidR="007E5BFA" w:rsidRPr="00B507C6" w14:paraId="1417AF85" w14:textId="77777777" w:rsidTr="00B507C6">
        <w:tc>
          <w:tcPr>
            <w:tcW w:w="0" w:type="auto"/>
          </w:tcPr>
          <w:p w14:paraId="5B4C6C88" w14:textId="4BD6C38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Webpage, http://envejecimientoenred.es/una-nueva-estimacion-de-poblacion-en-residencias-de-mayores/ (July 20, 2020; accessed May 29, 2021)</w:t>
            </w:r>
          </w:p>
        </w:tc>
      </w:tr>
      <w:tr w:rsidR="007E5BFA" w:rsidRPr="00B507C6" w14:paraId="18C0FFED" w14:textId="77777777" w:rsidTr="00B507C6">
        <w:tc>
          <w:tcPr>
            <w:tcW w:w="0" w:type="auto"/>
          </w:tcPr>
          <w:p w14:paraId="6BB54A5F" w14:textId="72C93B4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Webpage, http://envejecimientoenred.es/una-nueva-estimacion-de-poblacion-en-residencias-de-mayores/ (July 20, 2020; accessed May 29, 2021)</w:t>
            </w:r>
          </w:p>
        </w:tc>
      </w:tr>
      <w:tr w:rsidR="007E5BFA" w:rsidRPr="00B507C6" w14:paraId="0A9008A6" w14:textId="77777777" w:rsidTr="00B507C6">
        <w:tc>
          <w:tcPr>
            <w:tcW w:w="0" w:type="auto"/>
          </w:tcPr>
          <w:p w14:paraId="3453283E" w14:textId="77777777" w:rsidR="007E5BFA" w:rsidRPr="00B507C6" w:rsidRDefault="007E5BFA">
            <w:pPr>
              <w:rPr>
                <w:rFonts w:ascii="Times New Roman" w:hAnsi="Times New Roman" w:cs="Times New Roman"/>
                <w:sz w:val="20"/>
                <w:szCs w:val="20"/>
              </w:rPr>
            </w:pPr>
          </w:p>
        </w:tc>
      </w:tr>
      <w:tr w:rsidR="007E5BFA" w:rsidRPr="00B507C6" w14:paraId="6E7C90F7" w14:textId="77777777" w:rsidTr="00B507C6">
        <w:tc>
          <w:tcPr>
            <w:tcW w:w="0" w:type="auto"/>
          </w:tcPr>
          <w:p w14:paraId="67F4F29F" w14:textId="0F1C0151"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lastRenderedPageBreak/>
              <w:t>United Kingdom (Study: UK Biobank)</w:t>
            </w:r>
          </w:p>
        </w:tc>
      </w:tr>
      <w:tr w:rsidR="007E5BFA" w:rsidRPr="00B507C6" w14:paraId="7B0BF19E" w14:textId="77777777" w:rsidTr="00B507C6">
        <w:tc>
          <w:tcPr>
            <w:tcW w:w="0" w:type="auto"/>
          </w:tcPr>
          <w:p w14:paraId="58BAEB5F" w14:textId="11E4044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27D3B1EA" w14:textId="77777777" w:rsidTr="00B507C6">
        <w:tc>
          <w:tcPr>
            <w:tcW w:w="0" w:type="auto"/>
          </w:tcPr>
          <w:p w14:paraId="14414565" w14:textId="261DAF6F" w:rsidR="007E5BFA" w:rsidRPr="00B507C6" w:rsidRDefault="007E5BFA" w:rsidP="004B5B37">
            <w:pPr>
              <w:rPr>
                <w:rFonts w:ascii="Times New Roman" w:hAnsi="Times New Roman" w:cs="Times New Roman"/>
                <w:sz w:val="20"/>
                <w:szCs w:val="20"/>
              </w:rPr>
            </w:pPr>
            <w:r w:rsidRPr="00B507C6">
              <w:rPr>
                <w:rFonts w:ascii="Times New Roman" w:hAnsi="Times New Roman" w:cs="Times New Roman"/>
                <w:sz w:val="20"/>
                <w:szCs w:val="20"/>
              </w:rPr>
              <w:t>Age distribution of COVID-19 deaths: Deaths registered weekly in England and Wales, provisional, Office of National Statistics, dataset (sheet "UK - Covid-19 - Weekly reg") retrieved from https://www.ons.gov.uk/peoplepopulationandcommunity/birthsdeathsandmarriages/deaths/datasets/weeklyprovisionalfiguresondeathsregisteredinenglandandwales (accessed February 19, 2021). Note that this dataset includes numbers for the United Kingdom, not only England and Wales.</w:t>
            </w:r>
          </w:p>
        </w:tc>
      </w:tr>
      <w:tr w:rsidR="007E5BFA" w:rsidRPr="00B507C6" w14:paraId="339AC779" w14:textId="77777777" w:rsidTr="00B507C6">
        <w:tc>
          <w:tcPr>
            <w:tcW w:w="0" w:type="auto"/>
          </w:tcPr>
          <w:p w14:paraId="7F5D37B2" w14:textId="1AC2E8B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Deaths registered weekly in England and Wales, provisional, Office of National Statistics, dataset (sheet "UK - Covid-19 - Weekly reg") retrieved from https://www.ons.gov.uk/peoplepopulationandcommunity/birthsdeathsandmarriages/deaths/datasets/weeklyprovisionalfiguresondeathsregisteredinenglandandwales (accessed February 19, 2021). Note that this dataset includes numbers for the United Kingdom, not only England and Wales.</w:t>
            </w:r>
          </w:p>
        </w:tc>
      </w:tr>
      <w:tr w:rsidR="007E5BFA" w:rsidRPr="00B507C6" w14:paraId="395D7F16" w14:textId="77777777" w:rsidTr="00B507C6">
        <w:tc>
          <w:tcPr>
            <w:tcW w:w="0" w:type="auto"/>
          </w:tcPr>
          <w:p w14:paraId="53E33A6F" w14:textId="308A94B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Comas-Herrera A, Zalakaín J, Lemmon E, Henderson D, Litwin C, Hsu AT, Schmidt AE, Arling G and Fernández J-L (2020) Mortality associated with COVID-19 in care homes: international evidence. Article in LTCcovid.org, International Long-Term Care Policy Network, CPEC-LSE, 14 October</w:t>
            </w:r>
          </w:p>
        </w:tc>
      </w:tr>
      <w:tr w:rsidR="007E5BFA" w:rsidRPr="00B507C6" w14:paraId="2F81304D" w14:textId="77777777" w:rsidTr="00B507C6">
        <w:tc>
          <w:tcPr>
            <w:tcW w:w="0" w:type="auto"/>
          </w:tcPr>
          <w:p w14:paraId="52E14C21" w14:textId="4322C80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10C24E15" w14:textId="77777777" w:rsidTr="00B507C6">
        <w:tc>
          <w:tcPr>
            <w:tcW w:w="0" w:type="auto"/>
          </w:tcPr>
          <w:p w14:paraId="0A26D8B0" w14:textId="788F713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 estimates for the UK, England and Wales, Scotland and Northern Ireland: mid-2019, using April 2020 local authority district codes, Office for National Statistics (sheet “MYE1”), retrieved from https://www.ons.gov.uk/peoplepopulationandcommunity/populationandmigration/populationestimates/datasets/populationestimatesforukenglandandwalesscotlandandnorthernireland, "Mid-2019: April 2020 local authority district codes"</w:t>
            </w:r>
          </w:p>
        </w:tc>
      </w:tr>
      <w:tr w:rsidR="007E5BFA" w:rsidRPr="00B507C6" w14:paraId="161992D7" w14:textId="77777777" w:rsidTr="00B507C6">
        <w:tc>
          <w:tcPr>
            <w:tcW w:w="0" w:type="auto"/>
          </w:tcPr>
          <w:p w14:paraId="410B8199" w14:textId="20CDD635" w:rsidR="007E5BFA" w:rsidRPr="00B507C6" w:rsidRDefault="007E5BFA" w:rsidP="00FD6973">
            <w:pPr>
              <w:rPr>
                <w:rFonts w:ascii="Times New Roman" w:hAnsi="Times New Roman" w:cs="Times New Roman"/>
                <w:sz w:val="20"/>
                <w:szCs w:val="20"/>
              </w:rPr>
            </w:pPr>
            <w:r w:rsidRPr="00B507C6">
              <w:rPr>
                <w:rFonts w:ascii="Times New Roman" w:hAnsi="Times New Roman" w:cs="Times New Roman"/>
                <w:sz w:val="20"/>
                <w:szCs w:val="20"/>
              </w:rPr>
              <w:t>Population in nursing homes: Comas-Herrera A, Zalakaín J, Lemmon E, Henderson D, Litwin C, Hsu AT, Schmidt AE, Arling G and Fernández J-L (2020) Mortality associated with COVID-19 in care homes: international evidence. Article in LTCcovid.org, International Long-Term Care Policy Network, CPEC-LSE, 14 October (Table 2, column “% of pop living in care homes”)</w:t>
            </w:r>
          </w:p>
        </w:tc>
      </w:tr>
      <w:tr w:rsidR="007E5BFA" w:rsidRPr="00B507C6" w14:paraId="104348B5" w14:textId="77777777" w:rsidTr="00B507C6">
        <w:tc>
          <w:tcPr>
            <w:tcW w:w="0" w:type="auto"/>
          </w:tcPr>
          <w:p w14:paraId="6E230012" w14:textId="263F8C69" w:rsidR="007E5BFA" w:rsidRPr="00B507C6" w:rsidRDefault="007E5BFA" w:rsidP="001E698C">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Bowman et al 2004, Age and Ageing 2004; 33: 561–566, doi:10.1093/ageing/afh177</w:t>
            </w:r>
          </w:p>
        </w:tc>
      </w:tr>
      <w:tr w:rsidR="007E5BFA" w:rsidRPr="00B507C6" w14:paraId="5EDDF341" w14:textId="77777777" w:rsidTr="00B507C6">
        <w:tc>
          <w:tcPr>
            <w:tcW w:w="0" w:type="auto"/>
          </w:tcPr>
          <w:p w14:paraId="49ED4277" w14:textId="77777777"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w:t>
            </w:r>
          </w:p>
          <w:p w14:paraId="00490BA5" w14:textId="44BBFE3E" w:rsidR="00765239" w:rsidRPr="00B507C6" w:rsidRDefault="00765239" w:rsidP="006F5853">
            <w:pPr>
              <w:rPr>
                <w:rFonts w:ascii="Times New Roman" w:hAnsi="Times New Roman" w:cs="Times New Roman"/>
                <w:sz w:val="20"/>
                <w:szCs w:val="20"/>
              </w:rPr>
            </w:pPr>
            <w:r>
              <w:rPr>
                <w:rFonts w:ascii="Times New Roman" w:hAnsi="Times New Roman" w:cs="Times New Roman"/>
                <w:sz w:val="20"/>
                <w:szCs w:val="20"/>
              </w:rPr>
              <w:t>The alternative sampling period May 27</w:t>
            </w:r>
            <w:r w:rsidR="00ED79D1">
              <w:rPr>
                <w:rFonts w:ascii="Times New Roman" w:hAnsi="Times New Roman" w:cs="Times New Roman"/>
                <w:sz w:val="20"/>
                <w:szCs w:val="20"/>
              </w:rPr>
              <w:t>, 2020,</w:t>
            </w:r>
            <w:r>
              <w:rPr>
                <w:rFonts w:ascii="Times New Roman" w:hAnsi="Times New Roman" w:cs="Times New Roman"/>
                <w:sz w:val="20"/>
                <w:szCs w:val="20"/>
              </w:rPr>
              <w:t xml:space="preserve"> to July 6</w:t>
            </w:r>
            <w:r w:rsidR="00ED79D1">
              <w:rPr>
                <w:rFonts w:ascii="Times New Roman" w:hAnsi="Times New Roman" w:cs="Times New Roman"/>
                <w:sz w:val="20"/>
                <w:szCs w:val="20"/>
              </w:rPr>
              <w:t>, 2020,</w:t>
            </w:r>
            <w:r>
              <w:rPr>
                <w:rFonts w:ascii="Times New Roman" w:hAnsi="Times New Roman" w:cs="Times New Roman"/>
                <w:sz w:val="20"/>
                <w:szCs w:val="20"/>
              </w:rPr>
              <w:t xml:space="preserve"> is discarded according to eligibility criteria (lower seroprevalence). </w:t>
            </w:r>
          </w:p>
        </w:tc>
      </w:tr>
      <w:tr w:rsidR="007E5BFA" w:rsidRPr="00B507C6" w14:paraId="20FAAFA1" w14:textId="77777777" w:rsidTr="00B507C6">
        <w:tc>
          <w:tcPr>
            <w:tcW w:w="0" w:type="auto"/>
          </w:tcPr>
          <w:p w14:paraId="01011B88" w14:textId="77777777" w:rsidR="007E5BFA" w:rsidRPr="00B507C6" w:rsidRDefault="007E5BFA">
            <w:pPr>
              <w:rPr>
                <w:rFonts w:ascii="Times New Roman" w:hAnsi="Times New Roman" w:cs="Times New Roman"/>
                <w:sz w:val="20"/>
                <w:szCs w:val="20"/>
              </w:rPr>
            </w:pPr>
          </w:p>
        </w:tc>
      </w:tr>
      <w:tr w:rsidR="007E5BFA" w:rsidRPr="00B507C6" w14:paraId="68B2A7D5" w14:textId="77777777" w:rsidTr="00B507C6">
        <w:tc>
          <w:tcPr>
            <w:tcW w:w="0" w:type="auto"/>
          </w:tcPr>
          <w:p w14:paraId="0998F352" w14:textId="2DC73F5B"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United Kingdom [England] (Study: Ward)</w:t>
            </w:r>
          </w:p>
        </w:tc>
      </w:tr>
      <w:tr w:rsidR="007E5BFA" w:rsidRPr="00B507C6" w14:paraId="6F79CCCE" w14:textId="77777777" w:rsidTr="00B507C6">
        <w:tc>
          <w:tcPr>
            <w:tcW w:w="0" w:type="auto"/>
          </w:tcPr>
          <w:p w14:paraId="2009FCB5" w14:textId="6D4CDAB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69114208" w14:textId="77777777" w:rsidTr="00B507C6">
        <w:tc>
          <w:tcPr>
            <w:tcW w:w="0" w:type="auto"/>
          </w:tcPr>
          <w:p w14:paraId="2EB2FABD" w14:textId="67972712" w:rsidR="007E5BFA" w:rsidRPr="00B507C6" w:rsidRDefault="007E5BFA" w:rsidP="007955AC">
            <w:pPr>
              <w:rPr>
                <w:rFonts w:ascii="Times New Roman" w:hAnsi="Times New Roman" w:cs="Times New Roman"/>
                <w:sz w:val="20"/>
                <w:szCs w:val="20"/>
              </w:rPr>
            </w:pPr>
            <w:r w:rsidRPr="00B507C6">
              <w:rPr>
                <w:rFonts w:ascii="Times New Roman" w:hAnsi="Times New Roman" w:cs="Times New Roman"/>
                <w:sz w:val="20"/>
                <w:szCs w:val="20"/>
              </w:rPr>
              <w:t>Age distribution of COVID-19 deaths: Deaths registered weekly in England and Wales, provisional, Office of National Statistics, dataset (sheet "UK - Covid-19 - Weekly occurrences") retrieved from https://www.ons.gov.uk/peoplepopulationandcommunity/birthsdeathsandmarriages/deaths/datasets/weeklyprovisionalfiguresondeathsregisteredinenglandandwales (accessed February 19, 2021). The age distribution for England and Wales is used.</w:t>
            </w:r>
          </w:p>
        </w:tc>
      </w:tr>
      <w:tr w:rsidR="007E5BFA" w:rsidRPr="00B507C6" w14:paraId="193D8102" w14:textId="77777777" w:rsidTr="00B507C6">
        <w:tc>
          <w:tcPr>
            <w:tcW w:w="0" w:type="auto"/>
          </w:tcPr>
          <w:p w14:paraId="561F1BE0" w14:textId="18F04C8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Deaths registered weekly in England and Wales, provisional, Office of National Statistics, dataset (sheet "UK - Covid-19 - Weekly occurrences") retrieved from https://www.ons.gov.uk/peoplepopulationandcommunity/birthsdeathsandmarriages/deaths/datasets/weeklyprovisionalfiguresondeathsregisteredinenglandandwales (accessed February 19, 2021).</w:t>
            </w:r>
          </w:p>
        </w:tc>
      </w:tr>
      <w:tr w:rsidR="007E5BFA" w:rsidRPr="00B507C6" w14:paraId="39F3A3BE" w14:textId="77777777" w:rsidTr="00B507C6">
        <w:tc>
          <w:tcPr>
            <w:tcW w:w="0" w:type="auto"/>
          </w:tcPr>
          <w:p w14:paraId="678AEE83" w14:textId="4739ABA9" w:rsidR="007E5BFA" w:rsidRPr="00B507C6" w:rsidRDefault="007E5BFA" w:rsidP="00C8064E">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Dataset ("julydeathsinvolvingcovid19inthecaresectordataset02072020155122.xlsx", sheet: “Table 1”), retrieved from https://www.ons.gov.uk/peoplepopulationandcommunity/birthsdeathsandmarriages/deaths/datasets/deathsinvolvingcovid19inthecaresectorenglandandwales (accessed February 19, 2021)</w:t>
            </w:r>
          </w:p>
        </w:tc>
      </w:tr>
      <w:tr w:rsidR="007E5BFA" w:rsidRPr="00B507C6" w14:paraId="07DD93D2" w14:textId="77777777" w:rsidTr="00B507C6">
        <w:tc>
          <w:tcPr>
            <w:tcW w:w="0" w:type="auto"/>
          </w:tcPr>
          <w:p w14:paraId="52DD88E3" w14:textId="4E848553" w:rsidR="007E5BFA" w:rsidRPr="00B507C6" w:rsidRDefault="007E5BFA" w:rsidP="00B055FF">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Deaths registered weekly in England and Wales, provisional, Office of National Statistics, dataset (sheet "UK - Covid-19 - Daily occurrences") retrieved from https://www.ons.gov.uk/peoplepopulationandcommunity/birthsdeathsandmarriages/deaths/datasets/weeklyprovisionalfiguresondeathsregisteredinenglandandwales (accessed February 19, 2021).</w:t>
            </w:r>
          </w:p>
        </w:tc>
      </w:tr>
      <w:tr w:rsidR="007E5BFA" w:rsidRPr="00B507C6" w14:paraId="69B77CD1" w14:textId="77777777" w:rsidTr="00B507C6">
        <w:tc>
          <w:tcPr>
            <w:tcW w:w="0" w:type="auto"/>
          </w:tcPr>
          <w:p w14:paraId="5A7C8247" w14:textId="6F261F34"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Population overall and in elderly: Population estimates for the UK, England and Wales, Scotland and Northern Ireland: mid-2019, using April 2020 local authority district codes, Office for National Statistics (sheet “MYE1”), retrieved from </w:t>
            </w:r>
            <w:r w:rsidRPr="00B507C6">
              <w:rPr>
                <w:rFonts w:ascii="Times New Roman" w:hAnsi="Times New Roman" w:cs="Times New Roman"/>
                <w:sz w:val="20"/>
                <w:szCs w:val="20"/>
              </w:rPr>
              <w:lastRenderedPageBreak/>
              <w:t>https://www.ons.gov.uk/peoplepopulationandcommunity/populationandmigration/populationestimates/datasets/populationestimatesforukenglandandwalesscotlandandnorthernireland, "Mid-2019: April 2020 local authority district codes"</w:t>
            </w:r>
          </w:p>
        </w:tc>
      </w:tr>
      <w:tr w:rsidR="007E5BFA" w:rsidRPr="00B507C6" w14:paraId="0CED3914" w14:textId="77777777" w:rsidTr="00B507C6">
        <w:tc>
          <w:tcPr>
            <w:tcW w:w="0" w:type="auto"/>
          </w:tcPr>
          <w:p w14:paraId="6687CB9B" w14:textId="4F13CFCC"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lastRenderedPageBreak/>
              <w:t>Population in nursing homes: Comas-Herrera A, Zalakaín J, Lemmon E, Henderson D, Litwin C, Hsu AT, Schmidt AE, Arling G and Fernández J-L (2020) Mortality associated with COVID-19 in care homes: international evidence. Article in LTCcovid.org, International Long-Term Care Policy Network, CPEC-LSE, 14 October (Table 2, column “% of pop living in care homes”)</w:t>
            </w:r>
          </w:p>
        </w:tc>
      </w:tr>
      <w:tr w:rsidR="007E5BFA" w:rsidRPr="00B507C6" w14:paraId="7AE275FD" w14:textId="77777777" w:rsidTr="00B507C6">
        <w:tc>
          <w:tcPr>
            <w:tcW w:w="0" w:type="auto"/>
          </w:tcPr>
          <w:p w14:paraId="03B365F3" w14:textId="11CFFD6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Dataset at http://www.nomisweb.co.uk/census/2011/all_tables?release=3.4, "DC4210EWIa", England</w:t>
            </w:r>
          </w:p>
        </w:tc>
      </w:tr>
      <w:tr w:rsidR="007E5BFA" w:rsidRPr="00B507C6" w14:paraId="220CFA7D" w14:textId="77777777" w:rsidTr="00B507C6">
        <w:tc>
          <w:tcPr>
            <w:tcW w:w="0" w:type="auto"/>
          </w:tcPr>
          <w:p w14:paraId="5CD55CA6" w14:textId="04A237A5"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 The age distribution of COVID-19 mortality for England and Wales is used.</w:t>
            </w:r>
          </w:p>
        </w:tc>
      </w:tr>
      <w:tr w:rsidR="007E5BFA" w:rsidRPr="00B507C6" w14:paraId="6E7B4AD7" w14:textId="77777777" w:rsidTr="00B507C6">
        <w:tc>
          <w:tcPr>
            <w:tcW w:w="0" w:type="auto"/>
          </w:tcPr>
          <w:p w14:paraId="6A128D55" w14:textId="77777777" w:rsidR="007E5BFA" w:rsidRPr="00B507C6" w:rsidRDefault="007E5BFA">
            <w:pPr>
              <w:rPr>
                <w:rFonts w:ascii="Times New Roman" w:hAnsi="Times New Roman" w:cs="Times New Roman"/>
                <w:sz w:val="20"/>
                <w:szCs w:val="20"/>
              </w:rPr>
            </w:pPr>
          </w:p>
        </w:tc>
      </w:tr>
      <w:tr w:rsidR="007E5BFA" w:rsidRPr="00B507C6" w14:paraId="283A7C0F" w14:textId="77777777" w:rsidTr="00B507C6">
        <w:tc>
          <w:tcPr>
            <w:tcW w:w="0" w:type="auto"/>
          </w:tcPr>
          <w:p w14:paraId="4A653FE5" w14:textId="788CF275" w:rsidR="007E5BFA" w:rsidRPr="00B507C6" w:rsidRDefault="007E5BFA" w:rsidP="004D7799">
            <w:pPr>
              <w:rPr>
                <w:rFonts w:ascii="Times New Roman" w:hAnsi="Times New Roman" w:cs="Times New Roman"/>
                <w:b/>
                <w:sz w:val="20"/>
                <w:szCs w:val="20"/>
              </w:rPr>
            </w:pPr>
            <w:r w:rsidRPr="00B507C6">
              <w:rPr>
                <w:rFonts w:ascii="Times New Roman" w:hAnsi="Times New Roman" w:cs="Times New Roman"/>
                <w:b/>
                <w:sz w:val="20"/>
                <w:szCs w:val="20"/>
              </w:rPr>
              <w:t>United Kingdom [England and Wales] (Study: Public Health England)</w:t>
            </w:r>
          </w:p>
        </w:tc>
      </w:tr>
      <w:tr w:rsidR="007E5BFA" w:rsidRPr="00B507C6" w14:paraId="2F52F179" w14:textId="77777777" w:rsidTr="00B507C6">
        <w:tc>
          <w:tcPr>
            <w:tcW w:w="0" w:type="auto"/>
          </w:tcPr>
          <w:p w14:paraId="47681817" w14:textId="54B6E9F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20C04FEB" w14:textId="77777777" w:rsidTr="00B507C6">
        <w:tc>
          <w:tcPr>
            <w:tcW w:w="0" w:type="auto"/>
          </w:tcPr>
          <w:p w14:paraId="1C067E9C" w14:textId="6D74A90E"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Deaths registered weekly in England and Wales, provisional, Office of National Statistics, dataset (sheet "UK - Covid-19 - Weekly occurrences") retrieved from https://www.ons.gov.uk/peoplepopulationandcommunity/birthsdeathsandmarriages/deaths/datasets/weeklyprovisionalfiguresondeathsregisteredinenglandandwales (accessed February 19, 2021).</w:t>
            </w:r>
          </w:p>
        </w:tc>
      </w:tr>
      <w:tr w:rsidR="007E5BFA" w:rsidRPr="00B507C6" w14:paraId="6C32DE96" w14:textId="77777777" w:rsidTr="00B507C6">
        <w:tc>
          <w:tcPr>
            <w:tcW w:w="0" w:type="auto"/>
          </w:tcPr>
          <w:p w14:paraId="0CC6AC03" w14:textId="31EF2BBD"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Deaths registered weekly in England and Wales, provisional, Office of National Statistics, dataset (sheet "UK - Covid-19 - Weekly occurrences") retrieved from https://www.ons.gov.uk/peoplepopulationandcommunity/birthsdeathsandmarriages/deaths/datasets/weeklyprovisionalfiguresondeathsregisteredinenglandandwales (accessed February 19, 2021).</w:t>
            </w:r>
          </w:p>
        </w:tc>
      </w:tr>
      <w:tr w:rsidR="007E5BFA" w:rsidRPr="00B507C6" w14:paraId="6327B829" w14:textId="77777777" w:rsidTr="00B507C6">
        <w:tc>
          <w:tcPr>
            <w:tcW w:w="0" w:type="auto"/>
          </w:tcPr>
          <w:p w14:paraId="76920F29" w14:textId="4E09ABD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Dataset ("julydeathsinvolvingcovid19inthecaresectordataset02072020155122.xlsx", sheet: “Table 1”), retrieved from https://www.ons.gov.uk/peoplepopulationandcommunity/birthsdeathsandmarriages/deaths/datasets/deathsinvolvingcovid19inthecaresectorenglandandwales (accessed February 19, 2021)</w:t>
            </w:r>
          </w:p>
        </w:tc>
      </w:tr>
      <w:tr w:rsidR="007E5BFA" w:rsidRPr="00B507C6" w14:paraId="3A16F142" w14:textId="77777777" w:rsidTr="00B507C6">
        <w:tc>
          <w:tcPr>
            <w:tcW w:w="0" w:type="auto"/>
          </w:tcPr>
          <w:p w14:paraId="05D0E965" w14:textId="69FFEB2A"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Deaths registered weekly in England and Wales, provisional, Office of National Statistics, dataset (sheet "UK - Covid-19 - Daily occurrences") retrieved from https://www.ons.gov.uk/peoplepopulationandcommunity/birthsdeathsandmarriages/deaths/datasets/weeklyprovisionalfiguresondeathsregisteredinenglandandwales (accessed February 19, 2021).</w:t>
            </w:r>
          </w:p>
        </w:tc>
      </w:tr>
      <w:tr w:rsidR="007E5BFA" w:rsidRPr="00B507C6" w14:paraId="38A3E4C2" w14:textId="77777777" w:rsidTr="00B507C6">
        <w:tc>
          <w:tcPr>
            <w:tcW w:w="0" w:type="auto"/>
          </w:tcPr>
          <w:p w14:paraId="1D324FC3" w14:textId="2587886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Population estimates for the UK, England and Wales, Scotland and Northern Ireland: mid-2019, using April 2020 local authority district codes, Office for National Statistics (sheet “MYE1”), retrieved from https://www.ons.gov.uk/peoplepopulationandcommunity/populationandmigration/populationestimates/datasets/populationestimatesforukenglandandwalesscotlandandnorthernireland, "Mid-2019: April 2020 local authority district codes"</w:t>
            </w:r>
          </w:p>
        </w:tc>
      </w:tr>
      <w:tr w:rsidR="007E5BFA" w:rsidRPr="00B507C6" w14:paraId="11D964F6" w14:textId="77777777" w:rsidTr="00B507C6">
        <w:tc>
          <w:tcPr>
            <w:tcW w:w="0" w:type="auto"/>
          </w:tcPr>
          <w:p w14:paraId="0874C7DB" w14:textId="14482535"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Comas-Herrera A, Zalakaín J, Lemmon E, Henderson D, Litwin C, Hsu AT, Schmidt AE, Arling G and Fernández J-L (2020) Mortality associated with COVID-19 in care homes: international evidence. Article in LTCcovid.org, International Long-Term Care Policy Network, CPEC-LSE, 14 October (Table 2, column “% of pop living in care homes”, England)</w:t>
            </w:r>
          </w:p>
        </w:tc>
      </w:tr>
      <w:tr w:rsidR="007E5BFA" w:rsidRPr="00B507C6" w14:paraId="61264212" w14:textId="77777777" w:rsidTr="00B507C6">
        <w:tc>
          <w:tcPr>
            <w:tcW w:w="0" w:type="auto"/>
          </w:tcPr>
          <w:p w14:paraId="5C02DA5B" w14:textId="5DD93341" w:rsidR="007E5BFA" w:rsidRPr="00B507C6" w:rsidRDefault="007E5BFA" w:rsidP="00BD0BC0">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Dataset at http://www.nomisweb.co.uk/census/2011/all_tables?release=3.4, "DC4210EWIa", England and Wales</w:t>
            </w:r>
          </w:p>
        </w:tc>
      </w:tr>
      <w:tr w:rsidR="007E5BFA" w:rsidRPr="00B507C6" w14:paraId="69DE205A" w14:textId="77777777" w:rsidTr="00B507C6">
        <w:tc>
          <w:tcPr>
            <w:tcW w:w="0" w:type="auto"/>
          </w:tcPr>
          <w:p w14:paraId="095046D8" w14:textId="77777777"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Comments:</w:t>
            </w:r>
          </w:p>
          <w:p w14:paraId="13C193DE" w14:textId="15062DA1" w:rsidR="00765239" w:rsidRPr="00B507C6" w:rsidRDefault="00765239" w:rsidP="006F5853">
            <w:pPr>
              <w:rPr>
                <w:rFonts w:ascii="Times New Roman" w:hAnsi="Times New Roman" w:cs="Times New Roman"/>
                <w:sz w:val="20"/>
                <w:szCs w:val="20"/>
              </w:rPr>
            </w:pPr>
            <w:r>
              <w:rPr>
                <w:rFonts w:ascii="Times New Roman" w:hAnsi="Times New Roman" w:cs="Times New Roman"/>
                <w:sz w:val="20"/>
                <w:szCs w:val="20"/>
              </w:rPr>
              <w:t>F</w:t>
            </w:r>
            <w:r w:rsidRPr="00765239">
              <w:rPr>
                <w:rFonts w:ascii="Times New Roman" w:hAnsi="Times New Roman" w:cs="Times New Roman"/>
                <w:sz w:val="20"/>
                <w:szCs w:val="20"/>
              </w:rPr>
              <w:t xml:space="preserve">irst of two </w:t>
            </w:r>
            <w:r>
              <w:rPr>
                <w:rFonts w:ascii="Times New Roman" w:hAnsi="Times New Roman" w:cs="Times New Roman"/>
                <w:sz w:val="20"/>
                <w:szCs w:val="20"/>
              </w:rPr>
              <w:t xml:space="preserve">sampling </w:t>
            </w:r>
            <w:r w:rsidRPr="00765239">
              <w:rPr>
                <w:rFonts w:ascii="Times New Roman" w:hAnsi="Times New Roman" w:cs="Times New Roman"/>
                <w:sz w:val="20"/>
                <w:szCs w:val="20"/>
              </w:rPr>
              <w:t>periods, chosen according to eligibility criteria (highest seroprevalence).</w:t>
            </w:r>
          </w:p>
        </w:tc>
      </w:tr>
      <w:tr w:rsidR="007E5BFA" w:rsidRPr="00B507C6" w14:paraId="196C8651" w14:textId="77777777" w:rsidTr="00B507C6">
        <w:tc>
          <w:tcPr>
            <w:tcW w:w="0" w:type="auto"/>
          </w:tcPr>
          <w:p w14:paraId="66B61759" w14:textId="77777777" w:rsidR="007E5BFA" w:rsidRPr="00B507C6" w:rsidRDefault="007E5BFA">
            <w:pPr>
              <w:rPr>
                <w:rFonts w:ascii="Times New Roman" w:hAnsi="Times New Roman" w:cs="Times New Roman"/>
                <w:sz w:val="20"/>
                <w:szCs w:val="20"/>
              </w:rPr>
            </w:pPr>
          </w:p>
        </w:tc>
      </w:tr>
      <w:tr w:rsidR="007E5BFA" w:rsidRPr="00B507C6" w14:paraId="2DA49FF5" w14:textId="77777777" w:rsidTr="00B507C6">
        <w:tc>
          <w:tcPr>
            <w:tcW w:w="0" w:type="auto"/>
          </w:tcPr>
          <w:p w14:paraId="73698067" w14:textId="5433CBEC"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United Kingdom [Greater Glasgow and Clyde, Scotland] (Study: Hughes)</w:t>
            </w:r>
          </w:p>
        </w:tc>
      </w:tr>
      <w:tr w:rsidR="007E5BFA" w:rsidRPr="00B507C6" w14:paraId="23B3006C" w14:textId="77777777" w:rsidTr="00B507C6">
        <w:tc>
          <w:tcPr>
            <w:tcW w:w="0" w:type="auto"/>
          </w:tcPr>
          <w:p w14:paraId="47286F22" w14:textId="3D19925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3C18CFBA" w14:textId="77777777" w:rsidTr="00B507C6">
        <w:tc>
          <w:tcPr>
            <w:tcW w:w="0" w:type="auto"/>
          </w:tcPr>
          <w:p w14:paraId="25240661" w14:textId="335105A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Weekly deaths by health board, age group, sex and cause, 2020 and 2021</w:t>
            </w:r>
            <w:r w:rsidRPr="00B507C6">
              <w:rPr>
                <w:rFonts w:ascii="Times New Roman" w:hAnsi="Times New Roman" w:cs="Times New Roman"/>
                <w:sz w:val="20"/>
                <w:szCs w:val="20"/>
              </w:rPr>
              <w:tab/>
              <w:t>, dataset retrieved from https://www.nrscotland.gov.uk/files/statistics/covid19/weekly-deaths-by-sex-age-group-health-board-2020-2021.xlsx (accessed February 19, 2021; date range specified according to primary date)</w:t>
            </w:r>
          </w:p>
        </w:tc>
      </w:tr>
      <w:tr w:rsidR="007E5BFA" w:rsidRPr="00B507C6" w14:paraId="743150DA" w14:textId="77777777" w:rsidTr="00B507C6">
        <w:tc>
          <w:tcPr>
            <w:tcW w:w="0" w:type="auto"/>
          </w:tcPr>
          <w:p w14:paraId="1EE5F9C0" w14:textId="40F5935F"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Total number of deaths for the primary date: Weekly deaths by health board, age group, sex and cause, 2020 and 2021, dataset retrieved from https://www.nrscotland.gov.uk/files/statistics/covid19/weekly-deaths-by-sex-age-group-health-board-2020-2021.xlsx (accessed February 19, 2021; date range specified according to primary date)</w:t>
            </w:r>
          </w:p>
        </w:tc>
      </w:tr>
      <w:tr w:rsidR="007E5BFA" w:rsidRPr="00B507C6" w14:paraId="6F96BD51" w14:textId="77777777" w:rsidTr="00B507C6">
        <w:tc>
          <w:tcPr>
            <w:tcW w:w="0" w:type="auto"/>
          </w:tcPr>
          <w:p w14:paraId="22F7A5D2" w14:textId="6021B5A9"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Weekly deaths by area and location, 2020 and 2021 (sheet: “HB COVID”), dataset retrieved from https://www.nrscotland.gov.uk/files/statistics/covid19/weekly-deaths-by-location-health-board-council-area-2020-2021.xlsx</w:t>
            </w:r>
          </w:p>
        </w:tc>
      </w:tr>
      <w:tr w:rsidR="007E5BFA" w:rsidRPr="00B507C6" w14:paraId="033FCCA0" w14:textId="77777777" w:rsidTr="00B507C6">
        <w:tc>
          <w:tcPr>
            <w:tcW w:w="0" w:type="auto"/>
          </w:tcPr>
          <w:p w14:paraId="04E9C417" w14:textId="6926DC12" w:rsidR="007E5BFA" w:rsidRPr="00B507C6" w:rsidRDefault="007E5BFA" w:rsidP="0046079A">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Deaths involving coronavirus (COVID-19) in Scotland (Table 1 (2020), dataset retrieved from https://www.nrscotland.gov.uk/statistics-and-data/statistics/statistics-by-theme/vital-</w:t>
            </w:r>
            <w:r w:rsidRPr="00B507C6">
              <w:rPr>
                <w:rFonts w:ascii="Times New Roman" w:hAnsi="Times New Roman" w:cs="Times New Roman"/>
                <w:sz w:val="20"/>
                <w:szCs w:val="20"/>
              </w:rPr>
              <w:lastRenderedPageBreak/>
              <w:t>events/general-publications/weekly-and-monthly-data-on-births-and-deaths/deaths-involving-coronavirus-covid-19-in-scotland</w:t>
            </w:r>
          </w:p>
        </w:tc>
      </w:tr>
      <w:tr w:rsidR="007E5BFA" w:rsidRPr="00B507C6" w14:paraId="5B99C517" w14:textId="77777777" w:rsidTr="00B507C6">
        <w:tc>
          <w:tcPr>
            <w:tcW w:w="0" w:type="auto"/>
          </w:tcPr>
          <w:p w14:paraId="4199B585" w14:textId="279EFE7B" w:rsidR="007E5BFA" w:rsidRPr="00B507C6" w:rsidRDefault="007E5BFA" w:rsidP="004D6543">
            <w:pPr>
              <w:rPr>
                <w:rFonts w:ascii="Times New Roman" w:hAnsi="Times New Roman" w:cs="Times New Roman"/>
                <w:sz w:val="20"/>
                <w:szCs w:val="20"/>
              </w:rPr>
            </w:pPr>
            <w:r w:rsidRPr="00B507C6">
              <w:rPr>
                <w:rFonts w:ascii="Times New Roman" w:hAnsi="Times New Roman" w:cs="Times New Roman"/>
                <w:sz w:val="20"/>
                <w:szCs w:val="20"/>
              </w:rPr>
              <w:lastRenderedPageBreak/>
              <w:t>Population overall and in elderly: "Mid-2019 population estimates Scotland" (sheet: “Table 3”), dataset retrieved from https://www.nrscotland.gov.uk/statistics-and-data/statistics/statistics-by-theme/population/population-estimates/mid-year-population-estimates/mid-2019</w:t>
            </w:r>
          </w:p>
        </w:tc>
      </w:tr>
      <w:tr w:rsidR="007E5BFA" w:rsidRPr="00B507C6" w14:paraId="47085BE0" w14:textId="77777777" w:rsidTr="00B507C6">
        <w:tc>
          <w:tcPr>
            <w:tcW w:w="0" w:type="auto"/>
          </w:tcPr>
          <w:p w14:paraId="15CFF52D" w14:textId="7211FFAF" w:rsidR="007E5BFA" w:rsidRPr="00B507C6" w:rsidRDefault="007E5BFA" w:rsidP="00EC4E72">
            <w:pPr>
              <w:rPr>
                <w:rFonts w:ascii="Times New Roman" w:hAnsi="Times New Roman" w:cs="Times New Roman"/>
                <w:sz w:val="20"/>
                <w:szCs w:val="20"/>
              </w:rPr>
            </w:pPr>
            <w:r w:rsidRPr="00B507C6">
              <w:rPr>
                <w:rFonts w:ascii="Times New Roman" w:hAnsi="Times New Roman" w:cs="Times New Roman"/>
                <w:sz w:val="20"/>
                <w:szCs w:val="20"/>
              </w:rPr>
              <w:t>Population in nursing homes: Scottish Care Home Census, Public Health Scotland (PHS), "Care Home Census Data Tables", (sheet: “Table 3”), dataset retrieved from https://beta.isdscotland.org/find-publications-and-data/health-and-social-care/social-and-community-care/care-home-census-for-adults-in-scotland/</w:t>
            </w:r>
          </w:p>
        </w:tc>
      </w:tr>
      <w:tr w:rsidR="007E5BFA" w:rsidRPr="00B507C6" w14:paraId="19C7D989" w14:textId="77777777" w:rsidTr="00B507C6">
        <w:tc>
          <w:tcPr>
            <w:tcW w:w="0" w:type="auto"/>
          </w:tcPr>
          <w:p w14:paraId="26B984DB" w14:textId="7E8D4578"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Scottish Care Home Census, Public Health Scotland (PHS), "Care Home Census Data Tables", (sheet: “Table 8”), dataset retrieved from https://beta.isdscotland.org/find-publications-and-data/health-and-social-care/social-and-community-care/care-home-census-for-adults-in-scotland/</w:t>
            </w:r>
          </w:p>
        </w:tc>
      </w:tr>
      <w:tr w:rsidR="007E5BFA" w:rsidRPr="00B507C6" w14:paraId="1DED9AA4" w14:textId="77777777" w:rsidTr="00B507C6">
        <w:tc>
          <w:tcPr>
            <w:tcW w:w="0" w:type="auto"/>
          </w:tcPr>
          <w:p w14:paraId="348AF024" w14:textId="77777777" w:rsidR="0017430E"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Comments: </w:t>
            </w:r>
          </w:p>
          <w:p w14:paraId="4A798754" w14:textId="77777777"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NHSGGC (base for seroprevalence study sampling) covers the following local authorities: Inverclyde, Renfrewshire, East Renfrewshire, Glasgow City, East Dunbartonshire and West Dunbartonshire.</w:t>
            </w:r>
          </w:p>
          <w:p w14:paraId="22F11378" w14:textId="030B1FC8" w:rsidR="0017430E" w:rsidRPr="00B507C6" w:rsidRDefault="0017430E" w:rsidP="00ED79D1">
            <w:pPr>
              <w:rPr>
                <w:rFonts w:ascii="Times New Roman" w:hAnsi="Times New Roman" w:cs="Times New Roman"/>
                <w:sz w:val="20"/>
                <w:szCs w:val="20"/>
              </w:rPr>
            </w:pPr>
            <w:r>
              <w:rPr>
                <w:rFonts w:ascii="Times New Roman" w:hAnsi="Times New Roman" w:cs="Times New Roman"/>
                <w:sz w:val="20"/>
                <w:szCs w:val="20"/>
              </w:rPr>
              <w:t>COVID-19 death statistics</w:t>
            </w:r>
            <w:r w:rsidR="00CC4FE9">
              <w:rPr>
                <w:rFonts w:ascii="Times New Roman" w:hAnsi="Times New Roman" w:cs="Times New Roman"/>
                <w:sz w:val="20"/>
                <w:szCs w:val="20"/>
              </w:rPr>
              <w:t xml:space="preserve"> for nursing home residents do</w:t>
            </w:r>
            <w:r>
              <w:rPr>
                <w:rFonts w:ascii="Times New Roman" w:hAnsi="Times New Roman" w:cs="Times New Roman"/>
                <w:sz w:val="20"/>
                <w:szCs w:val="20"/>
              </w:rPr>
              <w:t xml:space="preserve"> not include deaths occurring in hospital, and so was c</w:t>
            </w:r>
            <w:r w:rsidR="00742CC8">
              <w:rPr>
                <w:rFonts w:ascii="Times New Roman" w:hAnsi="Times New Roman" w:cs="Times New Roman"/>
                <w:sz w:val="20"/>
                <w:szCs w:val="20"/>
              </w:rPr>
              <w:t>orrected with a factor of 1.225 (</w:t>
            </w:r>
            <w:r w:rsidR="00742CC8" w:rsidRPr="00742CC8">
              <w:rPr>
                <w:rFonts w:ascii="Times New Roman" w:hAnsi="Times New Roman" w:cs="Times New Roman"/>
                <w:sz w:val="20"/>
                <w:szCs w:val="20"/>
              </w:rPr>
              <w:t>the median of the ratio of deaths in nursing hom</w:t>
            </w:r>
            <w:r w:rsidR="00742CC8">
              <w:rPr>
                <w:rFonts w:ascii="Times New Roman" w:hAnsi="Times New Roman" w:cs="Times New Roman"/>
                <w:sz w:val="20"/>
                <w:szCs w:val="20"/>
              </w:rPr>
              <w:t xml:space="preserve">e residents / deaths occurring </w:t>
            </w:r>
            <w:r w:rsidR="00742CC8" w:rsidRPr="00742CC8">
              <w:rPr>
                <w:rFonts w:ascii="Times New Roman" w:hAnsi="Times New Roman" w:cs="Times New Roman"/>
                <w:sz w:val="20"/>
                <w:szCs w:val="20"/>
              </w:rPr>
              <w:t xml:space="preserve">in nursing homes, in the European countries with such data in the </w:t>
            </w:r>
            <w:r w:rsidR="00ED79D1">
              <w:rPr>
                <w:rFonts w:ascii="Times New Roman" w:hAnsi="Times New Roman" w:cs="Times New Roman"/>
                <w:sz w:val="20"/>
                <w:szCs w:val="20"/>
              </w:rPr>
              <w:t>Long-term Care</w:t>
            </w:r>
            <w:r w:rsidR="00742CC8" w:rsidRPr="00742CC8">
              <w:rPr>
                <w:rFonts w:ascii="Times New Roman" w:hAnsi="Times New Roman" w:cs="Times New Roman"/>
                <w:sz w:val="20"/>
                <w:szCs w:val="20"/>
              </w:rPr>
              <w:t xml:space="preserve"> P</w:t>
            </w:r>
            <w:r w:rsidR="00ED79D1">
              <w:rPr>
                <w:rFonts w:ascii="Times New Roman" w:hAnsi="Times New Roman" w:cs="Times New Roman"/>
                <w:sz w:val="20"/>
                <w:szCs w:val="20"/>
              </w:rPr>
              <w:t xml:space="preserve">olicy </w:t>
            </w:r>
            <w:r w:rsidR="00742CC8" w:rsidRPr="00742CC8">
              <w:rPr>
                <w:rFonts w:ascii="Times New Roman" w:hAnsi="Times New Roman" w:cs="Times New Roman"/>
                <w:sz w:val="20"/>
                <w:szCs w:val="20"/>
              </w:rPr>
              <w:t>N</w:t>
            </w:r>
            <w:r w:rsidR="00ED79D1">
              <w:rPr>
                <w:rFonts w:ascii="Times New Roman" w:hAnsi="Times New Roman" w:cs="Times New Roman"/>
                <w:sz w:val="20"/>
                <w:szCs w:val="20"/>
              </w:rPr>
              <w:t>etwork</w:t>
            </w:r>
            <w:r w:rsidR="00742CC8" w:rsidRPr="00742CC8">
              <w:rPr>
                <w:rFonts w:ascii="Times New Roman" w:hAnsi="Times New Roman" w:cs="Times New Roman"/>
                <w:sz w:val="20"/>
                <w:szCs w:val="20"/>
              </w:rPr>
              <w:t xml:space="preserve"> report October 14</w:t>
            </w:r>
            <w:r w:rsidR="00ED79D1">
              <w:rPr>
                <w:rFonts w:ascii="Times New Roman" w:hAnsi="Times New Roman" w:cs="Times New Roman"/>
                <w:sz w:val="20"/>
                <w:szCs w:val="20"/>
              </w:rPr>
              <w:t>, Comas-Herrera et al</w:t>
            </w:r>
            <w:r w:rsidR="00742CC8">
              <w:rPr>
                <w:rFonts w:ascii="Times New Roman" w:hAnsi="Times New Roman" w:cs="Times New Roman"/>
                <w:sz w:val="20"/>
                <w:szCs w:val="20"/>
              </w:rPr>
              <w:t>)</w:t>
            </w:r>
            <w:r w:rsidR="00ED79D1">
              <w:rPr>
                <w:rFonts w:ascii="Times New Roman" w:hAnsi="Times New Roman" w:cs="Times New Roman"/>
                <w:sz w:val="20"/>
                <w:szCs w:val="20"/>
              </w:rPr>
              <w:t>.</w:t>
            </w:r>
          </w:p>
        </w:tc>
      </w:tr>
      <w:tr w:rsidR="007E5BFA" w:rsidRPr="00B507C6" w14:paraId="3E4894E1" w14:textId="77777777" w:rsidTr="00B507C6">
        <w:tc>
          <w:tcPr>
            <w:tcW w:w="0" w:type="auto"/>
          </w:tcPr>
          <w:p w14:paraId="1F993FB1" w14:textId="77777777" w:rsidR="007E5BFA" w:rsidRPr="00B507C6" w:rsidRDefault="007E5BFA">
            <w:pPr>
              <w:rPr>
                <w:rFonts w:ascii="Times New Roman" w:hAnsi="Times New Roman" w:cs="Times New Roman"/>
                <w:sz w:val="20"/>
                <w:szCs w:val="20"/>
              </w:rPr>
            </w:pPr>
          </w:p>
        </w:tc>
      </w:tr>
      <w:tr w:rsidR="007E5BFA" w:rsidRPr="00B507C6" w14:paraId="793CE624" w14:textId="77777777" w:rsidTr="00B507C6">
        <w:tc>
          <w:tcPr>
            <w:tcW w:w="0" w:type="auto"/>
          </w:tcPr>
          <w:p w14:paraId="01845847" w14:textId="0A6BA0AF"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United States of America (Study: Anand)</w:t>
            </w:r>
          </w:p>
        </w:tc>
      </w:tr>
      <w:tr w:rsidR="007E5BFA" w:rsidRPr="00B507C6" w14:paraId="032C693F" w14:textId="77777777" w:rsidTr="00B507C6">
        <w:tc>
          <w:tcPr>
            <w:tcW w:w="0" w:type="auto"/>
          </w:tcPr>
          <w:p w14:paraId="70810568" w14:textId="7AE20CF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p>
        </w:tc>
      </w:tr>
      <w:tr w:rsidR="007E5BFA" w:rsidRPr="00B507C6" w14:paraId="40067AAA" w14:textId="77777777" w:rsidTr="00B507C6">
        <w:tc>
          <w:tcPr>
            <w:tcW w:w="0" w:type="auto"/>
          </w:tcPr>
          <w:p w14:paraId="59CE4DA2" w14:textId="6970C344" w:rsidR="007E5BFA" w:rsidRPr="00B507C6" w:rsidRDefault="007E5BFA" w:rsidP="00964585">
            <w:pPr>
              <w:rPr>
                <w:rFonts w:ascii="Times New Roman" w:hAnsi="Times New Roman" w:cs="Times New Roman"/>
                <w:sz w:val="20"/>
                <w:szCs w:val="20"/>
              </w:rPr>
            </w:pPr>
            <w:r w:rsidRPr="00B507C6">
              <w:rPr>
                <w:rFonts w:ascii="Times New Roman" w:hAnsi="Times New Roman" w:cs="Times New Roman"/>
                <w:sz w:val="20"/>
                <w:szCs w:val="20"/>
              </w:rPr>
              <w:t>Age distribution of COVID-19 deaths: Dataset retrieved from https://data.cdc.gov/NCHS/Provisional-COVID-19-Death-Counts-by-Sex-Age-and-W/vsak-wrfu (accessed February 19, 2021)</w:t>
            </w:r>
          </w:p>
        </w:tc>
      </w:tr>
      <w:tr w:rsidR="007E5BFA" w:rsidRPr="00B507C6" w14:paraId="0CB54006" w14:textId="77777777" w:rsidTr="00B507C6">
        <w:tc>
          <w:tcPr>
            <w:tcW w:w="0" w:type="auto"/>
          </w:tcPr>
          <w:p w14:paraId="539CA645" w14:textId="360AE208" w:rsidR="007E5BFA" w:rsidRPr="00B507C6" w:rsidRDefault="007E5BFA" w:rsidP="006D7107">
            <w:pPr>
              <w:rPr>
                <w:rFonts w:ascii="Times New Roman" w:hAnsi="Times New Roman" w:cs="Times New Roman"/>
                <w:sz w:val="20"/>
                <w:szCs w:val="20"/>
              </w:rPr>
            </w:pPr>
            <w:r w:rsidRPr="00B507C6">
              <w:rPr>
                <w:rFonts w:ascii="Times New Roman" w:hAnsi="Times New Roman" w:cs="Times New Roman"/>
                <w:sz w:val="20"/>
                <w:szCs w:val="20"/>
              </w:rPr>
              <w:t xml:space="preserve">Total number of deaths for the primary date: </w:t>
            </w:r>
            <w:r w:rsidR="006D7107">
              <w:rPr>
                <w:rFonts w:ascii="Times New Roman" w:hAnsi="Times New Roman" w:cs="Times New Roman"/>
                <w:sz w:val="20"/>
                <w:szCs w:val="20"/>
              </w:rPr>
              <w:t>Worldometers.info</w:t>
            </w:r>
            <w:r w:rsidR="00863F46">
              <w:rPr>
                <w:rFonts w:ascii="Times New Roman" w:hAnsi="Times New Roman" w:cs="Times New Roman"/>
                <w:sz w:val="20"/>
                <w:szCs w:val="20"/>
              </w:rPr>
              <w:t xml:space="preserve"> (accessed June 1, 2021)</w:t>
            </w:r>
          </w:p>
        </w:tc>
      </w:tr>
      <w:tr w:rsidR="007E5BFA" w:rsidRPr="00B507C6" w14:paraId="4193F9CF" w14:textId="77777777" w:rsidTr="00B507C6">
        <w:tc>
          <w:tcPr>
            <w:tcW w:w="0" w:type="auto"/>
          </w:tcPr>
          <w:p w14:paraId="2065D16A" w14:textId="255F384A"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Webpage, https://www.kff.org/policy-watch/this-week-in-coronavirus-july-10-to-july-16/ (accessed May 5, 2021)</w:t>
            </w:r>
          </w:p>
        </w:tc>
      </w:tr>
      <w:tr w:rsidR="007E5BFA" w:rsidRPr="00B507C6" w14:paraId="12037FB9" w14:textId="77777777" w:rsidTr="00B507C6">
        <w:tc>
          <w:tcPr>
            <w:tcW w:w="0" w:type="auto"/>
          </w:tcPr>
          <w:p w14:paraId="64E345A6" w14:textId="53E99C7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7FE8561D" w14:textId="77777777" w:rsidTr="00B507C6">
        <w:tc>
          <w:tcPr>
            <w:tcW w:w="0" w:type="auto"/>
          </w:tcPr>
          <w:p w14:paraId="2B4788F1" w14:textId="4DA6D80D" w:rsidR="007E5BFA" w:rsidRPr="00B507C6" w:rsidRDefault="007E5BFA" w:rsidP="00751DAE">
            <w:pPr>
              <w:rPr>
                <w:rFonts w:ascii="Times New Roman" w:hAnsi="Times New Roman" w:cs="Times New Roman"/>
                <w:sz w:val="20"/>
                <w:szCs w:val="20"/>
              </w:rPr>
            </w:pPr>
            <w:r w:rsidRPr="00B507C6">
              <w:rPr>
                <w:rFonts w:ascii="Times New Roman" w:hAnsi="Times New Roman" w:cs="Times New Roman"/>
                <w:sz w:val="20"/>
                <w:szCs w:val="20"/>
              </w:rPr>
              <w:t xml:space="preserve">Population overall and in elderly: "Annual Estimates of the Resident Population for Selected Age Groups by Sex: April 1, 2010 to July 1, 2019", dataset retrieved from </w:t>
            </w:r>
            <w:r w:rsidR="003B4486" w:rsidRPr="003364DC">
              <w:rPr>
                <w:rFonts w:ascii="Times New Roman" w:hAnsi="Times New Roman" w:cs="Times New Roman"/>
                <w:sz w:val="20"/>
                <w:szCs w:val="20"/>
              </w:rPr>
              <w:t>https://www.census.gov/data/tables/time-series/demo/popest/2010s-national-detail.html</w:t>
            </w:r>
          </w:p>
        </w:tc>
      </w:tr>
      <w:tr w:rsidR="007E5BFA" w:rsidRPr="00B507C6" w14:paraId="6A7D19F4" w14:textId="77777777" w:rsidTr="00B507C6">
        <w:tc>
          <w:tcPr>
            <w:tcW w:w="0" w:type="auto"/>
          </w:tcPr>
          <w:p w14:paraId="50C06C87" w14:textId="4DB64986"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in nursing homes: Comas-Herrera A, Zalakaín J, Lemmon E, Henderson D, Litwin C, Hsu AT, Schmidt AE, Arling G and Fernández J-L (2020) Mortality associated with COVID-19 in care homes: international evidence. Article in LTCcovid.org, International Long-Term Care Policy Network, CPEC-LSE, 14 October (Table 2, column “% of pop living in care homes”)</w:t>
            </w:r>
          </w:p>
        </w:tc>
      </w:tr>
      <w:tr w:rsidR="007E5BFA" w:rsidRPr="00B507C6" w14:paraId="786EED05" w14:textId="77777777" w:rsidTr="00B507C6">
        <w:tc>
          <w:tcPr>
            <w:tcW w:w="0" w:type="auto"/>
          </w:tcPr>
          <w:p w14:paraId="5C598566" w14:textId="247161CA"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Proportion of elderly among nursing home residents: Nursing Home Data Compendium 2015 Edition, Department of Health &amp; Human Services USA (Table 3.11.d), retrieved from https://www.cms.gov/Medicare/Provider-Enrollment-and-Certification/CertificationandComplianc/Downloads/nursinghomedatacompendium_508-2015.pdf</w:t>
            </w:r>
          </w:p>
        </w:tc>
      </w:tr>
      <w:tr w:rsidR="007E5BFA" w:rsidRPr="00B507C6" w14:paraId="3267F4B4" w14:textId="77777777" w:rsidTr="00B507C6">
        <w:tc>
          <w:tcPr>
            <w:tcW w:w="0" w:type="auto"/>
          </w:tcPr>
          <w:p w14:paraId="5287DA5E" w14:textId="04D2F394" w:rsidR="007E5BFA" w:rsidRPr="00B507C6" w:rsidRDefault="007E5BFA" w:rsidP="0018663D">
            <w:pPr>
              <w:rPr>
                <w:rFonts w:ascii="Times New Roman" w:hAnsi="Times New Roman" w:cs="Times New Roman"/>
                <w:sz w:val="20"/>
                <w:szCs w:val="20"/>
              </w:rPr>
            </w:pPr>
            <w:r w:rsidRPr="00B507C6">
              <w:rPr>
                <w:rFonts w:ascii="Times New Roman" w:hAnsi="Times New Roman" w:cs="Times New Roman"/>
                <w:sz w:val="20"/>
                <w:szCs w:val="20"/>
              </w:rPr>
              <w:t xml:space="preserve">Comments: Deaths in </w:t>
            </w:r>
            <w:r w:rsidR="0058794A">
              <w:rPr>
                <w:rFonts w:ascii="Times New Roman" w:hAnsi="Times New Roman" w:cs="Times New Roman"/>
                <w:sz w:val="20"/>
                <w:szCs w:val="20"/>
              </w:rPr>
              <w:t>long-term care</w:t>
            </w:r>
            <w:r w:rsidRPr="00B507C6">
              <w:rPr>
                <w:rFonts w:ascii="Times New Roman" w:hAnsi="Times New Roman" w:cs="Times New Roman"/>
                <w:sz w:val="20"/>
                <w:szCs w:val="20"/>
              </w:rPr>
              <w:t xml:space="preserve"> facilities based on data from 42 states. Total is derived from extracted percentage and </w:t>
            </w:r>
            <w:r w:rsidR="0018663D">
              <w:rPr>
                <w:rFonts w:ascii="Times New Roman" w:hAnsi="Times New Roman" w:cs="Times New Roman"/>
                <w:sz w:val="20"/>
                <w:szCs w:val="20"/>
              </w:rPr>
              <w:t>long-term care</w:t>
            </w:r>
            <w:r w:rsidR="0018663D" w:rsidRPr="00B507C6">
              <w:rPr>
                <w:rFonts w:ascii="Times New Roman" w:hAnsi="Times New Roman" w:cs="Times New Roman"/>
                <w:sz w:val="20"/>
                <w:szCs w:val="20"/>
              </w:rPr>
              <w:t xml:space="preserve"> </w:t>
            </w:r>
            <w:r w:rsidRPr="00B507C6">
              <w:rPr>
                <w:rFonts w:ascii="Times New Roman" w:hAnsi="Times New Roman" w:cs="Times New Roman"/>
                <w:sz w:val="20"/>
                <w:szCs w:val="20"/>
              </w:rPr>
              <w:t>deaths.</w:t>
            </w:r>
          </w:p>
        </w:tc>
      </w:tr>
      <w:tr w:rsidR="007E5BFA" w:rsidRPr="00B507C6" w14:paraId="48C970CB" w14:textId="77777777" w:rsidTr="00B507C6">
        <w:tc>
          <w:tcPr>
            <w:tcW w:w="0" w:type="auto"/>
          </w:tcPr>
          <w:p w14:paraId="3055DA41" w14:textId="77777777" w:rsidR="007E5BFA" w:rsidRPr="00B507C6" w:rsidRDefault="007E5BFA">
            <w:pPr>
              <w:rPr>
                <w:rFonts w:ascii="Times New Roman" w:hAnsi="Times New Roman" w:cs="Times New Roman"/>
                <w:sz w:val="20"/>
                <w:szCs w:val="20"/>
              </w:rPr>
            </w:pPr>
          </w:p>
        </w:tc>
      </w:tr>
      <w:tr w:rsidR="007E5BFA" w:rsidRPr="00B507C6" w14:paraId="6FBC9B6D" w14:textId="77777777" w:rsidTr="00B507C6">
        <w:tc>
          <w:tcPr>
            <w:tcW w:w="0" w:type="auto"/>
          </w:tcPr>
          <w:p w14:paraId="72F9022C" w14:textId="6FA7AB4E" w:rsidR="007E5BFA" w:rsidRPr="00B507C6" w:rsidRDefault="007E5BFA">
            <w:pPr>
              <w:rPr>
                <w:rFonts w:ascii="Times New Roman" w:hAnsi="Times New Roman" w:cs="Times New Roman"/>
                <w:b/>
                <w:sz w:val="20"/>
                <w:szCs w:val="20"/>
              </w:rPr>
            </w:pPr>
            <w:r w:rsidRPr="00B507C6">
              <w:rPr>
                <w:rFonts w:ascii="Times New Roman" w:hAnsi="Times New Roman" w:cs="Times New Roman"/>
                <w:b/>
                <w:sz w:val="20"/>
                <w:szCs w:val="20"/>
              </w:rPr>
              <w:t>United States of America (Study: Kalish)</w:t>
            </w:r>
          </w:p>
        </w:tc>
      </w:tr>
      <w:tr w:rsidR="007E5BFA" w:rsidRPr="00B507C6" w14:paraId="73C51166" w14:textId="77777777" w:rsidTr="00B507C6">
        <w:tc>
          <w:tcPr>
            <w:tcW w:w="0" w:type="auto"/>
          </w:tcPr>
          <w:p w14:paraId="7CAE698A" w14:textId="2A9C39EF" w:rsidR="007E5BFA" w:rsidRPr="00B507C6" w:rsidRDefault="007E5BFA" w:rsidP="003F2D6B">
            <w:pPr>
              <w:rPr>
                <w:rFonts w:ascii="Times New Roman" w:hAnsi="Times New Roman" w:cs="Times New Roman"/>
                <w:sz w:val="20"/>
                <w:szCs w:val="20"/>
              </w:rPr>
            </w:pPr>
            <w:r w:rsidRPr="00B507C6">
              <w:rPr>
                <w:rFonts w:ascii="Times New Roman" w:hAnsi="Times New Roman" w:cs="Times New Roman"/>
                <w:sz w:val="20"/>
                <w:szCs w:val="20"/>
              </w:rPr>
              <w:t>Seroprevalence information: Seroprevalence study</w:t>
            </w:r>
            <w:r w:rsidR="003F2D6B">
              <w:rPr>
                <w:rFonts w:ascii="Times New Roman" w:hAnsi="Times New Roman" w:cs="Times New Roman"/>
                <w:sz w:val="20"/>
                <w:szCs w:val="20"/>
              </w:rPr>
              <w:t xml:space="preserve"> and webpages </w:t>
            </w:r>
            <w:r w:rsidR="003F2D6B" w:rsidRPr="003F2D6B">
              <w:rPr>
                <w:rFonts w:ascii="Times New Roman" w:hAnsi="Times New Roman" w:cs="Times New Roman"/>
                <w:sz w:val="20"/>
                <w:szCs w:val="20"/>
              </w:rPr>
              <w:t>https://covid.cdc.gov/covid-data-tracker/#demographicsovertime</w:t>
            </w:r>
            <w:r w:rsidR="003F2D6B">
              <w:rPr>
                <w:rFonts w:ascii="Times New Roman" w:hAnsi="Times New Roman" w:cs="Times New Roman"/>
                <w:sz w:val="20"/>
                <w:szCs w:val="20"/>
              </w:rPr>
              <w:t xml:space="preserve"> and </w:t>
            </w:r>
            <w:r w:rsidR="003F2D6B" w:rsidRPr="003F2D6B">
              <w:rPr>
                <w:rFonts w:ascii="Times New Roman" w:hAnsi="Times New Roman" w:cs="Times New Roman"/>
                <w:sz w:val="20"/>
                <w:szCs w:val="20"/>
              </w:rPr>
              <w:t xml:space="preserve">https://www.kff.org/policy-watch/this-week-in-coronavirus-june-11-to-june-17/ </w:t>
            </w:r>
            <w:r w:rsidR="003F2D6B">
              <w:rPr>
                <w:rFonts w:ascii="Times New Roman" w:hAnsi="Times New Roman" w:cs="Times New Roman"/>
                <w:sz w:val="20"/>
                <w:szCs w:val="20"/>
              </w:rPr>
              <w:t>(accessed May 5, 2021; used to calculate the number of cases in community-dwelling elderly, see Comments)</w:t>
            </w:r>
          </w:p>
        </w:tc>
      </w:tr>
      <w:tr w:rsidR="007E5BFA" w:rsidRPr="00B507C6" w14:paraId="7B3F022B" w14:textId="77777777" w:rsidTr="00B507C6">
        <w:tc>
          <w:tcPr>
            <w:tcW w:w="0" w:type="auto"/>
          </w:tcPr>
          <w:p w14:paraId="6A39792D" w14:textId="3EBD6047"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Age distribution of COVID-19 deaths: Dataset retrieved from https://data.cdc.gov/NCHS/Provisional-COVID-19-Death-Counts-by-Sex-Age-and-W/vsak-wrfu (accessed February 19, 2021)</w:t>
            </w:r>
          </w:p>
        </w:tc>
      </w:tr>
      <w:tr w:rsidR="007E5BFA" w:rsidRPr="00B507C6" w14:paraId="1F1BA812" w14:textId="77777777" w:rsidTr="00B507C6">
        <w:tc>
          <w:tcPr>
            <w:tcW w:w="0" w:type="auto"/>
          </w:tcPr>
          <w:p w14:paraId="3B432694" w14:textId="433DDE8A" w:rsidR="007E5BFA" w:rsidRPr="00B507C6" w:rsidRDefault="007E5BFA" w:rsidP="00F07252">
            <w:pPr>
              <w:rPr>
                <w:rFonts w:ascii="Times New Roman" w:hAnsi="Times New Roman" w:cs="Times New Roman"/>
                <w:sz w:val="20"/>
                <w:szCs w:val="20"/>
              </w:rPr>
            </w:pPr>
            <w:r w:rsidRPr="00B507C6">
              <w:rPr>
                <w:rFonts w:ascii="Times New Roman" w:hAnsi="Times New Roman" w:cs="Times New Roman"/>
                <w:sz w:val="20"/>
                <w:szCs w:val="20"/>
              </w:rPr>
              <w:t xml:space="preserve">Total number of deaths for the primary date: </w:t>
            </w:r>
            <w:r w:rsidR="00F07252">
              <w:rPr>
                <w:rFonts w:ascii="Times New Roman" w:hAnsi="Times New Roman" w:cs="Times New Roman"/>
                <w:sz w:val="20"/>
                <w:szCs w:val="20"/>
              </w:rPr>
              <w:t>Worldometers.info</w:t>
            </w:r>
            <w:r w:rsidR="00863F46">
              <w:rPr>
                <w:rFonts w:ascii="Times New Roman" w:hAnsi="Times New Roman" w:cs="Times New Roman"/>
                <w:sz w:val="20"/>
                <w:szCs w:val="20"/>
              </w:rPr>
              <w:t xml:space="preserve"> (accessed June 1, 2021)</w:t>
            </w:r>
          </w:p>
        </w:tc>
      </w:tr>
      <w:tr w:rsidR="007E5BFA" w:rsidRPr="00B507C6" w14:paraId="25CF0744" w14:textId="77777777" w:rsidTr="00B507C6">
        <w:tc>
          <w:tcPr>
            <w:tcW w:w="0" w:type="auto"/>
          </w:tcPr>
          <w:p w14:paraId="030B6A6C" w14:textId="192E7315"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COVID-19 deaths in nursing home residents: Webpage, https://www.kff.org/policy-watch/this-week-in-coronavirus-june-18-to-june-25/ (Accessed May 5, 2021)</w:t>
            </w:r>
          </w:p>
        </w:tc>
      </w:tr>
      <w:tr w:rsidR="007E5BFA" w:rsidRPr="00B507C6" w14:paraId="09B82FA3" w14:textId="77777777" w:rsidTr="00B507C6">
        <w:tc>
          <w:tcPr>
            <w:tcW w:w="0" w:type="auto"/>
          </w:tcPr>
          <w:p w14:paraId="12568EF4" w14:textId="11270BA0"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Peak 7-day average of COVID-19 mortality: Worldometers.info</w:t>
            </w:r>
          </w:p>
        </w:tc>
      </w:tr>
      <w:tr w:rsidR="007E5BFA" w:rsidRPr="00B507C6" w14:paraId="79A97AFE" w14:textId="77777777" w:rsidTr="00B507C6">
        <w:tc>
          <w:tcPr>
            <w:tcW w:w="0" w:type="auto"/>
          </w:tcPr>
          <w:p w14:paraId="7A082D78" w14:textId="254902D3"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Population overall and in elderly: "Annual Estimates of the Resident Population for Selected Age Groups by Sex: April 1, 2010 to July 1, 2019", dataset retrieved from https://www.census.gov/data/tables/time-series/demo/popest/2010s-national-detail.html</w:t>
            </w:r>
          </w:p>
        </w:tc>
      </w:tr>
      <w:tr w:rsidR="007E5BFA" w:rsidRPr="00B507C6" w14:paraId="25E39C5C" w14:textId="77777777" w:rsidTr="00B507C6">
        <w:tc>
          <w:tcPr>
            <w:tcW w:w="0" w:type="auto"/>
          </w:tcPr>
          <w:p w14:paraId="230B22BC" w14:textId="0E320C11" w:rsidR="007E5BFA" w:rsidRPr="00B507C6"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Population in nursing homes: Comas-Herrera A, Zalakaín J, Lemmon E, Henderson D, Litwin C, Hsu AT, Schmidt AE, Arling G and Fernández J-L (2020) Mortality associated with COVID-19 in care homes: international evidence. </w:t>
            </w:r>
            <w:r w:rsidRPr="00B507C6">
              <w:rPr>
                <w:rFonts w:ascii="Times New Roman" w:hAnsi="Times New Roman" w:cs="Times New Roman"/>
                <w:sz w:val="20"/>
                <w:szCs w:val="20"/>
              </w:rPr>
              <w:lastRenderedPageBreak/>
              <w:t>Article in LTCcovid.org, International Long-Term Care Policy Network, CPEC-LSE, 14 October (Table 2, column “% of pop living in care homes”)</w:t>
            </w:r>
          </w:p>
        </w:tc>
      </w:tr>
      <w:tr w:rsidR="007E5BFA" w:rsidRPr="00B507C6" w14:paraId="355FAA99" w14:textId="77777777" w:rsidTr="00B507C6">
        <w:tc>
          <w:tcPr>
            <w:tcW w:w="0" w:type="auto"/>
          </w:tcPr>
          <w:p w14:paraId="27F23CAE" w14:textId="7F2BB620" w:rsidR="007E5BFA" w:rsidRPr="00B507C6" w:rsidRDefault="007E5BFA" w:rsidP="003B28A4">
            <w:pPr>
              <w:rPr>
                <w:rFonts w:ascii="Times New Roman" w:hAnsi="Times New Roman" w:cs="Times New Roman"/>
                <w:sz w:val="20"/>
                <w:szCs w:val="20"/>
              </w:rPr>
            </w:pPr>
            <w:r w:rsidRPr="00B507C6">
              <w:rPr>
                <w:rFonts w:ascii="Times New Roman" w:hAnsi="Times New Roman" w:cs="Times New Roman"/>
                <w:sz w:val="20"/>
                <w:szCs w:val="20"/>
              </w:rPr>
              <w:lastRenderedPageBreak/>
              <w:t>Proportion of elderly among nursing home residents: Nursing Home Data Compendium 2015 Edition, Department of Health &amp; Human Services USA (Table 3.11.d), retrieved from https://www.cms.gov/Medicare/Provider-Enrollment-and-Certification/CertificationandComplianc/Downloads/nursinghomedatacompendium_508-2015.pdf</w:t>
            </w:r>
          </w:p>
        </w:tc>
      </w:tr>
      <w:tr w:rsidR="007E5BFA" w:rsidRPr="00B507C6" w14:paraId="0A5DB93D" w14:textId="77777777" w:rsidTr="00B507C6">
        <w:tc>
          <w:tcPr>
            <w:tcW w:w="0" w:type="auto"/>
          </w:tcPr>
          <w:p w14:paraId="61818A9F" w14:textId="77777777" w:rsidR="003F2D6B"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Comments: </w:t>
            </w:r>
          </w:p>
          <w:p w14:paraId="6F1AECCF" w14:textId="1F8C5CEA" w:rsidR="007E5BFA" w:rsidRDefault="007E5BFA" w:rsidP="006F5853">
            <w:pPr>
              <w:rPr>
                <w:rFonts w:ascii="Times New Roman" w:hAnsi="Times New Roman" w:cs="Times New Roman"/>
                <w:sz w:val="20"/>
                <w:szCs w:val="20"/>
              </w:rPr>
            </w:pPr>
            <w:r w:rsidRPr="00B507C6">
              <w:rPr>
                <w:rFonts w:ascii="Times New Roman" w:hAnsi="Times New Roman" w:cs="Times New Roman"/>
                <w:sz w:val="20"/>
                <w:szCs w:val="20"/>
              </w:rPr>
              <w:t xml:space="preserve">Deaths in </w:t>
            </w:r>
            <w:r w:rsidR="006859D7">
              <w:rPr>
                <w:rFonts w:ascii="Times New Roman" w:hAnsi="Times New Roman" w:cs="Times New Roman"/>
                <w:sz w:val="20"/>
                <w:szCs w:val="20"/>
              </w:rPr>
              <w:t>long-term care</w:t>
            </w:r>
            <w:r w:rsidRPr="00B507C6">
              <w:rPr>
                <w:rFonts w:ascii="Times New Roman" w:hAnsi="Times New Roman" w:cs="Times New Roman"/>
                <w:sz w:val="20"/>
                <w:szCs w:val="20"/>
              </w:rPr>
              <w:t xml:space="preserve"> facilities based on data from 42 states. Total is derived from extracted percentage and </w:t>
            </w:r>
            <w:r w:rsidR="00D406ED">
              <w:rPr>
                <w:rFonts w:ascii="Times New Roman" w:hAnsi="Times New Roman" w:cs="Times New Roman"/>
                <w:sz w:val="20"/>
                <w:szCs w:val="20"/>
              </w:rPr>
              <w:t>long-term care</w:t>
            </w:r>
            <w:r w:rsidRPr="00B507C6">
              <w:rPr>
                <w:rFonts w:ascii="Times New Roman" w:hAnsi="Times New Roman" w:cs="Times New Roman"/>
                <w:sz w:val="20"/>
                <w:szCs w:val="20"/>
              </w:rPr>
              <w:t xml:space="preserve"> deaths.</w:t>
            </w:r>
          </w:p>
          <w:p w14:paraId="32206DA0" w14:textId="1E2D4CE5" w:rsidR="003F2D6B" w:rsidRPr="00B507C6" w:rsidRDefault="000C41D0" w:rsidP="003F2D6B">
            <w:pPr>
              <w:rPr>
                <w:rFonts w:ascii="Times New Roman" w:hAnsi="Times New Roman" w:cs="Times New Roman"/>
                <w:sz w:val="20"/>
                <w:szCs w:val="20"/>
              </w:rPr>
            </w:pPr>
            <w:r>
              <w:rPr>
                <w:rFonts w:ascii="Times New Roman" w:hAnsi="Times New Roman" w:cs="Times New Roman"/>
                <w:sz w:val="20"/>
                <w:szCs w:val="20"/>
              </w:rPr>
              <w:t>The study s</w:t>
            </w:r>
            <w:r w:rsidR="003F2D6B" w:rsidRPr="003F2D6B">
              <w:rPr>
                <w:rFonts w:ascii="Times New Roman" w:hAnsi="Times New Roman" w:cs="Times New Roman"/>
                <w:sz w:val="20"/>
                <w:szCs w:val="20"/>
              </w:rPr>
              <w:t>pecifically targeted people not previously diagnosed with COVID-19</w:t>
            </w:r>
            <w:r w:rsidR="003F2D6B">
              <w:rPr>
                <w:rFonts w:ascii="Times New Roman" w:hAnsi="Times New Roman" w:cs="Times New Roman"/>
                <w:sz w:val="20"/>
                <w:szCs w:val="20"/>
              </w:rPr>
              <w:t xml:space="preserve">, and so the total number of infected was corrected. We calculated the number of cases in community-dwelling elderly up to June 20 by retrieving the cumulative number of cases in elderly </w:t>
            </w:r>
            <w:r w:rsidR="006E269E">
              <w:rPr>
                <w:rFonts w:ascii="Times New Roman" w:hAnsi="Times New Roman" w:cs="Times New Roman"/>
                <w:sz w:val="20"/>
                <w:szCs w:val="20"/>
              </w:rPr>
              <w:t>(≥</w:t>
            </w:r>
            <w:r w:rsidR="003F2D6B">
              <w:rPr>
                <w:rFonts w:ascii="Times New Roman" w:hAnsi="Times New Roman" w:cs="Times New Roman"/>
                <w:sz w:val="20"/>
                <w:szCs w:val="20"/>
              </w:rPr>
              <w:t>65</w:t>
            </w:r>
            <w:r w:rsidR="006E269E">
              <w:rPr>
                <w:rFonts w:ascii="Times New Roman" w:hAnsi="Times New Roman" w:cs="Times New Roman"/>
                <w:sz w:val="20"/>
                <w:szCs w:val="20"/>
              </w:rPr>
              <w:t>)</w:t>
            </w:r>
            <w:r w:rsidR="003F2D6B">
              <w:rPr>
                <w:rFonts w:ascii="Times New Roman" w:hAnsi="Times New Roman" w:cs="Times New Roman"/>
                <w:sz w:val="20"/>
                <w:szCs w:val="20"/>
              </w:rPr>
              <w:t xml:space="preserve"> from the COVID-19 Data Tracker at the US CDC (455,585) and subtracting the cumulative number of cases in nursing homes from KFF (240,138), resulting in 215,447 cases. This number was added to the number of infected community-dwelling elderly.</w:t>
            </w:r>
          </w:p>
        </w:tc>
      </w:tr>
    </w:tbl>
    <w:p w14:paraId="163C8568" w14:textId="77777777" w:rsidR="00C35EE6" w:rsidRDefault="00C35EE6">
      <w:pPr>
        <w:rPr>
          <w:rFonts w:ascii="Times New Roman" w:hAnsi="Times New Roman" w:cs="Times New Roman"/>
        </w:rPr>
      </w:pPr>
    </w:p>
    <w:p w14:paraId="75C4C72B" w14:textId="77777777" w:rsidR="001F783B" w:rsidRDefault="001F783B">
      <w:pPr>
        <w:rPr>
          <w:rFonts w:ascii="Times New Roman" w:hAnsi="Times New Roman" w:cs="Times New Roman"/>
        </w:rPr>
      </w:pPr>
      <w:r>
        <w:rPr>
          <w:rFonts w:ascii="Times New Roman" w:hAnsi="Times New Roman" w:cs="Times New Roman"/>
        </w:rPr>
        <w:br w:type="page"/>
      </w:r>
    </w:p>
    <w:p w14:paraId="5CD30BE8" w14:textId="207903D1" w:rsidR="00BE0A5B" w:rsidRDefault="00D834A5" w:rsidP="00BE0A5B">
      <w:pPr>
        <w:rPr>
          <w:rFonts w:ascii="Times New Roman" w:hAnsi="Times New Roman" w:cs="Times New Roman"/>
        </w:rPr>
      </w:pPr>
      <w:r>
        <w:rPr>
          <w:rFonts w:ascii="Times New Roman" w:hAnsi="Times New Roman" w:cs="Times New Roman"/>
          <w:b/>
        </w:rPr>
        <w:lastRenderedPageBreak/>
        <w:t>Appendix Table 3</w:t>
      </w:r>
      <w:r w:rsidR="00BE0A5B" w:rsidRPr="00A95DFB">
        <w:rPr>
          <w:rFonts w:ascii="Times New Roman" w:hAnsi="Times New Roman" w:cs="Times New Roman"/>
          <w:b/>
        </w:rPr>
        <w:t>.</w:t>
      </w:r>
      <w:r w:rsidR="00BE0A5B">
        <w:rPr>
          <w:rFonts w:ascii="Times New Roman" w:hAnsi="Times New Roman" w:cs="Times New Roman"/>
        </w:rPr>
        <w:t xml:space="preserve"> Reports not included, which sampled or potentially sampled ≥1000 participants ≥70 years of age.</w:t>
      </w:r>
    </w:p>
    <w:p w14:paraId="277CBCD1" w14:textId="77777777" w:rsidR="00BE0A5B" w:rsidRDefault="00BE0A5B" w:rsidP="00BE0A5B">
      <w:pPr>
        <w:rPr>
          <w:rFonts w:ascii="Times New Roman" w:hAnsi="Times New Roman" w:cs="Times New Roman"/>
        </w:rPr>
      </w:pPr>
    </w:p>
    <w:tbl>
      <w:tblPr>
        <w:tblStyle w:val="Tabellrutnt"/>
        <w:tblW w:w="5000" w:type="pct"/>
        <w:tblLayout w:type="fixed"/>
        <w:tblLook w:val="04A0" w:firstRow="1" w:lastRow="0" w:firstColumn="1" w:lastColumn="0" w:noHBand="0" w:noVBand="1"/>
      </w:tblPr>
      <w:tblGrid>
        <w:gridCol w:w="3825"/>
        <w:gridCol w:w="3117"/>
        <w:gridCol w:w="2805"/>
      </w:tblGrid>
      <w:tr w:rsidR="00BE0A5B" w:rsidRPr="00BE0A5B" w14:paraId="0F6BEB18" w14:textId="77777777" w:rsidTr="00EF48BC">
        <w:trPr>
          <w:trHeight w:val="288"/>
        </w:trPr>
        <w:tc>
          <w:tcPr>
            <w:tcW w:w="1962" w:type="pct"/>
            <w:noWrap/>
            <w:hideMark/>
          </w:tcPr>
          <w:p w14:paraId="7764693A" w14:textId="77777777" w:rsidR="00BE0A5B" w:rsidRPr="00BE0A5B" w:rsidRDefault="00BE0A5B" w:rsidP="00592F53">
            <w:pPr>
              <w:rPr>
                <w:rFonts w:ascii="Times New Roman" w:hAnsi="Times New Roman" w:cs="Times New Roman"/>
                <w:b/>
                <w:bCs/>
                <w:sz w:val="20"/>
                <w:szCs w:val="20"/>
              </w:rPr>
            </w:pPr>
            <w:r w:rsidRPr="00BE0A5B">
              <w:rPr>
                <w:rFonts w:ascii="Times New Roman" w:hAnsi="Times New Roman" w:cs="Times New Roman"/>
                <w:b/>
                <w:bCs/>
                <w:sz w:val="20"/>
                <w:szCs w:val="20"/>
              </w:rPr>
              <w:t>DOI or URL</w:t>
            </w:r>
          </w:p>
        </w:tc>
        <w:tc>
          <w:tcPr>
            <w:tcW w:w="1599" w:type="pct"/>
            <w:noWrap/>
            <w:hideMark/>
          </w:tcPr>
          <w:p w14:paraId="6225C4F6" w14:textId="77777777" w:rsidR="00BE0A5B" w:rsidRPr="00BE0A5B" w:rsidRDefault="00BE0A5B" w:rsidP="00592F53">
            <w:pPr>
              <w:rPr>
                <w:rFonts w:ascii="Times New Roman" w:hAnsi="Times New Roman" w:cs="Times New Roman"/>
                <w:b/>
                <w:bCs/>
                <w:sz w:val="20"/>
                <w:szCs w:val="20"/>
              </w:rPr>
            </w:pPr>
            <w:r w:rsidRPr="00BE0A5B">
              <w:rPr>
                <w:rFonts w:ascii="Times New Roman" w:hAnsi="Times New Roman" w:cs="Times New Roman"/>
                <w:b/>
                <w:bCs/>
                <w:sz w:val="20"/>
                <w:szCs w:val="20"/>
              </w:rPr>
              <w:t>Location</w:t>
            </w:r>
          </w:p>
        </w:tc>
        <w:tc>
          <w:tcPr>
            <w:tcW w:w="1439" w:type="pct"/>
          </w:tcPr>
          <w:p w14:paraId="5E020AF9" w14:textId="77777777" w:rsidR="00BE0A5B" w:rsidRPr="00BE0A5B" w:rsidRDefault="00BE0A5B" w:rsidP="00592F53">
            <w:pPr>
              <w:rPr>
                <w:rFonts w:ascii="Times New Roman" w:hAnsi="Times New Roman" w:cs="Times New Roman"/>
                <w:b/>
                <w:bCs/>
                <w:sz w:val="20"/>
                <w:szCs w:val="20"/>
              </w:rPr>
            </w:pPr>
            <w:r w:rsidRPr="00BE0A5B">
              <w:rPr>
                <w:rFonts w:ascii="Times New Roman" w:hAnsi="Times New Roman" w:cs="Times New Roman"/>
                <w:b/>
                <w:bCs/>
                <w:sz w:val="20"/>
                <w:szCs w:val="20"/>
              </w:rPr>
              <w:t>Reason for exclusion</w:t>
            </w:r>
          </w:p>
        </w:tc>
      </w:tr>
      <w:tr w:rsidR="00BE0A5B" w:rsidRPr="00BE0A5B" w14:paraId="0A42717B" w14:textId="77777777" w:rsidTr="00EF48BC">
        <w:trPr>
          <w:trHeight w:val="288"/>
        </w:trPr>
        <w:tc>
          <w:tcPr>
            <w:tcW w:w="1962" w:type="pct"/>
            <w:noWrap/>
            <w:hideMark/>
          </w:tcPr>
          <w:p w14:paraId="3A26BC21"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10.1111/all.14622</w:t>
            </w:r>
          </w:p>
        </w:tc>
        <w:tc>
          <w:tcPr>
            <w:tcW w:w="1599" w:type="pct"/>
            <w:noWrap/>
            <w:hideMark/>
          </w:tcPr>
          <w:p w14:paraId="7B0C119B"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Wuhan, China</w:t>
            </w:r>
          </w:p>
        </w:tc>
        <w:tc>
          <w:tcPr>
            <w:tcW w:w="1439" w:type="pct"/>
          </w:tcPr>
          <w:p w14:paraId="190C5C6D"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7368267F" w14:textId="77777777" w:rsidTr="00EF48BC">
        <w:trPr>
          <w:trHeight w:val="288"/>
        </w:trPr>
        <w:tc>
          <w:tcPr>
            <w:tcW w:w="1962" w:type="pct"/>
            <w:noWrap/>
            <w:hideMark/>
          </w:tcPr>
          <w:p w14:paraId="320831C8"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10.1101/2020.08.10.20171850v1</w:t>
            </w:r>
          </w:p>
        </w:tc>
        <w:tc>
          <w:tcPr>
            <w:tcW w:w="1599" w:type="pct"/>
            <w:noWrap/>
            <w:hideMark/>
          </w:tcPr>
          <w:p w14:paraId="7F6AA509"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Central Denmark Region, Denmark</w:t>
            </w:r>
          </w:p>
        </w:tc>
        <w:tc>
          <w:tcPr>
            <w:tcW w:w="1439" w:type="pct"/>
          </w:tcPr>
          <w:p w14:paraId="394A533D"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405E0ABB" w14:textId="77777777" w:rsidTr="00EF48BC">
        <w:trPr>
          <w:trHeight w:val="288"/>
        </w:trPr>
        <w:tc>
          <w:tcPr>
            <w:tcW w:w="1962" w:type="pct"/>
            <w:noWrap/>
            <w:hideMark/>
          </w:tcPr>
          <w:p w14:paraId="7D99C015"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10.1093/cid/ciaa1684</w:t>
            </w:r>
          </w:p>
        </w:tc>
        <w:tc>
          <w:tcPr>
            <w:tcW w:w="1599" w:type="pct"/>
            <w:noWrap/>
            <w:hideMark/>
          </w:tcPr>
          <w:p w14:paraId="0E6ADFD7"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USA</w:t>
            </w:r>
          </w:p>
        </w:tc>
        <w:tc>
          <w:tcPr>
            <w:tcW w:w="1439" w:type="pct"/>
          </w:tcPr>
          <w:p w14:paraId="3519F879"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6493C0AB" w14:textId="77777777" w:rsidTr="00EF48BC">
        <w:trPr>
          <w:trHeight w:val="288"/>
        </w:trPr>
        <w:tc>
          <w:tcPr>
            <w:tcW w:w="1962" w:type="pct"/>
            <w:noWrap/>
            <w:hideMark/>
          </w:tcPr>
          <w:p w14:paraId="72CE7A6D"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10.1001/jama.2020.14765</w:t>
            </w:r>
          </w:p>
        </w:tc>
        <w:tc>
          <w:tcPr>
            <w:tcW w:w="1599" w:type="pct"/>
            <w:noWrap/>
            <w:hideMark/>
          </w:tcPr>
          <w:p w14:paraId="763BA746"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New York City, USA</w:t>
            </w:r>
          </w:p>
        </w:tc>
        <w:tc>
          <w:tcPr>
            <w:tcW w:w="1439" w:type="pct"/>
          </w:tcPr>
          <w:p w14:paraId="698D160C"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628D918D" w14:textId="77777777" w:rsidTr="00EF48BC">
        <w:trPr>
          <w:trHeight w:val="288"/>
        </w:trPr>
        <w:tc>
          <w:tcPr>
            <w:tcW w:w="1962" w:type="pct"/>
            <w:noWrap/>
            <w:hideMark/>
          </w:tcPr>
          <w:p w14:paraId="1353590F"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10.1016/j.cmi.2020.09.044</w:t>
            </w:r>
          </w:p>
        </w:tc>
        <w:tc>
          <w:tcPr>
            <w:tcW w:w="1599" w:type="pct"/>
            <w:noWrap/>
            <w:hideMark/>
          </w:tcPr>
          <w:p w14:paraId="7F8C4E5E"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Wuhan, China</w:t>
            </w:r>
          </w:p>
        </w:tc>
        <w:tc>
          <w:tcPr>
            <w:tcW w:w="1439" w:type="pct"/>
          </w:tcPr>
          <w:p w14:paraId="44A755A6"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2E130B8C" w14:textId="77777777" w:rsidTr="00EF48BC">
        <w:trPr>
          <w:trHeight w:val="288"/>
        </w:trPr>
        <w:tc>
          <w:tcPr>
            <w:tcW w:w="1962" w:type="pct"/>
            <w:noWrap/>
            <w:hideMark/>
          </w:tcPr>
          <w:p w14:paraId="6C15BCAA"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10.1016/j.diagmicrobio.2020.115273</w:t>
            </w:r>
          </w:p>
        </w:tc>
        <w:tc>
          <w:tcPr>
            <w:tcW w:w="1599" w:type="pct"/>
            <w:noWrap/>
            <w:hideMark/>
          </w:tcPr>
          <w:p w14:paraId="18F3BBEC"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Saudi Arabia</w:t>
            </w:r>
          </w:p>
        </w:tc>
        <w:tc>
          <w:tcPr>
            <w:tcW w:w="1439" w:type="pct"/>
          </w:tcPr>
          <w:p w14:paraId="597D1171"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68D0EB7A" w14:textId="77777777" w:rsidTr="00EF48BC">
        <w:trPr>
          <w:trHeight w:val="288"/>
        </w:trPr>
        <w:tc>
          <w:tcPr>
            <w:tcW w:w="1962" w:type="pct"/>
            <w:noWrap/>
            <w:hideMark/>
          </w:tcPr>
          <w:p w14:paraId="2BAEB820"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10.1101/2020.07.30.20149567</w:t>
            </w:r>
          </w:p>
        </w:tc>
        <w:tc>
          <w:tcPr>
            <w:tcW w:w="1599" w:type="pct"/>
            <w:noWrap/>
            <w:hideMark/>
          </w:tcPr>
          <w:p w14:paraId="68DA7B4A"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Tuscany, Italy</w:t>
            </w:r>
          </w:p>
        </w:tc>
        <w:tc>
          <w:tcPr>
            <w:tcW w:w="1439" w:type="pct"/>
          </w:tcPr>
          <w:p w14:paraId="20B8B3A8"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00933477" w14:textId="77777777" w:rsidTr="00EF48BC">
        <w:trPr>
          <w:trHeight w:val="288"/>
        </w:trPr>
        <w:tc>
          <w:tcPr>
            <w:tcW w:w="1962" w:type="pct"/>
            <w:noWrap/>
            <w:hideMark/>
          </w:tcPr>
          <w:p w14:paraId="31E6910C"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10.3201/eid2612.203764</w:t>
            </w:r>
          </w:p>
        </w:tc>
        <w:tc>
          <w:tcPr>
            <w:tcW w:w="1599" w:type="pct"/>
            <w:noWrap/>
            <w:hideMark/>
          </w:tcPr>
          <w:p w14:paraId="75573825"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Michigan, USA</w:t>
            </w:r>
          </w:p>
        </w:tc>
        <w:tc>
          <w:tcPr>
            <w:tcW w:w="1439" w:type="pct"/>
          </w:tcPr>
          <w:p w14:paraId="2E11EBE3"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6A89B405" w14:textId="77777777" w:rsidTr="00EF48BC">
        <w:trPr>
          <w:trHeight w:val="288"/>
        </w:trPr>
        <w:tc>
          <w:tcPr>
            <w:tcW w:w="1962" w:type="pct"/>
            <w:noWrap/>
            <w:hideMark/>
          </w:tcPr>
          <w:p w14:paraId="2A507A45"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10.1101/2021.03.30.21254653</w:t>
            </w:r>
          </w:p>
        </w:tc>
        <w:tc>
          <w:tcPr>
            <w:tcW w:w="1599" w:type="pct"/>
            <w:noWrap/>
            <w:hideMark/>
          </w:tcPr>
          <w:p w14:paraId="6C6F7604"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Stockholm, Sweden</w:t>
            </w:r>
          </w:p>
        </w:tc>
        <w:tc>
          <w:tcPr>
            <w:tcW w:w="1439" w:type="pct"/>
          </w:tcPr>
          <w:p w14:paraId="0B0F71B4"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7A4BC028" w14:textId="77777777" w:rsidTr="00EF48BC">
        <w:trPr>
          <w:trHeight w:val="288"/>
        </w:trPr>
        <w:tc>
          <w:tcPr>
            <w:tcW w:w="1962" w:type="pct"/>
            <w:noWrap/>
            <w:hideMark/>
          </w:tcPr>
          <w:p w14:paraId="3FCC1568"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10.1101/2020.11.12.20230458</w:t>
            </w:r>
          </w:p>
        </w:tc>
        <w:tc>
          <w:tcPr>
            <w:tcW w:w="1599" w:type="pct"/>
            <w:noWrap/>
            <w:hideMark/>
          </w:tcPr>
          <w:p w14:paraId="135E1EB6"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England, UK</w:t>
            </w:r>
          </w:p>
        </w:tc>
        <w:tc>
          <w:tcPr>
            <w:tcW w:w="1439" w:type="pct"/>
          </w:tcPr>
          <w:p w14:paraId="1CCCDD1F"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375BF4F6" w14:textId="77777777" w:rsidTr="00EF48BC">
        <w:trPr>
          <w:trHeight w:val="288"/>
        </w:trPr>
        <w:tc>
          <w:tcPr>
            <w:tcW w:w="1962" w:type="pct"/>
            <w:noWrap/>
            <w:hideMark/>
          </w:tcPr>
          <w:p w14:paraId="4717ACD3"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10.1101/2020.11.12.20230912</w:t>
            </w:r>
          </w:p>
        </w:tc>
        <w:tc>
          <w:tcPr>
            <w:tcW w:w="1599" w:type="pct"/>
            <w:noWrap/>
            <w:hideMark/>
          </w:tcPr>
          <w:p w14:paraId="724E02E0"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Tennessee, USA</w:t>
            </w:r>
          </w:p>
        </w:tc>
        <w:tc>
          <w:tcPr>
            <w:tcW w:w="1439" w:type="pct"/>
          </w:tcPr>
          <w:p w14:paraId="35D13E9E"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765E14F1" w14:textId="77777777" w:rsidTr="00EF48BC">
        <w:trPr>
          <w:trHeight w:val="288"/>
        </w:trPr>
        <w:tc>
          <w:tcPr>
            <w:tcW w:w="1962" w:type="pct"/>
            <w:noWrap/>
            <w:hideMark/>
          </w:tcPr>
          <w:p w14:paraId="5DD158BB"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10.3390/vaccines8040611</w:t>
            </w:r>
          </w:p>
        </w:tc>
        <w:tc>
          <w:tcPr>
            <w:tcW w:w="1599" w:type="pct"/>
            <w:noWrap/>
            <w:hideMark/>
          </w:tcPr>
          <w:p w14:paraId="4345F632"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Pamplona, Spain</w:t>
            </w:r>
          </w:p>
        </w:tc>
        <w:tc>
          <w:tcPr>
            <w:tcW w:w="1439" w:type="pct"/>
          </w:tcPr>
          <w:p w14:paraId="6E02A418"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034F7363" w14:textId="77777777" w:rsidTr="00EF48BC">
        <w:trPr>
          <w:trHeight w:val="288"/>
        </w:trPr>
        <w:tc>
          <w:tcPr>
            <w:tcW w:w="1962" w:type="pct"/>
            <w:noWrap/>
            <w:hideMark/>
          </w:tcPr>
          <w:p w14:paraId="125654DE"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10.1093/pubmed/fdaa199</w:t>
            </w:r>
          </w:p>
        </w:tc>
        <w:tc>
          <w:tcPr>
            <w:tcW w:w="1599" w:type="pct"/>
            <w:noWrap/>
            <w:hideMark/>
          </w:tcPr>
          <w:p w14:paraId="1502911B"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Leicester, UK</w:t>
            </w:r>
          </w:p>
        </w:tc>
        <w:tc>
          <w:tcPr>
            <w:tcW w:w="1439" w:type="pct"/>
          </w:tcPr>
          <w:p w14:paraId="1E858517"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5CAFCAEA" w14:textId="77777777" w:rsidTr="00EF48BC">
        <w:trPr>
          <w:trHeight w:val="288"/>
        </w:trPr>
        <w:tc>
          <w:tcPr>
            <w:tcW w:w="1962" w:type="pct"/>
            <w:noWrap/>
            <w:hideMark/>
          </w:tcPr>
          <w:p w14:paraId="1A0A6101"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10.7554/eLife.60675</w:t>
            </w:r>
          </w:p>
        </w:tc>
        <w:tc>
          <w:tcPr>
            <w:tcW w:w="1599" w:type="pct"/>
            <w:noWrap/>
            <w:hideMark/>
          </w:tcPr>
          <w:p w14:paraId="1B381426"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Oxford, UK</w:t>
            </w:r>
          </w:p>
        </w:tc>
        <w:tc>
          <w:tcPr>
            <w:tcW w:w="1439" w:type="pct"/>
          </w:tcPr>
          <w:p w14:paraId="5169A36F"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BE0A5B" w:rsidRPr="00BE0A5B" w14:paraId="1C4629F6" w14:textId="77777777" w:rsidTr="00EF48BC">
        <w:trPr>
          <w:trHeight w:val="288"/>
        </w:trPr>
        <w:tc>
          <w:tcPr>
            <w:tcW w:w="1962" w:type="pct"/>
            <w:noWrap/>
            <w:hideMark/>
          </w:tcPr>
          <w:p w14:paraId="5F085AEF"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10.1017/ice.2020.1358</w:t>
            </w:r>
          </w:p>
        </w:tc>
        <w:tc>
          <w:tcPr>
            <w:tcW w:w="1599" w:type="pct"/>
            <w:noWrap/>
            <w:hideMark/>
          </w:tcPr>
          <w:p w14:paraId="5E955A30"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California, USA</w:t>
            </w:r>
          </w:p>
        </w:tc>
        <w:tc>
          <w:tcPr>
            <w:tcW w:w="1439" w:type="pct"/>
          </w:tcPr>
          <w:p w14:paraId="22B1DBB3"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High-risk participants</w:t>
            </w:r>
          </w:p>
        </w:tc>
      </w:tr>
      <w:tr w:rsidR="00EF2898" w:rsidRPr="00BE0A5B" w14:paraId="25D5E71A" w14:textId="77777777" w:rsidTr="00291EF8">
        <w:trPr>
          <w:trHeight w:val="288"/>
        </w:trPr>
        <w:tc>
          <w:tcPr>
            <w:tcW w:w="1962" w:type="pct"/>
            <w:shd w:val="clear" w:color="auto" w:fill="auto"/>
            <w:noWrap/>
          </w:tcPr>
          <w:p w14:paraId="36A371CD" w14:textId="2258A973" w:rsidR="00EF2898" w:rsidRPr="00BE0A5B" w:rsidRDefault="00EF2898" w:rsidP="00592F53">
            <w:pPr>
              <w:rPr>
                <w:rFonts w:ascii="Times New Roman" w:hAnsi="Times New Roman" w:cs="Times New Roman"/>
                <w:sz w:val="20"/>
                <w:szCs w:val="20"/>
              </w:rPr>
            </w:pPr>
            <w:r w:rsidRPr="00EF2898">
              <w:rPr>
                <w:rFonts w:ascii="Times New Roman" w:hAnsi="Times New Roman" w:cs="Times New Roman"/>
                <w:sz w:val="20"/>
                <w:szCs w:val="20"/>
              </w:rPr>
              <w:t>10.1016/j.lanwpc.2020.100041</w:t>
            </w:r>
          </w:p>
        </w:tc>
        <w:tc>
          <w:tcPr>
            <w:tcW w:w="1599" w:type="pct"/>
            <w:shd w:val="clear" w:color="auto" w:fill="auto"/>
            <w:noWrap/>
          </w:tcPr>
          <w:p w14:paraId="37518FF4" w14:textId="404A2365" w:rsidR="00EF2898" w:rsidRPr="00BE0A5B" w:rsidRDefault="00EF2898" w:rsidP="00592F53">
            <w:pPr>
              <w:rPr>
                <w:rFonts w:ascii="Times New Roman" w:hAnsi="Times New Roman" w:cs="Times New Roman"/>
                <w:sz w:val="20"/>
                <w:szCs w:val="20"/>
              </w:rPr>
            </w:pPr>
            <w:r>
              <w:rPr>
                <w:rFonts w:ascii="Times New Roman" w:hAnsi="Times New Roman" w:cs="Times New Roman"/>
                <w:sz w:val="20"/>
                <w:szCs w:val="20"/>
              </w:rPr>
              <w:t>Taiwan</w:t>
            </w:r>
          </w:p>
        </w:tc>
        <w:tc>
          <w:tcPr>
            <w:tcW w:w="1439" w:type="pct"/>
            <w:shd w:val="clear" w:color="auto" w:fill="auto"/>
          </w:tcPr>
          <w:p w14:paraId="4F0C4C3F" w14:textId="683CFEE9" w:rsidR="00EF2898" w:rsidRPr="00BE0A5B" w:rsidRDefault="00EF2898" w:rsidP="00D462D1">
            <w:pPr>
              <w:rPr>
                <w:rFonts w:ascii="Times New Roman" w:hAnsi="Times New Roman" w:cs="Times New Roman"/>
                <w:sz w:val="20"/>
                <w:szCs w:val="20"/>
              </w:rPr>
            </w:pPr>
            <w:r>
              <w:rPr>
                <w:rFonts w:ascii="Times New Roman" w:hAnsi="Times New Roman" w:cs="Times New Roman"/>
                <w:sz w:val="20"/>
                <w:szCs w:val="20"/>
              </w:rPr>
              <w:t>High-risk participants (</w:t>
            </w:r>
            <w:r w:rsidR="00D462D1">
              <w:rPr>
                <w:rFonts w:ascii="Times New Roman" w:hAnsi="Times New Roman" w:cs="Times New Roman"/>
                <w:sz w:val="20"/>
                <w:szCs w:val="20"/>
              </w:rPr>
              <w:t>residual blood samples</w:t>
            </w:r>
            <w:r>
              <w:rPr>
                <w:rFonts w:ascii="Times New Roman" w:hAnsi="Times New Roman" w:cs="Times New Roman"/>
                <w:sz w:val="20"/>
                <w:szCs w:val="20"/>
              </w:rPr>
              <w:t>, di</w:t>
            </w:r>
            <w:r w:rsidR="00D462D1">
              <w:rPr>
                <w:rFonts w:ascii="Times New Roman" w:hAnsi="Times New Roman" w:cs="Times New Roman"/>
                <w:sz w:val="20"/>
                <w:szCs w:val="20"/>
              </w:rPr>
              <w:t xml:space="preserve">d not exclude </w:t>
            </w:r>
            <w:r>
              <w:rPr>
                <w:rFonts w:ascii="Times New Roman" w:hAnsi="Times New Roman" w:cs="Times New Roman"/>
                <w:sz w:val="20"/>
                <w:szCs w:val="20"/>
              </w:rPr>
              <w:t>COVID-19-related visits)</w:t>
            </w:r>
          </w:p>
        </w:tc>
      </w:tr>
      <w:tr w:rsidR="00EF2898" w:rsidRPr="00BE0A5B" w14:paraId="4F4FFB0B" w14:textId="77777777" w:rsidTr="00291EF8">
        <w:trPr>
          <w:trHeight w:val="288"/>
        </w:trPr>
        <w:tc>
          <w:tcPr>
            <w:tcW w:w="1962" w:type="pct"/>
            <w:shd w:val="clear" w:color="auto" w:fill="auto"/>
            <w:noWrap/>
          </w:tcPr>
          <w:p w14:paraId="4DF6F7C0" w14:textId="26EC0019" w:rsidR="00EF2898" w:rsidRPr="00BE0A5B" w:rsidRDefault="00EF2898" w:rsidP="00592F53">
            <w:pPr>
              <w:rPr>
                <w:rFonts w:ascii="Times New Roman" w:hAnsi="Times New Roman" w:cs="Times New Roman"/>
                <w:sz w:val="20"/>
                <w:szCs w:val="20"/>
              </w:rPr>
            </w:pPr>
            <w:r w:rsidRPr="00EF2898">
              <w:rPr>
                <w:rFonts w:ascii="Times New Roman" w:hAnsi="Times New Roman" w:cs="Times New Roman"/>
                <w:sz w:val="20"/>
                <w:szCs w:val="20"/>
              </w:rPr>
              <w:t>10.1101/2021.01.05.21249247</w:t>
            </w:r>
          </w:p>
        </w:tc>
        <w:tc>
          <w:tcPr>
            <w:tcW w:w="1599" w:type="pct"/>
            <w:shd w:val="clear" w:color="auto" w:fill="auto"/>
            <w:noWrap/>
          </w:tcPr>
          <w:p w14:paraId="168B5CEA" w14:textId="22BB8BA8" w:rsidR="00EF2898" w:rsidRPr="00BE0A5B" w:rsidRDefault="00EF2898" w:rsidP="00592F53">
            <w:pPr>
              <w:rPr>
                <w:rFonts w:ascii="Times New Roman" w:hAnsi="Times New Roman" w:cs="Times New Roman"/>
                <w:sz w:val="20"/>
                <w:szCs w:val="20"/>
              </w:rPr>
            </w:pPr>
            <w:r>
              <w:rPr>
                <w:rFonts w:ascii="Times New Roman" w:hAnsi="Times New Roman" w:cs="Times New Roman"/>
                <w:sz w:val="20"/>
                <w:szCs w:val="20"/>
              </w:rPr>
              <w:t>Qatar</w:t>
            </w:r>
          </w:p>
        </w:tc>
        <w:tc>
          <w:tcPr>
            <w:tcW w:w="1439" w:type="pct"/>
            <w:shd w:val="clear" w:color="auto" w:fill="auto"/>
          </w:tcPr>
          <w:p w14:paraId="7B784084" w14:textId="051D7CEF" w:rsidR="00EF2898" w:rsidRPr="00BE0A5B" w:rsidRDefault="00D462D1" w:rsidP="00592F53">
            <w:pPr>
              <w:rPr>
                <w:rFonts w:ascii="Times New Roman" w:hAnsi="Times New Roman" w:cs="Times New Roman"/>
                <w:sz w:val="20"/>
                <w:szCs w:val="20"/>
              </w:rPr>
            </w:pPr>
            <w:r>
              <w:rPr>
                <w:rFonts w:ascii="Times New Roman" w:hAnsi="Times New Roman" w:cs="Times New Roman"/>
                <w:sz w:val="20"/>
                <w:szCs w:val="20"/>
              </w:rPr>
              <w:t>High-risk participants (residual blood samples, did not exclude COVID-19-related visits)</w:t>
            </w:r>
          </w:p>
        </w:tc>
      </w:tr>
      <w:tr w:rsidR="00BE0A5B" w:rsidRPr="00BE0A5B" w14:paraId="02586FD4" w14:textId="77777777" w:rsidTr="00EF48BC">
        <w:trPr>
          <w:trHeight w:val="288"/>
        </w:trPr>
        <w:tc>
          <w:tcPr>
            <w:tcW w:w="1962" w:type="pct"/>
            <w:noWrap/>
            <w:hideMark/>
          </w:tcPr>
          <w:p w14:paraId="4AC4843B"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10.1101/2021.01.27.21250615</w:t>
            </w:r>
          </w:p>
        </w:tc>
        <w:tc>
          <w:tcPr>
            <w:tcW w:w="1599" w:type="pct"/>
            <w:noWrap/>
            <w:hideMark/>
          </w:tcPr>
          <w:p w14:paraId="7011984F"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North Carolina, USA</w:t>
            </w:r>
          </w:p>
        </w:tc>
        <w:tc>
          <w:tcPr>
            <w:tcW w:w="1439" w:type="pct"/>
          </w:tcPr>
          <w:p w14:paraId="6E0CF679"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Has not corrected for race and ethnicity (US study)</w:t>
            </w:r>
          </w:p>
        </w:tc>
      </w:tr>
      <w:tr w:rsidR="00BE0A5B" w:rsidRPr="00BE0A5B" w14:paraId="798CD13A" w14:textId="77777777" w:rsidTr="00EF48BC">
        <w:trPr>
          <w:trHeight w:val="288"/>
        </w:trPr>
        <w:tc>
          <w:tcPr>
            <w:tcW w:w="1962" w:type="pct"/>
            <w:noWrap/>
            <w:hideMark/>
          </w:tcPr>
          <w:p w14:paraId="15C6D2D6"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10.1101/2020.09.09.20191296v1</w:t>
            </w:r>
          </w:p>
        </w:tc>
        <w:tc>
          <w:tcPr>
            <w:tcW w:w="1599" w:type="pct"/>
            <w:noWrap/>
            <w:hideMark/>
          </w:tcPr>
          <w:p w14:paraId="079325C7"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USA</w:t>
            </w:r>
          </w:p>
        </w:tc>
        <w:tc>
          <w:tcPr>
            <w:tcW w:w="1439" w:type="pct"/>
          </w:tcPr>
          <w:p w14:paraId="331CF918"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Has not corrected for race and ethnicity (US study)</w:t>
            </w:r>
          </w:p>
        </w:tc>
      </w:tr>
      <w:tr w:rsidR="00BE0A5B" w:rsidRPr="00BE0A5B" w14:paraId="77AD2FA1" w14:textId="77777777" w:rsidTr="00EF48BC">
        <w:trPr>
          <w:trHeight w:val="288"/>
        </w:trPr>
        <w:tc>
          <w:tcPr>
            <w:tcW w:w="1962" w:type="pct"/>
            <w:noWrap/>
            <w:hideMark/>
          </w:tcPr>
          <w:p w14:paraId="2A439129"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10.1016/j.diagmicrobio.2020.115128</w:t>
            </w:r>
          </w:p>
        </w:tc>
        <w:tc>
          <w:tcPr>
            <w:tcW w:w="1599" w:type="pct"/>
            <w:noWrap/>
            <w:hideMark/>
          </w:tcPr>
          <w:p w14:paraId="7D24ABBB"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New York, USA</w:t>
            </w:r>
          </w:p>
        </w:tc>
        <w:tc>
          <w:tcPr>
            <w:tcW w:w="1439" w:type="pct"/>
          </w:tcPr>
          <w:p w14:paraId="02DD1CF9"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No available mortality statistics for elderly for the location</w:t>
            </w:r>
          </w:p>
        </w:tc>
      </w:tr>
      <w:tr w:rsidR="00BE0A5B" w:rsidRPr="00BE0A5B" w14:paraId="7295A2AA" w14:textId="77777777" w:rsidTr="00EF48BC">
        <w:trPr>
          <w:trHeight w:val="288"/>
        </w:trPr>
        <w:tc>
          <w:tcPr>
            <w:tcW w:w="1962" w:type="pct"/>
            <w:noWrap/>
            <w:hideMark/>
          </w:tcPr>
          <w:p w14:paraId="4A093604"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https://www.ayto-torrejon.es/sites/default/files/inline-files/dossier%20estudio%20Torrej%C3%B3n.pdf</w:t>
            </w:r>
          </w:p>
        </w:tc>
        <w:tc>
          <w:tcPr>
            <w:tcW w:w="1599" w:type="pct"/>
            <w:noWrap/>
            <w:hideMark/>
          </w:tcPr>
          <w:p w14:paraId="5E6A120A"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Torrejon de Ardoz, Spain</w:t>
            </w:r>
          </w:p>
        </w:tc>
        <w:tc>
          <w:tcPr>
            <w:tcW w:w="1439" w:type="pct"/>
          </w:tcPr>
          <w:p w14:paraId="2642FAA0"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No available mortality statistics for elderly for the location</w:t>
            </w:r>
          </w:p>
        </w:tc>
      </w:tr>
      <w:tr w:rsidR="00BE0A5B" w:rsidRPr="00BE0A5B" w14:paraId="7D91DDD6" w14:textId="77777777" w:rsidTr="00EF48BC">
        <w:trPr>
          <w:trHeight w:val="288"/>
        </w:trPr>
        <w:tc>
          <w:tcPr>
            <w:tcW w:w="1962" w:type="pct"/>
            <w:noWrap/>
            <w:hideMark/>
          </w:tcPr>
          <w:p w14:paraId="718E4C17"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10.1101/2020.09.16.20195693v1</w:t>
            </w:r>
          </w:p>
        </w:tc>
        <w:tc>
          <w:tcPr>
            <w:tcW w:w="1599" w:type="pct"/>
            <w:noWrap/>
            <w:hideMark/>
          </w:tcPr>
          <w:p w14:paraId="7B0A03C4"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France</w:t>
            </w:r>
          </w:p>
        </w:tc>
        <w:tc>
          <w:tcPr>
            <w:tcW w:w="1439" w:type="pct"/>
          </w:tcPr>
          <w:p w14:paraId="4A3F6852"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No available mortality statistics for elderly for the location</w:t>
            </w:r>
          </w:p>
        </w:tc>
      </w:tr>
      <w:tr w:rsidR="00BE0A5B" w:rsidRPr="00BE0A5B" w14:paraId="4FD57C06" w14:textId="77777777" w:rsidTr="00EF48BC">
        <w:trPr>
          <w:trHeight w:val="288"/>
        </w:trPr>
        <w:tc>
          <w:tcPr>
            <w:tcW w:w="1962" w:type="pct"/>
            <w:noWrap/>
            <w:hideMark/>
          </w:tcPr>
          <w:p w14:paraId="5FF868F4"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10.19191/EP20.5-6.S2.119</w:t>
            </w:r>
          </w:p>
        </w:tc>
        <w:tc>
          <w:tcPr>
            <w:tcW w:w="1599" w:type="pct"/>
            <w:noWrap/>
            <w:hideMark/>
          </w:tcPr>
          <w:p w14:paraId="57DF4F8D"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Borgosesia, Italy</w:t>
            </w:r>
          </w:p>
        </w:tc>
        <w:tc>
          <w:tcPr>
            <w:tcW w:w="1439" w:type="pct"/>
          </w:tcPr>
          <w:p w14:paraId="2CFBB82E"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No available mortality statistics for elderly for the location</w:t>
            </w:r>
          </w:p>
        </w:tc>
      </w:tr>
      <w:tr w:rsidR="00BE0A5B" w:rsidRPr="00BE0A5B" w14:paraId="62FD222F" w14:textId="77777777" w:rsidTr="00EF48BC">
        <w:trPr>
          <w:trHeight w:val="288"/>
        </w:trPr>
        <w:tc>
          <w:tcPr>
            <w:tcW w:w="1962" w:type="pct"/>
            <w:noWrap/>
            <w:hideMark/>
          </w:tcPr>
          <w:p w14:paraId="4C03DEAD"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10.2144/fsoa-2020-0203</w:t>
            </w:r>
          </w:p>
        </w:tc>
        <w:tc>
          <w:tcPr>
            <w:tcW w:w="1599" w:type="pct"/>
            <w:noWrap/>
            <w:hideMark/>
          </w:tcPr>
          <w:p w14:paraId="4B826D49"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Ariano Irpino, Italy</w:t>
            </w:r>
          </w:p>
        </w:tc>
        <w:tc>
          <w:tcPr>
            <w:tcW w:w="1439" w:type="pct"/>
          </w:tcPr>
          <w:p w14:paraId="65A76C93" w14:textId="77777777" w:rsidR="00BE0A5B" w:rsidRPr="00BE0A5B" w:rsidRDefault="00BE0A5B" w:rsidP="00592F53">
            <w:pPr>
              <w:rPr>
                <w:rFonts w:ascii="Times New Roman" w:hAnsi="Times New Roman" w:cs="Times New Roman"/>
                <w:sz w:val="20"/>
                <w:szCs w:val="20"/>
              </w:rPr>
            </w:pPr>
            <w:r w:rsidRPr="00BE0A5B">
              <w:rPr>
                <w:rFonts w:ascii="Times New Roman" w:hAnsi="Times New Roman" w:cs="Times New Roman"/>
                <w:sz w:val="20"/>
                <w:szCs w:val="20"/>
              </w:rPr>
              <w:t>No available mortality statistics for elderly for the location</w:t>
            </w:r>
          </w:p>
        </w:tc>
      </w:tr>
      <w:tr w:rsidR="00EF48BC" w:rsidRPr="00BE0A5B" w14:paraId="34353178" w14:textId="77777777" w:rsidTr="00EF48BC">
        <w:trPr>
          <w:trHeight w:val="288"/>
        </w:trPr>
        <w:tc>
          <w:tcPr>
            <w:tcW w:w="1962" w:type="pct"/>
            <w:noWrap/>
          </w:tcPr>
          <w:p w14:paraId="6F6B0692" w14:textId="55748BC5" w:rsidR="00EF48BC" w:rsidRPr="00BE0A5B" w:rsidRDefault="00EF48BC" w:rsidP="00EF48BC">
            <w:pPr>
              <w:rPr>
                <w:rFonts w:ascii="Times New Roman" w:hAnsi="Times New Roman" w:cs="Times New Roman"/>
                <w:sz w:val="20"/>
                <w:szCs w:val="20"/>
              </w:rPr>
            </w:pPr>
            <w:r w:rsidRPr="00EF48BC">
              <w:rPr>
                <w:rFonts w:ascii="Times New Roman" w:hAnsi="Times New Roman" w:cs="Times New Roman"/>
                <w:sz w:val="20"/>
                <w:szCs w:val="20"/>
              </w:rPr>
              <w:t>10.1016/S2214-109X(20)30387-9</w:t>
            </w:r>
          </w:p>
        </w:tc>
        <w:tc>
          <w:tcPr>
            <w:tcW w:w="1599" w:type="pct"/>
            <w:noWrap/>
          </w:tcPr>
          <w:p w14:paraId="77E812AF" w14:textId="2E6092A3" w:rsidR="00EF48BC" w:rsidRPr="00BE0A5B" w:rsidRDefault="00EF48BC" w:rsidP="00EF48BC">
            <w:pPr>
              <w:rPr>
                <w:rFonts w:ascii="Times New Roman" w:hAnsi="Times New Roman" w:cs="Times New Roman"/>
                <w:sz w:val="20"/>
                <w:szCs w:val="20"/>
              </w:rPr>
            </w:pPr>
            <w:r>
              <w:rPr>
                <w:rFonts w:ascii="Times New Roman" w:hAnsi="Times New Roman" w:cs="Times New Roman"/>
                <w:sz w:val="20"/>
                <w:szCs w:val="20"/>
              </w:rPr>
              <w:t>Brazil</w:t>
            </w:r>
          </w:p>
        </w:tc>
        <w:tc>
          <w:tcPr>
            <w:tcW w:w="1439" w:type="pct"/>
          </w:tcPr>
          <w:p w14:paraId="1D21C953" w14:textId="4CAEE288"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available mortality statistics for elderly for the location</w:t>
            </w:r>
          </w:p>
        </w:tc>
      </w:tr>
      <w:tr w:rsidR="00EF48BC" w:rsidRPr="00BE0A5B" w14:paraId="2BAACF3B" w14:textId="77777777" w:rsidTr="00EF48BC">
        <w:trPr>
          <w:trHeight w:val="288"/>
        </w:trPr>
        <w:tc>
          <w:tcPr>
            <w:tcW w:w="1962" w:type="pct"/>
            <w:noWrap/>
            <w:hideMark/>
          </w:tcPr>
          <w:p w14:paraId="24155CA9"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https://covid-imunita.uzis.cz/res/file/</w:t>
            </w:r>
          </w:p>
          <w:p w14:paraId="62909556"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prezentace/20200506-dusek.pdf</w:t>
            </w:r>
          </w:p>
        </w:tc>
        <w:tc>
          <w:tcPr>
            <w:tcW w:w="1599" w:type="pct"/>
            <w:noWrap/>
            <w:hideMark/>
          </w:tcPr>
          <w:p w14:paraId="5FBDEB31"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Czechia</w:t>
            </w:r>
          </w:p>
        </w:tc>
        <w:tc>
          <w:tcPr>
            <w:tcW w:w="1439" w:type="pct"/>
          </w:tcPr>
          <w:p w14:paraId="13F4A6AC"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w:t>
            </w:r>
          </w:p>
        </w:tc>
      </w:tr>
      <w:tr w:rsidR="00EF48BC" w:rsidRPr="00BE0A5B" w14:paraId="09E72368" w14:textId="77777777" w:rsidTr="00EF48BC">
        <w:trPr>
          <w:trHeight w:val="288"/>
        </w:trPr>
        <w:tc>
          <w:tcPr>
            <w:tcW w:w="1962" w:type="pct"/>
            <w:noWrap/>
            <w:hideMark/>
          </w:tcPr>
          <w:p w14:paraId="52DCCD7E"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10.1038/s41591-020-0949-6</w:t>
            </w:r>
          </w:p>
        </w:tc>
        <w:tc>
          <w:tcPr>
            <w:tcW w:w="1599" w:type="pct"/>
            <w:noWrap/>
            <w:hideMark/>
          </w:tcPr>
          <w:p w14:paraId="7BC44A6A"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China</w:t>
            </w:r>
          </w:p>
        </w:tc>
        <w:tc>
          <w:tcPr>
            <w:tcW w:w="1439" w:type="pct"/>
          </w:tcPr>
          <w:p w14:paraId="3467B713"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w:t>
            </w:r>
          </w:p>
        </w:tc>
      </w:tr>
      <w:tr w:rsidR="00EF48BC" w:rsidRPr="00BE0A5B" w14:paraId="0D8416E6" w14:textId="77777777" w:rsidTr="00EF48BC">
        <w:trPr>
          <w:trHeight w:val="288"/>
        </w:trPr>
        <w:tc>
          <w:tcPr>
            <w:tcW w:w="1962" w:type="pct"/>
            <w:noWrap/>
            <w:hideMark/>
          </w:tcPr>
          <w:p w14:paraId="0345F58C"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10.1038/s41586-020-2912-6</w:t>
            </w:r>
          </w:p>
        </w:tc>
        <w:tc>
          <w:tcPr>
            <w:tcW w:w="1599" w:type="pct"/>
            <w:noWrap/>
            <w:hideMark/>
          </w:tcPr>
          <w:p w14:paraId="2DE9A825"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New York City, USA</w:t>
            </w:r>
          </w:p>
        </w:tc>
        <w:tc>
          <w:tcPr>
            <w:tcW w:w="1439" w:type="pct"/>
          </w:tcPr>
          <w:p w14:paraId="77E45454"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w:t>
            </w:r>
          </w:p>
        </w:tc>
      </w:tr>
      <w:tr w:rsidR="00EF48BC" w:rsidRPr="00BE0A5B" w14:paraId="70E33F18" w14:textId="77777777" w:rsidTr="00EF48BC">
        <w:trPr>
          <w:trHeight w:val="288"/>
        </w:trPr>
        <w:tc>
          <w:tcPr>
            <w:tcW w:w="1962" w:type="pct"/>
            <w:noWrap/>
            <w:hideMark/>
          </w:tcPr>
          <w:p w14:paraId="1F6F3D1D"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lastRenderedPageBreak/>
              <w:t>10.1001/jama.2020.18598</w:t>
            </w:r>
          </w:p>
        </w:tc>
        <w:tc>
          <w:tcPr>
            <w:tcW w:w="1599" w:type="pct"/>
            <w:noWrap/>
            <w:hideMark/>
          </w:tcPr>
          <w:p w14:paraId="098846EC"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USA</w:t>
            </w:r>
          </w:p>
        </w:tc>
        <w:tc>
          <w:tcPr>
            <w:tcW w:w="1439" w:type="pct"/>
          </w:tcPr>
          <w:p w14:paraId="4C1586DA"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w:t>
            </w:r>
          </w:p>
        </w:tc>
      </w:tr>
      <w:tr w:rsidR="00EF48BC" w:rsidRPr="00BE0A5B" w14:paraId="2C1527AC" w14:textId="77777777" w:rsidTr="00EF48BC">
        <w:trPr>
          <w:trHeight w:val="288"/>
        </w:trPr>
        <w:tc>
          <w:tcPr>
            <w:tcW w:w="1962" w:type="pct"/>
            <w:noWrap/>
            <w:hideMark/>
          </w:tcPr>
          <w:p w14:paraId="58F87D1E"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http://www.salute.gov.it/portale/</w:t>
            </w:r>
          </w:p>
          <w:p w14:paraId="4FE4DC69"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nuovocoronavirus/dettaglioNotizieNuovo</w:t>
            </w:r>
          </w:p>
          <w:p w14:paraId="19E8934B"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Coronavirus.jsp?lingua=italiano&amp;menu=</w:t>
            </w:r>
          </w:p>
          <w:p w14:paraId="0A677459"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notizie&amp;p=dalministero&amp;id=4998</w:t>
            </w:r>
          </w:p>
        </w:tc>
        <w:tc>
          <w:tcPr>
            <w:tcW w:w="1599" w:type="pct"/>
            <w:noWrap/>
            <w:hideMark/>
          </w:tcPr>
          <w:p w14:paraId="3DE7347A"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Italy</w:t>
            </w:r>
          </w:p>
        </w:tc>
        <w:tc>
          <w:tcPr>
            <w:tcW w:w="1439" w:type="pct"/>
          </w:tcPr>
          <w:p w14:paraId="69D5045C"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w:t>
            </w:r>
          </w:p>
        </w:tc>
      </w:tr>
      <w:tr w:rsidR="00EF48BC" w:rsidRPr="00BE0A5B" w14:paraId="17607F36" w14:textId="77777777" w:rsidTr="00EF48BC">
        <w:trPr>
          <w:trHeight w:val="288"/>
        </w:trPr>
        <w:tc>
          <w:tcPr>
            <w:tcW w:w="1962" w:type="pct"/>
            <w:noWrap/>
          </w:tcPr>
          <w:p w14:paraId="429FBAB1"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10.21203/rs.3.rs-80259/v1</w:t>
            </w:r>
          </w:p>
        </w:tc>
        <w:tc>
          <w:tcPr>
            <w:tcW w:w="1599" w:type="pct"/>
            <w:noWrap/>
          </w:tcPr>
          <w:p w14:paraId="04C9DD8A"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Delhi, India</w:t>
            </w:r>
          </w:p>
        </w:tc>
        <w:tc>
          <w:tcPr>
            <w:tcW w:w="1439" w:type="pct"/>
          </w:tcPr>
          <w:p w14:paraId="4F44A450"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w:t>
            </w:r>
          </w:p>
        </w:tc>
      </w:tr>
      <w:tr w:rsidR="00EF48BC" w:rsidRPr="00BE0A5B" w14:paraId="7DB28348" w14:textId="77777777" w:rsidTr="00EF48BC">
        <w:trPr>
          <w:trHeight w:val="288"/>
        </w:trPr>
        <w:tc>
          <w:tcPr>
            <w:tcW w:w="1962" w:type="pct"/>
            <w:noWrap/>
            <w:hideMark/>
          </w:tcPr>
          <w:p w14:paraId="6BFCEE8A"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10.1016/j.annepidem.2020.06.004</w:t>
            </w:r>
          </w:p>
        </w:tc>
        <w:tc>
          <w:tcPr>
            <w:tcW w:w="1599" w:type="pct"/>
            <w:noWrap/>
            <w:hideMark/>
          </w:tcPr>
          <w:p w14:paraId="61581F9D"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New York, USA</w:t>
            </w:r>
          </w:p>
        </w:tc>
        <w:tc>
          <w:tcPr>
            <w:tcW w:w="1439" w:type="pct"/>
          </w:tcPr>
          <w:p w14:paraId="0CC1B111" w14:textId="77777777" w:rsidR="00EF48BC" w:rsidRPr="00BE0A5B" w:rsidRDefault="00EF48BC" w:rsidP="00EF48BC">
            <w:pPr>
              <w:rPr>
                <w:rFonts w:ascii="Times New Roman" w:hAnsi="Times New Roman" w:cs="Times New Roman"/>
                <w:sz w:val="20"/>
                <w:szCs w:val="20"/>
              </w:rPr>
            </w:pPr>
            <w:r w:rsidRPr="00BE0A5B">
              <w:rPr>
                <w:rFonts w:ascii="Times New Roman" w:hAnsi="Times New Roman" w:cs="Times New Roman"/>
                <w:sz w:val="20"/>
                <w:szCs w:val="20"/>
              </w:rPr>
              <w:t>No seroprevalence estimate for elderly (55+ is not an eligible cutoff)</w:t>
            </w:r>
          </w:p>
        </w:tc>
      </w:tr>
      <w:tr w:rsidR="00EF48BC" w:rsidRPr="00BE0A5B" w14:paraId="52D29F22" w14:textId="77777777" w:rsidTr="00EF48BC">
        <w:trPr>
          <w:trHeight w:val="288"/>
        </w:trPr>
        <w:tc>
          <w:tcPr>
            <w:tcW w:w="1962" w:type="pct"/>
            <w:noWrap/>
          </w:tcPr>
          <w:p w14:paraId="4FCCD349" w14:textId="77777777" w:rsidR="00EF48BC" w:rsidRDefault="00EF48BC" w:rsidP="00EF48BC">
            <w:pPr>
              <w:rPr>
                <w:rFonts w:ascii="Times New Roman" w:hAnsi="Times New Roman" w:cs="Times New Roman"/>
                <w:sz w:val="20"/>
                <w:szCs w:val="20"/>
              </w:rPr>
            </w:pPr>
            <w:r w:rsidRPr="009E2100">
              <w:rPr>
                <w:rFonts w:ascii="Times New Roman" w:hAnsi="Times New Roman" w:cs="Times New Roman"/>
                <w:sz w:val="20"/>
                <w:szCs w:val="20"/>
              </w:rPr>
              <w:t>https://www.ons.gov.uk/peoplepopulationandcommunity/healthandsocialcare/conditionsanddiseases/datasets/coronaviruscovid19infectionsinthecommunityinengland</w:t>
            </w:r>
          </w:p>
          <w:p w14:paraId="53B68F24" w14:textId="401551EB" w:rsidR="00EF48BC" w:rsidRPr="00BE0A5B" w:rsidRDefault="00EF48BC" w:rsidP="00EF48BC">
            <w:pPr>
              <w:rPr>
                <w:rFonts w:ascii="Times New Roman" w:hAnsi="Times New Roman" w:cs="Times New Roman"/>
                <w:sz w:val="20"/>
                <w:szCs w:val="20"/>
              </w:rPr>
            </w:pPr>
            <w:r>
              <w:rPr>
                <w:rFonts w:ascii="Times New Roman" w:hAnsi="Times New Roman" w:cs="Times New Roman"/>
                <w:sz w:val="20"/>
                <w:szCs w:val="20"/>
              </w:rPr>
              <w:t>[COVID-19 Infection Survey]</w:t>
            </w:r>
          </w:p>
        </w:tc>
        <w:tc>
          <w:tcPr>
            <w:tcW w:w="1599" w:type="pct"/>
            <w:noWrap/>
          </w:tcPr>
          <w:p w14:paraId="1D9E30B9" w14:textId="7CCB715B" w:rsidR="00EF48BC" w:rsidRPr="00BE0A5B" w:rsidRDefault="00EF48BC" w:rsidP="00EF48BC">
            <w:pPr>
              <w:rPr>
                <w:rFonts w:ascii="Times New Roman" w:hAnsi="Times New Roman" w:cs="Times New Roman"/>
                <w:sz w:val="20"/>
                <w:szCs w:val="20"/>
              </w:rPr>
            </w:pPr>
            <w:r>
              <w:rPr>
                <w:rFonts w:ascii="Times New Roman" w:hAnsi="Times New Roman" w:cs="Times New Roman"/>
                <w:sz w:val="20"/>
                <w:szCs w:val="20"/>
              </w:rPr>
              <w:t>UK</w:t>
            </w:r>
          </w:p>
        </w:tc>
        <w:tc>
          <w:tcPr>
            <w:tcW w:w="1439" w:type="pct"/>
          </w:tcPr>
          <w:p w14:paraId="3B7AFDC9" w14:textId="77777777" w:rsidR="00EF48BC" w:rsidRDefault="00EF48BC" w:rsidP="00EF48BC">
            <w:pPr>
              <w:rPr>
                <w:rFonts w:ascii="Times New Roman" w:hAnsi="Times New Roman" w:cs="Times New Roman"/>
                <w:sz w:val="20"/>
                <w:szCs w:val="20"/>
              </w:rPr>
            </w:pPr>
            <w:r>
              <w:rPr>
                <w:rFonts w:ascii="Times New Roman" w:hAnsi="Times New Roman" w:cs="Times New Roman"/>
                <w:sz w:val="20"/>
                <w:szCs w:val="20"/>
              </w:rPr>
              <w:t>Conducted in 2021</w:t>
            </w:r>
          </w:p>
          <w:p w14:paraId="58BFD81C" w14:textId="4975E1FC" w:rsidR="00EF48BC" w:rsidRPr="00BE0A5B" w:rsidRDefault="00EF48BC" w:rsidP="00EF48BC">
            <w:pPr>
              <w:rPr>
                <w:rFonts w:ascii="Times New Roman" w:hAnsi="Times New Roman" w:cs="Times New Roman"/>
                <w:sz w:val="20"/>
                <w:szCs w:val="20"/>
              </w:rPr>
            </w:pPr>
            <w:r>
              <w:rPr>
                <w:rFonts w:ascii="Times New Roman" w:hAnsi="Times New Roman" w:cs="Times New Roman"/>
                <w:sz w:val="20"/>
                <w:szCs w:val="20"/>
              </w:rPr>
              <w:t>This is a repeated survey. For eligible time periods (2020): No seroprevalence estimate for elderly</w:t>
            </w:r>
          </w:p>
        </w:tc>
      </w:tr>
    </w:tbl>
    <w:p w14:paraId="5D12A456" w14:textId="77777777" w:rsidR="00BE0A5B" w:rsidRDefault="00BE0A5B">
      <w:pPr>
        <w:rPr>
          <w:rFonts w:ascii="Times New Roman" w:hAnsi="Times New Roman" w:cs="Times New Roman"/>
          <w:b/>
          <w:bCs/>
        </w:rPr>
      </w:pPr>
      <w:r>
        <w:rPr>
          <w:rFonts w:ascii="Times New Roman" w:hAnsi="Times New Roman" w:cs="Times New Roman"/>
          <w:b/>
          <w:bCs/>
        </w:rPr>
        <w:br w:type="page"/>
      </w:r>
    </w:p>
    <w:p w14:paraId="795680D5" w14:textId="77777777" w:rsidR="00B507C6" w:rsidRDefault="00B507C6" w:rsidP="00EB1D90">
      <w:pPr>
        <w:rPr>
          <w:rFonts w:ascii="Times New Roman" w:hAnsi="Times New Roman" w:cs="Times New Roman"/>
          <w:b/>
          <w:bCs/>
        </w:rPr>
        <w:sectPr w:rsidR="00B507C6" w:rsidSect="00B507C6">
          <w:pgSz w:w="12240" w:h="15840"/>
          <w:pgMar w:top="1440" w:right="1043" w:bottom="1440" w:left="1440" w:header="720" w:footer="720" w:gutter="0"/>
          <w:cols w:space="720"/>
          <w:docGrid w:linePitch="360"/>
        </w:sectPr>
      </w:pPr>
    </w:p>
    <w:p w14:paraId="38E54B96" w14:textId="14D99FE6" w:rsidR="00EB1D90" w:rsidRDefault="00EB1D90" w:rsidP="00EB1D90">
      <w:pPr>
        <w:rPr>
          <w:rFonts w:ascii="Times New Roman" w:hAnsi="Times New Roman" w:cs="Times New Roman"/>
        </w:rPr>
      </w:pPr>
      <w:r>
        <w:rPr>
          <w:rFonts w:ascii="Times New Roman" w:hAnsi="Times New Roman" w:cs="Times New Roman"/>
          <w:b/>
          <w:bCs/>
        </w:rPr>
        <w:lastRenderedPageBreak/>
        <w:t xml:space="preserve">Appendix </w:t>
      </w:r>
      <w:r w:rsidRPr="00920579">
        <w:rPr>
          <w:rFonts w:ascii="Times New Roman" w:hAnsi="Times New Roman" w:cs="Times New Roman"/>
          <w:b/>
          <w:bCs/>
        </w:rPr>
        <w:t>T</w:t>
      </w:r>
      <w:r w:rsidR="00AF42AB">
        <w:rPr>
          <w:rFonts w:ascii="Times New Roman" w:hAnsi="Times New Roman" w:cs="Times New Roman"/>
          <w:b/>
          <w:bCs/>
        </w:rPr>
        <w:t>able 4</w:t>
      </w:r>
      <w:r w:rsidRPr="00920579">
        <w:rPr>
          <w:rFonts w:ascii="Times New Roman" w:hAnsi="Times New Roman" w:cs="Times New Roman"/>
          <w:b/>
          <w:bCs/>
        </w:rPr>
        <w:t>.</w:t>
      </w:r>
      <w:r w:rsidRPr="00920579">
        <w:rPr>
          <w:rFonts w:ascii="Times New Roman" w:hAnsi="Times New Roman" w:cs="Times New Roman"/>
        </w:rPr>
        <w:t xml:space="preserve"> </w:t>
      </w:r>
      <w:r w:rsidR="00144583">
        <w:rPr>
          <w:rFonts w:ascii="Times New Roman" w:hAnsi="Times New Roman" w:cs="Times New Roman"/>
        </w:rPr>
        <w:t>Uncorrected and s</w:t>
      </w:r>
      <w:r w:rsidR="00225BA1">
        <w:rPr>
          <w:rFonts w:ascii="Times New Roman" w:hAnsi="Times New Roman" w:cs="Times New Roman"/>
        </w:rPr>
        <w:t>eroreversion-corrected infection fatality rate in community-dwelling elderly</w:t>
      </w:r>
    </w:p>
    <w:p w14:paraId="55F26956" w14:textId="371D9808" w:rsidR="00A33983" w:rsidRDefault="00A33983" w:rsidP="00EB1D90">
      <w:pPr>
        <w:rPr>
          <w:rFonts w:ascii="Times New Roman" w:hAnsi="Times New Roman" w:cs="Times New Roman"/>
        </w:rPr>
      </w:pPr>
    </w:p>
    <w:tbl>
      <w:tblPr>
        <w:tblStyle w:val="Tabellrutnt"/>
        <w:tblW w:w="0" w:type="auto"/>
        <w:tblLook w:val="04A0" w:firstRow="1" w:lastRow="0" w:firstColumn="1" w:lastColumn="0" w:noHBand="0" w:noVBand="1"/>
      </w:tblPr>
      <w:tblGrid>
        <w:gridCol w:w="1342"/>
        <w:gridCol w:w="1333"/>
        <w:gridCol w:w="952"/>
        <w:gridCol w:w="922"/>
        <w:gridCol w:w="858"/>
        <w:gridCol w:w="1193"/>
        <w:gridCol w:w="1100"/>
        <w:gridCol w:w="1750"/>
        <w:gridCol w:w="1750"/>
        <w:gridCol w:w="1750"/>
      </w:tblGrid>
      <w:tr w:rsidR="00E15C1A" w:rsidRPr="00A33983" w14:paraId="494E23BF" w14:textId="77777777" w:rsidTr="00291EF8">
        <w:trPr>
          <w:trHeight w:val="288"/>
        </w:trPr>
        <w:tc>
          <w:tcPr>
            <w:tcW w:w="1559" w:type="dxa"/>
            <w:noWrap/>
            <w:hideMark/>
          </w:tcPr>
          <w:p w14:paraId="086D999A" w14:textId="3F766B18" w:rsidR="00E15C1A" w:rsidRPr="00A33983" w:rsidRDefault="00E15C1A" w:rsidP="00A33983">
            <w:pPr>
              <w:rPr>
                <w:rFonts w:ascii="Times New Roman" w:hAnsi="Times New Roman" w:cs="Times New Roman"/>
                <w:b/>
                <w:bCs/>
                <w:sz w:val="20"/>
                <w:szCs w:val="20"/>
              </w:rPr>
            </w:pPr>
            <w:r>
              <w:rPr>
                <w:rFonts w:ascii="Times New Roman" w:hAnsi="Times New Roman" w:cs="Times New Roman"/>
                <w:b/>
                <w:bCs/>
                <w:sz w:val="20"/>
                <w:szCs w:val="20"/>
              </w:rPr>
              <w:t>L</w:t>
            </w:r>
            <w:r w:rsidRPr="00A33983">
              <w:rPr>
                <w:rFonts w:ascii="Times New Roman" w:hAnsi="Times New Roman" w:cs="Times New Roman"/>
                <w:b/>
                <w:bCs/>
                <w:sz w:val="20"/>
                <w:szCs w:val="20"/>
              </w:rPr>
              <w:t>ocation</w:t>
            </w:r>
            <w:r>
              <w:rPr>
                <w:rFonts w:ascii="Times New Roman" w:hAnsi="Times New Roman" w:cs="Times New Roman"/>
                <w:b/>
                <w:bCs/>
                <w:sz w:val="20"/>
                <w:szCs w:val="20"/>
              </w:rPr>
              <w:t xml:space="preserve"> (First author)</w:t>
            </w:r>
          </w:p>
        </w:tc>
        <w:tc>
          <w:tcPr>
            <w:tcW w:w="1216" w:type="dxa"/>
            <w:noWrap/>
            <w:hideMark/>
          </w:tcPr>
          <w:p w14:paraId="73162A85" w14:textId="1C6FC8B1" w:rsidR="00E15C1A" w:rsidRPr="00A33983" w:rsidRDefault="00E15C1A" w:rsidP="00A33983">
            <w:pPr>
              <w:rPr>
                <w:rFonts w:ascii="Times New Roman" w:hAnsi="Times New Roman" w:cs="Times New Roman"/>
                <w:b/>
                <w:bCs/>
                <w:sz w:val="20"/>
                <w:szCs w:val="20"/>
              </w:rPr>
            </w:pPr>
            <w:r>
              <w:rPr>
                <w:rFonts w:ascii="Times New Roman" w:hAnsi="Times New Roman" w:cs="Times New Roman"/>
                <w:b/>
                <w:bCs/>
                <w:sz w:val="20"/>
                <w:szCs w:val="20"/>
              </w:rPr>
              <w:t>Antibody types measured</w:t>
            </w:r>
          </w:p>
        </w:tc>
        <w:tc>
          <w:tcPr>
            <w:tcW w:w="875" w:type="dxa"/>
            <w:noWrap/>
            <w:hideMark/>
          </w:tcPr>
          <w:p w14:paraId="346A20C9" w14:textId="0064DCC7" w:rsidR="00E15C1A" w:rsidRPr="00A33983" w:rsidRDefault="00E15C1A" w:rsidP="00A33983">
            <w:pPr>
              <w:rPr>
                <w:rFonts w:ascii="Times New Roman" w:hAnsi="Times New Roman" w:cs="Times New Roman"/>
                <w:b/>
                <w:bCs/>
                <w:sz w:val="20"/>
                <w:szCs w:val="20"/>
              </w:rPr>
            </w:pPr>
            <w:r>
              <w:rPr>
                <w:rFonts w:ascii="Times New Roman" w:hAnsi="Times New Roman" w:cs="Times New Roman"/>
                <w:b/>
                <w:bCs/>
                <w:sz w:val="20"/>
                <w:szCs w:val="20"/>
              </w:rPr>
              <w:t>Study midpoint*</w:t>
            </w:r>
          </w:p>
        </w:tc>
        <w:tc>
          <w:tcPr>
            <w:tcW w:w="1059" w:type="dxa"/>
            <w:noWrap/>
            <w:hideMark/>
          </w:tcPr>
          <w:p w14:paraId="66788B38" w14:textId="53F6A0E0" w:rsidR="00E15C1A" w:rsidRPr="0046260F" w:rsidRDefault="00E15C1A" w:rsidP="00A33983">
            <w:pPr>
              <w:rPr>
                <w:rFonts w:ascii="Times New Roman" w:hAnsi="Times New Roman" w:cs="Times New Roman"/>
                <w:b/>
                <w:bCs/>
                <w:sz w:val="20"/>
                <w:szCs w:val="20"/>
                <w:vertAlign w:val="superscript"/>
              </w:rPr>
            </w:pPr>
            <w:r>
              <w:rPr>
                <w:rFonts w:ascii="Times New Roman" w:hAnsi="Times New Roman" w:cs="Times New Roman"/>
                <w:b/>
                <w:bCs/>
                <w:sz w:val="20"/>
                <w:szCs w:val="20"/>
              </w:rPr>
              <w:t>Peak of wave 1</w:t>
            </w:r>
            <w:r w:rsidRPr="0046260F">
              <w:rPr>
                <w:rFonts w:ascii="Times New Roman" w:hAnsi="Times New Roman" w:cs="Times New Roman"/>
                <w:b/>
                <w:bCs/>
                <w:sz w:val="20"/>
                <w:szCs w:val="20"/>
                <w:vertAlign w:val="superscript"/>
              </w:rPr>
              <w:t>†</w:t>
            </w:r>
          </w:p>
        </w:tc>
        <w:tc>
          <w:tcPr>
            <w:tcW w:w="806" w:type="dxa"/>
            <w:noWrap/>
            <w:hideMark/>
          </w:tcPr>
          <w:p w14:paraId="3981D922" w14:textId="249D3278" w:rsidR="00E15C1A" w:rsidRPr="00A33983" w:rsidRDefault="00E15C1A" w:rsidP="00A33983">
            <w:pPr>
              <w:rPr>
                <w:rFonts w:ascii="Times New Roman" w:hAnsi="Times New Roman" w:cs="Times New Roman"/>
                <w:b/>
                <w:bCs/>
                <w:sz w:val="20"/>
                <w:szCs w:val="20"/>
              </w:rPr>
            </w:pPr>
            <w:r>
              <w:rPr>
                <w:rFonts w:ascii="Times New Roman" w:hAnsi="Times New Roman" w:cs="Times New Roman"/>
                <w:b/>
                <w:bCs/>
                <w:sz w:val="20"/>
                <w:szCs w:val="20"/>
              </w:rPr>
              <w:t>Time lag between primary date and peak (months)</w:t>
            </w:r>
          </w:p>
        </w:tc>
        <w:tc>
          <w:tcPr>
            <w:tcW w:w="1091" w:type="dxa"/>
            <w:noWrap/>
            <w:hideMark/>
          </w:tcPr>
          <w:p w14:paraId="4573B582" w14:textId="0159284E" w:rsidR="00E15C1A" w:rsidRPr="00A33983" w:rsidRDefault="00E15C1A" w:rsidP="00D97DA9">
            <w:pPr>
              <w:rPr>
                <w:rFonts w:ascii="Times New Roman" w:hAnsi="Times New Roman" w:cs="Times New Roman"/>
                <w:b/>
                <w:bCs/>
                <w:sz w:val="20"/>
                <w:szCs w:val="20"/>
              </w:rPr>
            </w:pPr>
            <w:r>
              <w:rPr>
                <w:rFonts w:ascii="Times New Roman" w:hAnsi="Times New Roman" w:cs="Times New Roman"/>
                <w:b/>
                <w:bCs/>
                <w:sz w:val="20"/>
                <w:szCs w:val="20"/>
              </w:rPr>
              <w:t>IFR in community-dwelling elderly (uncorrected)</w:t>
            </w:r>
          </w:p>
        </w:tc>
        <w:tc>
          <w:tcPr>
            <w:tcW w:w="1008" w:type="dxa"/>
            <w:noWrap/>
            <w:hideMark/>
          </w:tcPr>
          <w:p w14:paraId="030712FF" w14:textId="3E986AB9" w:rsidR="00E15C1A" w:rsidRPr="00A33983" w:rsidRDefault="00E15C1A" w:rsidP="00A33983">
            <w:pPr>
              <w:rPr>
                <w:rFonts w:ascii="Times New Roman" w:hAnsi="Times New Roman" w:cs="Times New Roman"/>
                <w:b/>
                <w:bCs/>
                <w:sz w:val="20"/>
                <w:szCs w:val="20"/>
              </w:rPr>
            </w:pPr>
            <w:r>
              <w:rPr>
                <w:rFonts w:ascii="Times New Roman" w:hAnsi="Times New Roman" w:cs="Times New Roman"/>
                <w:b/>
                <w:bCs/>
                <w:sz w:val="20"/>
                <w:szCs w:val="20"/>
              </w:rPr>
              <w:t>IFR in community-dwelling elderly (corrected for unmeasured antibody types)</w:t>
            </w:r>
          </w:p>
        </w:tc>
        <w:tc>
          <w:tcPr>
            <w:tcW w:w="1590" w:type="dxa"/>
            <w:noWrap/>
            <w:hideMark/>
          </w:tcPr>
          <w:p w14:paraId="41708126" w14:textId="5F680043" w:rsidR="00E15C1A" w:rsidRPr="00A33983" w:rsidRDefault="00E15C1A" w:rsidP="00D97DA9">
            <w:pPr>
              <w:rPr>
                <w:rFonts w:ascii="Times New Roman" w:hAnsi="Times New Roman" w:cs="Times New Roman"/>
                <w:b/>
                <w:bCs/>
                <w:sz w:val="20"/>
                <w:szCs w:val="20"/>
              </w:rPr>
            </w:pPr>
            <w:r>
              <w:rPr>
                <w:rFonts w:ascii="Times New Roman" w:hAnsi="Times New Roman" w:cs="Times New Roman"/>
                <w:b/>
                <w:bCs/>
                <w:sz w:val="20"/>
                <w:szCs w:val="20"/>
              </w:rPr>
              <w:t>IFR in community-dwelling elderly, corrected for 1% relative seroreversion/month</w:t>
            </w:r>
            <w:r w:rsidRPr="0046260F">
              <w:rPr>
                <w:rFonts w:ascii="Times New Roman" w:hAnsi="Times New Roman" w:cs="Times New Roman"/>
                <w:b/>
                <w:bCs/>
                <w:sz w:val="20"/>
                <w:szCs w:val="20"/>
                <w:vertAlign w:val="superscript"/>
              </w:rPr>
              <w:t>‡</w:t>
            </w:r>
          </w:p>
        </w:tc>
        <w:tc>
          <w:tcPr>
            <w:tcW w:w="1590" w:type="dxa"/>
            <w:noWrap/>
            <w:hideMark/>
          </w:tcPr>
          <w:p w14:paraId="141777B6" w14:textId="4751843E" w:rsidR="00E15C1A" w:rsidRPr="00A33983" w:rsidRDefault="00E15C1A" w:rsidP="00D97DA9">
            <w:pPr>
              <w:rPr>
                <w:rFonts w:ascii="Times New Roman" w:hAnsi="Times New Roman" w:cs="Times New Roman"/>
                <w:b/>
                <w:bCs/>
                <w:sz w:val="20"/>
                <w:szCs w:val="20"/>
              </w:rPr>
            </w:pPr>
            <w:r>
              <w:rPr>
                <w:rFonts w:ascii="Times New Roman" w:hAnsi="Times New Roman" w:cs="Times New Roman"/>
                <w:b/>
                <w:bCs/>
                <w:sz w:val="20"/>
                <w:szCs w:val="20"/>
              </w:rPr>
              <w:t>IFR in community-dwelling elderly, corrected for 5% relative seroreversion/month</w:t>
            </w:r>
            <w:r w:rsidRPr="0046260F">
              <w:rPr>
                <w:rFonts w:ascii="Times New Roman" w:hAnsi="Times New Roman" w:cs="Times New Roman"/>
                <w:b/>
                <w:bCs/>
                <w:sz w:val="20"/>
                <w:szCs w:val="20"/>
                <w:vertAlign w:val="superscript"/>
              </w:rPr>
              <w:t>‡</w:t>
            </w:r>
          </w:p>
        </w:tc>
        <w:tc>
          <w:tcPr>
            <w:tcW w:w="1590" w:type="dxa"/>
            <w:noWrap/>
            <w:hideMark/>
          </w:tcPr>
          <w:p w14:paraId="6358309F" w14:textId="21DEA14E" w:rsidR="00E15C1A" w:rsidRPr="00A33983" w:rsidRDefault="00E15C1A" w:rsidP="00A33983">
            <w:pPr>
              <w:rPr>
                <w:rFonts w:ascii="Times New Roman" w:hAnsi="Times New Roman" w:cs="Times New Roman"/>
                <w:b/>
                <w:bCs/>
                <w:sz w:val="20"/>
                <w:szCs w:val="20"/>
              </w:rPr>
            </w:pPr>
            <w:r>
              <w:rPr>
                <w:rFonts w:ascii="Times New Roman" w:hAnsi="Times New Roman" w:cs="Times New Roman"/>
                <w:b/>
                <w:bCs/>
                <w:sz w:val="20"/>
                <w:szCs w:val="20"/>
              </w:rPr>
              <w:t>IFR in community-dwelling elderly, corrected for 10% relative seroreversion/month</w:t>
            </w:r>
            <w:r w:rsidRPr="0046260F">
              <w:rPr>
                <w:rFonts w:ascii="Times New Roman" w:hAnsi="Times New Roman" w:cs="Times New Roman"/>
                <w:b/>
                <w:bCs/>
                <w:sz w:val="20"/>
                <w:szCs w:val="20"/>
                <w:vertAlign w:val="superscript"/>
              </w:rPr>
              <w:t>‡</w:t>
            </w:r>
          </w:p>
        </w:tc>
      </w:tr>
      <w:tr w:rsidR="00E15C1A" w:rsidRPr="00A33983" w14:paraId="0B8971FA" w14:textId="77777777" w:rsidTr="00291EF8">
        <w:trPr>
          <w:trHeight w:val="288"/>
        </w:trPr>
        <w:tc>
          <w:tcPr>
            <w:tcW w:w="1559" w:type="dxa"/>
            <w:noWrap/>
            <w:hideMark/>
          </w:tcPr>
          <w:p w14:paraId="55BE2403" w14:textId="6796CC55" w:rsidR="00E15C1A" w:rsidRPr="00A33983" w:rsidRDefault="00E15C1A">
            <w:pPr>
              <w:rPr>
                <w:rFonts w:ascii="Times New Roman" w:hAnsi="Times New Roman" w:cs="Times New Roman"/>
                <w:sz w:val="20"/>
                <w:szCs w:val="20"/>
              </w:rPr>
            </w:pPr>
            <w:r w:rsidRPr="00A33983">
              <w:rPr>
                <w:rFonts w:ascii="Times New Roman" w:hAnsi="Times New Roman" w:cs="Times New Roman"/>
                <w:sz w:val="20"/>
                <w:szCs w:val="20"/>
              </w:rPr>
              <w:t>Andorra</w:t>
            </w:r>
            <w:r>
              <w:rPr>
                <w:rFonts w:ascii="Times New Roman" w:hAnsi="Times New Roman" w:cs="Times New Roman"/>
                <w:sz w:val="20"/>
                <w:szCs w:val="20"/>
              </w:rPr>
              <w:t xml:space="preserve"> (Royo-Cebrecos)</w:t>
            </w:r>
          </w:p>
        </w:tc>
        <w:tc>
          <w:tcPr>
            <w:tcW w:w="1216" w:type="dxa"/>
            <w:noWrap/>
            <w:hideMark/>
          </w:tcPr>
          <w:p w14:paraId="7833D03B" w14:textId="77777777" w:rsidR="00E15C1A" w:rsidRPr="00A33983" w:rsidRDefault="00E15C1A">
            <w:pPr>
              <w:rPr>
                <w:rFonts w:ascii="Times New Roman" w:hAnsi="Times New Roman" w:cs="Times New Roman"/>
                <w:sz w:val="20"/>
                <w:szCs w:val="20"/>
              </w:rPr>
            </w:pPr>
            <w:r w:rsidRPr="00A33983">
              <w:rPr>
                <w:rFonts w:ascii="Times New Roman" w:hAnsi="Times New Roman" w:cs="Times New Roman"/>
                <w:sz w:val="20"/>
                <w:szCs w:val="20"/>
              </w:rPr>
              <w:t>IgG/IgM</w:t>
            </w:r>
          </w:p>
        </w:tc>
        <w:tc>
          <w:tcPr>
            <w:tcW w:w="875" w:type="dxa"/>
            <w:noWrap/>
            <w:hideMark/>
          </w:tcPr>
          <w:p w14:paraId="76C86BD4" w14:textId="77777777" w:rsidR="00E15C1A" w:rsidRPr="00A33983" w:rsidRDefault="00E15C1A">
            <w:pPr>
              <w:rPr>
                <w:rFonts w:ascii="Times New Roman" w:hAnsi="Times New Roman" w:cs="Times New Roman"/>
                <w:sz w:val="20"/>
                <w:szCs w:val="20"/>
              </w:rPr>
            </w:pPr>
            <w:r w:rsidRPr="00A33983">
              <w:rPr>
                <w:rFonts w:ascii="Times New Roman" w:hAnsi="Times New Roman" w:cs="Times New Roman"/>
                <w:sz w:val="20"/>
                <w:szCs w:val="20"/>
              </w:rPr>
              <w:t>May 23</w:t>
            </w:r>
          </w:p>
        </w:tc>
        <w:tc>
          <w:tcPr>
            <w:tcW w:w="1059" w:type="dxa"/>
            <w:noWrap/>
            <w:hideMark/>
          </w:tcPr>
          <w:p w14:paraId="01DDA2B9" w14:textId="77777777"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2020-04-01</w:t>
            </w:r>
          </w:p>
        </w:tc>
        <w:tc>
          <w:tcPr>
            <w:tcW w:w="806" w:type="dxa"/>
            <w:noWrap/>
            <w:hideMark/>
          </w:tcPr>
          <w:p w14:paraId="2EB84CAE" w14:textId="30AE9E43"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71</w:t>
            </w:r>
          </w:p>
        </w:tc>
        <w:tc>
          <w:tcPr>
            <w:tcW w:w="1091" w:type="dxa"/>
            <w:noWrap/>
            <w:hideMark/>
          </w:tcPr>
          <w:p w14:paraId="6F626EE6" w14:textId="5EEB2DA6"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25</w:t>
            </w:r>
          </w:p>
        </w:tc>
        <w:tc>
          <w:tcPr>
            <w:tcW w:w="1008" w:type="dxa"/>
            <w:noWrap/>
            <w:hideMark/>
          </w:tcPr>
          <w:p w14:paraId="2E456D89" w14:textId="4BAC9F54"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04</w:t>
            </w:r>
          </w:p>
        </w:tc>
        <w:tc>
          <w:tcPr>
            <w:tcW w:w="1590" w:type="dxa"/>
            <w:noWrap/>
            <w:hideMark/>
          </w:tcPr>
          <w:p w14:paraId="3887DD8A" w14:textId="36FAFAB2"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01</w:t>
            </w:r>
          </w:p>
        </w:tc>
        <w:tc>
          <w:tcPr>
            <w:tcW w:w="1590" w:type="dxa"/>
            <w:noWrap/>
            <w:hideMark/>
          </w:tcPr>
          <w:p w14:paraId="4F4AB686" w14:textId="52BDD600"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87</w:t>
            </w:r>
          </w:p>
        </w:tc>
        <w:tc>
          <w:tcPr>
            <w:tcW w:w="1590" w:type="dxa"/>
            <w:noWrap/>
            <w:hideMark/>
          </w:tcPr>
          <w:p w14:paraId="0048FFC9" w14:textId="1E836B81"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71</w:t>
            </w:r>
          </w:p>
        </w:tc>
      </w:tr>
      <w:tr w:rsidR="00E15C1A" w:rsidRPr="00A33983" w14:paraId="60F0BAA8" w14:textId="77777777" w:rsidTr="00291EF8">
        <w:trPr>
          <w:trHeight w:val="288"/>
        </w:trPr>
        <w:tc>
          <w:tcPr>
            <w:tcW w:w="1559" w:type="dxa"/>
            <w:noWrap/>
            <w:hideMark/>
          </w:tcPr>
          <w:p w14:paraId="32E640E4" w14:textId="02A2D1BF" w:rsidR="00E15C1A" w:rsidRPr="00A33983" w:rsidRDefault="00E15C1A">
            <w:pPr>
              <w:rPr>
                <w:rFonts w:ascii="Times New Roman" w:hAnsi="Times New Roman" w:cs="Times New Roman"/>
                <w:sz w:val="20"/>
                <w:szCs w:val="20"/>
              </w:rPr>
            </w:pPr>
            <w:r w:rsidRPr="00A33983">
              <w:rPr>
                <w:rFonts w:ascii="Times New Roman" w:hAnsi="Times New Roman" w:cs="Times New Roman"/>
                <w:sz w:val="20"/>
                <w:szCs w:val="20"/>
              </w:rPr>
              <w:t>Belgium</w:t>
            </w:r>
            <w:r>
              <w:rPr>
                <w:rFonts w:ascii="Times New Roman" w:hAnsi="Times New Roman" w:cs="Times New Roman"/>
                <w:sz w:val="20"/>
                <w:szCs w:val="20"/>
              </w:rPr>
              <w:t xml:space="preserve"> (Herzog)</w:t>
            </w:r>
          </w:p>
        </w:tc>
        <w:tc>
          <w:tcPr>
            <w:tcW w:w="1216" w:type="dxa"/>
            <w:noWrap/>
            <w:hideMark/>
          </w:tcPr>
          <w:p w14:paraId="267990BF" w14:textId="77777777" w:rsidR="00E15C1A" w:rsidRPr="00A33983" w:rsidRDefault="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20B2C3C2" w14:textId="77777777" w:rsidR="00E15C1A" w:rsidRPr="00A33983" w:rsidRDefault="00E15C1A">
            <w:pPr>
              <w:rPr>
                <w:rFonts w:ascii="Times New Roman" w:hAnsi="Times New Roman" w:cs="Times New Roman"/>
                <w:sz w:val="20"/>
                <w:szCs w:val="20"/>
              </w:rPr>
            </w:pPr>
            <w:r w:rsidRPr="00A33983">
              <w:rPr>
                <w:rFonts w:ascii="Times New Roman" w:hAnsi="Times New Roman" w:cs="Times New Roman"/>
                <w:sz w:val="20"/>
                <w:szCs w:val="20"/>
              </w:rPr>
              <w:t>April 9</w:t>
            </w:r>
          </w:p>
        </w:tc>
        <w:tc>
          <w:tcPr>
            <w:tcW w:w="1059" w:type="dxa"/>
            <w:noWrap/>
            <w:hideMark/>
          </w:tcPr>
          <w:p w14:paraId="050CB130" w14:textId="77777777"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2020-04-07</w:t>
            </w:r>
          </w:p>
        </w:tc>
        <w:tc>
          <w:tcPr>
            <w:tcW w:w="806" w:type="dxa"/>
            <w:noWrap/>
            <w:hideMark/>
          </w:tcPr>
          <w:p w14:paraId="52F62B65" w14:textId="0A67E042"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07</w:t>
            </w:r>
          </w:p>
        </w:tc>
        <w:tc>
          <w:tcPr>
            <w:tcW w:w="1091" w:type="dxa"/>
            <w:noWrap/>
            <w:hideMark/>
          </w:tcPr>
          <w:p w14:paraId="48EB9AEE" w14:textId="4B01D3EA"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1</w:t>
            </w:r>
          </w:p>
        </w:tc>
        <w:tc>
          <w:tcPr>
            <w:tcW w:w="1008" w:type="dxa"/>
            <w:noWrap/>
            <w:hideMark/>
          </w:tcPr>
          <w:p w14:paraId="11A3831E" w14:textId="407BDB0B"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56</w:t>
            </w:r>
          </w:p>
        </w:tc>
        <w:tc>
          <w:tcPr>
            <w:tcW w:w="1590" w:type="dxa"/>
            <w:noWrap/>
            <w:hideMark/>
          </w:tcPr>
          <w:p w14:paraId="48E9C388" w14:textId="0A9297F0"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56</w:t>
            </w:r>
          </w:p>
        </w:tc>
        <w:tc>
          <w:tcPr>
            <w:tcW w:w="1590" w:type="dxa"/>
            <w:noWrap/>
            <w:hideMark/>
          </w:tcPr>
          <w:p w14:paraId="4AFF03A2" w14:textId="6697C5ED"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55</w:t>
            </w:r>
          </w:p>
        </w:tc>
        <w:tc>
          <w:tcPr>
            <w:tcW w:w="1590" w:type="dxa"/>
            <w:noWrap/>
            <w:hideMark/>
          </w:tcPr>
          <w:p w14:paraId="343B45C7" w14:textId="3FE02B34" w:rsidR="00E15C1A" w:rsidRPr="00A33983" w:rsidRDefault="00E15C1A" w:rsidP="00A33983">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54</w:t>
            </w:r>
          </w:p>
        </w:tc>
      </w:tr>
      <w:tr w:rsidR="00E15C1A" w:rsidRPr="00A33983" w14:paraId="210F9FCD" w14:textId="77777777" w:rsidTr="00291EF8">
        <w:trPr>
          <w:trHeight w:val="288"/>
        </w:trPr>
        <w:tc>
          <w:tcPr>
            <w:tcW w:w="1559" w:type="dxa"/>
            <w:noWrap/>
            <w:hideMark/>
          </w:tcPr>
          <w:p w14:paraId="0E35B74B" w14:textId="7BD8028F" w:rsidR="00E15C1A" w:rsidRPr="00A33983"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Canada</w:t>
            </w:r>
            <w:r>
              <w:rPr>
                <w:rFonts w:ascii="Times New Roman" w:hAnsi="Times New Roman" w:cs="Times New Roman"/>
                <w:sz w:val="20"/>
                <w:szCs w:val="20"/>
              </w:rPr>
              <w:t xml:space="preserve"> </w:t>
            </w:r>
            <w:r w:rsidRPr="000021BC">
              <w:rPr>
                <w:rFonts w:ascii="Times New Roman" w:hAnsi="Times New Roman" w:cs="Times New Roman"/>
                <w:sz w:val="20"/>
                <w:szCs w:val="20"/>
              </w:rPr>
              <w:t>(Canadian Blood Services)</w:t>
            </w:r>
          </w:p>
        </w:tc>
        <w:tc>
          <w:tcPr>
            <w:tcW w:w="1216" w:type="dxa"/>
            <w:noWrap/>
            <w:hideMark/>
          </w:tcPr>
          <w:p w14:paraId="5CD32692"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2B7BA248"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June 5</w:t>
            </w:r>
          </w:p>
        </w:tc>
        <w:tc>
          <w:tcPr>
            <w:tcW w:w="1059" w:type="dxa"/>
            <w:noWrap/>
            <w:hideMark/>
          </w:tcPr>
          <w:p w14:paraId="410D6592"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2020-04-30</w:t>
            </w:r>
          </w:p>
        </w:tc>
        <w:tc>
          <w:tcPr>
            <w:tcW w:w="806" w:type="dxa"/>
            <w:noWrap/>
            <w:hideMark/>
          </w:tcPr>
          <w:p w14:paraId="39FE5B78" w14:textId="3BCD051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18</w:t>
            </w:r>
          </w:p>
        </w:tc>
        <w:tc>
          <w:tcPr>
            <w:tcW w:w="1091" w:type="dxa"/>
            <w:noWrap/>
            <w:hideMark/>
          </w:tcPr>
          <w:p w14:paraId="6E07E4BB" w14:textId="01D922F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58</w:t>
            </w:r>
          </w:p>
        </w:tc>
        <w:tc>
          <w:tcPr>
            <w:tcW w:w="1008" w:type="dxa"/>
            <w:noWrap/>
            <w:hideMark/>
          </w:tcPr>
          <w:p w14:paraId="3FDEC77B" w14:textId="0BDE836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31</w:t>
            </w:r>
          </w:p>
        </w:tc>
        <w:tc>
          <w:tcPr>
            <w:tcW w:w="1590" w:type="dxa"/>
            <w:noWrap/>
            <w:hideMark/>
          </w:tcPr>
          <w:p w14:paraId="609782BD" w14:textId="0405327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29</w:t>
            </w:r>
          </w:p>
        </w:tc>
        <w:tc>
          <w:tcPr>
            <w:tcW w:w="1590" w:type="dxa"/>
            <w:noWrap/>
            <w:hideMark/>
          </w:tcPr>
          <w:p w14:paraId="2F7F6A52" w14:textId="23E14BE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23</w:t>
            </w:r>
          </w:p>
        </w:tc>
        <w:tc>
          <w:tcPr>
            <w:tcW w:w="1590" w:type="dxa"/>
            <w:noWrap/>
            <w:hideMark/>
          </w:tcPr>
          <w:p w14:paraId="461EA794" w14:textId="6C467B1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15</w:t>
            </w:r>
          </w:p>
        </w:tc>
      </w:tr>
      <w:tr w:rsidR="00E15C1A" w:rsidRPr="00A33983" w14:paraId="0CE22C00" w14:textId="77777777" w:rsidTr="00291EF8">
        <w:trPr>
          <w:trHeight w:val="288"/>
        </w:trPr>
        <w:tc>
          <w:tcPr>
            <w:tcW w:w="1559" w:type="dxa"/>
            <w:noWrap/>
            <w:hideMark/>
          </w:tcPr>
          <w:p w14:paraId="6F723670" w14:textId="28E71725" w:rsidR="00E15C1A" w:rsidRPr="00A33983"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Canada</w:t>
            </w:r>
            <w:r>
              <w:rPr>
                <w:rFonts w:ascii="Times New Roman" w:hAnsi="Times New Roman" w:cs="Times New Roman"/>
                <w:sz w:val="20"/>
                <w:szCs w:val="20"/>
              </w:rPr>
              <w:t xml:space="preserve"> </w:t>
            </w:r>
            <w:r w:rsidRPr="000021BC">
              <w:rPr>
                <w:rFonts w:ascii="Times New Roman" w:hAnsi="Times New Roman" w:cs="Times New Roman"/>
                <w:sz w:val="20"/>
                <w:szCs w:val="20"/>
              </w:rPr>
              <w:t>(Tang / Ab-C Study)</w:t>
            </w:r>
          </w:p>
        </w:tc>
        <w:tc>
          <w:tcPr>
            <w:tcW w:w="1216" w:type="dxa"/>
            <w:noWrap/>
            <w:hideMark/>
          </w:tcPr>
          <w:p w14:paraId="7CF32DE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1834125E"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August 22</w:t>
            </w:r>
          </w:p>
        </w:tc>
        <w:tc>
          <w:tcPr>
            <w:tcW w:w="1059" w:type="dxa"/>
            <w:noWrap/>
            <w:hideMark/>
          </w:tcPr>
          <w:p w14:paraId="20B15CEB"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2020-04-30</w:t>
            </w:r>
          </w:p>
        </w:tc>
        <w:tc>
          <w:tcPr>
            <w:tcW w:w="806" w:type="dxa"/>
            <w:noWrap/>
            <w:hideMark/>
          </w:tcPr>
          <w:p w14:paraId="4F4662C3" w14:textId="24635B8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75</w:t>
            </w:r>
          </w:p>
        </w:tc>
        <w:tc>
          <w:tcPr>
            <w:tcW w:w="1091" w:type="dxa"/>
            <w:noWrap/>
            <w:hideMark/>
          </w:tcPr>
          <w:p w14:paraId="5A479FF1" w14:textId="14194C4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14</w:t>
            </w:r>
          </w:p>
        </w:tc>
        <w:tc>
          <w:tcPr>
            <w:tcW w:w="1008" w:type="dxa"/>
            <w:noWrap/>
            <w:hideMark/>
          </w:tcPr>
          <w:p w14:paraId="08CFB6DF" w14:textId="25D2F0A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94</w:t>
            </w:r>
          </w:p>
        </w:tc>
        <w:tc>
          <w:tcPr>
            <w:tcW w:w="1590" w:type="dxa"/>
            <w:noWrap/>
            <w:hideMark/>
          </w:tcPr>
          <w:p w14:paraId="23A74615" w14:textId="132251B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91</w:t>
            </w:r>
          </w:p>
        </w:tc>
        <w:tc>
          <w:tcPr>
            <w:tcW w:w="1590" w:type="dxa"/>
            <w:noWrap/>
            <w:hideMark/>
          </w:tcPr>
          <w:p w14:paraId="63384887" w14:textId="453DAD7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78</w:t>
            </w:r>
          </w:p>
        </w:tc>
        <w:tc>
          <w:tcPr>
            <w:tcW w:w="1590" w:type="dxa"/>
            <w:noWrap/>
            <w:hideMark/>
          </w:tcPr>
          <w:p w14:paraId="01434607" w14:textId="26F1A16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64</w:t>
            </w:r>
          </w:p>
        </w:tc>
      </w:tr>
      <w:tr w:rsidR="00E15C1A" w:rsidRPr="00A33983" w14:paraId="0BA6D75C" w14:textId="77777777" w:rsidTr="00291EF8">
        <w:trPr>
          <w:trHeight w:val="288"/>
        </w:trPr>
        <w:tc>
          <w:tcPr>
            <w:tcW w:w="1559" w:type="dxa"/>
            <w:noWrap/>
            <w:hideMark/>
          </w:tcPr>
          <w:p w14:paraId="5BBEAAFB" w14:textId="446FAF32" w:rsidR="00E15C1A" w:rsidRPr="00A33983"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Ontario, Canada</w:t>
            </w:r>
            <w:r>
              <w:rPr>
                <w:rFonts w:ascii="Times New Roman" w:hAnsi="Times New Roman" w:cs="Times New Roman"/>
                <w:sz w:val="20"/>
                <w:szCs w:val="20"/>
              </w:rPr>
              <w:t xml:space="preserve"> </w:t>
            </w:r>
            <w:r w:rsidRPr="000021BC">
              <w:rPr>
                <w:rFonts w:ascii="Times New Roman" w:hAnsi="Times New Roman" w:cs="Times New Roman"/>
                <w:sz w:val="20"/>
                <w:szCs w:val="20"/>
              </w:rPr>
              <w:t>(Public Health Ontario)</w:t>
            </w:r>
          </w:p>
        </w:tc>
        <w:tc>
          <w:tcPr>
            <w:tcW w:w="1216" w:type="dxa"/>
            <w:noWrap/>
            <w:hideMark/>
          </w:tcPr>
          <w:p w14:paraId="1D57D05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4CE03B19"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June 24</w:t>
            </w:r>
          </w:p>
        </w:tc>
        <w:tc>
          <w:tcPr>
            <w:tcW w:w="1059" w:type="dxa"/>
            <w:noWrap/>
            <w:hideMark/>
          </w:tcPr>
          <w:p w14:paraId="51480F57"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2020-04-26</w:t>
            </w:r>
          </w:p>
        </w:tc>
        <w:tc>
          <w:tcPr>
            <w:tcW w:w="806" w:type="dxa"/>
            <w:noWrap/>
            <w:hideMark/>
          </w:tcPr>
          <w:p w14:paraId="54814D9A" w14:textId="56A0E57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94</w:t>
            </w:r>
          </w:p>
        </w:tc>
        <w:tc>
          <w:tcPr>
            <w:tcW w:w="1091" w:type="dxa"/>
            <w:noWrap/>
            <w:hideMark/>
          </w:tcPr>
          <w:p w14:paraId="7F8AF458" w14:textId="1618FB9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13</w:t>
            </w:r>
          </w:p>
        </w:tc>
        <w:tc>
          <w:tcPr>
            <w:tcW w:w="1008" w:type="dxa"/>
            <w:noWrap/>
            <w:hideMark/>
          </w:tcPr>
          <w:p w14:paraId="10CCC749" w14:textId="6AA037E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76</w:t>
            </w:r>
          </w:p>
        </w:tc>
        <w:tc>
          <w:tcPr>
            <w:tcW w:w="1590" w:type="dxa"/>
            <w:noWrap/>
            <w:hideMark/>
          </w:tcPr>
          <w:p w14:paraId="1B0603FA" w14:textId="3979F5D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73</w:t>
            </w:r>
          </w:p>
        </w:tc>
        <w:tc>
          <w:tcPr>
            <w:tcW w:w="1590" w:type="dxa"/>
            <w:noWrap/>
            <w:hideMark/>
          </w:tcPr>
          <w:p w14:paraId="50D35A19" w14:textId="30262DE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59</w:t>
            </w:r>
          </w:p>
        </w:tc>
        <w:tc>
          <w:tcPr>
            <w:tcW w:w="1590" w:type="dxa"/>
            <w:noWrap/>
            <w:hideMark/>
          </w:tcPr>
          <w:p w14:paraId="57344779" w14:textId="084420E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44</w:t>
            </w:r>
          </w:p>
        </w:tc>
      </w:tr>
      <w:tr w:rsidR="00E15C1A" w:rsidRPr="00A33983" w14:paraId="6D3C0A2B" w14:textId="77777777" w:rsidTr="00291EF8">
        <w:trPr>
          <w:trHeight w:val="288"/>
        </w:trPr>
        <w:tc>
          <w:tcPr>
            <w:tcW w:w="1559" w:type="dxa"/>
            <w:noWrap/>
            <w:hideMark/>
          </w:tcPr>
          <w:p w14:paraId="1AA09534" w14:textId="0BA0F951" w:rsidR="00E15C1A" w:rsidRPr="00A33983"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Denmark</w:t>
            </w:r>
            <w:r>
              <w:rPr>
                <w:rFonts w:ascii="Times New Roman" w:hAnsi="Times New Roman" w:cs="Times New Roman"/>
                <w:sz w:val="20"/>
                <w:szCs w:val="20"/>
              </w:rPr>
              <w:t xml:space="preserve"> </w:t>
            </w:r>
            <w:r w:rsidRPr="000021BC">
              <w:rPr>
                <w:rFonts w:ascii="Times New Roman" w:hAnsi="Times New Roman" w:cs="Times New Roman"/>
                <w:sz w:val="20"/>
                <w:szCs w:val="20"/>
              </w:rPr>
              <w:t>(Pedersen)</w:t>
            </w:r>
          </w:p>
        </w:tc>
        <w:tc>
          <w:tcPr>
            <w:tcW w:w="1216" w:type="dxa"/>
            <w:noWrap/>
            <w:hideMark/>
          </w:tcPr>
          <w:p w14:paraId="1EC3BA6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IgG/IgM/IgA</w:t>
            </w:r>
          </w:p>
        </w:tc>
        <w:tc>
          <w:tcPr>
            <w:tcW w:w="875" w:type="dxa"/>
            <w:noWrap/>
            <w:hideMark/>
          </w:tcPr>
          <w:p w14:paraId="55D29BCB"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June 17</w:t>
            </w:r>
          </w:p>
        </w:tc>
        <w:tc>
          <w:tcPr>
            <w:tcW w:w="1059" w:type="dxa"/>
            <w:noWrap/>
            <w:hideMark/>
          </w:tcPr>
          <w:p w14:paraId="0BAF923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2020-03-31</w:t>
            </w:r>
          </w:p>
        </w:tc>
        <w:tc>
          <w:tcPr>
            <w:tcW w:w="806" w:type="dxa"/>
            <w:noWrap/>
            <w:hideMark/>
          </w:tcPr>
          <w:p w14:paraId="6988144D" w14:textId="5593507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56</w:t>
            </w:r>
          </w:p>
        </w:tc>
        <w:tc>
          <w:tcPr>
            <w:tcW w:w="1091" w:type="dxa"/>
            <w:noWrap/>
            <w:hideMark/>
          </w:tcPr>
          <w:p w14:paraId="247FB826" w14:textId="4FB9859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4</w:t>
            </w:r>
            <w:r>
              <w:rPr>
                <w:rFonts w:ascii="Times New Roman" w:hAnsi="Times New Roman" w:cs="Times New Roman"/>
                <w:sz w:val="20"/>
                <w:szCs w:val="20"/>
              </w:rPr>
              <w:t>.</w:t>
            </w:r>
            <w:r w:rsidRPr="00A33983">
              <w:rPr>
                <w:rFonts w:ascii="Times New Roman" w:hAnsi="Times New Roman" w:cs="Times New Roman"/>
                <w:sz w:val="20"/>
                <w:szCs w:val="20"/>
              </w:rPr>
              <w:t>43</w:t>
            </w:r>
          </w:p>
        </w:tc>
        <w:tc>
          <w:tcPr>
            <w:tcW w:w="1008" w:type="dxa"/>
            <w:noWrap/>
            <w:hideMark/>
          </w:tcPr>
          <w:p w14:paraId="52C84C0A" w14:textId="16F5BA0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4</w:t>
            </w:r>
            <w:r>
              <w:rPr>
                <w:rFonts w:ascii="Times New Roman" w:hAnsi="Times New Roman" w:cs="Times New Roman"/>
                <w:sz w:val="20"/>
                <w:szCs w:val="20"/>
              </w:rPr>
              <w:t>.</w:t>
            </w:r>
            <w:r w:rsidRPr="00A33983">
              <w:rPr>
                <w:rFonts w:ascii="Times New Roman" w:hAnsi="Times New Roman" w:cs="Times New Roman"/>
                <w:sz w:val="20"/>
                <w:szCs w:val="20"/>
              </w:rPr>
              <w:t>43</w:t>
            </w:r>
          </w:p>
        </w:tc>
        <w:tc>
          <w:tcPr>
            <w:tcW w:w="1590" w:type="dxa"/>
            <w:noWrap/>
            <w:hideMark/>
          </w:tcPr>
          <w:p w14:paraId="691A0B59" w14:textId="5D895841"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4</w:t>
            </w:r>
            <w:r>
              <w:rPr>
                <w:rFonts w:ascii="Times New Roman" w:hAnsi="Times New Roman" w:cs="Times New Roman"/>
                <w:sz w:val="20"/>
                <w:szCs w:val="20"/>
              </w:rPr>
              <w:t>.</w:t>
            </w:r>
            <w:r w:rsidRPr="00A33983">
              <w:rPr>
                <w:rFonts w:ascii="Times New Roman" w:hAnsi="Times New Roman" w:cs="Times New Roman"/>
                <w:sz w:val="20"/>
                <w:szCs w:val="20"/>
              </w:rPr>
              <w:t>32</w:t>
            </w:r>
          </w:p>
        </w:tc>
        <w:tc>
          <w:tcPr>
            <w:tcW w:w="1590" w:type="dxa"/>
            <w:noWrap/>
            <w:hideMark/>
          </w:tcPr>
          <w:p w14:paraId="27324EDE" w14:textId="4BADA54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89</w:t>
            </w:r>
          </w:p>
        </w:tc>
        <w:tc>
          <w:tcPr>
            <w:tcW w:w="1590" w:type="dxa"/>
            <w:noWrap/>
            <w:hideMark/>
          </w:tcPr>
          <w:p w14:paraId="500865F3" w14:textId="0FAF2B0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38</w:t>
            </w:r>
          </w:p>
        </w:tc>
      </w:tr>
      <w:tr w:rsidR="00E15C1A" w:rsidRPr="00A33983" w14:paraId="2C753DAC" w14:textId="77777777" w:rsidTr="00291EF8">
        <w:trPr>
          <w:trHeight w:val="288"/>
        </w:trPr>
        <w:tc>
          <w:tcPr>
            <w:tcW w:w="1559" w:type="dxa"/>
            <w:noWrap/>
            <w:hideMark/>
          </w:tcPr>
          <w:p w14:paraId="335F0D3B" w14:textId="39895E56"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Dominican Republic</w:t>
            </w:r>
            <w:r>
              <w:rPr>
                <w:rFonts w:ascii="Times New Roman" w:hAnsi="Times New Roman" w:cs="Times New Roman"/>
                <w:sz w:val="20"/>
                <w:szCs w:val="20"/>
              </w:rPr>
              <w:t xml:space="preserve"> (Paulino-Ramirez)</w:t>
            </w:r>
          </w:p>
        </w:tc>
        <w:tc>
          <w:tcPr>
            <w:tcW w:w="1216" w:type="dxa"/>
            <w:noWrap/>
            <w:hideMark/>
          </w:tcPr>
          <w:p w14:paraId="5E595E08"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25794EC5"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May 22</w:t>
            </w:r>
          </w:p>
        </w:tc>
        <w:tc>
          <w:tcPr>
            <w:tcW w:w="1059" w:type="dxa"/>
            <w:noWrap/>
            <w:hideMark/>
          </w:tcPr>
          <w:p w14:paraId="39CFAAB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2020-04-05</w:t>
            </w:r>
          </w:p>
        </w:tc>
        <w:tc>
          <w:tcPr>
            <w:tcW w:w="806" w:type="dxa"/>
            <w:noWrap/>
            <w:hideMark/>
          </w:tcPr>
          <w:p w14:paraId="6ED41AF2" w14:textId="4AA4B6A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54</w:t>
            </w:r>
          </w:p>
        </w:tc>
        <w:tc>
          <w:tcPr>
            <w:tcW w:w="1091" w:type="dxa"/>
            <w:noWrap/>
            <w:hideMark/>
          </w:tcPr>
          <w:p w14:paraId="5A1A9D2A" w14:textId="3CB05ED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34</w:t>
            </w:r>
          </w:p>
        </w:tc>
        <w:tc>
          <w:tcPr>
            <w:tcW w:w="1008" w:type="dxa"/>
            <w:noWrap/>
            <w:hideMark/>
          </w:tcPr>
          <w:p w14:paraId="4A0C39C9" w14:textId="7F592FD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28</w:t>
            </w:r>
          </w:p>
        </w:tc>
        <w:tc>
          <w:tcPr>
            <w:tcW w:w="1590" w:type="dxa"/>
            <w:noWrap/>
            <w:hideMark/>
          </w:tcPr>
          <w:p w14:paraId="5211B294" w14:textId="399753F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28</w:t>
            </w:r>
          </w:p>
        </w:tc>
        <w:tc>
          <w:tcPr>
            <w:tcW w:w="1590" w:type="dxa"/>
            <w:noWrap/>
            <w:hideMark/>
          </w:tcPr>
          <w:p w14:paraId="0BFCBA73" w14:textId="293A4EA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26</w:t>
            </w:r>
          </w:p>
        </w:tc>
        <w:tc>
          <w:tcPr>
            <w:tcW w:w="1590" w:type="dxa"/>
            <w:noWrap/>
            <w:hideMark/>
          </w:tcPr>
          <w:p w14:paraId="798989B7" w14:textId="461DD47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24</w:t>
            </w:r>
          </w:p>
        </w:tc>
      </w:tr>
      <w:tr w:rsidR="00E15C1A" w:rsidRPr="00A33983" w14:paraId="4439C13C" w14:textId="77777777" w:rsidTr="00291EF8">
        <w:trPr>
          <w:trHeight w:val="288"/>
        </w:trPr>
        <w:tc>
          <w:tcPr>
            <w:tcW w:w="1559" w:type="dxa"/>
            <w:noWrap/>
            <w:hideMark/>
          </w:tcPr>
          <w:p w14:paraId="28CBC3A1" w14:textId="65F4CEC6"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France</w:t>
            </w:r>
            <w:r>
              <w:rPr>
                <w:rFonts w:ascii="Times New Roman" w:hAnsi="Times New Roman" w:cs="Times New Roman"/>
                <w:sz w:val="20"/>
                <w:szCs w:val="20"/>
              </w:rPr>
              <w:t xml:space="preserve"> (INSERM)</w:t>
            </w:r>
          </w:p>
        </w:tc>
        <w:tc>
          <w:tcPr>
            <w:tcW w:w="1216" w:type="dxa"/>
            <w:noWrap/>
            <w:hideMark/>
          </w:tcPr>
          <w:p w14:paraId="687D7659"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303232D0"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May 24</w:t>
            </w:r>
          </w:p>
        </w:tc>
        <w:tc>
          <w:tcPr>
            <w:tcW w:w="1059" w:type="dxa"/>
            <w:noWrap/>
            <w:hideMark/>
          </w:tcPr>
          <w:p w14:paraId="10D4206B"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2020-04-01</w:t>
            </w:r>
          </w:p>
        </w:tc>
        <w:tc>
          <w:tcPr>
            <w:tcW w:w="806" w:type="dxa"/>
            <w:noWrap/>
            <w:hideMark/>
          </w:tcPr>
          <w:p w14:paraId="34EC6DF5" w14:textId="52B14C5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74</w:t>
            </w:r>
          </w:p>
        </w:tc>
        <w:tc>
          <w:tcPr>
            <w:tcW w:w="1091" w:type="dxa"/>
            <w:noWrap/>
            <w:hideMark/>
          </w:tcPr>
          <w:p w14:paraId="6D43159C" w14:textId="3D0741B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47</w:t>
            </w:r>
          </w:p>
        </w:tc>
        <w:tc>
          <w:tcPr>
            <w:tcW w:w="1008" w:type="dxa"/>
            <w:noWrap/>
            <w:hideMark/>
          </w:tcPr>
          <w:p w14:paraId="41A0F80F" w14:textId="206CDFB8"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6</w:t>
            </w:r>
            <w:r>
              <w:rPr>
                <w:rFonts w:ascii="Times New Roman" w:hAnsi="Times New Roman" w:cs="Times New Roman"/>
                <w:sz w:val="20"/>
                <w:szCs w:val="20"/>
              </w:rPr>
              <w:t>.</w:t>
            </w:r>
            <w:r w:rsidRPr="00A33983">
              <w:rPr>
                <w:rFonts w:ascii="Times New Roman" w:hAnsi="Times New Roman" w:cs="Times New Roman"/>
                <w:sz w:val="20"/>
                <w:szCs w:val="20"/>
              </w:rPr>
              <w:t>17</w:t>
            </w:r>
          </w:p>
        </w:tc>
        <w:tc>
          <w:tcPr>
            <w:tcW w:w="1590" w:type="dxa"/>
            <w:noWrap/>
            <w:hideMark/>
          </w:tcPr>
          <w:p w14:paraId="575930FD" w14:textId="2DEB760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6</w:t>
            </w:r>
            <w:r>
              <w:rPr>
                <w:rFonts w:ascii="Times New Roman" w:hAnsi="Times New Roman" w:cs="Times New Roman"/>
                <w:sz w:val="20"/>
                <w:szCs w:val="20"/>
              </w:rPr>
              <w:t>.</w:t>
            </w:r>
            <w:r w:rsidRPr="00A33983">
              <w:rPr>
                <w:rFonts w:ascii="Times New Roman" w:hAnsi="Times New Roman" w:cs="Times New Roman"/>
                <w:sz w:val="20"/>
                <w:szCs w:val="20"/>
              </w:rPr>
              <w:t>06</w:t>
            </w:r>
          </w:p>
        </w:tc>
        <w:tc>
          <w:tcPr>
            <w:tcW w:w="1590" w:type="dxa"/>
            <w:noWrap/>
            <w:hideMark/>
          </w:tcPr>
          <w:p w14:paraId="13B93613" w14:textId="02DE7CB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5</w:t>
            </w:r>
            <w:r>
              <w:rPr>
                <w:rFonts w:ascii="Times New Roman" w:hAnsi="Times New Roman" w:cs="Times New Roman"/>
                <w:sz w:val="20"/>
                <w:szCs w:val="20"/>
              </w:rPr>
              <w:t>.</w:t>
            </w:r>
            <w:r w:rsidRPr="00A33983">
              <w:rPr>
                <w:rFonts w:ascii="Times New Roman" w:hAnsi="Times New Roman" w:cs="Times New Roman"/>
                <w:sz w:val="20"/>
                <w:szCs w:val="20"/>
              </w:rPr>
              <w:t>64</w:t>
            </w:r>
          </w:p>
        </w:tc>
        <w:tc>
          <w:tcPr>
            <w:tcW w:w="1590" w:type="dxa"/>
            <w:noWrap/>
            <w:hideMark/>
          </w:tcPr>
          <w:p w14:paraId="435C3A6A" w14:textId="70DCC73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5</w:t>
            </w:r>
            <w:r>
              <w:rPr>
                <w:rFonts w:ascii="Times New Roman" w:hAnsi="Times New Roman" w:cs="Times New Roman"/>
                <w:sz w:val="20"/>
                <w:szCs w:val="20"/>
              </w:rPr>
              <w:t>.</w:t>
            </w:r>
            <w:r w:rsidRPr="00A33983">
              <w:rPr>
                <w:rFonts w:ascii="Times New Roman" w:hAnsi="Times New Roman" w:cs="Times New Roman"/>
                <w:sz w:val="20"/>
                <w:szCs w:val="20"/>
              </w:rPr>
              <w:t>14</w:t>
            </w:r>
          </w:p>
        </w:tc>
      </w:tr>
      <w:tr w:rsidR="00E15C1A" w:rsidRPr="00A33983" w14:paraId="26705144" w14:textId="77777777" w:rsidTr="00291EF8">
        <w:trPr>
          <w:trHeight w:val="288"/>
        </w:trPr>
        <w:tc>
          <w:tcPr>
            <w:tcW w:w="1559" w:type="dxa"/>
            <w:noWrap/>
            <w:hideMark/>
          </w:tcPr>
          <w:p w14:paraId="76B6F4A2" w14:textId="7BAD7158"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 xml:space="preserve">Ile-de-France, </w:t>
            </w:r>
            <w:r w:rsidRPr="00DB6B9B">
              <w:rPr>
                <w:rFonts w:ascii="Times New Roman" w:hAnsi="Times New Roman" w:cs="Times New Roman"/>
                <w:sz w:val="20"/>
                <w:szCs w:val="20"/>
              </w:rPr>
              <w:lastRenderedPageBreak/>
              <w:t>France</w:t>
            </w:r>
            <w:r>
              <w:rPr>
                <w:rFonts w:ascii="Times New Roman" w:hAnsi="Times New Roman" w:cs="Times New Roman"/>
                <w:sz w:val="20"/>
                <w:szCs w:val="20"/>
              </w:rPr>
              <w:t xml:space="preserve"> (Carrat)</w:t>
            </w:r>
          </w:p>
        </w:tc>
        <w:tc>
          <w:tcPr>
            <w:tcW w:w="1216" w:type="dxa"/>
            <w:noWrap/>
            <w:hideMark/>
          </w:tcPr>
          <w:p w14:paraId="52B3F80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lastRenderedPageBreak/>
              <w:t>IgG</w:t>
            </w:r>
          </w:p>
        </w:tc>
        <w:tc>
          <w:tcPr>
            <w:tcW w:w="875" w:type="dxa"/>
            <w:noWrap/>
            <w:hideMark/>
          </w:tcPr>
          <w:p w14:paraId="5D3E1A8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May 21</w:t>
            </w:r>
          </w:p>
        </w:tc>
        <w:tc>
          <w:tcPr>
            <w:tcW w:w="1059" w:type="dxa"/>
            <w:noWrap/>
            <w:hideMark/>
          </w:tcPr>
          <w:p w14:paraId="328C708E"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2020-03-29</w:t>
            </w:r>
          </w:p>
        </w:tc>
        <w:tc>
          <w:tcPr>
            <w:tcW w:w="806" w:type="dxa"/>
            <w:noWrap/>
            <w:hideMark/>
          </w:tcPr>
          <w:p w14:paraId="50C6C450" w14:textId="4419863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74</w:t>
            </w:r>
          </w:p>
        </w:tc>
        <w:tc>
          <w:tcPr>
            <w:tcW w:w="1091" w:type="dxa"/>
            <w:noWrap/>
            <w:hideMark/>
          </w:tcPr>
          <w:p w14:paraId="74660AE6" w14:textId="5205FBE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9</w:t>
            </w:r>
            <w:r>
              <w:rPr>
                <w:rFonts w:ascii="Times New Roman" w:hAnsi="Times New Roman" w:cs="Times New Roman"/>
                <w:sz w:val="20"/>
                <w:szCs w:val="20"/>
              </w:rPr>
              <w:t>.</w:t>
            </w:r>
            <w:r w:rsidRPr="00A33983">
              <w:rPr>
                <w:rFonts w:ascii="Times New Roman" w:hAnsi="Times New Roman" w:cs="Times New Roman"/>
                <w:sz w:val="20"/>
                <w:szCs w:val="20"/>
              </w:rPr>
              <w:t>79</w:t>
            </w:r>
          </w:p>
        </w:tc>
        <w:tc>
          <w:tcPr>
            <w:tcW w:w="1008" w:type="dxa"/>
            <w:noWrap/>
            <w:hideMark/>
          </w:tcPr>
          <w:p w14:paraId="09BD1198" w14:textId="17D4CE8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09</w:t>
            </w:r>
          </w:p>
        </w:tc>
        <w:tc>
          <w:tcPr>
            <w:tcW w:w="1590" w:type="dxa"/>
            <w:noWrap/>
            <w:hideMark/>
          </w:tcPr>
          <w:p w14:paraId="3558A765" w14:textId="7B38BEB2"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95</w:t>
            </w:r>
          </w:p>
        </w:tc>
        <w:tc>
          <w:tcPr>
            <w:tcW w:w="1590" w:type="dxa"/>
            <w:noWrap/>
            <w:hideMark/>
          </w:tcPr>
          <w:p w14:paraId="251AA9DB" w14:textId="3F15C14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4</w:t>
            </w:r>
          </w:p>
        </w:tc>
        <w:tc>
          <w:tcPr>
            <w:tcW w:w="1590" w:type="dxa"/>
            <w:noWrap/>
            <w:hideMark/>
          </w:tcPr>
          <w:p w14:paraId="0AF2FA13" w14:textId="24BC463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6</w:t>
            </w:r>
            <w:r>
              <w:rPr>
                <w:rFonts w:ascii="Times New Roman" w:hAnsi="Times New Roman" w:cs="Times New Roman"/>
                <w:sz w:val="20"/>
                <w:szCs w:val="20"/>
              </w:rPr>
              <w:t>.</w:t>
            </w:r>
            <w:r w:rsidRPr="00A33983">
              <w:rPr>
                <w:rFonts w:ascii="Times New Roman" w:hAnsi="Times New Roman" w:cs="Times New Roman"/>
                <w:sz w:val="20"/>
                <w:szCs w:val="20"/>
              </w:rPr>
              <w:t>73</w:t>
            </w:r>
          </w:p>
        </w:tc>
      </w:tr>
      <w:tr w:rsidR="00E15C1A" w:rsidRPr="00A33983" w14:paraId="326ABB71" w14:textId="77777777" w:rsidTr="00291EF8">
        <w:trPr>
          <w:trHeight w:val="288"/>
        </w:trPr>
        <w:tc>
          <w:tcPr>
            <w:tcW w:w="1559" w:type="dxa"/>
            <w:noWrap/>
            <w:hideMark/>
          </w:tcPr>
          <w:p w14:paraId="3DEA778B" w14:textId="47E240FE"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Nouvelle-Aquitaine, France</w:t>
            </w:r>
            <w:r>
              <w:rPr>
                <w:rFonts w:ascii="Times New Roman" w:hAnsi="Times New Roman" w:cs="Times New Roman"/>
                <w:sz w:val="20"/>
                <w:szCs w:val="20"/>
              </w:rPr>
              <w:t xml:space="preserve"> (Carrat)</w:t>
            </w:r>
          </w:p>
        </w:tc>
        <w:tc>
          <w:tcPr>
            <w:tcW w:w="1216" w:type="dxa"/>
            <w:noWrap/>
            <w:hideMark/>
          </w:tcPr>
          <w:p w14:paraId="74E30802"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44B7295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May 21</w:t>
            </w:r>
          </w:p>
        </w:tc>
        <w:tc>
          <w:tcPr>
            <w:tcW w:w="1059" w:type="dxa"/>
            <w:noWrap/>
            <w:hideMark/>
          </w:tcPr>
          <w:p w14:paraId="41B8D42E"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2020-03-29</w:t>
            </w:r>
          </w:p>
        </w:tc>
        <w:tc>
          <w:tcPr>
            <w:tcW w:w="806" w:type="dxa"/>
            <w:noWrap/>
            <w:hideMark/>
          </w:tcPr>
          <w:p w14:paraId="6AB0B4B0" w14:textId="3BFBEF6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74</w:t>
            </w:r>
          </w:p>
        </w:tc>
        <w:tc>
          <w:tcPr>
            <w:tcW w:w="1091" w:type="dxa"/>
            <w:noWrap/>
            <w:hideMark/>
          </w:tcPr>
          <w:p w14:paraId="1810A4D3" w14:textId="77EC1C3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31</w:t>
            </w:r>
          </w:p>
        </w:tc>
        <w:tc>
          <w:tcPr>
            <w:tcW w:w="1008" w:type="dxa"/>
            <w:noWrap/>
            <w:hideMark/>
          </w:tcPr>
          <w:p w14:paraId="518FE0CF" w14:textId="7FDACDD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09</w:t>
            </w:r>
          </w:p>
        </w:tc>
        <w:tc>
          <w:tcPr>
            <w:tcW w:w="1590" w:type="dxa"/>
            <w:noWrap/>
            <w:hideMark/>
          </w:tcPr>
          <w:p w14:paraId="17B03AD8" w14:textId="112D87B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07</w:t>
            </w:r>
          </w:p>
        </w:tc>
        <w:tc>
          <w:tcPr>
            <w:tcW w:w="1590" w:type="dxa"/>
            <w:noWrap/>
            <w:hideMark/>
          </w:tcPr>
          <w:p w14:paraId="5ECE3B8C" w14:textId="16B8C3A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99</w:t>
            </w:r>
          </w:p>
        </w:tc>
        <w:tc>
          <w:tcPr>
            <w:tcW w:w="1590" w:type="dxa"/>
            <w:noWrap/>
            <w:hideMark/>
          </w:tcPr>
          <w:p w14:paraId="28CF43DA" w14:textId="2432C4D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9</w:t>
            </w:r>
          </w:p>
        </w:tc>
      </w:tr>
      <w:tr w:rsidR="00E15C1A" w:rsidRPr="00A33983" w14:paraId="45FEA48B" w14:textId="77777777" w:rsidTr="00291EF8">
        <w:trPr>
          <w:trHeight w:val="288"/>
        </w:trPr>
        <w:tc>
          <w:tcPr>
            <w:tcW w:w="1559" w:type="dxa"/>
            <w:noWrap/>
            <w:hideMark/>
          </w:tcPr>
          <w:p w14:paraId="43A5AF33" w14:textId="4DE42C36"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Hungary</w:t>
            </w:r>
            <w:r>
              <w:rPr>
                <w:rFonts w:ascii="Times New Roman" w:hAnsi="Times New Roman" w:cs="Times New Roman"/>
                <w:sz w:val="20"/>
                <w:szCs w:val="20"/>
              </w:rPr>
              <w:t xml:space="preserve"> (Merkely)</w:t>
            </w:r>
          </w:p>
        </w:tc>
        <w:tc>
          <w:tcPr>
            <w:tcW w:w="1216" w:type="dxa"/>
            <w:noWrap/>
            <w:hideMark/>
          </w:tcPr>
          <w:p w14:paraId="7AE94792"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626B9B88"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May 15</w:t>
            </w:r>
          </w:p>
        </w:tc>
        <w:tc>
          <w:tcPr>
            <w:tcW w:w="1059" w:type="dxa"/>
            <w:noWrap/>
            <w:hideMark/>
          </w:tcPr>
          <w:p w14:paraId="553A9509"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2020-04-16</w:t>
            </w:r>
          </w:p>
        </w:tc>
        <w:tc>
          <w:tcPr>
            <w:tcW w:w="806" w:type="dxa"/>
            <w:noWrap/>
            <w:hideMark/>
          </w:tcPr>
          <w:p w14:paraId="437451F0" w14:textId="77CFE0F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95</w:t>
            </w:r>
          </w:p>
        </w:tc>
        <w:tc>
          <w:tcPr>
            <w:tcW w:w="1091" w:type="dxa"/>
            <w:noWrap/>
            <w:hideMark/>
          </w:tcPr>
          <w:p w14:paraId="60782B98" w14:textId="113412B8"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76</w:t>
            </w:r>
          </w:p>
        </w:tc>
        <w:tc>
          <w:tcPr>
            <w:tcW w:w="1008" w:type="dxa"/>
            <w:noWrap/>
            <w:hideMark/>
          </w:tcPr>
          <w:p w14:paraId="7D2D4407" w14:textId="53EEAF9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28</w:t>
            </w:r>
          </w:p>
        </w:tc>
        <w:tc>
          <w:tcPr>
            <w:tcW w:w="1590" w:type="dxa"/>
            <w:noWrap/>
            <w:hideMark/>
          </w:tcPr>
          <w:p w14:paraId="4C97AA44" w14:textId="77B356B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26</w:t>
            </w:r>
          </w:p>
        </w:tc>
        <w:tc>
          <w:tcPr>
            <w:tcW w:w="1590" w:type="dxa"/>
            <w:noWrap/>
            <w:hideMark/>
          </w:tcPr>
          <w:p w14:paraId="716BD7EE" w14:textId="7CF2ABF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17</w:t>
            </w:r>
          </w:p>
        </w:tc>
        <w:tc>
          <w:tcPr>
            <w:tcW w:w="1590" w:type="dxa"/>
            <w:noWrap/>
            <w:hideMark/>
          </w:tcPr>
          <w:p w14:paraId="5147AE82" w14:textId="5C315EA2"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06</w:t>
            </w:r>
          </w:p>
        </w:tc>
      </w:tr>
      <w:tr w:rsidR="00E15C1A" w:rsidRPr="00A33983" w14:paraId="0DDEA92B" w14:textId="77777777" w:rsidTr="00291EF8">
        <w:trPr>
          <w:trHeight w:val="288"/>
        </w:trPr>
        <w:tc>
          <w:tcPr>
            <w:tcW w:w="1559" w:type="dxa"/>
            <w:noWrap/>
            <w:hideMark/>
          </w:tcPr>
          <w:p w14:paraId="54FB30E0" w14:textId="4580E896"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Iceland</w:t>
            </w:r>
            <w:r>
              <w:rPr>
                <w:rFonts w:ascii="Times New Roman" w:hAnsi="Times New Roman" w:cs="Times New Roman"/>
                <w:sz w:val="20"/>
                <w:szCs w:val="20"/>
              </w:rPr>
              <w:t xml:space="preserve"> (Gudbjartsson)</w:t>
            </w:r>
          </w:p>
        </w:tc>
        <w:tc>
          <w:tcPr>
            <w:tcW w:w="1216" w:type="dxa"/>
            <w:noWrap/>
            <w:hideMark/>
          </w:tcPr>
          <w:p w14:paraId="5D28BFDF"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IgG/IgM/IgA</w:t>
            </w:r>
          </w:p>
        </w:tc>
        <w:tc>
          <w:tcPr>
            <w:tcW w:w="875" w:type="dxa"/>
            <w:noWrap/>
            <w:hideMark/>
          </w:tcPr>
          <w:p w14:paraId="7F55B808"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June 1</w:t>
            </w:r>
          </w:p>
        </w:tc>
        <w:tc>
          <w:tcPr>
            <w:tcW w:w="1059" w:type="dxa"/>
            <w:noWrap/>
            <w:hideMark/>
          </w:tcPr>
          <w:p w14:paraId="16820BF0"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2020-04-02</w:t>
            </w:r>
          </w:p>
        </w:tc>
        <w:tc>
          <w:tcPr>
            <w:tcW w:w="806" w:type="dxa"/>
            <w:noWrap/>
            <w:hideMark/>
          </w:tcPr>
          <w:p w14:paraId="1610A193" w14:textId="72B4D8A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97</w:t>
            </w:r>
          </w:p>
        </w:tc>
        <w:tc>
          <w:tcPr>
            <w:tcW w:w="1091" w:type="dxa"/>
            <w:noWrap/>
            <w:hideMark/>
          </w:tcPr>
          <w:p w14:paraId="17133E66" w14:textId="522B09E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12</w:t>
            </w:r>
          </w:p>
        </w:tc>
        <w:tc>
          <w:tcPr>
            <w:tcW w:w="1008" w:type="dxa"/>
            <w:noWrap/>
            <w:hideMark/>
          </w:tcPr>
          <w:p w14:paraId="584D9928" w14:textId="71F50852"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12</w:t>
            </w:r>
          </w:p>
        </w:tc>
        <w:tc>
          <w:tcPr>
            <w:tcW w:w="1590" w:type="dxa"/>
            <w:noWrap/>
            <w:hideMark/>
          </w:tcPr>
          <w:p w14:paraId="33F98606" w14:textId="0D44466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06</w:t>
            </w:r>
          </w:p>
        </w:tc>
        <w:tc>
          <w:tcPr>
            <w:tcW w:w="1590" w:type="dxa"/>
            <w:noWrap/>
            <w:hideMark/>
          </w:tcPr>
          <w:p w14:paraId="06975CA4" w14:textId="5C9D76E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82</w:t>
            </w:r>
          </w:p>
        </w:tc>
        <w:tc>
          <w:tcPr>
            <w:tcW w:w="1590" w:type="dxa"/>
            <w:noWrap/>
            <w:hideMark/>
          </w:tcPr>
          <w:p w14:paraId="77C9A57D" w14:textId="2E32F6A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53</w:t>
            </w:r>
          </w:p>
        </w:tc>
      </w:tr>
      <w:tr w:rsidR="00E15C1A" w:rsidRPr="00A33983" w14:paraId="27EA1B76" w14:textId="77777777" w:rsidTr="00291EF8">
        <w:trPr>
          <w:trHeight w:val="288"/>
        </w:trPr>
        <w:tc>
          <w:tcPr>
            <w:tcW w:w="1559" w:type="dxa"/>
            <w:noWrap/>
            <w:hideMark/>
          </w:tcPr>
          <w:p w14:paraId="320C9ABB" w14:textId="7D679B94"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India</w:t>
            </w:r>
            <w:r>
              <w:rPr>
                <w:rFonts w:ascii="Times New Roman" w:hAnsi="Times New Roman" w:cs="Times New Roman"/>
                <w:sz w:val="20"/>
                <w:szCs w:val="20"/>
              </w:rPr>
              <w:t xml:space="preserve"> (Murhekar)</w:t>
            </w:r>
          </w:p>
        </w:tc>
        <w:tc>
          <w:tcPr>
            <w:tcW w:w="1216" w:type="dxa"/>
            <w:noWrap/>
            <w:hideMark/>
          </w:tcPr>
          <w:p w14:paraId="0A58433C"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77180319"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September 11</w:t>
            </w:r>
          </w:p>
        </w:tc>
        <w:tc>
          <w:tcPr>
            <w:tcW w:w="1059" w:type="dxa"/>
            <w:noWrap/>
            <w:hideMark/>
          </w:tcPr>
          <w:p w14:paraId="6F3BE00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2020-09-10</w:t>
            </w:r>
          </w:p>
        </w:tc>
        <w:tc>
          <w:tcPr>
            <w:tcW w:w="806" w:type="dxa"/>
            <w:noWrap/>
            <w:hideMark/>
          </w:tcPr>
          <w:p w14:paraId="670E2F74" w14:textId="5AF66B6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03</w:t>
            </w:r>
          </w:p>
        </w:tc>
        <w:tc>
          <w:tcPr>
            <w:tcW w:w="1091" w:type="dxa"/>
            <w:noWrap/>
            <w:hideMark/>
          </w:tcPr>
          <w:p w14:paraId="263F56ED" w14:textId="4F2BBD04"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43</w:t>
            </w:r>
          </w:p>
        </w:tc>
        <w:tc>
          <w:tcPr>
            <w:tcW w:w="1008" w:type="dxa"/>
            <w:noWrap/>
            <w:hideMark/>
          </w:tcPr>
          <w:p w14:paraId="66F67725" w14:textId="68851188"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36</w:t>
            </w:r>
          </w:p>
        </w:tc>
        <w:tc>
          <w:tcPr>
            <w:tcW w:w="1590" w:type="dxa"/>
            <w:noWrap/>
            <w:hideMark/>
          </w:tcPr>
          <w:p w14:paraId="1845B75C" w14:textId="6578A1F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36</w:t>
            </w:r>
          </w:p>
        </w:tc>
        <w:tc>
          <w:tcPr>
            <w:tcW w:w="1590" w:type="dxa"/>
            <w:noWrap/>
            <w:hideMark/>
          </w:tcPr>
          <w:p w14:paraId="459813FF" w14:textId="271DDC8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36</w:t>
            </w:r>
          </w:p>
        </w:tc>
        <w:tc>
          <w:tcPr>
            <w:tcW w:w="1590" w:type="dxa"/>
            <w:noWrap/>
            <w:hideMark/>
          </w:tcPr>
          <w:p w14:paraId="7643F3BA" w14:textId="1BB0CBF4"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36</w:t>
            </w:r>
          </w:p>
        </w:tc>
      </w:tr>
      <w:tr w:rsidR="00E15C1A" w:rsidRPr="00A33983" w14:paraId="4FE26F85" w14:textId="77777777" w:rsidTr="00291EF8">
        <w:trPr>
          <w:trHeight w:val="288"/>
        </w:trPr>
        <w:tc>
          <w:tcPr>
            <w:tcW w:w="1559" w:type="dxa"/>
            <w:noWrap/>
            <w:hideMark/>
          </w:tcPr>
          <w:p w14:paraId="5B2C3F21" w14:textId="0AC87BD9"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Tamil Nadu, India</w:t>
            </w:r>
            <w:r>
              <w:rPr>
                <w:rFonts w:ascii="Times New Roman" w:hAnsi="Times New Roman" w:cs="Times New Roman"/>
                <w:sz w:val="20"/>
                <w:szCs w:val="20"/>
              </w:rPr>
              <w:t xml:space="preserve"> (Malani)</w:t>
            </w:r>
          </w:p>
        </w:tc>
        <w:tc>
          <w:tcPr>
            <w:tcW w:w="1216" w:type="dxa"/>
            <w:noWrap/>
            <w:hideMark/>
          </w:tcPr>
          <w:p w14:paraId="57395ED9"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4EF897A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November 16</w:t>
            </w:r>
          </w:p>
        </w:tc>
        <w:tc>
          <w:tcPr>
            <w:tcW w:w="1059" w:type="dxa"/>
            <w:noWrap/>
            <w:hideMark/>
          </w:tcPr>
          <w:p w14:paraId="31DDCB70"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2020-07-18</w:t>
            </w:r>
          </w:p>
        </w:tc>
        <w:tc>
          <w:tcPr>
            <w:tcW w:w="806" w:type="dxa"/>
            <w:noWrap/>
            <w:hideMark/>
          </w:tcPr>
          <w:p w14:paraId="24D25A43" w14:textId="07B4456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98</w:t>
            </w:r>
          </w:p>
        </w:tc>
        <w:tc>
          <w:tcPr>
            <w:tcW w:w="1091" w:type="dxa"/>
            <w:noWrap/>
            <w:hideMark/>
          </w:tcPr>
          <w:p w14:paraId="34DD7643" w14:textId="6BCA70B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32</w:t>
            </w:r>
          </w:p>
        </w:tc>
        <w:tc>
          <w:tcPr>
            <w:tcW w:w="1008" w:type="dxa"/>
            <w:noWrap/>
            <w:hideMark/>
          </w:tcPr>
          <w:p w14:paraId="2F0EAB7A" w14:textId="1C0ADF28"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27</w:t>
            </w:r>
          </w:p>
        </w:tc>
        <w:tc>
          <w:tcPr>
            <w:tcW w:w="1590" w:type="dxa"/>
            <w:noWrap/>
            <w:hideMark/>
          </w:tcPr>
          <w:p w14:paraId="60D53791" w14:textId="24E86E7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26</w:t>
            </w:r>
          </w:p>
        </w:tc>
        <w:tc>
          <w:tcPr>
            <w:tcW w:w="1590" w:type="dxa"/>
            <w:noWrap/>
            <w:hideMark/>
          </w:tcPr>
          <w:p w14:paraId="6EC1A41E" w14:textId="1CE85F34"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22</w:t>
            </w:r>
          </w:p>
        </w:tc>
        <w:tc>
          <w:tcPr>
            <w:tcW w:w="1590" w:type="dxa"/>
            <w:noWrap/>
            <w:hideMark/>
          </w:tcPr>
          <w:p w14:paraId="15C20910" w14:textId="21543C9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18</w:t>
            </w:r>
          </w:p>
        </w:tc>
      </w:tr>
      <w:tr w:rsidR="00E15C1A" w:rsidRPr="00A33983" w14:paraId="59BC3EF8" w14:textId="77777777" w:rsidTr="00291EF8">
        <w:trPr>
          <w:trHeight w:val="288"/>
        </w:trPr>
        <w:tc>
          <w:tcPr>
            <w:tcW w:w="1559" w:type="dxa"/>
            <w:noWrap/>
            <w:hideMark/>
          </w:tcPr>
          <w:p w14:paraId="3CDD30CF" w14:textId="4843E9B5"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Italy</w:t>
            </w:r>
            <w:r>
              <w:rPr>
                <w:rFonts w:ascii="Times New Roman" w:hAnsi="Times New Roman" w:cs="Times New Roman"/>
                <w:sz w:val="20"/>
                <w:szCs w:val="20"/>
              </w:rPr>
              <w:t xml:space="preserve"> (Istat)</w:t>
            </w:r>
          </w:p>
        </w:tc>
        <w:tc>
          <w:tcPr>
            <w:tcW w:w="1216" w:type="dxa"/>
            <w:noWrap/>
            <w:hideMark/>
          </w:tcPr>
          <w:p w14:paraId="64D0F1AE"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3ED48DFB"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June 26</w:t>
            </w:r>
          </w:p>
        </w:tc>
        <w:tc>
          <w:tcPr>
            <w:tcW w:w="1059" w:type="dxa"/>
            <w:noWrap/>
            <w:hideMark/>
          </w:tcPr>
          <w:p w14:paraId="7B57B3FE"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2020-03-26</w:t>
            </w:r>
          </w:p>
        </w:tc>
        <w:tc>
          <w:tcPr>
            <w:tcW w:w="806" w:type="dxa"/>
            <w:noWrap/>
            <w:hideMark/>
          </w:tcPr>
          <w:p w14:paraId="6EA100FF" w14:textId="696B217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02</w:t>
            </w:r>
          </w:p>
        </w:tc>
        <w:tc>
          <w:tcPr>
            <w:tcW w:w="1091" w:type="dxa"/>
            <w:noWrap/>
            <w:hideMark/>
          </w:tcPr>
          <w:p w14:paraId="31B01BDE" w14:textId="2D2288E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63</w:t>
            </w:r>
          </w:p>
        </w:tc>
        <w:tc>
          <w:tcPr>
            <w:tcW w:w="1008" w:type="dxa"/>
            <w:noWrap/>
            <w:hideMark/>
          </w:tcPr>
          <w:p w14:paraId="4C29D669" w14:textId="17F45F34"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6</w:t>
            </w:r>
            <w:r>
              <w:rPr>
                <w:rFonts w:ascii="Times New Roman" w:hAnsi="Times New Roman" w:cs="Times New Roman"/>
                <w:sz w:val="20"/>
                <w:szCs w:val="20"/>
              </w:rPr>
              <w:t>.</w:t>
            </w:r>
            <w:r w:rsidRPr="00A33983">
              <w:rPr>
                <w:rFonts w:ascii="Times New Roman" w:hAnsi="Times New Roman" w:cs="Times New Roman"/>
                <w:sz w:val="20"/>
                <w:szCs w:val="20"/>
              </w:rPr>
              <w:t>31</w:t>
            </w:r>
          </w:p>
        </w:tc>
        <w:tc>
          <w:tcPr>
            <w:tcW w:w="1590" w:type="dxa"/>
            <w:noWrap/>
            <w:hideMark/>
          </w:tcPr>
          <w:p w14:paraId="7C134DE9" w14:textId="1A33376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6</w:t>
            </w:r>
            <w:r>
              <w:rPr>
                <w:rFonts w:ascii="Times New Roman" w:hAnsi="Times New Roman" w:cs="Times New Roman"/>
                <w:sz w:val="20"/>
                <w:szCs w:val="20"/>
              </w:rPr>
              <w:t>.</w:t>
            </w:r>
            <w:r w:rsidRPr="00A33983">
              <w:rPr>
                <w:rFonts w:ascii="Times New Roman" w:hAnsi="Times New Roman" w:cs="Times New Roman"/>
                <w:sz w:val="20"/>
                <w:szCs w:val="20"/>
              </w:rPr>
              <w:t>12</w:t>
            </w:r>
          </w:p>
        </w:tc>
        <w:tc>
          <w:tcPr>
            <w:tcW w:w="1590" w:type="dxa"/>
            <w:noWrap/>
            <w:hideMark/>
          </w:tcPr>
          <w:p w14:paraId="0BA0E6B3" w14:textId="3623A99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5</w:t>
            </w:r>
            <w:r>
              <w:rPr>
                <w:rFonts w:ascii="Times New Roman" w:hAnsi="Times New Roman" w:cs="Times New Roman"/>
                <w:sz w:val="20"/>
                <w:szCs w:val="20"/>
              </w:rPr>
              <w:t>.</w:t>
            </w:r>
            <w:r w:rsidRPr="00A33983">
              <w:rPr>
                <w:rFonts w:ascii="Times New Roman" w:hAnsi="Times New Roman" w:cs="Times New Roman"/>
                <w:sz w:val="20"/>
                <w:szCs w:val="20"/>
              </w:rPr>
              <w:t>4</w:t>
            </w:r>
          </w:p>
        </w:tc>
        <w:tc>
          <w:tcPr>
            <w:tcW w:w="1590" w:type="dxa"/>
            <w:noWrap/>
            <w:hideMark/>
          </w:tcPr>
          <w:p w14:paraId="36BF08AA" w14:textId="4148FD3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4</w:t>
            </w:r>
            <w:r>
              <w:rPr>
                <w:rFonts w:ascii="Times New Roman" w:hAnsi="Times New Roman" w:cs="Times New Roman"/>
                <w:sz w:val="20"/>
                <w:szCs w:val="20"/>
              </w:rPr>
              <w:t>.</w:t>
            </w:r>
            <w:r w:rsidRPr="00A33983">
              <w:rPr>
                <w:rFonts w:ascii="Times New Roman" w:hAnsi="Times New Roman" w:cs="Times New Roman"/>
                <w:sz w:val="20"/>
                <w:szCs w:val="20"/>
              </w:rPr>
              <w:t>59</w:t>
            </w:r>
          </w:p>
        </w:tc>
      </w:tr>
      <w:tr w:rsidR="00E15C1A" w:rsidRPr="00A33983" w14:paraId="2FF335A0" w14:textId="77777777" w:rsidTr="00291EF8">
        <w:trPr>
          <w:trHeight w:val="288"/>
        </w:trPr>
        <w:tc>
          <w:tcPr>
            <w:tcW w:w="1559" w:type="dxa"/>
            <w:noWrap/>
            <w:hideMark/>
          </w:tcPr>
          <w:p w14:paraId="25C88870" w14:textId="70698F3B"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Qatar</w:t>
            </w:r>
            <w:r>
              <w:rPr>
                <w:rFonts w:ascii="Times New Roman" w:hAnsi="Times New Roman" w:cs="Times New Roman"/>
                <w:sz w:val="20"/>
                <w:szCs w:val="20"/>
              </w:rPr>
              <w:t xml:space="preserve"> (Abu-Raddad)</w:t>
            </w:r>
          </w:p>
        </w:tc>
        <w:tc>
          <w:tcPr>
            <w:tcW w:w="1216" w:type="dxa"/>
            <w:noWrap/>
            <w:hideMark/>
          </w:tcPr>
          <w:p w14:paraId="04EF06B8"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60E1613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July 5</w:t>
            </w:r>
          </w:p>
        </w:tc>
        <w:tc>
          <w:tcPr>
            <w:tcW w:w="1059" w:type="dxa"/>
            <w:noWrap/>
            <w:hideMark/>
          </w:tcPr>
          <w:p w14:paraId="415B4070"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2020-06-23</w:t>
            </w:r>
          </w:p>
        </w:tc>
        <w:tc>
          <w:tcPr>
            <w:tcW w:w="806" w:type="dxa"/>
            <w:noWrap/>
            <w:hideMark/>
          </w:tcPr>
          <w:p w14:paraId="64C3F123" w14:textId="54F3642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39</w:t>
            </w:r>
          </w:p>
        </w:tc>
        <w:tc>
          <w:tcPr>
            <w:tcW w:w="1091" w:type="dxa"/>
            <w:noWrap/>
            <w:hideMark/>
          </w:tcPr>
          <w:p w14:paraId="4C06AD7F" w14:textId="10772A72"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23</w:t>
            </w:r>
          </w:p>
        </w:tc>
        <w:tc>
          <w:tcPr>
            <w:tcW w:w="1008" w:type="dxa"/>
            <w:noWrap/>
            <w:hideMark/>
          </w:tcPr>
          <w:p w14:paraId="373ABC8D" w14:textId="210E5E4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85</w:t>
            </w:r>
          </w:p>
        </w:tc>
        <w:tc>
          <w:tcPr>
            <w:tcW w:w="1590" w:type="dxa"/>
            <w:noWrap/>
            <w:hideMark/>
          </w:tcPr>
          <w:p w14:paraId="636037C6" w14:textId="3F09948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84</w:t>
            </w:r>
          </w:p>
        </w:tc>
        <w:tc>
          <w:tcPr>
            <w:tcW w:w="1590" w:type="dxa"/>
            <w:noWrap/>
            <w:hideMark/>
          </w:tcPr>
          <w:p w14:paraId="7D489CDD" w14:textId="71A88DC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81</w:t>
            </w:r>
          </w:p>
        </w:tc>
        <w:tc>
          <w:tcPr>
            <w:tcW w:w="1590" w:type="dxa"/>
            <w:noWrap/>
            <w:hideMark/>
          </w:tcPr>
          <w:p w14:paraId="65B6C6BD" w14:textId="3D037FE8"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77</w:t>
            </w:r>
          </w:p>
        </w:tc>
      </w:tr>
      <w:tr w:rsidR="00E15C1A" w:rsidRPr="00A33983" w14:paraId="02875AA5" w14:textId="77777777" w:rsidTr="00291EF8">
        <w:trPr>
          <w:trHeight w:val="288"/>
        </w:trPr>
        <w:tc>
          <w:tcPr>
            <w:tcW w:w="1559" w:type="dxa"/>
            <w:noWrap/>
            <w:hideMark/>
          </w:tcPr>
          <w:p w14:paraId="205D035C" w14:textId="1CA8B968" w:rsidR="00E15C1A" w:rsidRPr="00291EF8" w:rsidRDefault="00E15C1A" w:rsidP="00E15C1A">
            <w:pPr>
              <w:rPr>
                <w:rFonts w:ascii="Times New Roman" w:hAnsi="Times New Roman" w:cs="Times New Roman"/>
                <w:sz w:val="20"/>
                <w:szCs w:val="20"/>
                <w:lang w:val="sv-SE"/>
              </w:rPr>
            </w:pPr>
            <w:r w:rsidRPr="001C3C89">
              <w:rPr>
                <w:rFonts w:ascii="Times New Roman" w:hAnsi="Times New Roman" w:cs="Times New Roman"/>
                <w:sz w:val="20"/>
                <w:szCs w:val="20"/>
                <w:lang w:val="sv-SE"/>
              </w:rPr>
              <w:t>Spain (Ministerio de Sanidad / I</w:t>
            </w:r>
            <w:r>
              <w:rPr>
                <w:rFonts w:ascii="Times New Roman" w:hAnsi="Times New Roman" w:cs="Times New Roman"/>
                <w:sz w:val="20"/>
                <w:szCs w:val="20"/>
                <w:lang w:val="sv-SE"/>
              </w:rPr>
              <w:t>SCIII)</w:t>
            </w:r>
          </w:p>
        </w:tc>
        <w:tc>
          <w:tcPr>
            <w:tcW w:w="1216" w:type="dxa"/>
            <w:noWrap/>
            <w:hideMark/>
          </w:tcPr>
          <w:p w14:paraId="340A2981"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IgG/IgM</w:t>
            </w:r>
          </w:p>
        </w:tc>
        <w:tc>
          <w:tcPr>
            <w:tcW w:w="875" w:type="dxa"/>
            <w:noWrap/>
            <w:hideMark/>
          </w:tcPr>
          <w:p w14:paraId="04E6FCC7"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November 29</w:t>
            </w:r>
          </w:p>
        </w:tc>
        <w:tc>
          <w:tcPr>
            <w:tcW w:w="1059" w:type="dxa"/>
            <w:noWrap/>
            <w:hideMark/>
          </w:tcPr>
          <w:p w14:paraId="2C7C19A3"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2020-03-27</w:t>
            </w:r>
          </w:p>
        </w:tc>
        <w:tc>
          <w:tcPr>
            <w:tcW w:w="806" w:type="dxa"/>
            <w:noWrap/>
            <w:hideMark/>
          </w:tcPr>
          <w:p w14:paraId="2FF056A9" w14:textId="4BD7A27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11</w:t>
            </w:r>
          </w:p>
        </w:tc>
        <w:tc>
          <w:tcPr>
            <w:tcW w:w="1091" w:type="dxa"/>
            <w:noWrap/>
            <w:hideMark/>
          </w:tcPr>
          <w:p w14:paraId="32396012" w14:textId="2E62849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5</w:t>
            </w:r>
            <w:r>
              <w:rPr>
                <w:rFonts w:ascii="Times New Roman" w:hAnsi="Times New Roman" w:cs="Times New Roman"/>
                <w:sz w:val="20"/>
                <w:szCs w:val="20"/>
              </w:rPr>
              <w:t>.</w:t>
            </w:r>
            <w:r w:rsidRPr="00A33983">
              <w:rPr>
                <w:rFonts w:ascii="Times New Roman" w:hAnsi="Times New Roman" w:cs="Times New Roman"/>
                <w:sz w:val="20"/>
                <w:szCs w:val="20"/>
              </w:rPr>
              <w:t>31</w:t>
            </w:r>
          </w:p>
        </w:tc>
        <w:tc>
          <w:tcPr>
            <w:tcW w:w="1008" w:type="dxa"/>
            <w:noWrap/>
            <w:hideMark/>
          </w:tcPr>
          <w:p w14:paraId="5E2761BD" w14:textId="4E16CB1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4</w:t>
            </w:r>
            <w:r>
              <w:rPr>
                <w:rFonts w:ascii="Times New Roman" w:hAnsi="Times New Roman" w:cs="Times New Roman"/>
                <w:sz w:val="20"/>
                <w:szCs w:val="20"/>
              </w:rPr>
              <w:t>.</w:t>
            </w:r>
            <w:r w:rsidRPr="00A33983">
              <w:rPr>
                <w:rFonts w:ascii="Times New Roman" w:hAnsi="Times New Roman" w:cs="Times New Roman"/>
                <w:sz w:val="20"/>
                <w:szCs w:val="20"/>
              </w:rPr>
              <w:t>83</w:t>
            </w:r>
          </w:p>
        </w:tc>
        <w:tc>
          <w:tcPr>
            <w:tcW w:w="1590" w:type="dxa"/>
            <w:noWrap/>
            <w:hideMark/>
          </w:tcPr>
          <w:p w14:paraId="27DD6947" w14:textId="5BC2C691"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4</w:t>
            </w:r>
            <w:r>
              <w:rPr>
                <w:rFonts w:ascii="Times New Roman" w:hAnsi="Times New Roman" w:cs="Times New Roman"/>
                <w:sz w:val="20"/>
                <w:szCs w:val="20"/>
              </w:rPr>
              <w:t>.</w:t>
            </w:r>
            <w:r w:rsidRPr="00A33983">
              <w:rPr>
                <w:rFonts w:ascii="Times New Roman" w:hAnsi="Times New Roman" w:cs="Times New Roman"/>
                <w:sz w:val="20"/>
                <w:szCs w:val="20"/>
              </w:rPr>
              <w:t>45</w:t>
            </w:r>
          </w:p>
        </w:tc>
        <w:tc>
          <w:tcPr>
            <w:tcW w:w="1590" w:type="dxa"/>
            <w:noWrap/>
            <w:hideMark/>
          </w:tcPr>
          <w:p w14:paraId="741C858F" w14:textId="2CBADCF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18</w:t>
            </w:r>
          </w:p>
        </w:tc>
        <w:tc>
          <w:tcPr>
            <w:tcW w:w="1590" w:type="dxa"/>
            <w:noWrap/>
            <w:hideMark/>
          </w:tcPr>
          <w:p w14:paraId="053CA4B5" w14:textId="4385BBA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05</w:t>
            </w:r>
          </w:p>
        </w:tc>
      </w:tr>
      <w:tr w:rsidR="00E15C1A" w:rsidRPr="00A33983" w14:paraId="3828BBDE" w14:textId="77777777" w:rsidTr="00291EF8">
        <w:trPr>
          <w:trHeight w:val="288"/>
        </w:trPr>
        <w:tc>
          <w:tcPr>
            <w:tcW w:w="1559" w:type="dxa"/>
            <w:noWrap/>
            <w:hideMark/>
          </w:tcPr>
          <w:p w14:paraId="1DAD29D6" w14:textId="0FDD7EB6"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U</w:t>
            </w:r>
            <w:r>
              <w:rPr>
                <w:rFonts w:ascii="Times New Roman" w:hAnsi="Times New Roman" w:cs="Times New Roman"/>
                <w:sz w:val="20"/>
                <w:szCs w:val="20"/>
              </w:rPr>
              <w:t>nited Kingdom (UK Biobank)</w:t>
            </w:r>
          </w:p>
        </w:tc>
        <w:tc>
          <w:tcPr>
            <w:tcW w:w="1216" w:type="dxa"/>
            <w:noWrap/>
            <w:hideMark/>
          </w:tcPr>
          <w:p w14:paraId="5B04CCB0"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Missing/Unclear</w:t>
            </w:r>
          </w:p>
        </w:tc>
        <w:tc>
          <w:tcPr>
            <w:tcW w:w="875" w:type="dxa"/>
            <w:noWrap/>
            <w:hideMark/>
          </w:tcPr>
          <w:p w14:paraId="622D752B"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July 12</w:t>
            </w:r>
          </w:p>
        </w:tc>
        <w:tc>
          <w:tcPr>
            <w:tcW w:w="1059" w:type="dxa"/>
            <w:noWrap/>
            <w:hideMark/>
          </w:tcPr>
          <w:p w14:paraId="04F4EEC8"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2020-04-06</w:t>
            </w:r>
          </w:p>
        </w:tc>
        <w:tc>
          <w:tcPr>
            <w:tcW w:w="806" w:type="dxa"/>
            <w:noWrap/>
            <w:hideMark/>
          </w:tcPr>
          <w:p w14:paraId="4379214F" w14:textId="69F575D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19</w:t>
            </w:r>
          </w:p>
        </w:tc>
        <w:tc>
          <w:tcPr>
            <w:tcW w:w="1091" w:type="dxa"/>
            <w:noWrap/>
            <w:hideMark/>
          </w:tcPr>
          <w:p w14:paraId="18FFA573" w14:textId="57E3B3A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53</w:t>
            </w:r>
          </w:p>
        </w:tc>
        <w:tc>
          <w:tcPr>
            <w:tcW w:w="1008" w:type="dxa"/>
            <w:noWrap/>
            <w:hideMark/>
          </w:tcPr>
          <w:p w14:paraId="227AE6C6" w14:textId="3A3D868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53</w:t>
            </w:r>
          </w:p>
        </w:tc>
        <w:tc>
          <w:tcPr>
            <w:tcW w:w="1590" w:type="dxa"/>
            <w:noWrap/>
            <w:hideMark/>
          </w:tcPr>
          <w:p w14:paraId="5FF40408" w14:textId="0121D5D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42</w:t>
            </w:r>
          </w:p>
        </w:tc>
        <w:tc>
          <w:tcPr>
            <w:tcW w:w="1590" w:type="dxa"/>
            <w:noWrap/>
            <w:hideMark/>
          </w:tcPr>
          <w:p w14:paraId="2F4B996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p>
        </w:tc>
        <w:tc>
          <w:tcPr>
            <w:tcW w:w="1590" w:type="dxa"/>
            <w:noWrap/>
            <w:hideMark/>
          </w:tcPr>
          <w:p w14:paraId="0248A684" w14:textId="0D75D93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52</w:t>
            </w:r>
          </w:p>
        </w:tc>
      </w:tr>
      <w:tr w:rsidR="00E15C1A" w:rsidRPr="00A33983" w14:paraId="354B3D1A" w14:textId="77777777" w:rsidTr="00291EF8">
        <w:trPr>
          <w:trHeight w:val="288"/>
        </w:trPr>
        <w:tc>
          <w:tcPr>
            <w:tcW w:w="1559" w:type="dxa"/>
            <w:noWrap/>
            <w:hideMark/>
          </w:tcPr>
          <w:p w14:paraId="0DBC0A0C" w14:textId="3F52BADF"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England</w:t>
            </w:r>
            <w:r>
              <w:rPr>
                <w:rFonts w:ascii="Times New Roman" w:hAnsi="Times New Roman" w:cs="Times New Roman"/>
                <w:sz w:val="20"/>
                <w:szCs w:val="20"/>
              </w:rPr>
              <w:t>, United Kingdom (Ward)</w:t>
            </w:r>
          </w:p>
        </w:tc>
        <w:tc>
          <w:tcPr>
            <w:tcW w:w="1216" w:type="dxa"/>
            <w:noWrap/>
            <w:hideMark/>
          </w:tcPr>
          <w:p w14:paraId="287EDE59"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2624BA27"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July 9</w:t>
            </w:r>
          </w:p>
        </w:tc>
        <w:tc>
          <w:tcPr>
            <w:tcW w:w="1059" w:type="dxa"/>
            <w:noWrap/>
            <w:hideMark/>
          </w:tcPr>
          <w:p w14:paraId="6A062F0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2020-04-03</w:t>
            </w:r>
          </w:p>
        </w:tc>
        <w:tc>
          <w:tcPr>
            <w:tcW w:w="806" w:type="dxa"/>
            <w:noWrap/>
            <w:hideMark/>
          </w:tcPr>
          <w:p w14:paraId="0A46F69D" w14:textId="340DD3F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3</w:t>
            </w:r>
            <w:r>
              <w:rPr>
                <w:rFonts w:ascii="Times New Roman" w:hAnsi="Times New Roman" w:cs="Times New Roman"/>
                <w:sz w:val="20"/>
                <w:szCs w:val="20"/>
              </w:rPr>
              <w:t>.</w:t>
            </w:r>
            <w:r w:rsidRPr="00A33983">
              <w:rPr>
                <w:rFonts w:ascii="Times New Roman" w:hAnsi="Times New Roman" w:cs="Times New Roman"/>
                <w:sz w:val="20"/>
                <w:szCs w:val="20"/>
              </w:rPr>
              <w:t>19</w:t>
            </w:r>
          </w:p>
        </w:tc>
        <w:tc>
          <w:tcPr>
            <w:tcW w:w="1091" w:type="dxa"/>
            <w:noWrap/>
            <w:hideMark/>
          </w:tcPr>
          <w:p w14:paraId="5F6F9B0F" w14:textId="6D8B7529"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10</w:t>
            </w:r>
            <w:r>
              <w:rPr>
                <w:rFonts w:ascii="Times New Roman" w:hAnsi="Times New Roman" w:cs="Times New Roman"/>
                <w:sz w:val="20"/>
                <w:szCs w:val="20"/>
              </w:rPr>
              <w:t>.</w:t>
            </w:r>
            <w:r w:rsidRPr="00A33983">
              <w:rPr>
                <w:rFonts w:ascii="Times New Roman" w:hAnsi="Times New Roman" w:cs="Times New Roman"/>
                <w:sz w:val="20"/>
                <w:szCs w:val="20"/>
              </w:rPr>
              <w:t>02</w:t>
            </w:r>
          </w:p>
        </w:tc>
        <w:tc>
          <w:tcPr>
            <w:tcW w:w="1008" w:type="dxa"/>
            <w:noWrap/>
            <w:hideMark/>
          </w:tcPr>
          <w:p w14:paraId="579C66DD" w14:textId="097FF48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28</w:t>
            </w:r>
          </w:p>
        </w:tc>
        <w:tc>
          <w:tcPr>
            <w:tcW w:w="1590" w:type="dxa"/>
            <w:noWrap/>
            <w:hideMark/>
          </w:tcPr>
          <w:p w14:paraId="26231304" w14:textId="0142C9E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02</w:t>
            </w:r>
          </w:p>
        </w:tc>
        <w:tc>
          <w:tcPr>
            <w:tcW w:w="1590" w:type="dxa"/>
            <w:noWrap/>
            <w:hideMark/>
          </w:tcPr>
          <w:p w14:paraId="2A9D350E" w14:textId="5B85053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04</w:t>
            </w:r>
          </w:p>
        </w:tc>
        <w:tc>
          <w:tcPr>
            <w:tcW w:w="1590" w:type="dxa"/>
            <w:noWrap/>
            <w:hideMark/>
          </w:tcPr>
          <w:p w14:paraId="6C092131" w14:textId="7F6A557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5</w:t>
            </w:r>
            <w:r>
              <w:rPr>
                <w:rFonts w:ascii="Times New Roman" w:hAnsi="Times New Roman" w:cs="Times New Roman"/>
                <w:sz w:val="20"/>
                <w:szCs w:val="20"/>
              </w:rPr>
              <w:t>.</w:t>
            </w:r>
            <w:r w:rsidRPr="00A33983">
              <w:rPr>
                <w:rFonts w:ascii="Times New Roman" w:hAnsi="Times New Roman" w:cs="Times New Roman"/>
                <w:sz w:val="20"/>
                <w:szCs w:val="20"/>
              </w:rPr>
              <w:t>92</w:t>
            </w:r>
          </w:p>
        </w:tc>
      </w:tr>
      <w:tr w:rsidR="00E15C1A" w:rsidRPr="00A33983" w14:paraId="6978D785" w14:textId="77777777" w:rsidTr="00291EF8">
        <w:trPr>
          <w:trHeight w:val="288"/>
        </w:trPr>
        <w:tc>
          <w:tcPr>
            <w:tcW w:w="1559" w:type="dxa"/>
            <w:noWrap/>
            <w:hideMark/>
          </w:tcPr>
          <w:p w14:paraId="2273E24B" w14:textId="63D7E409"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England and Wales</w:t>
            </w:r>
            <w:r>
              <w:rPr>
                <w:rFonts w:ascii="Times New Roman" w:hAnsi="Times New Roman" w:cs="Times New Roman"/>
                <w:sz w:val="20"/>
                <w:szCs w:val="20"/>
              </w:rPr>
              <w:t>, United Kingdom (Public Health England)</w:t>
            </w:r>
          </w:p>
        </w:tc>
        <w:tc>
          <w:tcPr>
            <w:tcW w:w="1216" w:type="dxa"/>
            <w:noWrap/>
            <w:hideMark/>
          </w:tcPr>
          <w:p w14:paraId="3AC9BBF0"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Missing/Unclear</w:t>
            </w:r>
          </w:p>
        </w:tc>
        <w:tc>
          <w:tcPr>
            <w:tcW w:w="875" w:type="dxa"/>
            <w:noWrap/>
            <w:hideMark/>
          </w:tcPr>
          <w:p w14:paraId="683BBCCD"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May 22</w:t>
            </w:r>
          </w:p>
        </w:tc>
        <w:tc>
          <w:tcPr>
            <w:tcW w:w="1059" w:type="dxa"/>
            <w:noWrap/>
            <w:hideMark/>
          </w:tcPr>
          <w:p w14:paraId="56C703C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2020-04-03</w:t>
            </w:r>
          </w:p>
        </w:tc>
        <w:tc>
          <w:tcPr>
            <w:tcW w:w="806" w:type="dxa"/>
            <w:noWrap/>
            <w:hideMark/>
          </w:tcPr>
          <w:p w14:paraId="2BE8B413" w14:textId="15E68C51"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61</w:t>
            </w:r>
          </w:p>
        </w:tc>
        <w:tc>
          <w:tcPr>
            <w:tcW w:w="1091" w:type="dxa"/>
            <w:noWrap/>
            <w:hideMark/>
          </w:tcPr>
          <w:p w14:paraId="1950FB05" w14:textId="02A6081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59</w:t>
            </w:r>
          </w:p>
        </w:tc>
        <w:tc>
          <w:tcPr>
            <w:tcW w:w="1008" w:type="dxa"/>
            <w:noWrap/>
            <w:hideMark/>
          </w:tcPr>
          <w:p w14:paraId="52BAB88C" w14:textId="4CAB2FC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59</w:t>
            </w:r>
          </w:p>
        </w:tc>
        <w:tc>
          <w:tcPr>
            <w:tcW w:w="1590" w:type="dxa"/>
            <w:noWrap/>
            <w:hideMark/>
          </w:tcPr>
          <w:p w14:paraId="6046A282" w14:textId="6EE2CA52"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8</w:t>
            </w:r>
            <w:r>
              <w:rPr>
                <w:rFonts w:ascii="Times New Roman" w:hAnsi="Times New Roman" w:cs="Times New Roman"/>
                <w:sz w:val="20"/>
                <w:szCs w:val="20"/>
              </w:rPr>
              <w:t>.</w:t>
            </w:r>
            <w:r w:rsidRPr="00A33983">
              <w:rPr>
                <w:rFonts w:ascii="Times New Roman" w:hAnsi="Times New Roman" w:cs="Times New Roman"/>
                <w:sz w:val="20"/>
                <w:szCs w:val="20"/>
              </w:rPr>
              <w:t>45</w:t>
            </w:r>
          </w:p>
        </w:tc>
        <w:tc>
          <w:tcPr>
            <w:tcW w:w="1590" w:type="dxa"/>
            <w:noWrap/>
            <w:hideMark/>
          </w:tcPr>
          <w:p w14:paraId="10D5324A" w14:textId="68E1073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91</w:t>
            </w:r>
          </w:p>
        </w:tc>
        <w:tc>
          <w:tcPr>
            <w:tcW w:w="1590" w:type="dxa"/>
            <w:noWrap/>
            <w:hideMark/>
          </w:tcPr>
          <w:p w14:paraId="5DF70B49" w14:textId="5A3867B8"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7</w:t>
            </w:r>
            <w:r>
              <w:rPr>
                <w:rFonts w:ascii="Times New Roman" w:hAnsi="Times New Roman" w:cs="Times New Roman"/>
                <w:sz w:val="20"/>
                <w:szCs w:val="20"/>
              </w:rPr>
              <w:t>.</w:t>
            </w:r>
            <w:r w:rsidRPr="00A33983">
              <w:rPr>
                <w:rFonts w:ascii="Times New Roman" w:hAnsi="Times New Roman" w:cs="Times New Roman"/>
                <w:sz w:val="20"/>
                <w:szCs w:val="20"/>
              </w:rPr>
              <w:t>25</w:t>
            </w:r>
          </w:p>
        </w:tc>
      </w:tr>
      <w:tr w:rsidR="00E15C1A" w:rsidRPr="00A33983" w14:paraId="41B32F2B" w14:textId="77777777" w:rsidTr="00291EF8">
        <w:trPr>
          <w:trHeight w:val="288"/>
        </w:trPr>
        <w:tc>
          <w:tcPr>
            <w:tcW w:w="1559" w:type="dxa"/>
            <w:noWrap/>
            <w:hideMark/>
          </w:tcPr>
          <w:p w14:paraId="5BF0E7A6" w14:textId="6C54241A"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lastRenderedPageBreak/>
              <w:t>Greater Glasgow and Clyde, Scotland</w:t>
            </w:r>
            <w:r>
              <w:rPr>
                <w:rFonts w:ascii="Times New Roman" w:hAnsi="Times New Roman" w:cs="Times New Roman"/>
                <w:sz w:val="20"/>
                <w:szCs w:val="20"/>
              </w:rPr>
              <w:t>, United Kingdom (Hughes)</w:t>
            </w:r>
          </w:p>
        </w:tc>
        <w:tc>
          <w:tcPr>
            <w:tcW w:w="1216" w:type="dxa"/>
            <w:noWrap/>
            <w:hideMark/>
          </w:tcPr>
          <w:p w14:paraId="790440B7"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w:t>
            </w:r>
          </w:p>
        </w:tc>
        <w:tc>
          <w:tcPr>
            <w:tcW w:w="875" w:type="dxa"/>
            <w:noWrap/>
            <w:hideMark/>
          </w:tcPr>
          <w:p w14:paraId="3333B78C"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April 26</w:t>
            </w:r>
          </w:p>
        </w:tc>
        <w:tc>
          <w:tcPr>
            <w:tcW w:w="1059" w:type="dxa"/>
            <w:noWrap/>
            <w:hideMark/>
          </w:tcPr>
          <w:p w14:paraId="6215547E"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2020-04-13</w:t>
            </w:r>
          </w:p>
        </w:tc>
        <w:tc>
          <w:tcPr>
            <w:tcW w:w="806" w:type="dxa"/>
            <w:noWrap/>
            <w:hideMark/>
          </w:tcPr>
          <w:p w14:paraId="67574F6C" w14:textId="4C7A030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43</w:t>
            </w:r>
          </w:p>
        </w:tc>
        <w:tc>
          <w:tcPr>
            <w:tcW w:w="1091" w:type="dxa"/>
            <w:noWrap/>
            <w:hideMark/>
          </w:tcPr>
          <w:p w14:paraId="1B8EC06C" w14:textId="470DFF1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98</w:t>
            </w:r>
          </w:p>
        </w:tc>
        <w:tc>
          <w:tcPr>
            <w:tcW w:w="1008" w:type="dxa"/>
            <w:noWrap/>
            <w:hideMark/>
          </w:tcPr>
          <w:p w14:paraId="4E78AF13" w14:textId="37BC8E8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46</w:t>
            </w:r>
          </w:p>
        </w:tc>
        <w:tc>
          <w:tcPr>
            <w:tcW w:w="1590" w:type="dxa"/>
            <w:noWrap/>
            <w:hideMark/>
          </w:tcPr>
          <w:p w14:paraId="06E13C74" w14:textId="6780130A"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45</w:t>
            </w:r>
          </w:p>
        </w:tc>
        <w:tc>
          <w:tcPr>
            <w:tcW w:w="1590" w:type="dxa"/>
            <w:noWrap/>
            <w:hideMark/>
          </w:tcPr>
          <w:p w14:paraId="09D8EBBC" w14:textId="12ECC7EB"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41</w:t>
            </w:r>
          </w:p>
        </w:tc>
        <w:tc>
          <w:tcPr>
            <w:tcW w:w="1590" w:type="dxa"/>
            <w:noWrap/>
            <w:hideMark/>
          </w:tcPr>
          <w:p w14:paraId="61D84A9C" w14:textId="400CEA80"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35</w:t>
            </w:r>
          </w:p>
        </w:tc>
      </w:tr>
      <w:tr w:rsidR="00E15C1A" w:rsidRPr="00A33983" w14:paraId="27F566F2" w14:textId="77777777" w:rsidTr="00291EF8">
        <w:trPr>
          <w:trHeight w:val="288"/>
        </w:trPr>
        <w:tc>
          <w:tcPr>
            <w:tcW w:w="1559" w:type="dxa"/>
            <w:noWrap/>
            <w:hideMark/>
          </w:tcPr>
          <w:p w14:paraId="12255F10" w14:textId="72F9FCCB"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USA</w:t>
            </w:r>
            <w:r>
              <w:rPr>
                <w:rFonts w:ascii="Times New Roman" w:hAnsi="Times New Roman" w:cs="Times New Roman"/>
                <w:sz w:val="20"/>
                <w:szCs w:val="20"/>
              </w:rPr>
              <w:t xml:space="preserve"> (Anand)</w:t>
            </w:r>
          </w:p>
        </w:tc>
        <w:tc>
          <w:tcPr>
            <w:tcW w:w="1216" w:type="dxa"/>
            <w:noWrap/>
            <w:hideMark/>
          </w:tcPr>
          <w:p w14:paraId="662624A5"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IgG/IgM/IgA</w:t>
            </w:r>
          </w:p>
        </w:tc>
        <w:tc>
          <w:tcPr>
            <w:tcW w:w="875" w:type="dxa"/>
            <w:noWrap/>
            <w:hideMark/>
          </w:tcPr>
          <w:p w14:paraId="6058C58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July 14</w:t>
            </w:r>
          </w:p>
        </w:tc>
        <w:tc>
          <w:tcPr>
            <w:tcW w:w="1059" w:type="dxa"/>
            <w:noWrap/>
            <w:hideMark/>
          </w:tcPr>
          <w:p w14:paraId="489EA1FC"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2020-04-14</w:t>
            </w:r>
          </w:p>
        </w:tc>
        <w:tc>
          <w:tcPr>
            <w:tcW w:w="806" w:type="dxa"/>
            <w:noWrap/>
            <w:hideMark/>
          </w:tcPr>
          <w:p w14:paraId="08B92781" w14:textId="1D8DD76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99</w:t>
            </w:r>
          </w:p>
        </w:tc>
        <w:tc>
          <w:tcPr>
            <w:tcW w:w="1091" w:type="dxa"/>
            <w:noWrap/>
            <w:hideMark/>
          </w:tcPr>
          <w:p w14:paraId="422D2301" w14:textId="7A801E5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24</w:t>
            </w:r>
          </w:p>
        </w:tc>
        <w:tc>
          <w:tcPr>
            <w:tcW w:w="1008" w:type="dxa"/>
            <w:noWrap/>
            <w:hideMark/>
          </w:tcPr>
          <w:p w14:paraId="58A4BE78" w14:textId="72F7A08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24</w:t>
            </w:r>
          </w:p>
        </w:tc>
        <w:tc>
          <w:tcPr>
            <w:tcW w:w="1590" w:type="dxa"/>
            <w:noWrap/>
            <w:hideMark/>
          </w:tcPr>
          <w:p w14:paraId="432BEB05" w14:textId="4C1AD6F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21</w:t>
            </w:r>
          </w:p>
        </w:tc>
        <w:tc>
          <w:tcPr>
            <w:tcW w:w="1590" w:type="dxa"/>
            <w:noWrap/>
            <w:hideMark/>
          </w:tcPr>
          <w:p w14:paraId="06E3E81A" w14:textId="204E887F"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07</w:t>
            </w:r>
          </w:p>
        </w:tc>
        <w:tc>
          <w:tcPr>
            <w:tcW w:w="1590" w:type="dxa"/>
            <w:noWrap/>
            <w:hideMark/>
          </w:tcPr>
          <w:p w14:paraId="704BD348" w14:textId="7BBA6CFD"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0</w:t>
            </w:r>
            <w:r>
              <w:rPr>
                <w:rFonts w:ascii="Times New Roman" w:hAnsi="Times New Roman" w:cs="Times New Roman"/>
                <w:sz w:val="20"/>
                <w:szCs w:val="20"/>
              </w:rPr>
              <w:t>.</w:t>
            </w:r>
            <w:r w:rsidRPr="00A33983">
              <w:rPr>
                <w:rFonts w:ascii="Times New Roman" w:hAnsi="Times New Roman" w:cs="Times New Roman"/>
                <w:sz w:val="20"/>
                <w:szCs w:val="20"/>
              </w:rPr>
              <w:t>91</w:t>
            </w:r>
          </w:p>
        </w:tc>
      </w:tr>
      <w:tr w:rsidR="00E15C1A" w:rsidRPr="00A33983" w14:paraId="6301DC42" w14:textId="77777777" w:rsidTr="00291EF8">
        <w:trPr>
          <w:trHeight w:val="288"/>
        </w:trPr>
        <w:tc>
          <w:tcPr>
            <w:tcW w:w="1559" w:type="dxa"/>
            <w:noWrap/>
            <w:hideMark/>
          </w:tcPr>
          <w:p w14:paraId="0C7B1A13" w14:textId="7B63E19E" w:rsidR="00E15C1A" w:rsidRPr="00A33983"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USA</w:t>
            </w:r>
            <w:r>
              <w:rPr>
                <w:rFonts w:ascii="Times New Roman" w:hAnsi="Times New Roman" w:cs="Times New Roman"/>
                <w:sz w:val="20"/>
                <w:szCs w:val="20"/>
              </w:rPr>
              <w:t xml:space="preserve"> (Kalish)</w:t>
            </w:r>
          </w:p>
        </w:tc>
        <w:tc>
          <w:tcPr>
            <w:tcW w:w="1216" w:type="dxa"/>
            <w:noWrap/>
            <w:hideMark/>
          </w:tcPr>
          <w:p w14:paraId="52ECC636"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IgG/IgM/IgA</w:t>
            </w:r>
          </w:p>
        </w:tc>
        <w:tc>
          <w:tcPr>
            <w:tcW w:w="875" w:type="dxa"/>
            <w:noWrap/>
            <w:hideMark/>
          </w:tcPr>
          <w:p w14:paraId="607CEE84"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June 27</w:t>
            </w:r>
          </w:p>
        </w:tc>
        <w:tc>
          <w:tcPr>
            <w:tcW w:w="1059" w:type="dxa"/>
            <w:noWrap/>
            <w:hideMark/>
          </w:tcPr>
          <w:p w14:paraId="33D7232F" w14:textId="77777777"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2020-04-14</w:t>
            </w:r>
          </w:p>
        </w:tc>
        <w:tc>
          <w:tcPr>
            <w:tcW w:w="806" w:type="dxa"/>
            <w:noWrap/>
            <w:hideMark/>
          </w:tcPr>
          <w:p w14:paraId="5F6D84C2" w14:textId="64E009DE"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2</w:t>
            </w:r>
            <w:r>
              <w:rPr>
                <w:rFonts w:ascii="Times New Roman" w:hAnsi="Times New Roman" w:cs="Times New Roman"/>
                <w:sz w:val="20"/>
                <w:szCs w:val="20"/>
              </w:rPr>
              <w:t>.</w:t>
            </w:r>
            <w:r w:rsidRPr="00A33983">
              <w:rPr>
                <w:rFonts w:ascii="Times New Roman" w:hAnsi="Times New Roman" w:cs="Times New Roman"/>
                <w:sz w:val="20"/>
                <w:szCs w:val="20"/>
              </w:rPr>
              <w:t>43</w:t>
            </w:r>
          </w:p>
        </w:tc>
        <w:tc>
          <w:tcPr>
            <w:tcW w:w="1091" w:type="dxa"/>
            <w:noWrap/>
            <w:hideMark/>
          </w:tcPr>
          <w:p w14:paraId="078AF9A5" w14:textId="295B707C"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86</w:t>
            </w:r>
          </w:p>
        </w:tc>
        <w:tc>
          <w:tcPr>
            <w:tcW w:w="1008" w:type="dxa"/>
            <w:noWrap/>
            <w:hideMark/>
          </w:tcPr>
          <w:p w14:paraId="7997E962" w14:textId="2563ECF3"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86</w:t>
            </w:r>
          </w:p>
        </w:tc>
        <w:tc>
          <w:tcPr>
            <w:tcW w:w="1590" w:type="dxa"/>
            <w:noWrap/>
            <w:hideMark/>
          </w:tcPr>
          <w:p w14:paraId="53E14884" w14:textId="7F6C1FD4"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81</w:t>
            </w:r>
          </w:p>
        </w:tc>
        <w:tc>
          <w:tcPr>
            <w:tcW w:w="1590" w:type="dxa"/>
            <w:noWrap/>
            <w:hideMark/>
          </w:tcPr>
          <w:p w14:paraId="04A7C9CC" w14:textId="1D6FB456"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64</w:t>
            </w:r>
          </w:p>
        </w:tc>
        <w:tc>
          <w:tcPr>
            <w:tcW w:w="1590" w:type="dxa"/>
            <w:noWrap/>
            <w:hideMark/>
          </w:tcPr>
          <w:p w14:paraId="33F5426B" w14:textId="240A8B95" w:rsidR="00E15C1A" w:rsidRPr="00A33983" w:rsidRDefault="00E15C1A" w:rsidP="00E15C1A">
            <w:pPr>
              <w:rPr>
                <w:rFonts w:ascii="Times New Roman" w:hAnsi="Times New Roman" w:cs="Times New Roman"/>
                <w:sz w:val="20"/>
                <w:szCs w:val="20"/>
              </w:rPr>
            </w:pPr>
            <w:r w:rsidRPr="00A33983">
              <w:rPr>
                <w:rFonts w:ascii="Times New Roman" w:hAnsi="Times New Roman" w:cs="Times New Roman"/>
                <w:sz w:val="20"/>
                <w:szCs w:val="20"/>
              </w:rPr>
              <w:t>1</w:t>
            </w:r>
            <w:r>
              <w:rPr>
                <w:rFonts w:ascii="Times New Roman" w:hAnsi="Times New Roman" w:cs="Times New Roman"/>
                <w:sz w:val="20"/>
                <w:szCs w:val="20"/>
              </w:rPr>
              <w:t>.</w:t>
            </w:r>
            <w:r w:rsidRPr="00A33983">
              <w:rPr>
                <w:rFonts w:ascii="Times New Roman" w:hAnsi="Times New Roman" w:cs="Times New Roman"/>
                <w:sz w:val="20"/>
                <w:szCs w:val="20"/>
              </w:rPr>
              <w:t>44</w:t>
            </w:r>
          </w:p>
        </w:tc>
      </w:tr>
    </w:tbl>
    <w:p w14:paraId="7CCCF8C7" w14:textId="73E665A8" w:rsidR="00D41A71" w:rsidRPr="00920579" w:rsidRDefault="00D41A71" w:rsidP="00EB1D90">
      <w:pPr>
        <w:rPr>
          <w:rFonts w:ascii="Times New Roman" w:hAnsi="Times New Roman" w:cs="Times New Roman"/>
        </w:rPr>
      </w:pPr>
    </w:p>
    <w:p w14:paraId="4DF11444" w14:textId="32807459" w:rsidR="00D41A71" w:rsidRPr="0046260F" w:rsidRDefault="0046260F" w:rsidP="00D41A71">
      <w:pPr>
        <w:rPr>
          <w:rFonts w:ascii="Times New Roman" w:hAnsi="Times New Roman" w:cs="Times New Roman"/>
          <w:sz w:val="20"/>
          <w:szCs w:val="20"/>
        </w:rPr>
        <w:sectPr w:rsidR="00D41A71" w:rsidRPr="0046260F" w:rsidSect="00F52264">
          <w:pgSz w:w="15840" w:h="12240" w:orient="landscape"/>
          <w:pgMar w:top="1440" w:right="1440" w:bottom="1043" w:left="1440" w:header="720" w:footer="720" w:gutter="0"/>
          <w:cols w:space="720"/>
          <w:docGrid w:linePitch="360"/>
        </w:sectPr>
      </w:pPr>
      <w:r>
        <w:rPr>
          <w:rFonts w:ascii="Times New Roman" w:hAnsi="Times New Roman" w:cs="Times New Roman"/>
          <w:sz w:val="20"/>
          <w:szCs w:val="20"/>
        </w:rPr>
        <w:t>*</w:t>
      </w:r>
      <w:r w:rsidR="009C7F7B">
        <w:rPr>
          <w:rFonts w:ascii="Times New Roman" w:hAnsi="Times New Roman" w:cs="Times New Roman"/>
          <w:sz w:val="20"/>
          <w:szCs w:val="20"/>
        </w:rPr>
        <w:t xml:space="preserve"> Midpoint of the seroprevalence sampling period. </w:t>
      </w:r>
      <w:r>
        <w:rPr>
          <w:rFonts w:ascii="Times New Roman" w:hAnsi="Times New Roman" w:cs="Times New Roman"/>
          <w:sz w:val="20"/>
          <w:szCs w:val="20"/>
        </w:rPr>
        <w:t xml:space="preserve">† </w:t>
      </w:r>
      <w:r w:rsidR="000418BB" w:rsidRPr="000418BB">
        <w:rPr>
          <w:rFonts w:ascii="Times New Roman" w:hAnsi="Times New Roman" w:cs="Times New Roman"/>
          <w:sz w:val="20"/>
          <w:szCs w:val="20"/>
        </w:rPr>
        <w:t>The peak</w:t>
      </w:r>
      <w:r w:rsidR="003870B3">
        <w:rPr>
          <w:rFonts w:ascii="Times New Roman" w:hAnsi="Times New Roman" w:cs="Times New Roman"/>
          <w:sz w:val="20"/>
          <w:szCs w:val="20"/>
        </w:rPr>
        <w:t xml:space="preserve"> of the first epidemic wave</w:t>
      </w:r>
      <w:r w:rsidR="000418BB" w:rsidRPr="000418BB">
        <w:rPr>
          <w:rFonts w:ascii="Times New Roman" w:hAnsi="Times New Roman" w:cs="Times New Roman"/>
          <w:sz w:val="20"/>
          <w:szCs w:val="20"/>
        </w:rPr>
        <w:t xml:space="preserve"> was defined as one week before the date with the highest rolling average 7-day mortality (according to Worldometer, situational reports, or Wikipedia). The first epidemic wave was defined to end by the date with the lowest 7-day average of daily deaths since the beginning of the epidemic. If two or more dates were tied for peak values, we chose the date corresponding to the midpoint</w:t>
      </w:r>
      <w:r w:rsidR="000418BB">
        <w:rPr>
          <w:rFonts w:ascii="Times New Roman" w:hAnsi="Times New Roman" w:cs="Times New Roman"/>
          <w:sz w:val="20"/>
          <w:szCs w:val="20"/>
        </w:rPr>
        <w:t xml:space="preserve"> between the first and last one</w:t>
      </w:r>
      <w:r>
        <w:rPr>
          <w:rFonts w:ascii="Times New Roman" w:hAnsi="Times New Roman" w:cs="Times New Roman"/>
          <w:sz w:val="20"/>
          <w:szCs w:val="20"/>
        </w:rPr>
        <w:t xml:space="preserve">. </w:t>
      </w:r>
      <w:r w:rsidRPr="0046260F">
        <w:rPr>
          <w:rFonts w:ascii="Times New Roman" w:hAnsi="Times New Roman" w:cs="Times New Roman"/>
          <w:sz w:val="20"/>
          <w:szCs w:val="20"/>
        </w:rPr>
        <w:t>‡</w:t>
      </w:r>
      <w:r>
        <w:rPr>
          <w:rFonts w:ascii="Times New Roman" w:hAnsi="Times New Roman" w:cs="Times New Roman"/>
          <w:sz w:val="20"/>
          <w:szCs w:val="20"/>
        </w:rPr>
        <w:t xml:space="preserve"> </w:t>
      </w:r>
      <w:r w:rsidR="005E4341">
        <w:rPr>
          <w:rFonts w:ascii="Times New Roman" w:hAnsi="Times New Roman" w:cs="Times New Roman"/>
          <w:sz w:val="20"/>
          <w:szCs w:val="20"/>
        </w:rPr>
        <w:t>S</w:t>
      </w:r>
      <w:r w:rsidR="005E4341" w:rsidRPr="005E4341">
        <w:rPr>
          <w:rFonts w:ascii="Times New Roman" w:hAnsi="Times New Roman" w:cs="Times New Roman"/>
          <w:sz w:val="20"/>
          <w:szCs w:val="20"/>
        </w:rPr>
        <w:t>erorever</w:t>
      </w:r>
      <w:r w:rsidR="005E4341">
        <w:rPr>
          <w:rFonts w:ascii="Times New Roman" w:hAnsi="Times New Roman" w:cs="Times New Roman"/>
          <w:sz w:val="20"/>
          <w:szCs w:val="20"/>
        </w:rPr>
        <w:t>sion correction of the IFR by X</w:t>
      </w:r>
      <w:r w:rsidR="005E4341">
        <w:rPr>
          <w:rFonts w:ascii="Times New Roman" w:hAnsi="Times New Roman" w:cs="Times New Roman"/>
          <w:sz w:val="20"/>
          <w:szCs w:val="20"/>
          <w:vertAlign w:val="superscript"/>
        </w:rPr>
        <w:t>m</w:t>
      </w:r>
      <w:r w:rsidR="005E4341" w:rsidRPr="005E4341">
        <w:rPr>
          <w:rFonts w:ascii="Times New Roman" w:hAnsi="Times New Roman" w:cs="Times New Roman"/>
          <w:sz w:val="20"/>
          <w:szCs w:val="20"/>
        </w:rPr>
        <w:t xml:space="preserve">-fold, where m is the number of months from the peak of the first epidemic wave in the specific location and X is given values of 0.99, 0.95, and 0.90 corresponding to 1%, 5%, and 10% relative rate of seroreversion </w:t>
      </w:r>
      <w:r w:rsidR="005E4341">
        <w:rPr>
          <w:rFonts w:ascii="Times New Roman" w:hAnsi="Times New Roman" w:cs="Times New Roman"/>
          <w:sz w:val="20"/>
          <w:szCs w:val="20"/>
        </w:rPr>
        <w:t>every month, respectively.</w:t>
      </w:r>
    </w:p>
    <w:p w14:paraId="01ADBA6B" w14:textId="52734E37" w:rsidR="0019369A" w:rsidRDefault="0019369A">
      <w:pPr>
        <w:rPr>
          <w:rFonts w:ascii="Times New Roman" w:hAnsi="Times New Roman" w:cs="Times New Roman"/>
        </w:rPr>
      </w:pPr>
      <w:r w:rsidRPr="00D859C0">
        <w:rPr>
          <w:rFonts w:ascii="Times New Roman" w:hAnsi="Times New Roman" w:cs="Times New Roman"/>
          <w:b/>
        </w:rPr>
        <w:lastRenderedPageBreak/>
        <w:t>Appendix Table 5</w:t>
      </w:r>
      <w:r>
        <w:rPr>
          <w:rFonts w:ascii="Times New Roman" w:hAnsi="Times New Roman" w:cs="Times New Roman"/>
        </w:rPr>
        <w:t xml:space="preserve">. Sensitivity analysis with </w:t>
      </w:r>
      <w:r w:rsidR="00DD73C4">
        <w:rPr>
          <w:rFonts w:ascii="Times New Roman" w:hAnsi="Times New Roman" w:cs="Times New Roman"/>
        </w:rPr>
        <w:t>a later</w:t>
      </w:r>
      <w:r>
        <w:rPr>
          <w:rFonts w:ascii="Times New Roman" w:hAnsi="Times New Roman" w:cs="Times New Roman"/>
        </w:rPr>
        <w:t xml:space="preserve"> cutoff for cumulative COVID-19 mortality (study midpoint plus two weeks instead of plus one week).</w:t>
      </w:r>
    </w:p>
    <w:p w14:paraId="2C8C77B6" w14:textId="04B49160" w:rsidR="00C52804" w:rsidRDefault="00C52804">
      <w:pPr>
        <w:rPr>
          <w:rFonts w:ascii="Times New Roman" w:hAnsi="Times New Roman" w:cs="Times New Roman"/>
        </w:rPr>
      </w:pPr>
    </w:p>
    <w:tbl>
      <w:tblPr>
        <w:tblStyle w:val="Tabellrutnt"/>
        <w:tblW w:w="0" w:type="auto"/>
        <w:tblLook w:val="04A0" w:firstRow="1" w:lastRow="0" w:firstColumn="1" w:lastColumn="0" w:noHBand="0" w:noVBand="1"/>
      </w:tblPr>
      <w:tblGrid>
        <w:gridCol w:w="2271"/>
        <w:gridCol w:w="1535"/>
        <w:gridCol w:w="995"/>
        <w:gridCol w:w="1677"/>
        <w:gridCol w:w="1337"/>
        <w:gridCol w:w="1250"/>
      </w:tblGrid>
      <w:tr w:rsidR="00E15C1A" w:rsidRPr="00A20CDC" w14:paraId="39A23479" w14:textId="77777777" w:rsidTr="00E65009">
        <w:trPr>
          <w:trHeight w:val="288"/>
        </w:trPr>
        <w:tc>
          <w:tcPr>
            <w:tcW w:w="2271" w:type="dxa"/>
            <w:noWrap/>
            <w:hideMark/>
          </w:tcPr>
          <w:p w14:paraId="103EB2D8" w14:textId="350B461D" w:rsidR="00E15C1A" w:rsidRPr="00A20CDC" w:rsidRDefault="00E15C1A" w:rsidP="00C52804">
            <w:pPr>
              <w:rPr>
                <w:rFonts w:ascii="Times New Roman" w:hAnsi="Times New Roman" w:cs="Times New Roman"/>
                <w:b/>
                <w:bCs/>
                <w:sz w:val="20"/>
                <w:szCs w:val="20"/>
              </w:rPr>
            </w:pPr>
            <w:r>
              <w:rPr>
                <w:rFonts w:ascii="Times New Roman" w:hAnsi="Times New Roman" w:cs="Times New Roman"/>
                <w:b/>
                <w:bCs/>
                <w:sz w:val="20"/>
                <w:szCs w:val="20"/>
              </w:rPr>
              <w:t>L</w:t>
            </w:r>
            <w:r w:rsidRPr="00A20CDC">
              <w:rPr>
                <w:rFonts w:ascii="Times New Roman" w:hAnsi="Times New Roman" w:cs="Times New Roman"/>
                <w:b/>
                <w:bCs/>
                <w:sz w:val="20"/>
                <w:szCs w:val="20"/>
              </w:rPr>
              <w:t>ocation</w:t>
            </w:r>
            <w:r>
              <w:rPr>
                <w:rFonts w:ascii="Times New Roman" w:hAnsi="Times New Roman" w:cs="Times New Roman"/>
                <w:b/>
                <w:bCs/>
                <w:sz w:val="20"/>
                <w:szCs w:val="20"/>
              </w:rPr>
              <w:t xml:space="preserve"> (First author)</w:t>
            </w:r>
          </w:p>
        </w:tc>
        <w:tc>
          <w:tcPr>
            <w:tcW w:w="1535" w:type="dxa"/>
            <w:noWrap/>
            <w:hideMark/>
          </w:tcPr>
          <w:p w14:paraId="505FC469" w14:textId="2B148196" w:rsidR="00E15C1A" w:rsidRPr="00A20CDC" w:rsidRDefault="00E15C1A" w:rsidP="00C52804">
            <w:pPr>
              <w:rPr>
                <w:rFonts w:ascii="Times New Roman" w:hAnsi="Times New Roman" w:cs="Times New Roman"/>
                <w:b/>
                <w:bCs/>
                <w:sz w:val="20"/>
                <w:szCs w:val="20"/>
              </w:rPr>
            </w:pPr>
            <w:r>
              <w:rPr>
                <w:rFonts w:ascii="Times New Roman" w:hAnsi="Times New Roman" w:cs="Times New Roman"/>
                <w:b/>
                <w:bCs/>
                <w:sz w:val="20"/>
                <w:szCs w:val="20"/>
              </w:rPr>
              <w:t>Closest date to study midpoint + 1 week, with total deaths available</w:t>
            </w:r>
          </w:p>
        </w:tc>
        <w:tc>
          <w:tcPr>
            <w:tcW w:w="995" w:type="dxa"/>
            <w:noWrap/>
            <w:hideMark/>
          </w:tcPr>
          <w:p w14:paraId="04FED5FA" w14:textId="4C79BC43" w:rsidR="00E15C1A" w:rsidRPr="00A20CDC" w:rsidRDefault="00E15C1A" w:rsidP="00C52804">
            <w:pPr>
              <w:rPr>
                <w:rFonts w:ascii="Times New Roman" w:hAnsi="Times New Roman" w:cs="Times New Roman"/>
                <w:b/>
                <w:bCs/>
                <w:sz w:val="20"/>
                <w:szCs w:val="20"/>
              </w:rPr>
            </w:pPr>
            <w:r>
              <w:rPr>
                <w:rFonts w:ascii="Times New Roman" w:hAnsi="Times New Roman" w:cs="Times New Roman"/>
                <w:b/>
                <w:bCs/>
                <w:sz w:val="20"/>
                <w:szCs w:val="20"/>
              </w:rPr>
              <w:t>Closest date to study midpoint + 2 weeks, with total deaths available</w:t>
            </w:r>
          </w:p>
        </w:tc>
        <w:tc>
          <w:tcPr>
            <w:tcW w:w="1677" w:type="dxa"/>
            <w:noWrap/>
            <w:hideMark/>
          </w:tcPr>
          <w:p w14:paraId="3F638587" w14:textId="3AE0496F" w:rsidR="00E15C1A" w:rsidRPr="00A20CDC" w:rsidRDefault="00E15C1A" w:rsidP="00C52804">
            <w:pPr>
              <w:rPr>
                <w:rFonts w:ascii="Times New Roman" w:hAnsi="Times New Roman" w:cs="Times New Roman"/>
                <w:b/>
                <w:bCs/>
                <w:sz w:val="20"/>
                <w:szCs w:val="20"/>
              </w:rPr>
            </w:pPr>
            <w:r w:rsidRPr="00CC1AF6">
              <w:rPr>
                <w:rFonts w:ascii="Times New Roman" w:hAnsi="Times New Roman" w:cs="Times New Roman"/>
                <w:b/>
                <w:bCs/>
                <w:i/>
                <w:sz w:val="20"/>
                <w:szCs w:val="20"/>
              </w:rPr>
              <w:t>Relative</w:t>
            </w:r>
            <w:r w:rsidRPr="00CC1AF6">
              <w:rPr>
                <w:rFonts w:ascii="Times New Roman" w:hAnsi="Times New Roman" w:cs="Times New Roman"/>
                <w:b/>
                <w:bCs/>
                <w:sz w:val="20"/>
                <w:szCs w:val="20"/>
              </w:rPr>
              <w:t xml:space="preserve"> increase </w:t>
            </w:r>
            <w:r>
              <w:rPr>
                <w:rFonts w:ascii="Times New Roman" w:hAnsi="Times New Roman" w:cs="Times New Roman"/>
                <w:b/>
                <w:bCs/>
                <w:sz w:val="20"/>
                <w:szCs w:val="20"/>
              </w:rPr>
              <w:t xml:space="preserve">in IFR </w:t>
            </w:r>
            <w:r w:rsidRPr="00CC1AF6">
              <w:rPr>
                <w:rFonts w:ascii="Times New Roman" w:hAnsi="Times New Roman" w:cs="Times New Roman"/>
                <w:b/>
                <w:bCs/>
                <w:sz w:val="20"/>
                <w:szCs w:val="20"/>
              </w:rPr>
              <w:t xml:space="preserve">from </w:t>
            </w:r>
            <w:r>
              <w:rPr>
                <w:rFonts w:ascii="Times New Roman" w:hAnsi="Times New Roman" w:cs="Times New Roman"/>
                <w:b/>
                <w:bCs/>
                <w:sz w:val="20"/>
                <w:szCs w:val="20"/>
              </w:rPr>
              <w:t xml:space="preserve">cutoff </w:t>
            </w:r>
            <w:r w:rsidRPr="00CC1AF6">
              <w:rPr>
                <w:rFonts w:ascii="Times New Roman" w:hAnsi="Times New Roman" w:cs="Times New Roman"/>
                <w:b/>
                <w:bCs/>
                <w:sz w:val="20"/>
                <w:szCs w:val="20"/>
              </w:rPr>
              <w:t xml:space="preserve">+1 week to </w:t>
            </w:r>
            <w:r>
              <w:rPr>
                <w:rFonts w:ascii="Times New Roman" w:hAnsi="Times New Roman" w:cs="Times New Roman"/>
                <w:b/>
                <w:bCs/>
                <w:sz w:val="20"/>
                <w:szCs w:val="20"/>
              </w:rPr>
              <w:t xml:space="preserve">cutoff </w:t>
            </w:r>
            <w:r w:rsidRPr="00CC1AF6">
              <w:rPr>
                <w:rFonts w:ascii="Times New Roman" w:hAnsi="Times New Roman" w:cs="Times New Roman"/>
                <w:b/>
                <w:bCs/>
                <w:sz w:val="20"/>
                <w:szCs w:val="20"/>
              </w:rPr>
              <w:t>+2 weeks after study midpoint</w:t>
            </w:r>
            <w:r>
              <w:rPr>
                <w:rFonts w:ascii="Times New Roman" w:hAnsi="Times New Roman" w:cs="Times New Roman"/>
                <w:b/>
                <w:bCs/>
                <w:sz w:val="20"/>
                <w:szCs w:val="20"/>
              </w:rPr>
              <w:t xml:space="preserve"> (%)</w:t>
            </w:r>
          </w:p>
        </w:tc>
        <w:tc>
          <w:tcPr>
            <w:tcW w:w="1337" w:type="dxa"/>
            <w:noWrap/>
            <w:hideMark/>
          </w:tcPr>
          <w:p w14:paraId="68065E3D" w14:textId="49FCE2E8" w:rsidR="00E15C1A" w:rsidRPr="00A20CDC" w:rsidRDefault="00E15C1A" w:rsidP="00C52804">
            <w:pPr>
              <w:rPr>
                <w:rFonts w:ascii="Times New Roman" w:hAnsi="Times New Roman" w:cs="Times New Roman"/>
                <w:b/>
                <w:bCs/>
                <w:sz w:val="20"/>
                <w:szCs w:val="20"/>
              </w:rPr>
            </w:pPr>
            <w:r>
              <w:rPr>
                <w:rFonts w:ascii="Times New Roman" w:hAnsi="Times New Roman" w:cs="Times New Roman"/>
                <w:b/>
                <w:bCs/>
                <w:sz w:val="20"/>
                <w:szCs w:val="20"/>
              </w:rPr>
              <w:t>Corrected IFR in community-dwelling elderly, using study midpoint + 1 week (%)</w:t>
            </w:r>
          </w:p>
        </w:tc>
        <w:tc>
          <w:tcPr>
            <w:tcW w:w="1250" w:type="dxa"/>
            <w:noWrap/>
            <w:hideMark/>
          </w:tcPr>
          <w:p w14:paraId="575A2DF7" w14:textId="13F17CE3" w:rsidR="00E15C1A" w:rsidRPr="00A20CDC" w:rsidRDefault="00E15C1A" w:rsidP="00C52804">
            <w:pPr>
              <w:rPr>
                <w:rFonts w:ascii="Times New Roman" w:hAnsi="Times New Roman" w:cs="Times New Roman"/>
                <w:b/>
                <w:bCs/>
                <w:sz w:val="20"/>
                <w:szCs w:val="20"/>
              </w:rPr>
            </w:pPr>
            <w:r>
              <w:rPr>
                <w:rFonts w:ascii="Times New Roman" w:hAnsi="Times New Roman" w:cs="Times New Roman"/>
                <w:b/>
                <w:bCs/>
                <w:sz w:val="20"/>
                <w:szCs w:val="20"/>
              </w:rPr>
              <w:t>Corrected IFR in community-dwelling elderly, using study midpoint + 2 weeks (%)</w:t>
            </w:r>
          </w:p>
        </w:tc>
      </w:tr>
      <w:tr w:rsidR="00E15C1A" w:rsidRPr="00A20CDC" w14:paraId="07B323E9" w14:textId="77777777" w:rsidTr="00E65009">
        <w:trPr>
          <w:trHeight w:val="288"/>
        </w:trPr>
        <w:tc>
          <w:tcPr>
            <w:tcW w:w="2271" w:type="dxa"/>
            <w:noWrap/>
            <w:hideMark/>
          </w:tcPr>
          <w:p w14:paraId="59B59A91" w14:textId="0AE664DF" w:rsidR="00E15C1A" w:rsidRPr="00A20CDC" w:rsidRDefault="00E15C1A">
            <w:pPr>
              <w:rPr>
                <w:rFonts w:ascii="Times New Roman" w:hAnsi="Times New Roman" w:cs="Times New Roman"/>
                <w:sz w:val="20"/>
                <w:szCs w:val="20"/>
              </w:rPr>
            </w:pPr>
            <w:r w:rsidRPr="00A20CDC">
              <w:rPr>
                <w:rFonts w:ascii="Times New Roman" w:hAnsi="Times New Roman" w:cs="Times New Roman"/>
                <w:sz w:val="20"/>
                <w:szCs w:val="20"/>
              </w:rPr>
              <w:t>Andorra</w:t>
            </w:r>
            <w:r>
              <w:rPr>
                <w:rFonts w:ascii="Times New Roman" w:hAnsi="Times New Roman" w:cs="Times New Roman"/>
                <w:sz w:val="20"/>
                <w:szCs w:val="20"/>
              </w:rPr>
              <w:t xml:space="preserve"> (Royo-Cebrecos)</w:t>
            </w:r>
          </w:p>
        </w:tc>
        <w:tc>
          <w:tcPr>
            <w:tcW w:w="1535" w:type="dxa"/>
            <w:noWrap/>
            <w:hideMark/>
          </w:tcPr>
          <w:p w14:paraId="26F796C7" w14:textId="77777777"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2020-05-23</w:t>
            </w:r>
          </w:p>
        </w:tc>
        <w:tc>
          <w:tcPr>
            <w:tcW w:w="995" w:type="dxa"/>
            <w:noWrap/>
            <w:hideMark/>
          </w:tcPr>
          <w:p w14:paraId="03600B91" w14:textId="77777777" w:rsidR="00E15C1A" w:rsidRPr="00A20CDC" w:rsidRDefault="00E15C1A">
            <w:pPr>
              <w:rPr>
                <w:rFonts w:ascii="Times New Roman" w:hAnsi="Times New Roman" w:cs="Times New Roman"/>
                <w:sz w:val="20"/>
                <w:szCs w:val="20"/>
              </w:rPr>
            </w:pPr>
            <w:r w:rsidRPr="00A20CDC">
              <w:rPr>
                <w:rFonts w:ascii="Times New Roman" w:hAnsi="Times New Roman" w:cs="Times New Roman"/>
                <w:sz w:val="20"/>
                <w:szCs w:val="20"/>
              </w:rPr>
              <w:t>2020-05-30</w:t>
            </w:r>
          </w:p>
        </w:tc>
        <w:tc>
          <w:tcPr>
            <w:tcW w:w="1677" w:type="dxa"/>
            <w:noWrap/>
            <w:hideMark/>
          </w:tcPr>
          <w:p w14:paraId="16A860CB" w14:textId="77777777"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0</w:t>
            </w:r>
          </w:p>
        </w:tc>
        <w:tc>
          <w:tcPr>
            <w:tcW w:w="1337" w:type="dxa"/>
            <w:noWrap/>
            <w:hideMark/>
          </w:tcPr>
          <w:p w14:paraId="5495F82D" w14:textId="5225D6C7"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04</w:t>
            </w:r>
          </w:p>
        </w:tc>
        <w:tc>
          <w:tcPr>
            <w:tcW w:w="1250" w:type="dxa"/>
            <w:noWrap/>
            <w:hideMark/>
          </w:tcPr>
          <w:p w14:paraId="185ECB8A" w14:textId="699C4E34"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04</w:t>
            </w:r>
          </w:p>
        </w:tc>
      </w:tr>
      <w:tr w:rsidR="00E15C1A" w:rsidRPr="00A20CDC" w14:paraId="22707FEA" w14:textId="77777777" w:rsidTr="00E65009">
        <w:trPr>
          <w:trHeight w:val="288"/>
        </w:trPr>
        <w:tc>
          <w:tcPr>
            <w:tcW w:w="2271" w:type="dxa"/>
            <w:noWrap/>
            <w:hideMark/>
          </w:tcPr>
          <w:p w14:paraId="750A868B" w14:textId="2074CB9F" w:rsidR="00E15C1A" w:rsidRPr="00A20CDC" w:rsidRDefault="00E15C1A">
            <w:pPr>
              <w:rPr>
                <w:rFonts w:ascii="Times New Roman" w:hAnsi="Times New Roman" w:cs="Times New Roman"/>
                <w:sz w:val="20"/>
                <w:szCs w:val="20"/>
              </w:rPr>
            </w:pPr>
            <w:r w:rsidRPr="00A20CDC">
              <w:rPr>
                <w:rFonts w:ascii="Times New Roman" w:hAnsi="Times New Roman" w:cs="Times New Roman"/>
                <w:sz w:val="20"/>
                <w:szCs w:val="20"/>
              </w:rPr>
              <w:t>Belgium</w:t>
            </w:r>
            <w:r>
              <w:rPr>
                <w:rFonts w:ascii="Times New Roman" w:hAnsi="Times New Roman" w:cs="Times New Roman"/>
                <w:sz w:val="20"/>
                <w:szCs w:val="20"/>
              </w:rPr>
              <w:t xml:space="preserve"> (Herzog)</w:t>
            </w:r>
          </w:p>
        </w:tc>
        <w:tc>
          <w:tcPr>
            <w:tcW w:w="1535" w:type="dxa"/>
            <w:noWrap/>
            <w:hideMark/>
          </w:tcPr>
          <w:p w14:paraId="2FD887A5" w14:textId="77777777"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2020-04-09</w:t>
            </w:r>
          </w:p>
        </w:tc>
        <w:tc>
          <w:tcPr>
            <w:tcW w:w="995" w:type="dxa"/>
            <w:noWrap/>
            <w:hideMark/>
          </w:tcPr>
          <w:p w14:paraId="20D8963E" w14:textId="77777777" w:rsidR="00E15C1A" w:rsidRPr="00A20CDC" w:rsidRDefault="00E15C1A">
            <w:pPr>
              <w:rPr>
                <w:rFonts w:ascii="Times New Roman" w:hAnsi="Times New Roman" w:cs="Times New Roman"/>
                <w:sz w:val="20"/>
                <w:szCs w:val="20"/>
              </w:rPr>
            </w:pPr>
            <w:r w:rsidRPr="00A20CDC">
              <w:rPr>
                <w:rFonts w:ascii="Times New Roman" w:hAnsi="Times New Roman" w:cs="Times New Roman"/>
                <w:sz w:val="20"/>
                <w:szCs w:val="20"/>
              </w:rPr>
              <w:t>2020-04-16</w:t>
            </w:r>
          </w:p>
        </w:tc>
        <w:tc>
          <w:tcPr>
            <w:tcW w:w="1677" w:type="dxa"/>
            <w:noWrap/>
            <w:hideMark/>
          </w:tcPr>
          <w:p w14:paraId="30087F13" w14:textId="07F04B59"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56</w:t>
            </w:r>
            <w:r>
              <w:rPr>
                <w:rFonts w:ascii="Times New Roman" w:hAnsi="Times New Roman" w:cs="Times New Roman"/>
                <w:sz w:val="20"/>
                <w:szCs w:val="20"/>
              </w:rPr>
              <w:t>.</w:t>
            </w:r>
            <w:r w:rsidRPr="00A20CDC">
              <w:rPr>
                <w:rFonts w:ascii="Times New Roman" w:hAnsi="Times New Roman" w:cs="Times New Roman"/>
                <w:sz w:val="20"/>
                <w:szCs w:val="20"/>
              </w:rPr>
              <w:t>51</w:t>
            </w:r>
          </w:p>
        </w:tc>
        <w:tc>
          <w:tcPr>
            <w:tcW w:w="1337" w:type="dxa"/>
            <w:noWrap/>
            <w:hideMark/>
          </w:tcPr>
          <w:p w14:paraId="50FFB85E" w14:textId="682688B3"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56</w:t>
            </w:r>
          </w:p>
        </w:tc>
        <w:tc>
          <w:tcPr>
            <w:tcW w:w="1250" w:type="dxa"/>
            <w:noWrap/>
            <w:hideMark/>
          </w:tcPr>
          <w:p w14:paraId="7D50DE63" w14:textId="0DA8903C" w:rsidR="00E15C1A" w:rsidRPr="00A20CDC" w:rsidRDefault="00E15C1A" w:rsidP="00C52804">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01</w:t>
            </w:r>
          </w:p>
        </w:tc>
      </w:tr>
      <w:tr w:rsidR="00E15C1A" w:rsidRPr="00A20CDC" w14:paraId="4FE25D95" w14:textId="77777777" w:rsidTr="00E65009">
        <w:trPr>
          <w:trHeight w:val="288"/>
        </w:trPr>
        <w:tc>
          <w:tcPr>
            <w:tcW w:w="2271" w:type="dxa"/>
            <w:noWrap/>
            <w:hideMark/>
          </w:tcPr>
          <w:p w14:paraId="70AA5809" w14:textId="41D35D90" w:rsidR="00E15C1A" w:rsidRPr="00A20CDC"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Canada</w:t>
            </w:r>
            <w:r>
              <w:rPr>
                <w:rFonts w:ascii="Times New Roman" w:hAnsi="Times New Roman" w:cs="Times New Roman"/>
                <w:sz w:val="20"/>
                <w:szCs w:val="20"/>
              </w:rPr>
              <w:t xml:space="preserve"> </w:t>
            </w:r>
            <w:r w:rsidRPr="000021BC">
              <w:rPr>
                <w:rFonts w:ascii="Times New Roman" w:hAnsi="Times New Roman" w:cs="Times New Roman"/>
                <w:sz w:val="20"/>
                <w:szCs w:val="20"/>
              </w:rPr>
              <w:t>(Canadian Blood Services)</w:t>
            </w:r>
          </w:p>
        </w:tc>
        <w:tc>
          <w:tcPr>
            <w:tcW w:w="1535" w:type="dxa"/>
            <w:noWrap/>
            <w:hideMark/>
          </w:tcPr>
          <w:p w14:paraId="52005478"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2020-06-05</w:t>
            </w:r>
          </w:p>
        </w:tc>
        <w:tc>
          <w:tcPr>
            <w:tcW w:w="995" w:type="dxa"/>
            <w:noWrap/>
            <w:hideMark/>
          </w:tcPr>
          <w:p w14:paraId="71B55B87"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2020-06-12</w:t>
            </w:r>
          </w:p>
        </w:tc>
        <w:tc>
          <w:tcPr>
            <w:tcW w:w="1677" w:type="dxa"/>
            <w:noWrap/>
            <w:hideMark/>
          </w:tcPr>
          <w:p w14:paraId="55854560" w14:textId="496883C0"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49</w:t>
            </w:r>
          </w:p>
        </w:tc>
        <w:tc>
          <w:tcPr>
            <w:tcW w:w="1337" w:type="dxa"/>
            <w:noWrap/>
            <w:hideMark/>
          </w:tcPr>
          <w:p w14:paraId="74C34D1D" w14:textId="3259B13B"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31</w:t>
            </w:r>
          </w:p>
        </w:tc>
        <w:tc>
          <w:tcPr>
            <w:tcW w:w="1250" w:type="dxa"/>
            <w:noWrap/>
            <w:hideMark/>
          </w:tcPr>
          <w:p w14:paraId="03723831" w14:textId="794C159E"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37</w:t>
            </w:r>
          </w:p>
        </w:tc>
      </w:tr>
      <w:tr w:rsidR="00E15C1A" w:rsidRPr="00A20CDC" w14:paraId="139633A6" w14:textId="77777777" w:rsidTr="00E65009">
        <w:trPr>
          <w:trHeight w:val="288"/>
        </w:trPr>
        <w:tc>
          <w:tcPr>
            <w:tcW w:w="2271" w:type="dxa"/>
            <w:noWrap/>
            <w:hideMark/>
          </w:tcPr>
          <w:p w14:paraId="69F17AED" w14:textId="64B93E31" w:rsidR="00E15C1A" w:rsidRPr="00A20CDC"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Canada</w:t>
            </w:r>
            <w:r>
              <w:rPr>
                <w:rFonts w:ascii="Times New Roman" w:hAnsi="Times New Roman" w:cs="Times New Roman"/>
                <w:sz w:val="20"/>
                <w:szCs w:val="20"/>
              </w:rPr>
              <w:t xml:space="preserve"> </w:t>
            </w:r>
            <w:r w:rsidRPr="000021BC">
              <w:rPr>
                <w:rFonts w:ascii="Times New Roman" w:hAnsi="Times New Roman" w:cs="Times New Roman"/>
                <w:sz w:val="20"/>
                <w:szCs w:val="20"/>
              </w:rPr>
              <w:t>(Tang / Ab-C Study)</w:t>
            </w:r>
          </w:p>
        </w:tc>
        <w:tc>
          <w:tcPr>
            <w:tcW w:w="1535" w:type="dxa"/>
            <w:noWrap/>
            <w:hideMark/>
          </w:tcPr>
          <w:p w14:paraId="7005D493"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2020-08-31</w:t>
            </w:r>
          </w:p>
        </w:tc>
        <w:tc>
          <w:tcPr>
            <w:tcW w:w="995" w:type="dxa"/>
            <w:noWrap/>
            <w:hideMark/>
          </w:tcPr>
          <w:p w14:paraId="2AB8FC9F"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2020-08-29</w:t>
            </w:r>
          </w:p>
        </w:tc>
        <w:tc>
          <w:tcPr>
            <w:tcW w:w="1677" w:type="dxa"/>
            <w:noWrap/>
            <w:hideMark/>
          </w:tcPr>
          <w:p w14:paraId="15C024EC" w14:textId="7909A23A"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46</w:t>
            </w:r>
          </w:p>
        </w:tc>
        <w:tc>
          <w:tcPr>
            <w:tcW w:w="1337" w:type="dxa"/>
            <w:noWrap/>
            <w:hideMark/>
          </w:tcPr>
          <w:p w14:paraId="07553E51" w14:textId="2E770205"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94</w:t>
            </w:r>
          </w:p>
        </w:tc>
        <w:tc>
          <w:tcPr>
            <w:tcW w:w="1250" w:type="dxa"/>
            <w:noWrap/>
            <w:hideMark/>
          </w:tcPr>
          <w:p w14:paraId="6C444EF6" w14:textId="4A218C6B"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95</w:t>
            </w:r>
          </w:p>
        </w:tc>
      </w:tr>
      <w:tr w:rsidR="00E15C1A" w:rsidRPr="00A20CDC" w14:paraId="1D69B2EF" w14:textId="77777777" w:rsidTr="00E65009">
        <w:trPr>
          <w:trHeight w:val="288"/>
        </w:trPr>
        <w:tc>
          <w:tcPr>
            <w:tcW w:w="2271" w:type="dxa"/>
            <w:noWrap/>
            <w:hideMark/>
          </w:tcPr>
          <w:p w14:paraId="5D0A3E65" w14:textId="3193D8AF" w:rsidR="00E15C1A" w:rsidRPr="00A20CDC"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Ontario, Canada</w:t>
            </w:r>
            <w:r>
              <w:rPr>
                <w:rFonts w:ascii="Times New Roman" w:hAnsi="Times New Roman" w:cs="Times New Roman"/>
                <w:sz w:val="20"/>
                <w:szCs w:val="20"/>
              </w:rPr>
              <w:t xml:space="preserve"> </w:t>
            </w:r>
            <w:r w:rsidRPr="000021BC">
              <w:rPr>
                <w:rFonts w:ascii="Times New Roman" w:hAnsi="Times New Roman" w:cs="Times New Roman"/>
                <w:sz w:val="20"/>
                <w:szCs w:val="20"/>
              </w:rPr>
              <w:t>(Public Health Ontario)</w:t>
            </w:r>
          </w:p>
        </w:tc>
        <w:tc>
          <w:tcPr>
            <w:tcW w:w="1535" w:type="dxa"/>
            <w:noWrap/>
            <w:hideMark/>
          </w:tcPr>
          <w:p w14:paraId="6D089DA7"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2020-06-24</w:t>
            </w:r>
          </w:p>
        </w:tc>
        <w:tc>
          <w:tcPr>
            <w:tcW w:w="995" w:type="dxa"/>
            <w:noWrap/>
            <w:hideMark/>
          </w:tcPr>
          <w:p w14:paraId="7E94FE42"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2020-07-01</w:t>
            </w:r>
          </w:p>
        </w:tc>
        <w:tc>
          <w:tcPr>
            <w:tcW w:w="1677" w:type="dxa"/>
            <w:noWrap/>
            <w:hideMark/>
          </w:tcPr>
          <w:p w14:paraId="34EB2E13" w14:textId="2D2B339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71</w:t>
            </w:r>
          </w:p>
        </w:tc>
        <w:tc>
          <w:tcPr>
            <w:tcW w:w="1337" w:type="dxa"/>
            <w:noWrap/>
            <w:hideMark/>
          </w:tcPr>
          <w:p w14:paraId="3D5371BC" w14:textId="7C4F6144"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76</w:t>
            </w:r>
          </w:p>
        </w:tc>
        <w:tc>
          <w:tcPr>
            <w:tcW w:w="1250" w:type="dxa"/>
            <w:noWrap/>
            <w:hideMark/>
          </w:tcPr>
          <w:p w14:paraId="453F032D" w14:textId="77E5AC70"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79</w:t>
            </w:r>
          </w:p>
        </w:tc>
      </w:tr>
      <w:tr w:rsidR="00E15C1A" w:rsidRPr="00A20CDC" w14:paraId="49D4004D" w14:textId="77777777" w:rsidTr="00E65009">
        <w:trPr>
          <w:trHeight w:val="288"/>
        </w:trPr>
        <w:tc>
          <w:tcPr>
            <w:tcW w:w="2271" w:type="dxa"/>
            <w:noWrap/>
            <w:hideMark/>
          </w:tcPr>
          <w:p w14:paraId="22B63819" w14:textId="0FEC8738" w:rsidR="00E15C1A" w:rsidRPr="00A20CDC" w:rsidRDefault="00E15C1A" w:rsidP="00E15C1A">
            <w:pPr>
              <w:rPr>
                <w:rFonts w:ascii="Times New Roman" w:hAnsi="Times New Roman" w:cs="Times New Roman"/>
                <w:sz w:val="20"/>
                <w:szCs w:val="20"/>
              </w:rPr>
            </w:pPr>
            <w:r w:rsidRPr="00F27ACE">
              <w:rPr>
                <w:rFonts w:ascii="Times New Roman" w:hAnsi="Times New Roman" w:cs="Times New Roman"/>
                <w:sz w:val="20"/>
                <w:szCs w:val="20"/>
              </w:rPr>
              <w:t>Denmark</w:t>
            </w:r>
            <w:r>
              <w:rPr>
                <w:rFonts w:ascii="Times New Roman" w:hAnsi="Times New Roman" w:cs="Times New Roman"/>
                <w:sz w:val="20"/>
                <w:szCs w:val="20"/>
              </w:rPr>
              <w:t xml:space="preserve"> </w:t>
            </w:r>
            <w:r w:rsidRPr="000021BC">
              <w:rPr>
                <w:rFonts w:ascii="Times New Roman" w:hAnsi="Times New Roman" w:cs="Times New Roman"/>
                <w:sz w:val="20"/>
                <w:szCs w:val="20"/>
              </w:rPr>
              <w:t>(Pedersen)</w:t>
            </w:r>
          </w:p>
        </w:tc>
        <w:tc>
          <w:tcPr>
            <w:tcW w:w="1535" w:type="dxa"/>
            <w:noWrap/>
            <w:hideMark/>
          </w:tcPr>
          <w:p w14:paraId="4392D1C0"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2020-06-22</w:t>
            </w:r>
          </w:p>
        </w:tc>
        <w:tc>
          <w:tcPr>
            <w:tcW w:w="995" w:type="dxa"/>
            <w:noWrap/>
            <w:hideMark/>
          </w:tcPr>
          <w:p w14:paraId="72859534"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2020-06-24</w:t>
            </w:r>
          </w:p>
        </w:tc>
        <w:tc>
          <w:tcPr>
            <w:tcW w:w="1677" w:type="dxa"/>
            <w:noWrap/>
            <w:hideMark/>
          </w:tcPr>
          <w:p w14:paraId="09B9DFA9" w14:textId="68204F3A"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84</w:t>
            </w:r>
          </w:p>
        </w:tc>
        <w:tc>
          <w:tcPr>
            <w:tcW w:w="1337" w:type="dxa"/>
            <w:noWrap/>
            <w:hideMark/>
          </w:tcPr>
          <w:p w14:paraId="3AC5FBEF" w14:textId="3229FA1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43</w:t>
            </w:r>
          </w:p>
        </w:tc>
        <w:tc>
          <w:tcPr>
            <w:tcW w:w="1250" w:type="dxa"/>
            <w:noWrap/>
            <w:hideMark/>
          </w:tcPr>
          <w:p w14:paraId="585ED9BD" w14:textId="1D42BACB"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47</w:t>
            </w:r>
          </w:p>
        </w:tc>
      </w:tr>
      <w:tr w:rsidR="00E15C1A" w:rsidRPr="00A20CDC" w14:paraId="40A1A95D" w14:textId="77777777" w:rsidTr="00E65009">
        <w:trPr>
          <w:trHeight w:val="288"/>
        </w:trPr>
        <w:tc>
          <w:tcPr>
            <w:tcW w:w="2271" w:type="dxa"/>
            <w:noWrap/>
            <w:hideMark/>
          </w:tcPr>
          <w:p w14:paraId="0C7E9C20" w14:textId="000C3A6D"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Dominican Republic</w:t>
            </w:r>
            <w:r>
              <w:rPr>
                <w:rFonts w:ascii="Times New Roman" w:hAnsi="Times New Roman" w:cs="Times New Roman"/>
                <w:sz w:val="20"/>
                <w:szCs w:val="20"/>
              </w:rPr>
              <w:t xml:space="preserve"> (Paulino-Ramirez)</w:t>
            </w:r>
          </w:p>
        </w:tc>
        <w:tc>
          <w:tcPr>
            <w:tcW w:w="1535" w:type="dxa"/>
            <w:noWrap/>
            <w:hideMark/>
          </w:tcPr>
          <w:p w14:paraId="70383FDA"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2020-05-22</w:t>
            </w:r>
          </w:p>
        </w:tc>
        <w:tc>
          <w:tcPr>
            <w:tcW w:w="995" w:type="dxa"/>
            <w:noWrap/>
            <w:hideMark/>
          </w:tcPr>
          <w:p w14:paraId="38F6924B"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2020-05-29</w:t>
            </w:r>
          </w:p>
        </w:tc>
        <w:tc>
          <w:tcPr>
            <w:tcW w:w="1677" w:type="dxa"/>
            <w:noWrap/>
            <w:hideMark/>
          </w:tcPr>
          <w:p w14:paraId="66572A13" w14:textId="66C71E92"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7</w:t>
            </w:r>
            <w:r>
              <w:rPr>
                <w:rFonts w:ascii="Times New Roman" w:hAnsi="Times New Roman" w:cs="Times New Roman"/>
                <w:sz w:val="20"/>
                <w:szCs w:val="20"/>
              </w:rPr>
              <w:t>.</w:t>
            </w:r>
            <w:r w:rsidRPr="00A20CDC">
              <w:rPr>
                <w:rFonts w:ascii="Times New Roman" w:hAnsi="Times New Roman" w:cs="Times New Roman"/>
                <w:sz w:val="20"/>
                <w:szCs w:val="20"/>
              </w:rPr>
              <w:t>02</w:t>
            </w:r>
          </w:p>
        </w:tc>
        <w:tc>
          <w:tcPr>
            <w:tcW w:w="1337" w:type="dxa"/>
            <w:noWrap/>
            <w:hideMark/>
          </w:tcPr>
          <w:p w14:paraId="38F60B25" w14:textId="365FECD4"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28</w:t>
            </w:r>
          </w:p>
        </w:tc>
        <w:tc>
          <w:tcPr>
            <w:tcW w:w="1250" w:type="dxa"/>
            <w:noWrap/>
            <w:hideMark/>
          </w:tcPr>
          <w:p w14:paraId="52166807" w14:textId="31D344AE"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3</w:t>
            </w:r>
          </w:p>
        </w:tc>
      </w:tr>
      <w:tr w:rsidR="00E15C1A" w:rsidRPr="00A20CDC" w14:paraId="1C9DFB9B" w14:textId="77777777" w:rsidTr="00E65009">
        <w:trPr>
          <w:trHeight w:val="288"/>
        </w:trPr>
        <w:tc>
          <w:tcPr>
            <w:tcW w:w="2271" w:type="dxa"/>
            <w:noWrap/>
            <w:hideMark/>
          </w:tcPr>
          <w:p w14:paraId="1B351B26" w14:textId="702A1B38"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France</w:t>
            </w:r>
            <w:r>
              <w:rPr>
                <w:rFonts w:ascii="Times New Roman" w:hAnsi="Times New Roman" w:cs="Times New Roman"/>
                <w:sz w:val="20"/>
                <w:szCs w:val="20"/>
              </w:rPr>
              <w:t xml:space="preserve"> (INSERM)</w:t>
            </w:r>
          </w:p>
        </w:tc>
        <w:tc>
          <w:tcPr>
            <w:tcW w:w="1535" w:type="dxa"/>
            <w:noWrap/>
            <w:hideMark/>
          </w:tcPr>
          <w:p w14:paraId="5F5F35ED"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2020-05-24</w:t>
            </w:r>
          </w:p>
        </w:tc>
        <w:tc>
          <w:tcPr>
            <w:tcW w:w="995" w:type="dxa"/>
            <w:noWrap/>
            <w:hideMark/>
          </w:tcPr>
          <w:p w14:paraId="62A4BCFB"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2020-05-31</w:t>
            </w:r>
          </w:p>
        </w:tc>
        <w:tc>
          <w:tcPr>
            <w:tcW w:w="1677" w:type="dxa"/>
            <w:noWrap/>
            <w:hideMark/>
          </w:tcPr>
          <w:p w14:paraId="64F2DAFF" w14:textId="0F1433D6"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53</w:t>
            </w:r>
          </w:p>
        </w:tc>
        <w:tc>
          <w:tcPr>
            <w:tcW w:w="1337" w:type="dxa"/>
            <w:noWrap/>
            <w:hideMark/>
          </w:tcPr>
          <w:p w14:paraId="53C86577" w14:textId="6C6D59C6"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6</w:t>
            </w:r>
            <w:r>
              <w:rPr>
                <w:rFonts w:ascii="Times New Roman" w:hAnsi="Times New Roman" w:cs="Times New Roman"/>
                <w:sz w:val="20"/>
                <w:szCs w:val="20"/>
              </w:rPr>
              <w:t>.</w:t>
            </w:r>
            <w:r w:rsidRPr="00A20CDC">
              <w:rPr>
                <w:rFonts w:ascii="Times New Roman" w:hAnsi="Times New Roman" w:cs="Times New Roman"/>
                <w:sz w:val="20"/>
                <w:szCs w:val="20"/>
              </w:rPr>
              <w:t>17</w:t>
            </w:r>
          </w:p>
        </w:tc>
        <w:tc>
          <w:tcPr>
            <w:tcW w:w="1250" w:type="dxa"/>
            <w:noWrap/>
            <w:hideMark/>
          </w:tcPr>
          <w:p w14:paraId="49E97799" w14:textId="0F68AC9B"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6</w:t>
            </w:r>
            <w:r>
              <w:rPr>
                <w:rFonts w:ascii="Times New Roman" w:hAnsi="Times New Roman" w:cs="Times New Roman"/>
                <w:sz w:val="20"/>
                <w:szCs w:val="20"/>
              </w:rPr>
              <w:t>.</w:t>
            </w:r>
            <w:r w:rsidRPr="00A20CDC">
              <w:rPr>
                <w:rFonts w:ascii="Times New Roman" w:hAnsi="Times New Roman" w:cs="Times New Roman"/>
                <w:sz w:val="20"/>
                <w:szCs w:val="20"/>
              </w:rPr>
              <w:t>26</w:t>
            </w:r>
          </w:p>
        </w:tc>
      </w:tr>
      <w:tr w:rsidR="00E15C1A" w:rsidRPr="00A20CDC" w14:paraId="74D31FD0" w14:textId="77777777" w:rsidTr="00A20CDC">
        <w:trPr>
          <w:trHeight w:val="288"/>
        </w:trPr>
        <w:tc>
          <w:tcPr>
            <w:tcW w:w="2271" w:type="dxa"/>
            <w:noWrap/>
          </w:tcPr>
          <w:p w14:paraId="02142DBA" w14:textId="1A633952" w:rsidR="00E15C1A" w:rsidRPr="00E65009"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Ile-de-France, France</w:t>
            </w:r>
            <w:r>
              <w:rPr>
                <w:rFonts w:ascii="Times New Roman" w:hAnsi="Times New Roman" w:cs="Times New Roman"/>
                <w:sz w:val="20"/>
                <w:szCs w:val="20"/>
              </w:rPr>
              <w:t xml:space="preserve"> (Carrat)</w:t>
            </w:r>
          </w:p>
        </w:tc>
        <w:tc>
          <w:tcPr>
            <w:tcW w:w="1535" w:type="dxa"/>
            <w:noWrap/>
          </w:tcPr>
          <w:p w14:paraId="5B2AF88F" w14:textId="6678F55B" w:rsidR="00E15C1A" w:rsidRPr="00E65009" w:rsidRDefault="00E15C1A" w:rsidP="00E15C1A">
            <w:pPr>
              <w:rPr>
                <w:rFonts w:ascii="Times New Roman" w:hAnsi="Times New Roman" w:cs="Times New Roman"/>
                <w:sz w:val="20"/>
                <w:szCs w:val="20"/>
              </w:rPr>
            </w:pPr>
            <w:r w:rsidRPr="001C3C89">
              <w:rPr>
                <w:rFonts w:ascii="Times New Roman" w:hAnsi="Times New Roman" w:cs="Times New Roman"/>
                <w:sz w:val="20"/>
                <w:szCs w:val="20"/>
              </w:rPr>
              <w:t>2020-05-26</w:t>
            </w:r>
          </w:p>
        </w:tc>
        <w:tc>
          <w:tcPr>
            <w:tcW w:w="995" w:type="dxa"/>
            <w:noWrap/>
          </w:tcPr>
          <w:p w14:paraId="1A8E6470" w14:textId="496989E3" w:rsidR="00E15C1A" w:rsidRPr="00E65009" w:rsidRDefault="00E15C1A" w:rsidP="00E15C1A">
            <w:pPr>
              <w:rPr>
                <w:rFonts w:ascii="Times New Roman" w:hAnsi="Times New Roman" w:cs="Times New Roman"/>
                <w:sz w:val="20"/>
                <w:szCs w:val="20"/>
              </w:rPr>
            </w:pPr>
            <w:r w:rsidRPr="001C3C89">
              <w:rPr>
                <w:rFonts w:ascii="Times New Roman" w:hAnsi="Times New Roman" w:cs="Times New Roman"/>
                <w:sz w:val="20"/>
                <w:szCs w:val="20"/>
              </w:rPr>
              <w:t>2020-05-28</w:t>
            </w:r>
          </w:p>
        </w:tc>
        <w:tc>
          <w:tcPr>
            <w:tcW w:w="1677" w:type="dxa"/>
            <w:noWrap/>
          </w:tcPr>
          <w:p w14:paraId="63AFE90A" w14:textId="7D577293"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Unavailable</w:t>
            </w:r>
          </w:p>
        </w:tc>
        <w:tc>
          <w:tcPr>
            <w:tcW w:w="1337" w:type="dxa"/>
            <w:noWrap/>
          </w:tcPr>
          <w:p w14:paraId="6E8C01FE" w14:textId="3C26C1FA"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8.09</w:t>
            </w:r>
          </w:p>
        </w:tc>
        <w:tc>
          <w:tcPr>
            <w:tcW w:w="1250" w:type="dxa"/>
            <w:noWrap/>
          </w:tcPr>
          <w:p w14:paraId="0C35538E" w14:textId="1C273578"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N/A</w:t>
            </w:r>
          </w:p>
        </w:tc>
      </w:tr>
      <w:tr w:rsidR="00E15C1A" w:rsidRPr="00A20CDC" w14:paraId="303C883B" w14:textId="77777777" w:rsidTr="00A20CDC">
        <w:trPr>
          <w:trHeight w:val="288"/>
        </w:trPr>
        <w:tc>
          <w:tcPr>
            <w:tcW w:w="2271" w:type="dxa"/>
            <w:noWrap/>
          </w:tcPr>
          <w:p w14:paraId="13B7ED7E" w14:textId="6B9AB75C" w:rsidR="00E15C1A" w:rsidRPr="00E65009"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Nouvelle-Aquitaine, France</w:t>
            </w:r>
            <w:r>
              <w:rPr>
                <w:rFonts w:ascii="Times New Roman" w:hAnsi="Times New Roman" w:cs="Times New Roman"/>
                <w:sz w:val="20"/>
                <w:szCs w:val="20"/>
              </w:rPr>
              <w:t xml:space="preserve"> (Carrat)</w:t>
            </w:r>
          </w:p>
        </w:tc>
        <w:tc>
          <w:tcPr>
            <w:tcW w:w="1535" w:type="dxa"/>
            <w:noWrap/>
          </w:tcPr>
          <w:p w14:paraId="121EC8B4" w14:textId="5ACD0B8E" w:rsidR="00E15C1A" w:rsidRPr="00E65009" w:rsidRDefault="00E15C1A" w:rsidP="00E15C1A">
            <w:pPr>
              <w:rPr>
                <w:rFonts w:ascii="Times New Roman" w:hAnsi="Times New Roman" w:cs="Times New Roman"/>
                <w:sz w:val="20"/>
                <w:szCs w:val="20"/>
              </w:rPr>
            </w:pPr>
            <w:r w:rsidRPr="001C3C89">
              <w:rPr>
                <w:rFonts w:ascii="Times New Roman" w:hAnsi="Times New Roman" w:cs="Times New Roman"/>
                <w:sz w:val="20"/>
                <w:szCs w:val="20"/>
              </w:rPr>
              <w:t>2020-05-25</w:t>
            </w:r>
          </w:p>
        </w:tc>
        <w:tc>
          <w:tcPr>
            <w:tcW w:w="995" w:type="dxa"/>
            <w:noWrap/>
          </w:tcPr>
          <w:p w14:paraId="42065145" w14:textId="07412E24" w:rsidR="00E15C1A" w:rsidRPr="00E65009" w:rsidRDefault="00E15C1A" w:rsidP="00E15C1A">
            <w:pPr>
              <w:rPr>
                <w:rFonts w:ascii="Times New Roman" w:hAnsi="Times New Roman" w:cs="Times New Roman"/>
                <w:sz w:val="20"/>
                <w:szCs w:val="20"/>
              </w:rPr>
            </w:pPr>
            <w:r w:rsidRPr="001C3C89">
              <w:rPr>
                <w:rFonts w:ascii="Times New Roman" w:hAnsi="Times New Roman" w:cs="Times New Roman"/>
                <w:sz w:val="20"/>
                <w:szCs w:val="20"/>
              </w:rPr>
              <w:t>2020-05-28</w:t>
            </w:r>
          </w:p>
        </w:tc>
        <w:tc>
          <w:tcPr>
            <w:tcW w:w="1677" w:type="dxa"/>
            <w:noWrap/>
          </w:tcPr>
          <w:p w14:paraId="0768A088" w14:textId="65BCA936"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Unavailable</w:t>
            </w:r>
          </w:p>
        </w:tc>
        <w:tc>
          <w:tcPr>
            <w:tcW w:w="1337" w:type="dxa"/>
            <w:noWrap/>
          </w:tcPr>
          <w:p w14:paraId="53E33A6D" w14:textId="4EEB5769"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1.</w:t>
            </w:r>
            <w:r w:rsidRPr="00A20CDC">
              <w:rPr>
                <w:rFonts w:ascii="Times New Roman" w:hAnsi="Times New Roman" w:cs="Times New Roman"/>
                <w:sz w:val="20"/>
                <w:szCs w:val="20"/>
              </w:rPr>
              <w:t>09</w:t>
            </w:r>
          </w:p>
        </w:tc>
        <w:tc>
          <w:tcPr>
            <w:tcW w:w="1250" w:type="dxa"/>
            <w:noWrap/>
          </w:tcPr>
          <w:p w14:paraId="4F454A34" w14:textId="4D696D32"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N/A</w:t>
            </w:r>
          </w:p>
        </w:tc>
      </w:tr>
      <w:tr w:rsidR="00E15C1A" w:rsidRPr="00A20CDC" w14:paraId="6808B9C8" w14:textId="77777777" w:rsidTr="00A20CDC">
        <w:trPr>
          <w:trHeight w:val="288"/>
        </w:trPr>
        <w:tc>
          <w:tcPr>
            <w:tcW w:w="2271" w:type="dxa"/>
            <w:noWrap/>
            <w:hideMark/>
          </w:tcPr>
          <w:p w14:paraId="5F6B267B" w14:textId="29792395"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Hungary</w:t>
            </w:r>
            <w:r>
              <w:rPr>
                <w:rFonts w:ascii="Times New Roman" w:hAnsi="Times New Roman" w:cs="Times New Roman"/>
                <w:sz w:val="20"/>
                <w:szCs w:val="20"/>
              </w:rPr>
              <w:t xml:space="preserve"> (Merkely)</w:t>
            </w:r>
          </w:p>
        </w:tc>
        <w:tc>
          <w:tcPr>
            <w:tcW w:w="1535" w:type="dxa"/>
            <w:noWrap/>
            <w:hideMark/>
          </w:tcPr>
          <w:p w14:paraId="2CB038FE"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2020-05-15</w:t>
            </w:r>
          </w:p>
        </w:tc>
        <w:tc>
          <w:tcPr>
            <w:tcW w:w="995" w:type="dxa"/>
            <w:noWrap/>
            <w:hideMark/>
          </w:tcPr>
          <w:p w14:paraId="7F8728DC"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2020-05-22</w:t>
            </w:r>
          </w:p>
        </w:tc>
        <w:tc>
          <w:tcPr>
            <w:tcW w:w="1677" w:type="dxa"/>
            <w:noWrap/>
            <w:hideMark/>
          </w:tcPr>
          <w:p w14:paraId="7F376FC9" w14:textId="0E2C56FA"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7</w:t>
            </w:r>
            <w:r>
              <w:rPr>
                <w:rFonts w:ascii="Times New Roman" w:hAnsi="Times New Roman" w:cs="Times New Roman"/>
                <w:sz w:val="20"/>
                <w:szCs w:val="20"/>
              </w:rPr>
              <w:t>.</w:t>
            </w:r>
            <w:r w:rsidRPr="00A20CDC">
              <w:rPr>
                <w:rFonts w:ascii="Times New Roman" w:hAnsi="Times New Roman" w:cs="Times New Roman"/>
                <w:sz w:val="20"/>
                <w:szCs w:val="20"/>
              </w:rPr>
              <w:t>69</w:t>
            </w:r>
          </w:p>
        </w:tc>
        <w:tc>
          <w:tcPr>
            <w:tcW w:w="1337" w:type="dxa"/>
            <w:noWrap/>
            <w:hideMark/>
          </w:tcPr>
          <w:p w14:paraId="0CC87991" w14:textId="76C0C76C"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28</w:t>
            </w:r>
          </w:p>
        </w:tc>
        <w:tc>
          <w:tcPr>
            <w:tcW w:w="1250" w:type="dxa"/>
            <w:noWrap/>
            <w:hideMark/>
          </w:tcPr>
          <w:p w14:paraId="01EC79C9" w14:textId="52049780"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45</w:t>
            </w:r>
          </w:p>
        </w:tc>
      </w:tr>
      <w:tr w:rsidR="00E15C1A" w:rsidRPr="00A20CDC" w14:paraId="2F848DB6" w14:textId="77777777" w:rsidTr="00A20CDC">
        <w:trPr>
          <w:trHeight w:val="288"/>
        </w:trPr>
        <w:tc>
          <w:tcPr>
            <w:tcW w:w="2271" w:type="dxa"/>
            <w:noWrap/>
            <w:hideMark/>
          </w:tcPr>
          <w:p w14:paraId="7E6D5799" w14:textId="2756D8FB"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Iceland</w:t>
            </w:r>
            <w:r>
              <w:rPr>
                <w:rFonts w:ascii="Times New Roman" w:hAnsi="Times New Roman" w:cs="Times New Roman"/>
                <w:sz w:val="20"/>
                <w:szCs w:val="20"/>
              </w:rPr>
              <w:t xml:space="preserve"> (Gudbjartsson)</w:t>
            </w:r>
          </w:p>
        </w:tc>
        <w:tc>
          <w:tcPr>
            <w:tcW w:w="1535" w:type="dxa"/>
            <w:noWrap/>
            <w:hideMark/>
          </w:tcPr>
          <w:p w14:paraId="43C67C45"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2020-06-01</w:t>
            </w:r>
          </w:p>
        </w:tc>
        <w:tc>
          <w:tcPr>
            <w:tcW w:w="995" w:type="dxa"/>
            <w:noWrap/>
            <w:hideMark/>
          </w:tcPr>
          <w:p w14:paraId="309A4E4A"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2020-06-08</w:t>
            </w:r>
          </w:p>
        </w:tc>
        <w:tc>
          <w:tcPr>
            <w:tcW w:w="1677" w:type="dxa"/>
            <w:noWrap/>
            <w:hideMark/>
          </w:tcPr>
          <w:p w14:paraId="2ABA43F3"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p>
        </w:tc>
        <w:tc>
          <w:tcPr>
            <w:tcW w:w="1337" w:type="dxa"/>
            <w:noWrap/>
            <w:hideMark/>
          </w:tcPr>
          <w:p w14:paraId="46CD9DAA" w14:textId="2BC85256"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12</w:t>
            </w:r>
          </w:p>
        </w:tc>
        <w:tc>
          <w:tcPr>
            <w:tcW w:w="1250" w:type="dxa"/>
            <w:noWrap/>
            <w:hideMark/>
          </w:tcPr>
          <w:p w14:paraId="59265B2C" w14:textId="35280662"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12</w:t>
            </w:r>
          </w:p>
        </w:tc>
      </w:tr>
      <w:tr w:rsidR="00E15C1A" w:rsidRPr="00A20CDC" w14:paraId="2E66EA01" w14:textId="77777777" w:rsidTr="00A20CDC">
        <w:trPr>
          <w:trHeight w:val="288"/>
        </w:trPr>
        <w:tc>
          <w:tcPr>
            <w:tcW w:w="2271" w:type="dxa"/>
            <w:noWrap/>
            <w:hideMark/>
          </w:tcPr>
          <w:p w14:paraId="4BB59EBC" w14:textId="49CEE475"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India</w:t>
            </w:r>
            <w:r>
              <w:rPr>
                <w:rFonts w:ascii="Times New Roman" w:hAnsi="Times New Roman" w:cs="Times New Roman"/>
                <w:sz w:val="20"/>
                <w:szCs w:val="20"/>
              </w:rPr>
              <w:t xml:space="preserve"> (Murhekar)</w:t>
            </w:r>
          </w:p>
        </w:tc>
        <w:tc>
          <w:tcPr>
            <w:tcW w:w="1535" w:type="dxa"/>
            <w:noWrap/>
            <w:hideMark/>
          </w:tcPr>
          <w:p w14:paraId="11977A9A"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2020-11-20</w:t>
            </w:r>
          </w:p>
        </w:tc>
        <w:tc>
          <w:tcPr>
            <w:tcW w:w="995" w:type="dxa"/>
            <w:noWrap/>
            <w:hideMark/>
          </w:tcPr>
          <w:p w14:paraId="7B47136C"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2020-09-18</w:t>
            </w:r>
          </w:p>
        </w:tc>
        <w:tc>
          <w:tcPr>
            <w:tcW w:w="1677" w:type="dxa"/>
            <w:noWrap/>
            <w:hideMark/>
          </w:tcPr>
          <w:p w14:paraId="70C12040" w14:textId="4D12DE70"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10</w:t>
            </w:r>
            <w:r>
              <w:rPr>
                <w:rFonts w:ascii="Times New Roman" w:hAnsi="Times New Roman" w:cs="Times New Roman"/>
                <w:sz w:val="20"/>
                <w:szCs w:val="20"/>
              </w:rPr>
              <w:t>.</w:t>
            </w:r>
            <w:r w:rsidRPr="00A20CDC">
              <w:rPr>
                <w:rFonts w:ascii="Times New Roman" w:hAnsi="Times New Roman" w:cs="Times New Roman"/>
                <w:sz w:val="20"/>
                <w:szCs w:val="20"/>
              </w:rPr>
              <w:t>46</w:t>
            </w:r>
          </w:p>
        </w:tc>
        <w:tc>
          <w:tcPr>
            <w:tcW w:w="1337" w:type="dxa"/>
            <w:noWrap/>
            <w:hideMark/>
          </w:tcPr>
          <w:p w14:paraId="3BFF2791" w14:textId="700E848C"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36</w:t>
            </w:r>
          </w:p>
        </w:tc>
        <w:tc>
          <w:tcPr>
            <w:tcW w:w="1250" w:type="dxa"/>
            <w:noWrap/>
            <w:hideMark/>
          </w:tcPr>
          <w:p w14:paraId="469DCA4E" w14:textId="2DFC47BC"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4</w:t>
            </w:r>
          </w:p>
        </w:tc>
      </w:tr>
      <w:tr w:rsidR="00E15C1A" w:rsidRPr="00A20CDC" w14:paraId="2EB61288" w14:textId="77777777" w:rsidTr="00A20CDC">
        <w:trPr>
          <w:trHeight w:val="288"/>
        </w:trPr>
        <w:tc>
          <w:tcPr>
            <w:tcW w:w="2271" w:type="dxa"/>
            <w:noWrap/>
          </w:tcPr>
          <w:p w14:paraId="3C510E66" w14:textId="211F3D17" w:rsidR="00E15C1A" w:rsidRPr="00E65009"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Tamil Nadu, India</w:t>
            </w:r>
            <w:r>
              <w:rPr>
                <w:rFonts w:ascii="Times New Roman" w:hAnsi="Times New Roman" w:cs="Times New Roman"/>
                <w:sz w:val="20"/>
                <w:szCs w:val="20"/>
              </w:rPr>
              <w:t xml:space="preserve"> (Malani)</w:t>
            </w:r>
          </w:p>
        </w:tc>
        <w:tc>
          <w:tcPr>
            <w:tcW w:w="1535" w:type="dxa"/>
            <w:noWrap/>
          </w:tcPr>
          <w:p w14:paraId="0CA2414A" w14:textId="20513CAB" w:rsidR="00E15C1A" w:rsidRPr="00E65009" w:rsidRDefault="00E15C1A" w:rsidP="00E15C1A">
            <w:pPr>
              <w:rPr>
                <w:rFonts w:ascii="Times New Roman" w:hAnsi="Times New Roman" w:cs="Times New Roman"/>
                <w:sz w:val="20"/>
                <w:szCs w:val="20"/>
              </w:rPr>
            </w:pPr>
            <w:r w:rsidRPr="001C3C89">
              <w:rPr>
                <w:rFonts w:ascii="Times New Roman" w:hAnsi="Times New Roman" w:cs="Times New Roman"/>
                <w:sz w:val="20"/>
                <w:szCs w:val="20"/>
              </w:rPr>
              <w:t>2020-11-20</w:t>
            </w:r>
          </w:p>
        </w:tc>
        <w:tc>
          <w:tcPr>
            <w:tcW w:w="995" w:type="dxa"/>
            <w:noWrap/>
          </w:tcPr>
          <w:p w14:paraId="47AF6C61" w14:textId="679125D0" w:rsidR="00E15C1A" w:rsidRPr="00E65009" w:rsidRDefault="00E15C1A" w:rsidP="00E15C1A">
            <w:pPr>
              <w:rPr>
                <w:rFonts w:ascii="Times New Roman" w:hAnsi="Times New Roman" w:cs="Times New Roman"/>
                <w:sz w:val="20"/>
                <w:szCs w:val="20"/>
              </w:rPr>
            </w:pPr>
            <w:r w:rsidRPr="001C3C89">
              <w:rPr>
                <w:rFonts w:ascii="Times New Roman" w:hAnsi="Times New Roman" w:cs="Times New Roman"/>
                <w:sz w:val="20"/>
                <w:szCs w:val="20"/>
              </w:rPr>
              <w:t>2020-11-23</w:t>
            </w:r>
          </w:p>
        </w:tc>
        <w:tc>
          <w:tcPr>
            <w:tcW w:w="1677" w:type="dxa"/>
            <w:noWrap/>
          </w:tcPr>
          <w:p w14:paraId="2FDD9D6E" w14:textId="7405F81B" w:rsidR="00E15C1A" w:rsidRPr="00E65009" w:rsidRDefault="00E15C1A" w:rsidP="00E15C1A">
            <w:pPr>
              <w:rPr>
                <w:rFonts w:ascii="Times New Roman" w:hAnsi="Times New Roman" w:cs="Times New Roman"/>
                <w:sz w:val="20"/>
                <w:szCs w:val="20"/>
              </w:rPr>
            </w:pPr>
            <w:r>
              <w:rPr>
                <w:rFonts w:ascii="Times New Roman" w:hAnsi="Times New Roman" w:cs="Times New Roman"/>
                <w:sz w:val="20"/>
                <w:szCs w:val="20"/>
              </w:rPr>
              <w:t>Unavailable</w:t>
            </w:r>
          </w:p>
        </w:tc>
        <w:tc>
          <w:tcPr>
            <w:tcW w:w="1337" w:type="dxa"/>
            <w:noWrap/>
          </w:tcPr>
          <w:p w14:paraId="63ED56C8" w14:textId="0F968355" w:rsidR="00E15C1A" w:rsidRPr="00A20CDC" w:rsidRDefault="00E15C1A" w:rsidP="00E15C1A">
            <w:pPr>
              <w:rPr>
                <w:rFonts w:ascii="Times New Roman" w:hAnsi="Times New Roman" w:cs="Times New Roman"/>
                <w:sz w:val="20"/>
                <w:szCs w:val="20"/>
              </w:rPr>
            </w:pPr>
            <w:r>
              <w:rPr>
                <w:rFonts w:ascii="Times New Roman" w:hAnsi="Times New Roman" w:cs="Times New Roman"/>
                <w:sz w:val="20"/>
                <w:szCs w:val="20"/>
              </w:rPr>
              <w:t>0.</w:t>
            </w:r>
            <w:r w:rsidRPr="00A20CDC">
              <w:rPr>
                <w:rFonts w:ascii="Times New Roman" w:hAnsi="Times New Roman" w:cs="Times New Roman"/>
                <w:sz w:val="20"/>
                <w:szCs w:val="20"/>
              </w:rPr>
              <w:t>27</w:t>
            </w:r>
          </w:p>
        </w:tc>
        <w:tc>
          <w:tcPr>
            <w:tcW w:w="1250" w:type="dxa"/>
            <w:noWrap/>
          </w:tcPr>
          <w:p w14:paraId="23271DFC" w14:textId="69DF65A2" w:rsidR="00E15C1A" w:rsidRPr="00A20CDC" w:rsidRDefault="00E15C1A" w:rsidP="00E15C1A">
            <w:pPr>
              <w:rPr>
                <w:rFonts w:ascii="Times New Roman" w:hAnsi="Times New Roman" w:cs="Times New Roman"/>
                <w:sz w:val="20"/>
                <w:szCs w:val="20"/>
              </w:rPr>
            </w:pPr>
            <w:r>
              <w:rPr>
                <w:rFonts w:ascii="Times New Roman" w:hAnsi="Times New Roman" w:cs="Times New Roman"/>
                <w:sz w:val="20"/>
                <w:szCs w:val="20"/>
              </w:rPr>
              <w:t>N/A</w:t>
            </w:r>
          </w:p>
        </w:tc>
      </w:tr>
      <w:tr w:rsidR="00E15C1A" w:rsidRPr="00A20CDC" w14:paraId="3F00B758" w14:textId="77777777" w:rsidTr="00A20CDC">
        <w:trPr>
          <w:trHeight w:val="288"/>
        </w:trPr>
        <w:tc>
          <w:tcPr>
            <w:tcW w:w="2271" w:type="dxa"/>
            <w:noWrap/>
            <w:hideMark/>
          </w:tcPr>
          <w:p w14:paraId="32AF8511" w14:textId="46775400"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Italy</w:t>
            </w:r>
            <w:r>
              <w:rPr>
                <w:rFonts w:ascii="Times New Roman" w:hAnsi="Times New Roman" w:cs="Times New Roman"/>
                <w:sz w:val="20"/>
                <w:szCs w:val="20"/>
              </w:rPr>
              <w:t xml:space="preserve"> (Istat)</w:t>
            </w:r>
          </w:p>
        </w:tc>
        <w:tc>
          <w:tcPr>
            <w:tcW w:w="1535" w:type="dxa"/>
            <w:noWrap/>
            <w:hideMark/>
          </w:tcPr>
          <w:p w14:paraId="1290A27D"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2020-06-26</w:t>
            </w:r>
          </w:p>
        </w:tc>
        <w:tc>
          <w:tcPr>
            <w:tcW w:w="995" w:type="dxa"/>
            <w:noWrap/>
            <w:hideMark/>
          </w:tcPr>
          <w:p w14:paraId="51B6498F"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2020-07-03</w:t>
            </w:r>
          </w:p>
        </w:tc>
        <w:tc>
          <w:tcPr>
            <w:tcW w:w="1677" w:type="dxa"/>
            <w:noWrap/>
            <w:hideMark/>
          </w:tcPr>
          <w:p w14:paraId="5930DCF9" w14:textId="0A7D813D"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34</w:t>
            </w:r>
          </w:p>
        </w:tc>
        <w:tc>
          <w:tcPr>
            <w:tcW w:w="1337" w:type="dxa"/>
            <w:noWrap/>
            <w:hideMark/>
          </w:tcPr>
          <w:p w14:paraId="429A171F" w14:textId="5552510A"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6</w:t>
            </w:r>
            <w:r>
              <w:rPr>
                <w:rFonts w:ascii="Times New Roman" w:hAnsi="Times New Roman" w:cs="Times New Roman"/>
                <w:sz w:val="20"/>
                <w:szCs w:val="20"/>
              </w:rPr>
              <w:t>.</w:t>
            </w:r>
            <w:r w:rsidRPr="00A20CDC">
              <w:rPr>
                <w:rFonts w:ascii="Times New Roman" w:hAnsi="Times New Roman" w:cs="Times New Roman"/>
                <w:sz w:val="20"/>
                <w:szCs w:val="20"/>
              </w:rPr>
              <w:t>31</w:t>
            </w:r>
          </w:p>
        </w:tc>
        <w:tc>
          <w:tcPr>
            <w:tcW w:w="1250" w:type="dxa"/>
            <w:noWrap/>
            <w:hideMark/>
          </w:tcPr>
          <w:p w14:paraId="2C75D1DC" w14:textId="43EB56C4"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6</w:t>
            </w:r>
            <w:r>
              <w:rPr>
                <w:rFonts w:ascii="Times New Roman" w:hAnsi="Times New Roman" w:cs="Times New Roman"/>
                <w:sz w:val="20"/>
                <w:szCs w:val="20"/>
              </w:rPr>
              <w:t>.</w:t>
            </w:r>
            <w:r w:rsidRPr="00A20CDC">
              <w:rPr>
                <w:rFonts w:ascii="Times New Roman" w:hAnsi="Times New Roman" w:cs="Times New Roman"/>
                <w:sz w:val="20"/>
                <w:szCs w:val="20"/>
              </w:rPr>
              <w:t>33</w:t>
            </w:r>
          </w:p>
        </w:tc>
      </w:tr>
      <w:tr w:rsidR="00E15C1A" w:rsidRPr="00A20CDC" w14:paraId="31556714" w14:textId="77777777" w:rsidTr="00A20CDC">
        <w:trPr>
          <w:trHeight w:val="288"/>
        </w:trPr>
        <w:tc>
          <w:tcPr>
            <w:tcW w:w="2271" w:type="dxa"/>
            <w:noWrap/>
            <w:hideMark/>
          </w:tcPr>
          <w:p w14:paraId="578257CD" w14:textId="6ADE6A20"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Qatar</w:t>
            </w:r>
            <w:r>
              <w:rPr>
                <w:rFonts w:ascii="Times New Roman" w:hAnsi="Times New Roman" w:cs="Times New Roman"/>
                <w:sz w:val="20"/>
                <w:szCs w:val="20"/>
              </w:rPr>
              <w:t xml:space="preserve"> (Abu-Raddad)</w:t>
            </w:r>
          </w:p>
        </w:tc>
        <w:tc>
          <w:tcPr>
            <w:tcW w:w="1535" w:type="dxa"/>
            <w:noWrap/>
            <w:hideMark/>
          </w:tcPr>
          <w:p w14:paraId="3E6F4956"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2020-07-05</w:t>
            </w:r>
          </w:p>
        </w:tc>
        <w:tc>
          <w:tcPr>
            <w:tcW w:w="995" w:type="dxa"/>
            <w:noWrap/>
            <w:hideMark/>
          </w:tcPr>
          <w:p w14:paraId="4E5D375E"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2020-07-12</w:t>
            </w:r>
          </w:p>
        </w:tc>
        <w:tc>
          <w:tcPr>
            <w:tcW w:w="1677" w:type="dxa"/>
            <w:noWrap/>
            <w:hideMark/>
          </w:tcPr>
          <w:p w14:paraId="6921E3CB" w14:textId="79EBF4FE"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14</w:t>
            </w:r>
            <w:r>
              <w:rPr>
                <w:rFonts w:ascii="Times New Roman" w:hAnsi="Times New Roman" w:cs="Times New Roman"/>
                <w:sz w:val="20"/>
                <w:szCs w:val="20"/>
              </w:rPr>
              <w:t>.</w:t>
            </w:r>
            <w:r w:rsidRPr="00A20CDC">
              <w:rPr>
                <w:rFonts w:ascii="Times New Roman" w:hAnsi="Times New Roman" w:cs="Times New Roman"/>
                <w:sz w:val="20"/>
                <w:szCs w:val="20"/>
              </w:rPr>
              <w:t>84</w:t>
            </w:r>
          </w:p>
        </w:tc>
        <w:tc>
          <w:tcPr>
            <w:tcW w:w="1337" w:type="dxa"/>
            <w:noWrap/>
            <w:hideMark/>
          </w:tcPr>
          <w:p w14:paraId="542CC9FF" w14:textId="09FF833E"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85</w:t>
            </w:r>
          </w:p>
        </w:tc>
        <w:tc>
          <w:tcPr>
            <w:tcW w:w="1250" w:type="dxa"/>
            <w:noWrap/>
            <w:hideMark/>
          </w:tcPr>
          <w:p w14:paraId="554E2104" w14:textId="72C4D3A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12</w:t>
            </w:r>
          </w:p>
        </w:tc>
      </w:tr>
      <w:tr w:rsidR="00E15C1A" w:rsidRPr="00A20CDC" w14:paraId="75F64275" w14:textId="77777777" w:rsidTr="00A20CDC">
        <w:trPr>
          <w:trHeight w:val="288"/>
        </w:trPr>
        <w:tc>
          <w:tcPr>
            <w:tcW w:w="2271" w:type="dxa"/>
            <w:noWrap/>
            <w:hideMark/>
          </w:tcPr>
          <w:p w14:paraId="68F13635" w14:textId="719A3D91" w:rsidR="00E15C1A" w:rsidRPr="00291EF8" w:rsidRDefault="00E15C1A" w:rsidP="00E15C1A">
            <w:pPr>
              <w:rPr>
                <w:rFonts w:ascii="Times New Roman" w:hAnsi="Times New Roman" w:cs="Times New Roman"/>
                <w:sz w:val="20"/>
                <w:szCs w:val="20"/>
                <w:lang w:val="sv-SE"/>
              </w:rPr>
            </w:pPr>
            <w:r w:rsidRPr="001C3C89">
              <w:rPr>
                <w:rFonts w:ascii="Times New Roman" w:hAnsi="Times New Roman" w:cs="Times New Roman"/>
                <w:sz w:val="20"/>
                <w:szCs w:val="20"/>
                <w:lang w:val="sv-SE"/>
              </w:rPr>
              <w:t>Spain (Ministerio de Sanidad / I</w:t>
            </w:r>
            <w:r>
              <w:rPr>
                <w:rFonts w:ascii="Times New Roman" w:hAnsi="Times New Roman" w:cs="Times New Roman"/>
                <w:sz w:val="20"/>
                <w:szCs w:val="20"/>
                <w:lang w:val="sv-SE"/>
              </w:rPr>
              <w:t>SCIII)</w:t>
            </w:r>
          </w:p>
        </w:tc>
        <w:tc>
          <w:tcPr>
            <w:tcW w:w="1535" w:type="dxa"/>
            <w:noWrap/>
            <w:hideMark/>
          </w:tcPr>
          <w:p w14:paraId="08B97C21"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2020-11-29</w:t>
            </w:r>
          </w:p>
        </w:tc>
        <w:tc>
          <w:tcPr>
            <w:tcW w:w="995" w:type="dxa"/>
            <w:noWrap/>
            <w:hideMark/>
          </w:tcPr>
          <w:p w14:paraId="4EDBAE8B"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2020-12-06</w:t>
            </w:r>
          </w:p>
        </w:tc>
        <w:tc>
          <w:tcPr>
            <w:tcW w:w="1677" w:type="dxa"/>
            <w:noWrap/>
            <w:hideMark/>
          </w:tcPr>
          <w:p w14:paraId="5CC3D8F2" w14:textId="54E5555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13</w:t>
            </w:r>
          </w:p>
        </w:tc>
        <w:tc>
          <w:tcPr>
            <w:tcW w:w="1337" w:type="dxa"/>
            <w:noWrap/>
            <w:hideMark/>
          </w:tcPr>
          <w:p w14:paraId="60669C92" w14:textId="2CC9097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83</w:t>
            </w:r>
          </w:p>
        </w:tc>
        <w:tc>
          <w:tcPr>
            <w:tcW w:w="1250" w:type="dxa"/>
            <w:noWrap/>
            <w:hideMark/>
          </w:tcPr>
          <w:p w14:paraId="5B917304" w14:textId="2CAF3B3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98</w:t>
            </w:r>
          </w:p>
        </w:tc>
      </w:tr>
      <w:tr w:rsidR="00E15C1A" w:rsidRPr="00A20CDC" w14:paraId="16169DEA" w14:textId="77777777" w:rsidTr="00A20CDC">
        <w:trPr>
          <w:trHeight w:val="288"/>
        </w:trPr>
        <w:tc>
          <w:tcPr>
            <w:tcW w:w="2271" w:type="dxa"/>
            <w:noWrap/>
            <w:hideMark/>
          </w:tcPr>
          <w:p w14:paraId="2621C6EB" w14:textId="4538CBE7"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U</w:t>
            </w:r>
            <w:r>
              <w:rPr>
                <w:rFonts w:ascii="Times New Roman" w:hAnsi="Times New Roman" w:cs="Times New Roman"/>
                <w:sz w:val="20"/>
                <w:szCs w:val="20"/>
              </w:rPr>
              <w:t>nited Kingdom (UK Biobank)</w:t>
            </w:r>
          </w:p>
        </w:tc>
        <w:tc>
          <w:tcPr>
            <w:tcW w:w="1535" w:type="dxa"/>
            <w:noWrap/>
            <w:hideMark/>
          </w:tcPr>
          <w:p w14:paraId="78D8FD09"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2020-07-10</w:t>
            </w:r>
          </w:p>
        </w:tc>
        <w:tc>
          <w:tcPr>
            <w:tcW w:w="995" w:type="dxa"/>
            <w:noWrap/>
            <w:hideMark/>
          </w:tcPr>
          <w:p w14:paraId="3770300A"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2020-07-19</w:t>
            </w:r>
          </w:p>
        </w:tc>
        <w:tc>
          <w:tcPr>
            <w:tcW w:w="1677" w:type="dxa"/>
            <w:noWrap/>
            <w:hideMark/>
          </w:tcPr>
          <w:p w14:paraId="65EFCD84" w14:textId="6841D82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0</w:t>
            </w:r>
            <w:r>
              <w:rPr>
                <w:rFonts w:ascii="Times New Roman" w:hAnsi="Times New Roman" w:cs="Times New Roman"/>
                <w:sz w:val="20"/>
                <w:szCs w:val="20"/>
              </w:rPr>
              <w:t>.</w:t>
            </w:r>
            <w:r w:rsidRPr="00A20CDC">
              <w:rPr>
                <w:rFonts w:ascii="Times New Roman" w:hAnsi="Times New Roman" w:cs="Times New Roman"/>
                <w:sz w:val="20"/>
                <w:szCs w:val="20"/>
              </w:rPr>
              <w:t>37</w:t>
            </w:r>
          </w:p>
        </w:tc>
        <w:tc>
          <w:tcPr>
            <w:tcW w:w="1337" w:type="dxa"/>
            <w:noWrap/>
            <w:hideMark/>
          </w:tcPr>
          <w:p w14:paraId="3BAC31A5" w14:textId="38CCC133"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53</w:t>
            </w:r>
          </w:p>
        </w:tc>
        <w:tc>
          <w:tcPr>
            <w:tcW w:w="1250" w:type="dxa"/>
            <w:noWrap/>
            <w:hideMark/>
          </w:tcPr>
          <w:p w14:paraId="57F967F9" w14:textId="3EB4F47E"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55</w:t>
            </w:r>
          </w:p>
        </w:tc>
      </w:tr>
      <w:tr w:rsidR="00E15C1A" w:rsidRPr="00A20CDC" w14:paraId="2BCF0068" w14:textId="77777777" w:rsidTr="00A20CDC">
        <w:trPr>
          <w:trHeight w:val="288"/>
        </w:trPr>
        <w:tc>
          <w:tcPr>
            <w:tcW w:w="2271" w:type="dxa"/>
            <w:noWrap/>
            <w:hideMark/>
          </w:tcPr>
          <w:p w14:paraId="431E72F9" w14:textId="2EF329DF"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England</w:t>
            </w:r>
            <w:r>
              <w:rPr>
                <w:rFonts w:ascii="Times New Roman" w:hAnsi="Times New Roman" w:cs="Times New Roman"/>
                <w:sz w:val="20"/>
                <w:szCs w:val="20"/>
              </w:rPr>
              <w:t>, United Kingdom (Ward)</w:t>
            </w:r>
          </w:p>
        </w:tc>
        <w:tc>
          <w:tcPr>
            <w:tcW w:w="1535" w:type="dxa"/>
            <w:noWrap/>
            <w:hideMark/>
          </w:tcPr>
          <w:p w14:paraId="022D8D68"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2020-07-10</w:t>
            </w:r>
          </w:p>
        </w:tc>
        <w:tc>
          <w:tcPr>
            <w:tcW w:w="995" w:type="dxa"/>
            <w:noWrap/>
            <w:hideMark/>
          </w:tcPr>
          <w:p w14:paraId="2896852E" w14:textId="233D7CBA" w:rsidR="00E15C1A" w:rsidRPr="00A20CDC" w:rsidRDefault="00E15C1A" w:rsidP="00E15C1A">
            <w:pPr>
              <w:rPr>
                <w:rFonts w:ascii="Times New Roman" w:hAnsi="Times New Roman" w:cs="Times New Roman"/>
                <w:sz w:val="20"/>
                <w:szCs w:val="20"/>
              </w:rPr>
            </w:pPr>
            <w:r>
              <w:rPr>
                <w:rFonts w:ascii="Times New Roman" w:hAnsi="Times New Roman" w:cs="Times New Roman"/>
                <w:sz w:val="20"/>
                <w:szCs w:val="20"/>
              </w:rPr>
              <w:t>2020-07-17</w:t>
            </w:r>
          </w:p>
        </w:tc>
        <w:tc>
          <w:tcPr>
            <w:tcW w:w="1677" w:type="dxa"/>
            <w:noWrap/>
            <w:hideMark/>
          </w:tcPr>
          <w:p w14:paraId="31800A9C" w14:textId="0BF5581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5</w:t>
            </w:r>
            <w:r>
              <w:rPr>
                <w:rFonts w:ascii="Times New Roman" w:hAnsi="Times New Roman" w:cs="Times New Roman"/>
                <w:sz w:val="20"/>
                <w:szCs w:val="20"/>
              </w:rPr>
              <w:t>.</w:t>
            </w:r>
            <w:r w:rsidRPr="00A20CDC">
              <w:rPr>
                <w:rFonts w:ascii="Times New Roman" w:hAnsi="Times New Roman" w:cs="Times New Roman"/>
                <w:sz w:val="20"/>
                <w:szCs w:val="20"/>
              </w:rPr>
              <w:t>57</w:t>
            </w:r>
          </w:p>
        </w:tc>
        <w:tc>
          <w:tcPr>
            <w:tcW w:w="1337" w:type="dxa"/>
            <w:noWrap/>
            <w:hideMark/>
          </w:tcPr>
          <w:p w14:paraId="1823C570" w14:textId="03058759"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8</w:t>
            </w:r>
            <w:r>
              <w:rPr>
                <w:rFonts w:ascii="Times New Roman" w:hAnsi="Times New Roman" w:cs="Times New Roman"/>
                <w:sz w:val="20"/>
                <w:szCs w:val="20"/>
              </w:rPr>
              <w:t>.</w:t>
            </w:r>
            <w:r w:rsidRPr="00A20CDC">
              <w:rPr>
                <w:rFonts w:ascii="Times New Roman" w:hAnsi="Times New Roman" w:cs="Times New Roman"/>
                <w:sz w:val="20"/>
                <w:szCs w:val="20"/>
              </w:rPr>
              <w:t>28</w:t>
            </w:r>
          </w:p>
        </w:tc>
        <w:tc>
          <w:tcPr>
            <w:tcW w:w="1250" w:type="dxa"/>
            <w:noWrap/>
            <w:hideMark/>
          </w:tcPr>
          <w:p w14:paraId="2F5A0718" w14:textId="7E5516BB"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8</w:t>
            </w:r>
            <w:r>
              <w:rPr>
                <w:rFonts w:ascii="Times New Roman" w:hAnsi="Times New Roman" w:cs="Times New Roman"/>
                <w:sz w:val="20"/>
                <w:szCs w:val="20"/>
              </w:rPr>
              <w:t>.</w:t>
            </w:r>
            <w:r w:rsidRPr="00A20CDC">
              <w:rPr>
                <w:rFonts w:ascii="Times New Roman" w:hAnsi="Times New Roman" w:cs="Times New Roman"/>
                <w:sz w:val="20"/>
                <w:szCs w:val="20"/>
              </w:rPr>
              <w:t>75</w:t>
            </w:r>
          </w:p>
        </w:tc>
      </w:tr>
      <w:tr w:rsidR="00E15C1A" w:rsidRPr="00A20CDC" w14:paraId="36A9FFAD" w14:textId="77777777" w:rsidTr="00A20CDC">
        <w:trPr>
          <w:trHeight w:val="288"/>
        </w:trPr>
        <w:tc>
          <w:tcPr>
            <w:tcW w:w="2271" w:type="dxa"/>
            <w:noWrap/>
            <w:hideMark/>
          </w:tcPr>
          <w:p w14:paraId="63B0ECFF" w14:textId="419A1865"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England and Wales</w:t>
            </w:r>
            <w:r>
              <w:rPr>
                <w:rFonts w:ascii="Times New Roman" w:hAnsi="Times New Roman" w:cs="Times New Roman"/>
                <w:sz w:val="20"/>
                <w:szCs w:val="20"/>
              </w:rPr>
              <w:t>, United Kingdom (Public Health England)</w:t>
            </w:r>
          </w:p>
        </w:tc>
        <w:tc>
          <w:tcPr>
            <w:tcW w:w="1535" w:type="dxa"/>
            <w:noWrap/>
            <w:hideMark/>
          </w:tcPr>
          <w:p w14:paraId="1580CF1A"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2020-05-22</w:t>
            </w:r>
          </w:p>
        </w:tc>
        <w:tc>
          <w:tcPr>
            <w:tcW w:w="995" w:type="dxa"/>
            <w:noWrap/>
            <w:hideMark/>
          </w:tcPr>
          <w:p w14:paraId="0995D178"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2020-05-29</w:t>
            </w:r>
          </w:p>
        </w:tc>
        <w:tc>
          <w:tcPr>
            <w:tcW w:w="1677" w:type="dxa"/>
            <w:noWrap/>
            <w:hideMark/>
          </w:tcPr>
          <w:p w14:paraId="5391A4D6" w14:textId="7CC67E90"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92</w:t>
            </w:r>
          </w:p>
        </w:tc>
        <w:tc>
          <w:tcPr>
            <w:tcW w:w="1337" w:type="dxa"/>
            <w:noWrap/>
            <w:hideMark/>
          </w:tcPr>
          <w:p w14:paraId="156D8115" w14:textId="1DACA9F2"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8</w:t>
            </w:r>
            <w:r>
              <w:rPr>
                <w:rFonts w:ascii="Times New Roman" w:hAnsi="Times New Roman" w:cs="Times New Roman"/>
                <w:sz w:val="20"/>
                <w:szCs w:val="20"/>
              </w:rPr>
              <w:t>.</w:t>
            </w:r>
            <w:r w:rsidRPr="00A20CDC">
              <w:rPr>
                <w:rFonts w:ascii="Times New Roman" w:hAnsi="Times New Roman" w:cs="Times New Roman"/>
                <w:sz w:val="20"/>
                <w:szCs w:val="20"/>
              </w:rPr>
              <w:t>59</w:t>
            </w:r>
          </w:p>
        </w:tc>
        <w:tc>
          <w:tcPr>
            <w:tcW w:w="1250" w:type="dxa"/>
            <w:noWrap/>
            <w:hideMark/>
          </w:tcPr>
          <w:p w14:paraId="24FDC637" w14:textId="204C32D1"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8</w:t>
            </w:r>
            <w:r>
              <w:rPr>
                <w:rFonts w:ascii="Times New Roman" w:hAnsi="Times New Roman" w:cs="Times New Roman"/>
                <w:sz w:val="20"/>
                <w:szCs w:val="20"/>
              </w:rPr>
              <w:t>.</w:t>
            </w:r>
            <w:r w:rsidRPr="00A20CDC">
              <w:rPr>
                <w:rFonts w:ascii="Times New Roman" w:hAnsi="Times New Roman" w:cs="Times New Roman"/>
                <w:sz w:val="20"/>
                <w:szCs w:val="20"/>
              </w:rPr>
              <w:t>92</w:t>
            </w:r>
          </w:p>
        </w:tc>
      </w:tr>
      <w:tr w:rsidR="00E15C1A" w:rsidRPr="00A20CDC" w14:paraId="6A24E1F1" w14:textId="77777777" w:rsidTr="00A20CDC">
        <w:trPr>
          <w:trHeight w:val="288"/>
        </w:trPr>
        <w:tc>
          <w:tcPr>
            <w:tcW w:w="2271" w:type="dxa"/>
            <w:noWrap/>
            <w:hideMark/>
          </w:tcPr>
          <w:p w14:paraId="66BF3DB8" w14:textId="4FA6A000"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lastRenderedPageBreak/>
              <w:t>Greater Glasgow and Clyde, Scotland</w:t>
            </w:r>
            <w:r>
              <w:rPr>
                <w:rFonts w:ascii="Times New Roman" w:hAnsi="Times New Roman" w:cs="Times New Roman"/>
                <w:sz w:val="20"/>
                <w:szCs w:val="20"/>
              </w:rPr>
              <w:t>, United Kingdom (Hughes)</w:t>
            </w:r>
          </w:p>
        </w:tc>
        <w:tc>
          <w:tcPr>
            <w:tcW w:w="1535" w:type="dxa"/>
            <w:noWrap/>
            <w:hideMark/>
          </w:tcPr>
          <w:p w14:paraId="51AFB813"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2020-04-26</w:t>
            </w:r>
          </w:p>
        </w:tc>
        <w:tc>
          <w:tcPr>
            <w:tcW w:w="995" w:type="dxa"/>
            <w:noWrap/>
            <w:hideMark/>
          </w:tcPr>
          <w:p w14:paraId="5D3590E2"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2020-05-03</w:t>
            </w:r>
          </w:p>
        </w:tc>
        <w:tc>
          <w:tcPr>
            <w:tcW w:w="1677" w:type="dxa"/>
            <w:noWrap/>
            <w:hideMark/>
          </w:tcPr>
          <w:p w14:paraId="6B042217" w14:textId="701C16FD"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23</w:t>
            </w:r>
            <w:r>
              <w:rPr>
                <w:rFonts w:ascii="Times New Roman" w:hAnsi="Times New Roman" w:cs="Times New Roman"/>
                <w:sz w:val="20"/>
                <w:szCs w:val="20"/>
              </w:rPr>
              <w:t>.</w:t>
            </w:r>
            <w:r w:rsidRPr="00A20CDC">
              <w:rPr>
                <w:rFonts w:ascii="Times New Roman" w:hAnsi="Times New Roman" w:cs="Times New Roman"/>
                <w:sz w:val="20"/>
                <w:szCs w:val="20"/>
              </w:rPr>
              <w:t>03</w:t>
            </w:r>
          </w:p>
        </w:tc>
        <w:tc>
          <w:tcPr>
            <w:tcW w:w="1337" w:type="dxa"/>
            <w:noWrap/>
            <w:hideMark/>
          </w:tcPr>
          <w:p w14:paraId="189CAD17" w14:textId="368C1E63"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46</w:t>
            </w:r>
          </w:p>
        </w:tc>
        <w:tc>
          <w:tcPr>
            <w:tcW w:w="1250" w:type="dxa"/>
            <w:noWrap/>
            <w:hideMark/>
          </w:tcPr>
          <w:p w14:paraId="4DA91203" w14:textId="3495288E"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3</w:t>
            </w:r>
            <w:r>
              <w:rPr>
                <w:rFonts w:ascii="Times New Roman" w:hAnsi="Times New Roman" w:cs="Times New Roman"/>
                <w:sz w:val="20"/>
                <w:szCs w:val="20"/>
              </w:rPr>
              <w:t>.</w:t>
            </w:r>
            <w:r w:rsidRPr="00A20CDC">
              <w:rPr>
                <w:rFonts w:ascii="Times New Roman" w:hAnsi="Times New Roman" w:cs="Times New Roman"/>
                <w:sz w:val="20"/>
                <w:szCs w:val="20"/>
              </w:rPr>
              <w:t>03</w:t>
            </w:r>
          </w:p>
        </w:tc>
      </w:tr>
      <w:tr w:rsidR="00E15C1A" w:rsidRPr="00A20CDC" w14:paraId="4CA4B476" w14:textId="77777777" w:rsidTr="00A20CDC">
        <w:trPr>
          <w:trHeight w:val="288"/>
        </w:trPr>
        <w:tc>
          <w:tcPr>
            <w:tcW w:w="2271" w:type="dxa"/>
            <w:noWrap/>
            <w:hideMark/>
          </w:tcPr>
          <w:p w14:paraId="336FD1AB" w14:textId="4654FA83"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USA</w:t>
            </w:r>
            <w:r>
              <w:rPr>
                <w:rFonts w:ascii="Times New Roman" w:hAnsi="Times New Roman" w:cs="Times New Roman"/>
                <w:sz w:val="20"/>
                <w:szCs w:val="20"/>
              </w:rPr>
              <w:t xml:space="preserve"> (Anand)</w:t>
            </w:r>
          </w:p>
        </w:tc>
        <w:tc>
          <w:tcPr>
            <w:tcW w:w="1535" w:type="dxa"/>
            <w:noWrap/>
            <w:hideMark/>
          </w:tcPr>
          <w:p w14:paraId="63CB6C0E"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2020-07-14</w:t>
            </w:r>
          </w:p>
        </w:tc>
        <w:tc>
          <w:tcPr>
            <w:tcW w:w="995" w:type="dxa"/>
            <w:noWrap/>
            <w:hideMark/>
          </w:tcPr>
          <w:p w14:paraId="0DFD3440"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2020-07-21</w:t>
            </w:r>
          </w:p>
        </w:tc>
        <w:tc>
          <w:tcPr>
            <w:tcW w:w="1677" w:type="dxa"/>
            <w:noWrap/>
            <w:hideMark/>
          </w:tcPr>
          <w:p w14:paraId="45CA2296" w14:textId="46F0CD90"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4</w:t>
            </w:r>
            <w:r>
              <w:rPr>
                <w:rFonts w:ascii="Times New Roman" w:hAnsi="Times New Roman" w:cs="Times New Roman"/>
                <w:sz w:val="20"/>
                <w:szCs w:val="20"/>
              </w:rPr>
              <w:t>.</w:t>
            </w:r>
            <w:r w:rsidRPr="00A20CDC">
              <w:rPr>
                <w:rFonts w:ascii="Times New Roman" w:hAnsi="Times New Roman" w:cs="Times New Roman"/>
                <w:sz w:val="20"/>
                <w:szCs w:val="20"/>
              </w:rPr>
              <w:t>27</w:t>
            </w:r>
          </w:p>
        </w:tc>
        <w:tc>
          <w:tcPr>
            <w:tcW w:w="1337" w:type="dxa"/>
            <w:noWrap/>
            <w:hideMark/>
          </w:tcPr>
          <w:p w14:paraId="769DBC31" w14:textId="00AE90B5"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24</w:t>
            </w:r>
          </w:p>
        </w:tc>
        <w:tc>
          <w:tcPr>
            <w:tcW w:w="1250" w:type="dxa"/>
            <w:noWrap/>
            <w:hideMark/>
          </w:tcPr>
          <w:p w14:paraId="1C498CA1" w14:textId="38A93DDA"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3</w:t>
            </w:r>
          </w:p>
        </w:tc>
      </w:tr>
      <w:tr w:rsidR="00E15C1A" w:rsidRPr="00A20CDC" w14:paraId="61BAB2A2" w14:textId="77777777" w:rsidTr="00A20CDC">
        <w:trPr>
          <w:trHeight w:val="288"/>
        </w:trPr>
        <w:tc>
          <w:tcPr>
            <w:tcW w:w="2271" w:type="dxa"/>
            <w:noWrap/>
            <w:hideMark/>
          </w:tcPr>
          <w:p w14:paraId="0DD5E240" w14:textId="451B5D9D" w:rsidR="00E15C1A" w:rsidRPr="00A20CDC" w:rsidRDefault="00E15C1A" w:rsidP="00E15C1A">
            <w:pPr>
              <w:rPr>
                <w:rFonts w:ascii="Times New Roman" w:hAnsi="Times New Roman" w:cs="Times New Roman"/>
                <w:sz w:val="20"/>
                <w:szCs w:val="20"/>
              </w:rPr>
            </w:pPr>
            <w:r w:rsidRPr="00DB6B9B">
              <w:rPr>
                <w:rFonts w:ascii="Times New Roman" w:hAnsi="Times New Roman" w:cs="Times New Roman"/>
                <w:sz w:val="20"/>
                <w:szCs w:val="20"/>
              </w:rPr>
              <w:t>USA</w:t>
            </w:r>
            <w:r>
              <w:rPr>
                <w:rFonts w:ascii="Times New Roman" w:hAnsi="Times New Roman" w:cs="Times New Roman"/>
                <w:sz w:val="20"/>
                <w:szCs w:val="20"/>
              </w:rPr>
              <w:t xml:space="preserve"> (Kalish)</w:t>
            </w:r>
          </w:p>
        </w:tc>
        <w:tc>
          <w:tcPr>
            <w:tcW w:w="1535" w:type="dxa"/>
            <w:noWrap/>
            <w:hideMark/>
          </w:tcPr>
          <w:p w14:paraId="61556F97"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2020-06-27</w:t>
            </w:r>
          </w:p>
        </w:tc>
        <w:tc>
          <w:tcPr>
            <w:tcW w:w="995" w:type="dxa"/>
            <w:noWrap/>
            <w:hideMark/>
          </w:tcPr>
          <w:p w14:paraId="25A6D27E" w14:textId="77777777"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2020-07-04</w:t>
            </w:r>
          </w:p>
        </w:tc>
        <w:tc>
          <w:tcPr>
            <w:tcW w:w="1677" w:type="dxa"/>
            <w:noWrap/>
            <w:hideMark/>
          </w:tcPr>
          <w:p w14:paraId="0BE5EF10" w14:textId="2E36C155"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2</w:t>
            </w:r>
            <w:r>
              <w:rPr>
                <w:rFonts w:ascii="Times New Roman" w:hAnsi="Times New Roman" w:cs="Times New Roman"/>
                <w:sz w:val="20"/>
                <w:szCs w:val="20"/>
              </w:rPr>
              <w:t>.</w:t>
            </w:r>
            <w:r w:rsidRPr="00A20CDC">
              <w:rPr>
                <w:rFonts w:ascii="Times New Roman" w:hAnsi="Times New Roman" w:cs="Times New Roman"/>
                <w:sz w:val="20"/>
                <w:szCs w:val="20"/>
              </w:rPr>
              <w:t>84</w:t>
            </w:r>
          </w:p>
        </w:tc>
        <w:tc>
          <w:tcPr>
            <w:tcW w:w="1337" w:type="dxa"/>
            <w:noWrap/>
            <w:hideMark/>
          </w:tcPr>
          <w:p w14:paraId="0F10F0A3" w14:textId="703BB92A"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86</w:t>
            </w:r>
          </w:p>
        </w:tc>
        <w:tc>
          <w:tcPr>
            <w:tcW w:w="1250" w:type="dxa"/>
            <w:noWrap/>
            <w:hideMark/>
          </w:tcPr>
          <w:p w14:paraId="17EC5D0E" w14:textId="0B34E69F" w:rsidR="00E15C1A" w:rsidRPr="00A20CDC" w:rsidRDefault="00E15C1A" w:rsidP="00E15C1A">
            <w:pPr>
              <w:rPr>
                <w:rFonts w:ascii="Times New Roman" w:hAnsi="Times New Roman" w:cs="Times New Roman"/>
                <w:sz w:val="20"/>
                <w:szCs w:val="20"/>
              </w:rPr>
            </w:pPr>
            <w:r w:rsidRPr="00A20CDC">
              <w:rPr>
                <w:rFonts w:ascii="Times New Roman" w:hAnsi="Times New Roman" w:cs="Times New Roman"/>
                <w:sz w:val="20"/>
                <w:szCs w:val="20"/>
              </w:rPr>
              <w:t>1</w:t>
            </w:r>
            <w:r>
              <w:rPr>
                <w:rFonts w:ascii="Times New Roman" w:hAnsi="Times New Roman" w:cs="Times New Roman"/>
                <w:sz w:val="20"/>
                <w:szCs w:val="20"/>
              </w:rPr>
              <w:t>.</w:t>
            </w:r>
            <w:r w:rsidRPr="00A20CDC">
              <w:rPr>
                <w:rFonts w:ascii="Times New Roman" w:hAnsi="Times New Roman" w:cs="Times New Roman"/>
                <w:sz w:val="20"/>
                <w:szCs w:val="20"/>
              </w:rPr>
              <w:t>91</w:t>
            </w:r>
          </w:p>
        </w:tc>
      </w:tr>
    </w:tbl>
    <w:p w14:paraId="68CBE7D5" w14:textId="5E2C538A" w:rsidR="0019369A" w:rsidRDefault="0019369A">
      <w:pPr>
        <w:rPr>
          <w:rFonts w:ascii="Times New Roman" w:hAnsi="Times New Roman" w:cs="Times New Roman"/>
        </w:rPr>
      </w:pPr>
      <w:r w:rsidRPr="0019369A">
        <w:rPr>
          <w:rFonts w:ascii="Times New Roman" w:hAnsi="Times New Roman" w:cs="Times New Roman"/>
        </w:rPr>
        <w:t xml:space="preserve"> </w:t>
      </w:r>
      <w:r>
        <w:rPr>
          <w:rFonts w:ascii="Times New Roman" w:hAnsi="Times New Roman" w:cs="Times New Roman"/>
        </w:rPr>
        <w:br w:type="page"/>
      </w:r>
    </w:p>
    <w:p w14:paraId="03D2A423" w14:textId="77777777" w:rsidR="006A4991" w:rsidRPr="008934F1" w:rsidRDefault="006A4991">
      <w:pPr>
        <w:rPr>
          <w:rFonts w:ascii="Times New Roman" w:hAnsi="Times New Roman" w:cs="Times New Roman"/>
          <w:b/>
        </w:rPr>
      </w:pPr>
      <w:r w:rsidRPr="008934F1">
        <w:rPr>
          <w:rFonts w:ascii="Times New Roman" w:hAnsi="Times New Roman" w:cs="Times New Roman"/>
          <w:b/>
        </w:rPr>
        <w:lastRenderedPageBreak/>
        <w:t>Appendix text</w:t>
      </w:r>
    </w:p>
    <w:p w14:paraId="7A43B43C" w14:textId="77777777" w:rsidR="006A4991" w:rsidRDefault="006A4991">
      <w:pPr>
        <w:rPr>
          <w:rFonts w:ascii="Times New Roman" w:hAnsi="Times New Roman" w:cs="Times New Roman"/>
        </w:rPr>
      </w:pPr>
    </w:p>
    <w:p w14:paraId="19B13162" w14:textId="77777777" w:rsidR="00DE43F6" w:rsidRDefault="006A4991" w:rsidP="008934F1">
      <w:pPr>
        <w:ind w:firstLine="720"/>
        <w:rPr>
          <w:rFonts w:ascii="Times New Roman" w:hAnsi="Times New Roman" w:cs="Times New Roman"/>
        </w:rPr>
      </w:pPr>
      <w:r>
        <w:rPr>
          <w:rFonts w:ascii="Times New Roman" w:hAnsi="Times New Roman" w:cs="Times New Roman"/>
        </w:rPr>
        <w:t xml:space="preserve">Most of those studies reporting IFR in the elderly represent locations with the highest reported IFRs for the overall population, thus the reported IFR estimates for the elderly may also be substantially inflated versus the global experience. For example, </w:t>
      </w:r>
      <w:r w:rsidRPr="00920579">
        <w:rPr>
          <w:rFonts w:ascii="Times New Roman" w:hAnsi="Times New Roman" w:cs="Times New Roman"/>
        </w:rPr>
        <w:t xml:space="preserve">Pastor-Barriuso </w:t>
      </w:r>
      <w:r>
        <w:rPr>
          <w:rFonts w:ascii="Times New Roman" w:hAnsi="Times New Roman" w:cs="Times New Roman"/>
          <w:i/>
        </w:rPr>
        <w:t>et al</w:t>
      </w:r>
      <w:r>
        <w:rPr>
          <w:rFonts w:ascii="Times New Roman" w:hAnsi="Times New Roman" w:cs="Times New Roman"/>
        </w:rPr>
        <w:t xml:space="preserve"> </w:t>
      </w:r>
      <w:r>
        <w:rPr>
          <w:rFonts w:ascii="Times New Roman" w:hAnsi="Times New Roman" w:cs="Times New Roman"/>
        </w:rPr>
        <w:fldChar w:fldCharType="begin"/>
      </w:r>
      <w:r w:rsidR="00DE43F6">
        <w:rPr>
          <w:rFonts w:ascii="Times New Roman" w:hAnsi="Times New Roman" w:cs="Times New Roman"/>
        </w:rPr>
        <w:instrText xml:space="preserve"> ADDIN EN.CITE &lt;EndNote&gt;&lt;Cite&gt;&lt;Author&gt;Pastor-Barriuso&lt;/Author&gt;&lt;Year&gt;2020&lt;/Year&gt;&lt;RecNum&gt;1162&lt;/RecNum&gt;&lt;DisplayText&gt;(1)&lt;/DisplayText&gt;&lt;record&gt;&lt;rec-number&gt;1162&lt;/rec-number&gt;&lt;foreign-keys&gt;&lt;key app="EN" db-id="advx0rfs5tppaze5rayppxvrdv25wfs5atxz" timestamp="1622677442"&gt;1162&lt;/key&gt;&lt;/foreign-keys&gt;&lt;ref-type name="Journal Article"&gt;17&lt;/ref-type&gt;&lt;contributors&gt;&lt;authors&gt;&lt;author&gt;Pastor-Barriuso, Roberto&lt;/author&gt;&lt;author&gt;Pérez-Gómez, Beatriz&lt;/author&gt;&lt;author&gt;Hernán, Miguel A.&lt;/author&gt;&lt;author&gt;Pérez-Olmeda, Mayte&lt;/author&gt;&lt;author&gt;Yotti, Raquel&lt;/author&gt;&lt;author&gt;Oteo-Iglesias, Jesús&lt;/author&gt;&lt;author&gt;Sanmartín, Jose L.&lt;/author&gt;&lt;author&gt;León-Gómez, Inmaculada&lt;/author&gt;&lt;author&gt;Fernández-García, Aurora&lt;/author&gt;&lt;author&gt;Fernández-Navarro, Pablo&lt;/author&gt;&lt;author&gt;Cruz, Israel&lt;/author&gt;&lt;author&gt;Martín, Mariano&lt;/author&gt;&lt;author&gt;Delgado-Sanz, Concepción&lt;/author&gt;&lt;author&gt;Fernández de Larrea, Nerea&lt;/author&gt;&lt;author&gt;León Paniagua, Jose&lt;/author&gt;&lt;author&gt;Muñoz-Montalvo, Juan F.&lt;/author&gt;&lt;author&gt;Blanco, Faustino&lt;/author&gt;&lt;author&gt;Larrauri, Amparo&lt;/author&gt;&lt;author&gt;Pollán, Marina&lt;/author&gt;&lt;/authors&gt;&lt;/contributors&gt;&lt;titles&gt;&lt;title&gt;Infection fatality risk for SARS-CoV-2 in community dwelling population of Spain: nationwide seroepidemiological study&lt;/title&gt;&lt;secondary-title&gt;BMJ&lt;/secondary-title&gt;&lt;/titles&gt;&lt;periodical&gt;&lt;full-title&gt;BMJ&lt;/full-title&gt;&lt;/periodical&gt;&lt;pages&gt;m4509&lt;/pages&gt;&lt;volume&gt;371&lt;/volume&gt;&lt;dates&gt;&lt;year&gt;2020&lt;/year&gt;&lt;/dates&gt;&lt;urls&gt;&lt;related-urls&gt;&lt;url&gt;http://www.bmj.com/content/371/bmj.m4509.abstract&lt;/url&gt;&lt;/related-urls&gt;&lt;/urls&gt;&lt;electronic-resource-num&gt;10.1136/bmj.m4509&lt;/electronic-resource-num&gt;&lt;/record&gt;&lt;/Cite&gt;&lt;/EndNote&gt;</w:instrText>
      </w:r>
      <w:r>
        <w:rPr>
          <w:rFonts w:ascii="Times New Roman" w:hAnsi="Times New Roman" w:cs="Times New Roman"/>
        </w:rPr>
        <w:fldChar w:fldCharType="separate"/>
      </w:r>
      <w:r w:rsidR="00DE43F6">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r w:rsidRPr="00920579">
        <w:rPr>
          <w:rFonts w:ascii="Times New Roman" w:hAnsi="Times New Roman" w:cs="Times New Roman"/>
        </w:rPr>
        <w:t xml:space="preserve">used nationwide estimates from Spain </w:t>
      </w:r>
      <w:r>
        <w:rPr>
          <w:rFonts w:ascii="Times New Roman" w:hAnsi="Times New Roman" w:cs="Times New Roman"/>
        </w:rPr>
        <w:fldChar w:fldCharType="begin">
          <w:fldData xml:space="preserve">PEVuZE5vdGU+PENpdGU+PEF1dGhvcj5Qb2xsw6FuPC9BdXRob3I+PFllYXI+MjAyMDwvWWVhcj48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NTM1LTU0NDwvcGFnZXM+PHZvbHVtZT4zOTY8L3ZvbHVtZT48bnVtYmVyPjEwMjUwPC9udW1iZXI+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</w:fldData>
        </w:fldChar>
      </w:r>
      <w:r w:rsidR="00DE43F6">
        <w:rPr>
          <w:rFonts w:ascii="Times New Roman" w:hAnsi="Times New Roman" w:cs="Times New Roman"/>
        </w:rPr>
        <w:instrText xml:space="preserve"> ADDIN EN.CITE </w:instrText>
      </w:r>
      <w:r w:rsidR="00DE43F6">
        <w:rPr>
          <w:rFonts w:ascii="Times New Roman" w:hAnsi="Times New Roman" w:cs="Times New Roman"/>
        </w:rPr>
        <w:fldChar w:fldCharType="begin">
          <w:fldData xml:space="preserve">PEVuZE5vdGU+PENpdGU+PEF1dGhvcj5Qb2xsw6FuPC9BdXRob3I+PFllYXI+MjAyMDwvWWVhcj48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NTM1LTU0NDwvcGFnZXM+PHZvbHVtZT4zOTY8L3ZvbHVtZT48bnVtYmVyPjEwMjUwPC9udW1iZXI+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</w:fldData>
        </w:fldChar>
      </w:r>
      <w:r w:rsidR="00DE43F6">
        <w:rPr>
          <w:rFonts w:ascii="Times New Roman" w:hAnsi="Times New Roman" w:cs="Times New Roman"/>
        </w:rPr>
        <w:instrText xml:space="preserve"> ADDIN EN.CITE.DATA </w:instrText>
      </w:r>
      <w:r w:rsidR="00DE43F6">
        <w:rPr>
          <w:rFonts w:ascii="Times New Roman" w:hAnsi="Times New Roman" w:cs="Times New Roman"/>
        </w:rPr>
      </w:r>
      <w:r w:rsidR="00DE43F6">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DE43F6">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w:t>
      </w:r>
      <w:r w:rsidRPr="00920579">
        <w:rPr>
          <w:rFonts w:ascii="Times New Roman" w:hAnsi="Times New Roman" w:cs="Times New Roman"/>
        </w:rPr>
        <w:t xml:space="preserve">to calculate </w:t>
      </w:r>
      <w:r>
        <w:rPr>
          <w:rFonts w:ascii="Times New Roman" w:hAnsi="Times New Roman" w:cs="Times New Roman"/>
        </w:rPr>
        <w:t xml:space="preserve">the </w:t>
      </w:r>
      <w:r w:rsidRPr="00920579">
        <w:rPr>
          <w:rFonts w:ascii="Times New Roman" w:hAnsi="Times New Roman" w:cs="Times New Roman"/>
        </w:rPr>
        <w:t xml:space="preserve">IFR in community-dwelling persons, reporting an IFR in individuals 70-79 years old of 4.96% and in those 80 years or older of 11.6% using confirmed COVID-19 deaths. </w:t>
      </w:r>
      <w:r>
        <w:rPr>
          <w:rFonts w:ascii="Times New Roman" w:hAnsi="Times New Roman" w:cs="Times New Roman"/>
        </w:rPr>
        <w:t>T</w:t>
      </w:r>
      <w:r w:rsidRPr="00920579">
        <w:rPr>
          <w:rFonts w:ascii="Times New Roman" w:hAnsi="Times New Roman" w:cs="Times New Roman"/>
        </w:rPr>
        <w:t xml:space="preserve">he estimates did not exclude deaths of nursing home residents that occurred in hospitals. </w:t>
      </w:r>
      <w:r>
        <w:rPr>
          <w:rFonts w:ascii="Times New Roman" w:hAnsi="Times New Roman" w:cs="Times New Roman"/>
        </w:rPr>
        <w:t xml:space="preserve">Molenberghs </w:t>
      </w:r>
      <w:r w:rsidRPr="003F2C1F">
        <w:rPr>
          <w:rFonts w:ascii="Times New Roman" w:hAnsi="Times New Roman" w:cs="Times New Roman"/>
          <w:i/>
        </w:rPr>
        <w:t>et al</w:t>
      </w:r>
      <w:r>
        <w:rPr>
          <w:rFonts w:ascii="Times New Roman" w:hAnsi="Times New Roman" w:cs="Times New Roman"/>
        </w:rPr>
        <w:t xml:space="preserve"> </w:t>
      </w:r>
      <w:r>
        <w:rPr>
          <w:rFonts w:ascii="Times New Roman" w:hAnsi="Times New Roman" w:cs="Times New Roman"/>
        </w:rPr>
        <w:fldChar w:fldCharType="begin"/>
      </w:r>
      <w:r w:rsidR="00DE43F6">
        <w:rPr>
          <w:rFonts w:ascii="Times New Roman" w:hAnsi="Times New Roman" w:cs="Times New Roman"/>
        </w:rPr>
        <w:instrText xml:space="preserve"> ADDIN EN.CITE &lt;EndNote&gt;&lt;Cite&gt;&lt;Author&gt;Molenberghs&lt;/Author&gt;&lt;Year&gt;2020&lt;/Year&gt;&lt;RecNum&gt;1169&lt;/RecNum&gt;&lt;DisplayText&gt;(3)&lt;/DisplayText&gt;&lt;record&gt;&lt;rec-number&gt;1169&lt;/rec-number&gt;&lt;foreign-keys&gt;&lt;key app="EN" db-id="advx0rfs5tppaze5rayppxvrdv25wfs5atxz" timestamp="1622763479"&gt;1169&lt;/key&gt;&lt;/foreign-keys&gt;&lt;ref-type name="Journal Article"&gt;17&lt;/ref-type&gt;&lt;contributors&gt;&lt;authors&gt;&lt;author&gt;Molenberghs, Geert&lt;/author&gt;&lt;author&gt;Faes, Christel&lt;/author&gt;&lt;author&gt;Verbeeck, Johan&lt;/author&gt;&lt;author&gt;Deboosere, Patrick&lt;/author&gt;&lt;author&gt;Abrams, Steven&lt;/author&gt;&lt;author&gt;Willem, Lander&lt;/author&gt;&lt;author&gt;Aerts, Jan&lt;/author&gt;&lt;author&gt;Theeten, Heidi&lt;/author&gt;&lt;author&gt;Devleesschauwer, Brecht&lt;/author&gt;&lt;author&gt;Sierra, Natalia Bustos&lt;/author&gt;&lt;author&gt;Renard, Françoise&lt;/author&gt;&lt;author&gt;Herzog, Sereina&lt;/author&gt;&lt;author&gt;Lusyne, Patrick&lt;/author&gt;&lt;author&gt;Van der Heyden, Johan&lt;/author&gt;&lt;author&gt;Van Oyen, Herman&lt;/author&gt;&lt;author&gt;Van Damme, Pierre&lt;/author&gt;&lt;author&gt;Hens, Niel&lt;/author&gt;&lt;/authors&gt;&lt;/contributors&gt;&lt;titles&gt;&lt;title&gt;Belgian COVID-19 Mortality, Excess Deaths, Number of Deaths per Million, and Infection Fatality Rates (9 March — 28 June 2020)&lt;/title&gt;&lt;secondary-title&gt;medRxiv&lt;/secondary-title&gt;&lt;/titles&gt;&lt;periodical&gt;&lt;full-title&gt;medRxiv&lt;/full-title&gt;&lt;/periodical&gt;&lt;pages&gt;2020.06.20.20136234&lt;/pages&gt;&lt;dates&gt;&lt;year&gt;2020&lt;/year&gt;&lt;/dates&gt;&lt;urls&gt;&lt;related-urls&gt;&lt;url&gt;http://medrxiv.org/content/early/2020/12/08/2020.06.20.20136234.abstract&lt;/url&gt;&lt;/related-urls&gt;&lt;/urls&gt;&lt;electronic-resource-num&gt;10.1101/2020.06.20.20136234&lt;/electronic-resource-num&gt;&lt;/record&gt;&lt;/Cite&gt;&lt;/EndNote&gt;</w:instrText>
      </w:r>
      <w:r>
        <w:rPr>
          <w:rFonts w:ascii="Times New Roman" w:hAnsi="Times New Roman" w:cs="Times New Roman"/>
        </w:rPr>
        <w:fldChar w:fldCharType="separate"/>
      </w:r>
      <w:r w:rsidR="00DE43F6">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 xml:space="preserve"> used a statistical model based on seroprevalence </w:t>
      </w:r>
      <w:r>
        <w:rPr>
          <w:rFonts w:ascii="Times New Roman" w:hAnsi="Times New Roman" w:cs="Times New Roman"/>
        </w:rPr>
        <w:fldChar w:fldCharType="begin"/>
      </w:r>
      <w:r w:rsidR="00DE43F6">
        <w:rPr>
          <w:rFonts w:ascii="Times New Roman" w:hAnsi="Times New Roman" w:cs="Times New Roman"/>
        </w:rPr>
        <w:instrText xml:space="preserve"> ADDIN EN.CITE &lt;EndNote&gt;&lt;Cite&gt;&lt;Author&gt;Herzog&lt;/Author&gt;&lt;Year&gt;2021&lt;/Year&gt;&lt;RecNum&gt;1136&lt;/RecNum&gt;&lt;DisplayText&gt;(4)&lt;/DisplayText&gt;&lt;record&gt;&lt;rec-number&gt;1136&lt;/rec-number&gt;&lt;foreign-keys&gt;&lt;key app="EN" db-id="advx0rfs5tppaze5rayppxvrdv25wfs5atxz" timestamp="1621404786"&gt;1136&lt;/key&gt;&lt;/foreign-keys&gt;&lt;ref-type name="Journal Article"&gt;17&lt;/ref-type&gt;&lt;contributors&gt;&lt;authors&gt;&lt;author&gt;Herzog, Sereina&lt;/author&gt;&lt;author&gt;De Bie, Jessie&lt;/author&gt;&lt;author&gt;Abrams, Steven&lt;/author&gt;&lt;author&gt;Wouters, Ine&lt;/author&gt;&lt;author&gt;Ekinci, Esra&lt;/author&gt;&lt;author&gt;Patteet, Lisbeth&lt;/author&gt;&lt;author&gt;Coppens, Astrid&lt;/author&gt;&lt;author&gt;De Spiegeleer, Sandy&lt;/author&gt;&lt;author&gt;Beutels, Philippe&lt;/author&gt;&lt;author&gt;Van Damme, Pierre&lt;/author&gt;&lt;author&gt;Hens, Niel&lt;/author&gt;&lt;author&gt;Theeten, Heidi&lt;/author&gt;&lt;/authors&gt;&lt;/contributors&gt;&lt;titles&gt;&lt;title&gt;Seroprevalence of IgG antibodies against SARS coronavirus 2 in Belgium – a serial prospective cross-sectional nationwide study of residual samples&lt;/title&gt;&lt;secondary-title&gt;medRxiv&lt;/secondary-title&gt;&lt;/titles&gt;&lt;periodical&gt;&lt;full-title&gt;medRxiv&lt;/full-title&gt;&lt;/periodical&gt;&lt;pages&gt;2020.06.08.20125179&lt;/pages&gt;&lt;dates&gt;&lt;year&gt;2021&lt;/year&gt;&lt;/dates&gt;&lt;urls&gt;&lt;related-urls&gt;&lt;url&gt;http://medrxiv.org/content/early/2021/04/07/2020.06.08.20125179.abstract&lt;/url&gt;&lt;/related-urls&gt;&lt;/urls&gt;&lt;electronic-resource-num&gt;10.1101/2020.06.08.20125179&lt;/electronic-resource-num&gt;&lt;/record&gt;&lt;/Cite&gt;&lt;/EndNote&gt;</w:instrText>
      </w:r>
      <w:r>
        <w:rPr>
          <w:rFonts w:ascii="Times New Roman" w:hAnsi="Times New Roman" w:cs="Times New Roman"/>
        </w:rPr>
        <w:fldChar w:fldCharType="separate"/>
      </w:r>
      <w:r w:rsidR="00DE43F6">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and granular national data from Belgium to estimate IFRs for the community-dwelling at 1.2% for individuals 70-79 years, 1.0% for 80-89 years, and 2.4% for 90 years or older (slightly lower than our estimates). </w:t>
      </w:r>
      <w:r w:rsidRPr="00920579">
        <w:rPr>
          <w:rFonts w:ascii="Times New Roman" w:hAnsi="Times New Roman" w:cs="Times New Roman"/>
        </w:rPr>
        <w:t xml:space="preserve">Blackburn </w:t>
      </w:r>
      <w:r w:rsidRPr="00671A20">
        <w:rPr>
          <w:rFonts w:ascii="Times New Roman" w:hAnsi="Times New Roman" w:cs="Times New Roman"/>
          <w:i/>
        </w:rPr>
        <w:t>et al</w:t>
      </w:r>
      <w:r w:rsidRPr="00920579">
        <w:rPr>
          <w:rFonts w:ascii="Times New Roman" w:hAnsi="Times New Roman" w:cs="Times New Roman"/>
        </w:rPr>
        <w:t xml:space="preserve"> </w:t>
      </w:r>
      <w:r>
        <w:rPr>
          <w:rFonts w:ascii="Times New Roman" w:hAnsi="Times New Roman" w:cs="Times New Roman"/>
        </w:rPr>
        <w:fldChar w:fldCharType="begin"/>
      </w:r>
      <w:r w:rsidR="00DE43F6">
        <w:rPr>
          <w:rFonts w:ascii="Times New Roman" w:hAnsi="Times New Roman" w:cs="Times New Roman"/>
        </w:rPr>
        <w:instrText xml:space="preserve"> ADDIN EN.CITE &lt;EndNote&gt;&lt;Cite&gt;&lt;Author&gt;Blackburn&lt;/Author&gt;&lt;Year&gt;2020&lt;/Year&gt;&lt;RecNum&gt;1132&lt;/RecNum&gt;&lt;DisplayText&gt;(5)&lt;/DisplayText&gt;&lt;record&gt;&lt;rec-number&gt;1132&lt;/rec-number&gt;&lt;foreign-keys&gt;&lt;key app="EN" db-id="advx0rfs5tppaze5rayppxvrdv25wfs5atxz" timestamp="1621403708"&gt;1132&lt;/key&gt;&lt;/foreign-keys&gt;&lt;ref-type name="Journal Article"&gt;17&lt;/ref-type&gt;&lt;contributors&gt;&lt;authors&gt;&lt;author&gt;Blackburn, Justin&lt;/author&gt;&lt;author&gt;Yiannoutsos, Constantin T.&lt;/author&gt;&lt;author&gt;Carroll, Aaron E.&lt;/author&gt;&lt;author&gt;Halverson, Paul K.&lt;/author&gt;&lt;author&gt;Menachemi, Nir&lt;/author&gt;&lt;/authors&gt;&lt;/contributors&gt;&lt;titles&gt;&lt;title&gt;Infection Fatality Ratios for COVID-19 Among Noninstitutionalized Persons 12 and Older: Results of a Random-Sample Prevalence Study&lt;/title&gt;&lt;secondary-title&gt;Annals of Internal Medicine&lt;/secondary-title&gt;&lt;/titles&gt;&lt;periodical&gt;&lt;full-title&gt;Ann Intern Med&lt;/full-title&gt;&lt;abbr-1&gt;Annals of internal medicine&lt;/abbr-1&gt;&lt;/periodical&gt;&lt;pages&gt;135-136&lt;/pages&gt;&lt;volume&gt;174&lt;/volume&gt;&lt;number&gt;1&lt;/number&gt;&lt;dates&gt;&lt;year&gt;2020&lt;/year&gt;&lt;pub-dates&gt;&lt;date&gt;2021/01/19&lt;/date&gt;&lt;/pub-dates&gt;&lt;/dates&gt;&lt;publisher&gt;American College of Physicians&lt;/publisher&gt;&lt;isbn&gt;0003-4819&lt;/isbn&gt;&lt;urls&gt;&lt;related-urls&gt;&lt;url&gt;https://doi.org/10.7326/M20-5352&lt;/url&gt;&lt;/related-urls&gt;&lt;/urls&gt;&lt;electronic-resource-num&gt;10.7326/M20-5352&lt;/electronic-resource-num&gt;&lt;access-date&gt;2021/05/18&lt;/access-date&gt;&lt;/record&gt;&lt;/Cite&gt;&lt;/EndNote&gt;</w:instrText>
      </w:r>
      <w:r>
        <w:rPr>
          <w:rFonts w:ascii="Times New Roman" w:hAnsi="Times New Roman" w:cs="Times New Roman"/>
        </w:rPr>
        <w:fldChar w:fldCharType="separate"/>
      </w:r>
      <w:r w:rsidR="00DE43F6">
        <w:rPr>
          <w:rFonts w:ascii="Times New Roman" w:hAnsi="Times New Roman" w:cs="Times New Roman"/>
          <w:noProof/>
        </w:rPr>
        <w:t>(5)</w:t>
      </w:r>
      <w:r>
        <w:rPr>
          <w:rFonts w:ascii="Times New Roman" w:hAnsi="Times New Roman" w:cs="Times New Roman"/>
        </w:rPr>
        <w:fldChar w:fldCharType="end"/>
      </w:r>
      <w:r>
        <w:rPr>
          <w:rFonts w:ascii="Times New Roman" w:hAnsi="Times New Roman" w:cs="Times New Roman"/>
        </w:rPr>
        <w:t xml:space="preserve"> </w:t>
      </w:r>
      <w:r w:rsidRPr="00920579">
        <w:rPr>
          <w:rFonts w:ascii="Times New Roman" w:hAnsi="Times New Roman" w:cs="Times New Roman"/>
        </w:rPr>
        <w:t>calculated the IFR in Indiana, USA, at 1.71% for community-dwelling persons aged 60 years or older</w:t>
      </w:r>
      <w:r>
        <w:rPr>
          <w:rFonts w:ascii="Times New Roman" w:hAnsi="Times New Roman" w:cs="Times New Roman"/>
        </w:rPr>
        <w:t xml:space="preserve">. The seroprevalence study used as basis for these calculations </w:t>
      </w:r>
      <w:r>
        <w:rPr>
          <w:rFonts w:ascii="Times New Roman" w:hAnsi="Times New Roman" w:cs="Times New Roman"/>
        </w:rPr>
        <w:fldChar w:fldCharType="begin"/>
      </w:r>
      <w:r w:rsidR="00DE43F6">
        <w:rPr>
          <w:rFonts w:ascii="Times New Roman" w:hAnsi="Times New Roman" w:cs="Times New Roman"/>
        </w:rPr>
        <w:instrText xml:space="preserve"> ADDIN EN.CITE &lt;EndNote&gt;&lt;Cite&gt;&lt;Author&gt;Menachemi&lt;/Author&gt;&lt;Year&gt;2020&lt;/Year&gt;&lt;RecNum&gt;1166&lt;/RecNum&gt;&lt;DisplayText&gt;(6)&lt;/DisplayText&gt;&lt;record&gt;&lt;rec-number&gt;1166&lt;/rec-number&gt;&lt;foreign-keys&gt;&lt;key app="EN" db-id="advx0rfs5tppaze5rayppxvrdv25wfs5atxz" timestamp="1622758232"&gt;1166&lt;/key&gt;&lt;/foreign-keys&gt;&lt;ref-type name="Journal Article"&gt;17&lt;/ref-type&gt;&lt;contributors&gt;&lt;authors&gt;&lt;author&gt;Menachemi, N&lt;/author&gt;&lt;author&gt;Yiannoutsos, CT&lt;/author&gt;&lt;author&gt;Dixon BT,&lt;/author&gt;&lt;author&gt;et al,&lt;/author&gt;&lt;/authors&gt;&lt;/contributors&gt;&lt;titles&gt;&lt;title&gt;Population Point Prevalence of SARS-CoV-2 Infection Based on a Statewide Random Sample — Indiana, April 25–29, 2020&lt;/title&gt;&lt;secondary-title&gt;MMWR Morb Mortal Wkly Rep&lt;/secondary-title&gt;&lt;/titles&gt;&lt;periodical&gt;&lt;full-title&gt;MMWR Morb Mortal Wkly Rep&lt;/full-title&gt;&lt;abbr-1&gt;MMWR. Morbidity and mortality weekly report&lt;/abbr-1&gt;&lt;/periodical&gt;&lt;volume&gt;69:960-964&lt;/volume&gt;&lt;dates&gt;&lt;year&gt;2020&lt;/year&gt;&lt;/dates&gt;&lt;urls&gt;&lt;/urls&gt;&lt;electronic-resource-num&gt;http://dx.doi.org/10.15585/mmwr.mm6929e1&lt;/electronic-resource-num&gt;&lt;/record&gt;&lt;/Cite&gt;&lt;/EndNote&gt;</w:instrText>
      </w:r>
      <w:r>
        <w:rPr>
          <w:rFonts w:ascii="Times New Roman" w:hAnsi="Times New Roman" w:cs="Times New Roman"/>
        </w:rPr>
        <w:fldChar w:fldCharType="separate"/>
      </w:r>
      <w:r w:rsidR="00DE43F6">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xml:space="preserve"> was later updated by the same team using </w:t>
      </w:r>
      <w:r w:rsidRPr="0038247A">
        <w:rPr>
          <w:rFonts w:ascii="Times New Roman" w:hAnsi="Times New Roman" w:cs="Times New Roman"/>
        </w:rPr>
        <w:t xml:space="preserve">statistical methods to address </w:t>
      </w:r>
      <w:r>
        <w:rPr>
          <w:rFonts w:ascii="Times New Roman" w:hAnsi="Times New Roman" w:cs="Times New Roman"/>
        </w:rPr>
        <w:t>“</w:t>
      </w:r>
      <w:r w:rsidRPr="0038247A">
        <w:rPr>
          <w:rFonts w:ascii="Times New Roman" w:hAnsi="Times New Roman" w:cs="Times New Roman"/>
        </w:rPr>
        <w:t>nonresponse among various demographic groups and to adjust for testing errors to reduce bias in the estimates of the overall disease prevalence</w:t>
      </w:r>
      <w:r>
        <w:rPr>
          <w:rFonts w:ascii="Times New Roman" w:hAnsi="Times New Roman" w:cs="Times New Roman"/>
        </w:rPr>
        <w:t xml:space="preserve">”, resulting in an upweighting of individuals identifying as Black or “Other (including multiracial)” non-white, or with Hispanic ethnicity, and an overall seroprevalence of 3.6% instead of 2.8% </w:t>
      </w:r>
      <w:r>
        <w:rPr>
          <w:rFonts w:ascii="Times New Roman" w:hAnsi="Times New Roman" w:cs="Times New Roman"/>
        </w:rPr>
        <w:fldChar w:fldCharType="begin"/>
      </w:r>
      <w:r w:rsidR="00DE43F6">
        <w:rPr>
          <w:rFonts w:ascii="Times New Roman" w:hAnsi="Times New Roman" w:cs="Times New Roman"/>
        </w:rPr>
        <w:instrText xml:space="preserve"> ADDIN EN.CITE &lt;EndNote&gt;&lt;Cite&gt;&lt;Author&gt;Yiannoutsos&lt;/Author&gt;&lt;Year&gt;2021&lt;/Year&gt;&lt;RecNum&gt;1167&lt;/RecNum&gt;&lt;DisplayText&gt;(7)&lt;/DisplayText&gt;&lt;record&gt;&lt;rec-number&gt;1167&lt;/rec-number&gt;&lt;foreign-keys&gt;&lt;key app="EN" db-id="advx0rfs5tppaze5rayppxvrdv25wfs5atxz" timestamp="1622758288"&gt;1167&lt;/key&gt;&lt;/foreign-keys&gt;&lt;ref-type name="Journal Article"&gt;17&lt;/ref-type&gt;&lt;contributors&gt;&lt;authors&gt;&lt;author&gt;Yiannoutsos, Constantin T.&lt;/author&gt;&lt;author&gt;Halverson, Paul K.&lt;/author&gt;&lt;author&gt;Menachemi, Nir&lt;/author&gt;&lt;/authors&gt;&lt;/contributors&gt;&lt;titles&gt;&lt;title&gt;Bayesian estimation of SARS-CoV-2 prevalence in Indiana by random testing&lt;/title&gt;&lt;secondary-title&gt;Proceedings of the National Academy of Sciences&lt;/secondary-title&gt;&lt;/titles&gt;&lt;periodical&gt;&lt;full-title&gt;Proceedings of the National Academy of Sciences&lt;/full-title&gt;&lt;/periodical&gt;&lt;pages&gt;e2013906118&lt;/pages&gt;&lt;volume&gt;118&lt;/volume&gt;&lt;number&gt;5&lt;/number&gt;&lt;dates&gt;&lt;year&gt;2021&lt;/year&gt;&lt;/dates&gt;&lt;urls&gt;&lt;related-urls&gt;&lt;url&gt;http://www.pnas.org/content/118/5/e2013906118.abstract&lt;/url&gt;&lt;/related-urls&gt;&lt;/urls&gt;&lt;electronic-resource-num&gt;10.1073/pnas.2013906118&lt;/electronic-resource-num&gt;&lt;/record&gt;&lt;/Cite&gt;&lt;/EndNote&gt;</w:instrText>
      </w:r>
      <w:r>
        <w:rPr>
          <w:rFonts w:ascii="Times New Roman" w:hAnsi="Times New Roman" w:cs="Times New Roman"/>
        </w:rPr>
        <w:fldChar w:fldCharType="separate"/>
      </w:r>
      <w:r w:rsidR="00DE43F6">
        <w:rPr>
          <w:rFonts w:ascii="Times New Roman" w:hAnsi="Times New Roman" w:cs="Times New Roman"/>
          <w:noProof/>
        </w:rPr>
        <w:t>(7)</w:t>
      </w:r>
      <w:r>
        <w:rPr>
          <w:rFonts w:ascii="Times New Roman" w:hAnsi="Times New Roman" w:cs="Times New Roman"/>
        </w:rPr>
        <w:fldChar w:fldCharType="end"/>
      </w:r>
      <w:r>
        <w:rPr>
          <w:rFonts w:ascii="Times New Roman" w:hAnsi="Times New Roman" w:cs="Times New Roman"/>
        </w:rPr>
        <w:t>.</w:t>
      </w:r>
      <w:r w:rsidRPr="00920579">
        <w:rPr>
          <w:rFonts w:ascii="Times New Roman" w:hAnsi="Times New Roman" w:cs="Times New Roman"/>
        </w:rPr>
        <w:t xml:space="preserve"> </w:t>
      </w:r>
      <w:r>
        <w:rPr>
          <w:rFonts w:ascii="Times New Roman" w:hAnsi="Times New Roman" w:cs="Times New Roman"/>
        </w:rPr>
        <w:t xml:space="preserve">Overall, the Indiana results are quite consistent with our estimates. Conversely, </w:t>
      </w:r>
      <w:r w:rsidRPr="00920579">
        <w:rPr>
          <w:rFonts w:ascii="Times New Roman" w:hAnsi="Times New Roman" w:cs="Times New Roman"/>
        </w:rPr>
        <w:t xml:space="preserve">Mahajan </w:t>
      </w:r>
      <w:r w:rsidRPr="00671A20">
        <w:rPr>
          <w:rFonts w:ascii="Times New Roman" w:hAnsi="Times New Roman" w:cs="Times New Roman"/>
          <w:i/>
        </w:rPr>
        <w:t>et al</w:t>
      </w:r>
      <w:r w:rsidRPr="00920579">
        <w:rPr>
          <w:rFonts w:ascii="Times New Roman" w:hAnsi="Times New Roman" w:cs="Times New Roman"/>
        </w:rPr>
        <w:t xml:space="preserve"> </w:t>
      </w:r>
      <w:r>
        <w:rPr>
          <w:rFonts w:ascii="Times New Roman" w:hAnsi="Times New Roman" w:cs="Times New Roman"/>
        </w:rPr>
        <w:fldChar w:fldCharType="begin">
          <w:fldData xml:space="preserve">PEVuZE5vdGU+PENpdGU+PEF1dGhvcj5NYWhhamFuPC9BdXRob3I+PFllYXI+MjAyMTwvWWVhcj48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</w:fldData>
        </w:fldChar>
      </w:r>
      <w:r w:rsidR="00DE43F6">
        <w:rPr>
          <w:rFonts w:ascii="Times New Roman" w:hAnsi="Times New Roman" w:cs="Times New Roman"/>
        </w:rPr>
        <w:instrText xml:space="preserve"> ADDIN EN.CITE </w:instrText>
      </w:r>
      <w:r w:rsidR="00DE43F6">
        <w:rPr>
          <w:rFonts w:ascii="Times New Roman" w:hAnsi="Times New Roman" w:cs="Times New Roman"/>
        </w:rPr>
        <w:fldChar w:fldCharType="begin">
          <w:fldData xml:space="preserve">PEVuZE5vdGU+PENpdGU+PEF1dGhvcj5NYWhhamFuPC9BdXRob3I+PFllYXI+MjAyMTwvWWVhcj48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</w:fldData>
        </w:fldChar>
      </w:r>
      <w:r w:rsidR="00DE43F6">
        <w:rPr>
          <w:rFonts w:ascii="Times New Roman" w:hAnsi="Times New Roman" w:cs="Times New Roman"/>
        </w:rPr>
        <w:instrText xml:space="preserve"> ADDIN EN.CITE.DATA </w:instrText>
      </w:r>
      <w:r w:rsidR="00DE43F6">
        <w:rPr>
          <w:rFonts w:ascii="Times New Roman" w:hAnsi="Times New Roman" w:cs="Times New Roman"/>
        </w:rPr>
      </w:r>
      <w:r w:rsidR="00DE43F6">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DE43F6">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 xml:space="preserve"> </w:t>
      </w:r>
      <w:r w:rsidRPr="00920579">
        <w:rPr>
          <w:rFonts w:ascii="Times New Roman" w:hAnsi="Times New Roman" w:cs="Times New Roman"/>
        </w:rPr>
        <w:t>report the IFR in Connecticut, USA, at 16.46% for commun</w:t>
      </w:r>
      <w:r>
        <w:rPr>
          <w:rFonts w:ascii="Times New Roman" w:hAnsi="Times New Roman" w:cs="Times New Roman"/>
        </w:rPr>
        <w:t>ity-dwelling persons 65 years or older</w:t>
      </w:r>
      <w:r w:rsidRPr="00920579">
        <w:rPr>
          <w:rFonts w:ascii="Times New Roman" w:hAnsi="Times New Roman" w:cs="Times New Roman"/>
        </w:rPr>
        <w:t>.</w:t>
      </w:r>
      <w:r>
        <w:rPr>
          <w:rFonts w:ascii="Times New Roman" w:hAnsi="Times New Roman" w:cs="Times New Roman"/>
        </w:rPr>
        <w:t xml:space="preserve"> This estimate depends on seroprevalence data for very few </w:t>
      </w:r>
      <w:r w:rsidRPr="0069252D">
        <w:rPr>
          <w:rFonts w:ascii="Times New Roman" w:hAnsi="Times New Roman" w:cs="Times New Roman"/>
        </w:rPr>
        <w:t>people &gt;65 (n=187</w:t>
      </w:r>
      <w:r w:rsidRPr="0069252D">
        <w:rPr>
          <w:rFonts w:ascii="Times New Roman" w:hAnsi="Times New Roman" w:cs="Times New Roman"/>
        </w:rPr>
        <w:softHyphen/>
        <w:t>) and</w:t>
      </w:r>
      <w:r>
        <w:rPr>
          <w:rFonts w:ascii="Times New Roman" w:hAnsi="Times New Roman" w:cs="Times New Roman"/>
        </w:rPr>
        <w:t xml:space="preserve"> the seroprevalence estimate of 0.8% </w:t>
      </w:r>
      <w:r w:rsidRPr="0069252D">
        <w:rPr>
          <w:rFonts w:ascii="Times New Roman" w:hAnsi="Times New Roman" w:cs="Times New Roman"/>
        </w:rPr>
        <w:t>is 5 times lower</w:t>
      </w:r>
      <w:r>
        <w:rPr>
          <w:rFonts w:ascii="Times New Roman" w:hAnsi="Times New Roman" w:cs="Times New Roman"/>
        </w:rPr>
        <w:t xml:space="preserve"> than the average population seroprevalence and has a large standard error (SD, 1.2%). This IFR is therefore likely to be a markedly inflated over-estimate.   </w:t>
      </w:r>
      <w:r w:rsidR="000C41D0">
        <w:rPr>
          <w:rFonts w:ascii="Times New Roman" w:hAnsi="Times New Roman" w:cs="Times New Roman"/>
        </w:rPr>
        <w:fldChar w:fldCharType="begin"/>
      </w:r>
      <w:r w:rsidR="000C41D0">
        <w:rPr>
          <w:rFonts w:ascii="Times New Roman" w:hAnsi="Times New Roman" w:cs="Times New Roman"/>
        </w:rPr>
        <w:instrText xml:space="preserve"> ADDIN </w:instrText>
      </w:r>
      <w:r w:rsidR="000C41D0">
        <w:rPr>
          <w:rFonts w:ascii="Times New Roman" w:hAnsi="Times New Roman" w:cs="Times New Roman"/>
        </w:rPr>
        <w:fldChar w:fldCharType="end"/>
      </w:r>
    </w:p>
    <w:p w14:paraId="094FF3AE" w14:textId="77777777" w:rsidR="00DE43F6" w:rsidRDefault="00DE43F6" w:rsidP="00DE43F6">
      <w:pPr>
        <w:rPr>
          <w:rFonts w:ascii="Times New Roman" w:hAnsi="Times New Roman" w:cs="Times New Roman"/>
        </w:rPr>
      </w:pPr>
    </w:p>
    <w:p w14:paraId="663EACB0" w14:textId="77777777" w:rsidR="00DE43F6" w:rsidRPr="00DE43F6" w:rsidRDefault="00DE43F6" w:rsidP="00DE43F6">
      <w:pPr>
        <w:pStyle w:val="EndNoteBibliography"/>
        <w:rPr>
          <w:noProof/>
        </w:rPr>
      </w:pPr>
      <w:r>
        <w:fldChar w:fldCharType="begin"/>
      </w:r>
      <w:r>
        <w:instrText xml:space="preserve"> ADDIN EN.REFLIST </w:instrText>
      </w:r>
      <w:r>
        <w:fldChar w:fldCharType="separate"/>
      </w:r>
      <w:r w:rsidRPr="00DE43F6">
        <w:rPr>
          <w:noProof/>
        </w:rPr>
        <w:t>1.</w:t>
      </w:r>
      <w:r w:rsidRPr="00DE43F6">
        <w:rPr>
          <w:noProof/>
        </w:rPr>
        <w:tab/>
        <w:t>Pastor-Barriuso R, Pérez-Gómez B, Hernán MA, Pérez-Olmeda M, Yotti R, Oteo-Iglesias J, et al. Infection fatality risk for SARS-CoV-2 in community dwelling population of Spain: nationwide seroepidemiological study. BMJ. 2020;371:m4509.</w:t>
      </w:r>
    </w:p>
    <w:p w14:paraId="04950D0C" w14:textId="77777777" w:rsidR="00DE43F6" w:rsidRPr="00DE43F6" w:rsidRDefault="00DE43F6" w:rsidP="00DE43F6">
      <w:pPr>
        <w:pStyle w:val="EndNoteBibliography"/>
        <w:rPr>
          <w:noProof/>
        </w:rPr>
      </w:pPr>
      <w:r w:rsidRPr="00DE43F6">
        <w:rPr>
          <w:noProof/>
        </w:rPr>
        <w:t>2.</w:t>
      </w:r>
      <w:r w:rsidRPr="00DE43F6">
        <w:rPr>
          <w:noProof/>
        </w:rPr>
        <w:tab/>
        <w:t>Pollán M, Pérez-Gómez B, Pastor-Barriuso R, Oteo J, Hernán MA, Pérez-Olmeda M, et al. Prevalence of SARS-CoV-2 in Spain (ENE-COVID): a nationwide, population-based seroepidemiological study. Lancet (London, England). 2020;396(10250):535-44.</w:t>
      </w:r>
    </w:p>
    <w:p w14:paraId="3ED25975" w14:textId="77777777" w:rsidR="00DE43F6" w:rsidRPr="00DE43F6" w:rsidRDefault="00DE43F6" w:rsidP="00DE43F6">
      <w:pPr>
        <w:pStyle w:val="EndNoteBibliography"/>
        <w:rPr>
          <w:noProof/>
        </w:rPr>
      </w:pPr>
      <w:r w:rsidRPr="00DE43F6">
        <w:rPr>
          <w:noProof/>
        </w:rPr>
        <w:t>3.</w:t>
      </w:r>
      <w:r w:rsidRPr="00DE43F6">
        <w:rPr>
          <w:noProof/>
        </w:rPr>
        <w:tab/>
        <w:t>Molenberghs G, Faes C, Verbeeck J, Deboosere P, Abrams S, Willem L, et al. Belgian COVID-19 Mortality, Excess Deaths, Number of Deaths per Million, and Infection Fatality Rates (9 March — 28 June 2020). medRxiv. 2020:2020.06.20.20136234.</w:t>
      </w:r>
    </w:p>
    <w:p w14:paraId="0D8A76A1" w14:textId="77777777" w:rsidR="00DE43F6" w:rsidRPr="00DE43F6" w:rsidRDefault="00DE43F6" w:rsidP="00DE43F6">
      <w:pPr>
        <w:pStyle w:val="EndNoteBibliography"/>
        <w:rPr>
          <w:noProof/>
        </w:rPr>
      </w:pPr>
      <w:r w:rsidRPr="00DE43F6">
        <w:rPr>
          <w:noProof/>
        </w:rPr>
        <w:t>4.</w:t>
      </w:r>
      <w:r w:rsidRPr="00DE43F6">
        <w:rPr>
          <w:noProof/>
        </w:rPr>
        <w:tab/>
        <w:t>Herzog S, De Bie J, Abrams S, Wouters I, Ekinci E, Patteet L, et al. Seroprevalence of IgG antibodies against SARS coronavirus 2 in Belgium – a serial prospective cross-sectional nationwide study of residual samples. medRxiv. 2021:2020.06.08.20125179.</w:t>
      </w:r>
    </w:p>
    <w:p w14:paraId="15D1E3F1" w14:textId="77777777" w:rsidR="00DE43F6" w:rsidRPr="00DE43F6" w:rsidRDefault="00DE43F6" w:rsidP="00DE43F6">
      <w:pPr>
        <w:pStyle w:val="EndNoteBibliography"/>
        <w:rPr>
          <w:noProof/>
        </w:rPr>
      </w:pPr>
      <w:r w:rsidRPr="00DE43F6">
        <w:rPr>
          <w:noProof/>
        </w:rPr>
        <w:t>5.</w:t>
      </w:r>
      <w:r w:rsidRPr="00DE43F6">
        <w:rPr>
          <w:noProof/>
        </w:rPr>
        <w:tab/>
        <w:t>Blackburn J, Yiannoutsos CT, Carroll AE, Halverson PK, Menachemi N. Infection Fatality Ratios for COVID-19 Among Noninstitutionalized Persons 12 and Older: Results of a Random-Sample Prevalence Study. Annals of internal medicine. 2020;174(1):135-6.</w:t>
      </w:r>
    </w:p>
    <w:p w14:paraId="69B8A5F2" w14:textId="77777777" w:rsidR="00DE43F6" w:rsidRPr="00DE43F6" w:rsidRDefault="00DE43F6" w:rsidP="00DE43F6">
      <w:pPr>
        <w:pStyle w:val="EndNoteBibliography"/>
        <w:rPr>
          <w:noProof/>
        </w:rPr>
      </w:pPr>
      <w:r w:rsidRPr="00DE43F6">
        <w:rPr>
          <w:noProof/>
        </w:rPr>
        <w:t>6.</w:t>
      </w:r>
      <w:r w:rsidRPr="00DE43F6">
        <w:rPr>
          <w:noProof/>
        </w:rPr>
        <w:tab/>
        <w:t>Menachemi N, Yiannoutsos C, Dixon BT, et al. Population Point Prevalence of SARS-CoV-2 Infection Based on a Statewide Random Sample — Indiana, April 25–29, 2020. MMWR Morbidity and mortality weekly report. 2020;69:960-964.</w:t>
      </w:r>
    </w:p>
    <w:p w14:paraId="02F12D46" w14:textId="77777777" w:rsidR="00DE43F6" w:rsidRPr="00DE43F6" w:rsidRDefault="00DE43F6" w:rsidP="00DE43F6">
      <w:pPr>
        <w:pStyle w:val="EndNoteBibliography"/>
        <w:rPr>
          <w:noProof/>
        </w:rPr>
      </w:pPr>
      <w:r w:rsidRPr="00DE43F6">
        <w:rPr>
          <w:noProof/>
        </w:rPr>
        <w:t>7.</w:t>
      </w:r>
      <w:r w:rsidRPr="00DE43F6">
        <w:rPr>
          <w:noProof/>
        </w:rPr>
        <w:tab/>
        <w:t>Yiannoutsos CT, Halverson PK, Menachemi N. Bayesian estimation of SARS-CoV-2 prevalence in Indiana by random testing. Proceedings of the National Academy of Sciences. 2021;118(5):e2013906118.</w:t>
      </w:r>
    </w:p>
    <w:p w14:paraId="4086BB34" w14:textId="77777777" w:rsidR="00DE43F6" w:rsidRPr="00DE43F6" w:rsidRDefault="00DE43F6" w:rsidP="00DE43F6">
      <w:pPr>
        <w:pStyle w:val="EndNoteBibliography"/>
        <w:rPr>
          <w:noProof/>
        </w:rPr>
      </w:pPr>
      <w:r w:rsidRPr="00DE43F6">
        <w:rPr>
          <w:noProof/>
        </w:rPr>
        <w:lastRenderedPageBreak/>
        <w:t>8.</w:t>
      </w:r>
      <w:r w:rsidRPr="00DE43F6">
        <w:rPr>
          <w:noProof/>
        </w:rPr>
        <w:tab/>
        <w:t>Mahajan S, Caraballo C, Li SX, Dong Y, Chen L, Huston SK, et al. SARS-CoV-2 Infection Hospitalization Rate and Infection Fatality Rate Among the Non-Congregate Population in Connecticut. The American journal of medicine. 2021.</w:t>
      </w:r>
    </w:p>
    <w:p w14:paraId="680567EA" w14:textId="2313834F" w:rsidR="00EB1D90" w:rsidRDefault="00DE43F6" w:rsidP="008934F1">
      <w:pPr>
        <w:ind w:firstLine="720"/>
        <w:rPr>
          <w:rFonts w:ascii="Times New Roman" w:hAnsi="Times New Roman" w:cs="Times New Roman"/>
        </w:rPr>
      </w:pPr>
      <w:r>
        <w:rPr>
          <w:rFonts w:ascii="Times New Roman" w:hAnsi="Times New Roman" w:cs="Times New Roman"/>
        </w:rPr>
        <w:fldChar w:fldCharType="end"/>
      </w:r>
    </w:p>
    <w:sectPr w:rsidR="00EB1D90" w:rsidSect="00590FC2">
      <w:pgSz w:w="12240" w:h="15840"/>
      <w:pgMar w:top="1440" w:right="104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6999F" w14:textId="77777777" w:rsidR="008E7E1B" w:rsidRDefault="008E7E1B">
      <w:r>
        <w:separator/>
      </w:r>
    </w:p>
  </w:endnote>
  <w:endnote w:type="continuationSeparator" w:id="0">
    <w:p w14:paraId="7E22ED1F" w14:textId="77777777" w:rsidR="008E7E1B" w:rsidRDefault="008E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57990"/>
      <w:docPartObj>
        <w:docPartGallery w:val="Page Numbers (Bottom of Page)"/>
        <w:docPartUnique/>
      </w:docPartObj>
    </w:sdtPr>
    <w:sdtEndPr>
      <w:rPr>
        <w:noProof/>
      </w:rPr>
    </w:sdtEndPr>
    <w:sdtContent>
      <w:p w14:paraId="5946AD0E" w14:textId="3E8359F9" w:rsidR="00167A5E" w:rsidRDefault="00167A5E">
        <w:pPr>
          <w:pStyle w:val="Sidfot"/>
          <w:jc w:val="center"/>
        </w:pPr>
        <w:r>
          <w:fldChar w:fldCharType="begin"/>
        </w:r>
        <w:r>
          <w:instrText xml:space="preserve"> PAGE   \* MERGEFORMAT </w:instrText>
        </w:r>
        <w:r>
          <w:fldChar w:fldCharType="separate"/>
        </w:r>
        <w:r w:rsidR="00072D21">
          <w:rPr>
            <w:noProof/>
          </w:rPr>
          <w:t>21</w:t>
        </w:r>
        <w:r>
          <w:rPr>
            <w:noProof/>
          </w:rPr>
          <w:fldChar w:fldCharType="end"/>
        </w:r>
      </w:p>
    </w:sdtContent>
  </w:sdt>
  <w:p w14:paraId="29AA3D51" w14:textId="77777777" w:rsidR="00167A5E" w:rsidRDefault="00167A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E761" w14:textId="77777777" w:rsidR="008E7E1B" w:rsidRDefault="008E7E1B">
      <w:r>
        <w:separator/>
      </w:r>
    </w:p>
  </w:footnote>
  <w:footnote w:type="continuationSeparator" w:id="0">
    <w:p w14:paraId="6EC6D4FA" w14:textId="77777777" w:rsidR="008E7E1B" w:rsidRDefault="008E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273C"/>
    <w:multiLevelType w:val="hybridMultilevel"/>
    <w:tmpl w:val="7DC4375C"/>
    <w:lvl w:ilvl="0" w:tplc="73DC236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900C0A"/>
    <w:multiLevelType w:val="hybridMultilevel"/>
    <w:tmpl w:val="4B02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155FA"/>
    <w:multiLevelType w:val="hybridMultilevel"/>
    <w:tmpl w:val="55CE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A5DFC"/>
    <w:multiLevelType w:val="hybridMultilevel"/>
    <w:tmpl w:val="60B8D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BF02EC"/>
    <w:multiLevelType w:val="hybridMultilevel"/>
    <w:tmpl w:val="63FAD5D0"/>
    <w:lvl w:ilvl="0" w:tplc="A3905EC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E08C7"/>
    <w:multiLevelType w:val="hybridMultilevel"/>
    <w:tmpl w:val="D1600A10"/>
    <w:lvl w:ilvl="0" w:tplc="D8D859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E5778"/>
    <w:multiLevelType w:val="hybridMultilevel"/>
    <w:tmpl w:val="EF32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3135E"/>
    <w:multiLevelType w:val="hybridMultilevel"/>
    <w:tmpl w:val="D66A2700"/>
    <w:lvl w:ilvl="0" w:tplc="AF0A8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42854"/>
    <w:multiLevelType w:val="hybridMultilevel"/>
    <w:tmpl w:val="26CC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D19B0"/>
    <w:multiLevelType w:val="hybridMultilevel"/>
    <w:tmpl w:val="C9DA6D1C"/>
    <w:lvl w:ilvl="0" w:tplc="37BA27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0"/>
  </w:num>
  <w:num w:numId="5">
    <w:abstractNumId w:val="9"/>
  </w:num>
  <w:num w:numId="6">
    <w:abstractNumId w:val="5"/>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vx0rfs5tppaze5rayppxvrdv25wfs5atxz&quot;&gt;My EndNote Library CA&lt;record-ids&gt;&lt;item&gt;1132&lt;/item&gt;&lt;item&gt;1133&lt;/item&gt;&lt;item&gt;1136&lt;/item&gt;&lt;item&gt;1150&lt;/item&gt;&lt;item&gt;1162&lt;/item&gt;&lt;item&gt;1166&lt;/item&gt;&lt;item&gt;1167&lt;/item&gt;&lt;item&gt;1169&lt;/item&gt;&lt;/record-ids&gt;&lt;/item&gt;&lt;/Libraries&gt;"/>
  </w:docVars>
  <w:rsids>
    <w:rsidRoot w:val="0005514A"/>
    <w:rsid w:val="00000D93"/>
    <w:rsid w:val="00000E16"/>
    <w:rsid w:val="000021BC"/>
    <w:rsid w:val="000070B5"/>
    <w:rsid w:val="0000784A"/>
    <w:rsid w:val="00007A6C"/>
    <w:rsid w:val="000100C4"/>
    <w:rsid w:val="00010745"/>
    <w:rsid w:val="00010E34"/>
    <w:rsid w:val="00010E98"/>
    <w:rsid w:val="00012894"/>
    <w:rsid w:val="00012B16"/>
    <w:rsid w:val="00013C71"/>
    <w:rsid w:val="00013D47"/>
    <w:rsid w:val="00014678"/>
    <w:rsid w:val="000161B8"/>
    <w:rsid w:val="00017D70"/>
    <w:rsid w:val="00017EA6"/>
    <w:rsid w:val="00020FA7"/>
    <w:rsid w:val="00021909"/>
    <w:rsid w:val="00021F19"/>
    <w:rsid w:val="0002250E"/>
    <w:rsid w:val="00023E20"/>
    <w:rsid w:val="00025578"/>
    <w:rsid w:val="00026429"/>
    <w:rsid w:val="00027A17"/>
    <w:rsid w:val="000300CC"/>
    <w:rsid w:val="00031D45"/>
    <w:rsid w:val="000324FB"/>
    <w:rsid w:val="00032F0E"/>
    <w:rsid w:val="00035DB9"/>
    <w:rsid w:val="000366D1"/>
    <w:rsid w:val="000379F5"/>
    <w:rsid w:val="0004027A"/>
    <w:rsid w:val="000406E5"/>
    <w:rsid w:val="000414F2"/>
    <w:rsid w:val="000418BB"/>
    <w:rsid w:val="0004198A"/>
    <w:rsid w:val="000420CC"/>
    <w:rsid w:val="000422E0"/>
    <w:rsid w:val="00043A86"/>
    <w:rsid w:val="00043C71"/>
    <w:rsid w:val="00044199"/>
    <w:rsid w:val="0004471C"/>
    <w:rsid w:val="000450EA"/>
    <w:rsid w:val="000465AE"/>
    <w:rsid w:val="000467E7"/>
    <w:rsid w:val="00046847"/>
    <w:rsid w:val="0005076B"/>
    <w:rsid w:val="00050FF6"/>
    <w:rsid w:val="00051866"/>
    <w:rsid w:val="000524E7"/>
    <w:rsid w:val="00054BEE"/>
    <w:rsid w:val="0005514A"/>
    <w:rsid w:val="00055710"/>
    <w:rsid w:val="0005616D"/>
    <w:rsid w:val="00057119"/>
    <w:rsid w:val="00062570"/>
    <w:rsid w:val="000646DB"/>
    <w:rsid w:val="000646FF"/>
    <w:rsid w:val="00064978"/>
    <w:rsid w:val="00064C9E"/>
    <w:rsid w:val="000652C9"/>
    <w:rsid w:val="000675DC"/>
    <w:rsid w:val="00070428"/>
    <w:rsid w:val="000714E8"/>
    <w:rsid w:val="00072D21"/>
    <w:rsid w:val="00073460"/>
    <w:rsid w:val="00074362"/>
    <w:rsid w:val="00074FE9"/>
    <w:rsid w:val="0007527F"/>
    <w:rsid w:val="00075460"/>
    <w:rsid w:val="00076B0D"/>
    <w:rsid w:val="00080059"/>
    <w:rsid w:val="0008193C"/>
    <w:rsid w:val="000822F3"/>
    <w:rsid w:val="00082D3A"/>
    <w:rsid w:val="00083069"/>
    <w:rsid w:val="000831BD"/>
    <w:rsid w:val="000835F5"/>
    <w:rsid w:val="000837D7"/>
    <w:rsid w:val="00083E7D"/>
    <w:rsid w:val="00085613"/>
    <w:rsid w:val="000861A4"/>
    <w:rsid w:val="00087EB6"/>
    <w:rsid w:val="0009163E"/>
    <w:rsid w:val="00091CD5"/>
    <w:rsid w:val="00093FE9"/>
    <w:rsid w:val="00094503"/>
    <w:rsid w:val="00095214"/>
    <w:rsid w:val="000965C1"/>
    <w:rsid w:val="000A03A9"/>
    <w:rsid w:val="000A114D"/>
    <w:rsid w:val="000A1286"/>
    <w:rsid w:val="000A1A94"/>
    <w:rsid w:val="000A26B4"/>
    <w:rsid w:val="000A395A"/>
    <w:rsid w:val="000A3B4C"/>
    <w:rsid w:val="000A40E1"/>
    <w:rsid w:val="000A4EC3"/>
    <w:rsid w:val="000A62D3"/>
    <w:rsid w:val="000A63C2"/>
    <w:rsid w:val="000A6818"/>
    <w:rsid w:val="000A7987"/>
    <w:rsid w:val="000B0917"/>
    <w:rsid w:val="000B1571"/>
    <w:rsid w:val="000B24D2"/>
    <w:rsid w:val="000B3625"/>
    <w:rsid w:val="000B4869"/>
    <w:rsid w:val="000B491C"/>
    <w:rsid w:val="000B561B"/>
    <w:rsid w:val="000B780B"/>
    <w:rsid w:val="000C0ED4"/>
    <w:rsid w:val="000C1949"/>
    <w:rsid w:val="000C1A3C"/>
    <w:rsid w:val="000C2228"/>
    <w:rsid w:val="000C226D"/>
    <w:rsid w:val="000C2668"/>
    <w:rsid w:val="000C2699"/>
    <w:rsid w:val="000C3F5E"/>
    <w:rsid w:val="000C41D0"/>
    <w:rsid w:val="000C59E6"/>
    <w:rsid w:val="000C662B"/>
    <w:rsid w:val="000C6C89"/>
    <w:rsid w:val="000C7260"/>
    <w:rsid w:val="000D091E"/>
    <w:rsid w:val="000D41A8"/>
    <w:rsid w:val="000D43BD"/>
    <w:rsid w:val="000D46F4"/>
    <w:rsid w:val="000D49AA"/>
    <w:rsid w:val="000D4AF2"/>
    <w:rsid w:val="000D4DB8"/>
    <w:rsid w:val="000D6E28"/>
    <w:rsid w:val="000D7069"/>
    <w:rsid w:val="000D7FF2"/>
    <w:rsid w:val="000E0B63"/>
    <w:rsid w:val="000E3BE7"/>
    <w:rsid w:val="000E40D9"/>
    <w:rsid w:val="000E4DF2"/>
    <w:rsid w:val="000E5D58"/>
    <w:rsid w:val="000E6634"/>
    <w:rsid w:val="000E682D"/>
    <w:rsid w:val="000E6865"/>
    <w:rsid w:val="000E743A"/>
    <w:rsid w:val="000F04CD"/>
    <w:rsid w:val="000F0507"/>
    <w:rsid w:val="000F0524"/>
    <w:rsid w:val="000F35F7"/>
    <w:rsid w:val="000F3DD4"/>
    <w:rsid w:val="000F53AE"/>
    <w:rsid w:val="000F6046"/>
    <w:rsid w:val="000F7A3D"/>
    <w:rsid w:val="001020B7"/>
    <w:rsid w:val="0010281A"/>
    <w:rsid w:val="001033DB"/>
    <w:rsid w:val="00103668"/>
    <w:rsid w:val="00103C55"/>
    <w:rsid w:val="00103F51"/>
    <w:rsid w:val="0010443E"/>
    <w:rsid w:val="00105C50"/>
    <w:rsid w:val="001108EF"/>
    <w:rsid w:val="001113AD"/>
    <w:rsid w:val="001138E8"/>
    <w:rsid w:val="00116885"/>
    <w:rsid w:val="00116984"/>
    <w:rsid w:val="001205A8"/>
    <w:rsid w:val="001213C3"/>
    <w:rsid w:val="00122E17"/>
    <w:rsid w:val="00124505"/>
    <w:rsid w:val="00124D49"/>
    <w:rsid w:val="00125662"/>
    <w:rsid w:val="001269B1"/>
    <w:rsid w:val="00130464"/>
    <w:rsid w:val="001337D1"/>
    <w:rsid w:val="00134372"/>
    <w:rsid w:val="0013568F"/>
    <w:rsid w:val="00136D1C"/>
    <w:rsid w:val="001379C2"/>
    <w:rsid w:val="00137F79"/>
    <w:rsid w:val="00140891"/>
    <w:rsid w:val="0014130E"/>
    <w:rsid w:val="00142A42"/>
    <w:rsid w:val="00144583"/>
    <w:rsid w:val="00146D8F"/>
    <w:rsid w:val="001471CD"/>
    <w:rsid w:val="001520E9"/>
    <w:rsid w:val="001525C0"/>
    <w:rsid w:val="0015439C"/>
    <w:rsid w:val="0015579F"/>
    <w:rsid w:val="0016135B"/>
    <w:rsid w:val="00161686"/>
    <w:rsid w:val="00161E4F"/>
    <w:rsid w:val="001627EC"/>
    <w:rsid w:val="00166730"/>
    <w:rsid w:val="00167266"/>
    <w:rsid w:val="00167740"/>
    <w:rsid w:val="001677AC"/>
    <w:rsid w:val="00167A5E"/>
    <w:rsid w:val="0017089D"/>
    <w:rsid w:val="00170C25"/>
    <w:rsid w:val="00172823"/>
    <w:rsid w:val="0017430E"/>
    <w:rsid w:val="00176617"/>
    <w:rsid w:val="00177B75"/>
    <w:rsid w:val="00177F85"/>
    <w:rsid w:val="00180306"/>
    <w:rsid w:val="00180346"/>
    <w:rsid w:val="001824C3"/>
    <w:rsid w:val="00183135"/>
    <w:rsid w:val="0018355A"/>
    <w:rsid w:val="00184C02"/>
    <w:rsid w:val="00185A94"/>
    <w:rsid w:val="00186060"/>
    <w:rsid w:val="00186371"/>
    <w:rsid w:val="0018663D"/>
    <w:rsid w:val="0018672C"/>
    <w:rsid w:val="001876DD"/>
    <w:rsid w:val="00190094"/>
    <w:rsid w:val="00191605"/>
    <w:rsid w:val="001920E9"/>
    <w:rsid w:val="00193162"/>
    <w:rsid w:val="001935A5"/>
    <w:rsid w:val="0019369A"/>
    <w:rsid w:val="00193EA9"/>
    <w:rsid w:val="001944DE"/>
    <w:rsid w:val="00195D96"/>
    <w:rsid w:val="00196062"/>
    <w:rsid w:val="00196B39"/>
    <w:rsid w:val="00197EC0"/>
    <w:rsid w:val="001A02FA"/>
    <w:rsid w:val="001A134E"/>
    <w:rsid w:val="001A191C"/>
    <w:rsid w:val="001A1C17"/>
    <w:rsid w:val="001A3E3E"/>
    <w:rsid w:val="001A4516"/>
    <w:rsid w:val="001A62AF"/>
    <w:rsid w:val="001A6AD7"/>
    <w:rsid w:val="001A6EAD"/>
    <w:rsid w:val="001A7BC6"/>
    <w:rsid w:val="001B06DB"/>
    <w:rsid w:val="001B1A60"/>
    <w:rsid w:val="001B45DA"/>
    <w:rsid w:val="001B6B25"/>
    <w:rsid w:val="001B704A"/>
    <w:rsid w:val="001C0021"/>
    <w:rsid w:val="001C1498"/>
    <w:rsid w:val="001C19A8"/>
    <w:rsid w:val="001C1F2C"/>
    <w:rsid w:val="001C2E7E"/>
    <w:rsid w:val="001C537C"/>
    <w:rsid w:val="001C60DD"/>
    <w:rsid w:val="001C68DB"/>
    <w:rsid w:val="001C69D5"/>
    <w:rsid w:val="001D13B8"/>
    <w:rsid w:val="001D5F1C"/>
    <w:rsid w:val="001D685C"/>
    <w:rsid w:val="001D6C6F"/>
    <w:rsid w:val="001E02CB"/>
    <w:rsid w:val="001E0754"/>
    <w:rsid w:val="001E14F6"/>
    <w:rsid w:val="001E17C5"/>
    <w:rsid w:val="001E191B"/>
    <w:rsid w:val="001E1AB4"/>
    <w:rsid w:val="001E4538"/>
    <w:rsid w:val="001E5939"/>
    <w:rsid w:val="001E65C7"/>
    <w:rsid w:val="001E698C"/>
    <w:rsid w:val="001E737A"/>
    <w:rsid w:val="001E749F"/>
    <w:rsid w:val="001F019C"/>
    <w:rsid w:val="001F13ED"/>
    <w:rsid w:val="001F19DB"/>
    <w:rsid w:val="001F4A90"/>
    <w:rsid w:val="001F59CB"/>
    <w:rsid w:val="001F5DEB"/>
    <w:rsid w:val="001F6753"/>
    <w:rsid w:val="001F6E79"/>
    <w:rsid w:val="001F728A"/>
    <w:rsid w:val="001F783B"/>
    <w:rsid w:val="0020128B"/>
    <w:rsid w:val="00201CB2"/>
    <w:rsid w:val="002026B7"/>
    <w:rsid w:val="00202D1D"/>
    <w:rsid w:val="00204BB0"/>
    <w:rsid w:val="00207897"/>
    <w:rsid w:val="00210597"/>
    <w:rsid w:val="00210A7E"/>
    <w:rsid w:val="00210D70"/>
    <w:rsid w:val="00211357"/>
    <w:rsid w:val="002117F3"/>
    <w:rsid w:val="00211B70"/>
    <w:rsid w:val="002139BA"/>
    <w:rsid w:val="00213BF1"/>
    <w:rsid w:val="0021618E"/>
    <w:rsid w:val="0021647B"/>
    <w:rsid w:val="00217211"/>
    <w:rsid w:val="00217590"/>
    <w:rsid w:val="00221170"/>
    <w:rsid w:val="00225BA1"/>
    <w:rsid w:val="00226A17"/>
    <w:rsid w:val="00226F9A"/>
    <w:rsid w:val="00233334"/>
    <w:rsid w:val="00234DB7"/>
    <w:rsid w:val="00234FD7"/>
    <w:rsid w:val="002354BC"/>
    <w:rsid w:val="002403AB"/>
    <w:rsid w:val="002425A0"/>
    <w:rsid w:val="0024265A"/>
    <w:rsid w:val="00242B0B"/>
    <w:rsid w:val="00242C80"/>
    <w:rsid w:val="00243C84"/>
    <w:rsid w:val="00244B4A"/>
    <w:rsid w:val="00246C3F"/>
    <w:rsid w:val="002476B2"/>
    <w:rsid w:val="0025117A"/>
    <w:rsid w:val="00252B96"/>
    <w:rsid w:val="00252DA2"/>
    <w:rsid w:val="00253350"/>
    <w:rsid w:val="00253D4B"/>
    <w:rsid w:val="00253E87"/>
    <w:rsid w:val="002547C4"/>
    <w:rsid w:val="00256323"/>
    <w:rsid w:val="00260358"/>
    <w:rsid w:val="0026372E"/>
    <w:rsid w:val="00263A76"/>
    <w:rsid w:val="00263A92"/>
    <w:rsid w:val="00265968"/>
    <w:rsid w:val="00267866"/>
    <w:rsid w:val="00267FA4"/>
    <w:rsid w:val="0027229C"/>
    <w:rsid w:val="0027338C"/>
    <w:rsid w:val="002737D8"/>
    <w:rsid w:val="00274CBF"/>
    <w:rsid w:val="00276207"/>
    <w:rsid w:val="002776C9"/>
    <w:rsid w:val="0028085D"/>
    <w:rsid w:val="00281E57"/>
    <w:rsid w:val="00282511"/>
    <w:rsid w:val="00283E8D"/>
    <w:rsid w:val="00283EB1"/>
    <w:rsid w:val="002848AE"/>
    <w:rsid w:val="00284F98"/>
    <w:rsid w:val="00287BFD"/>
    <w:rsid w:val="00291EF8"/>
    <w:rsid w:val="00292452"/>
    <w:rsid w:val="002937E6"/>
    <w:rsid w:val="00293B8C"/>
    <w:rsid w:val="00293C9A"/>
    <w:rsid w:val="002950CB"/>
    <w:rsid w:val="002968E6"/>
    <w:rsid w:val="0029712D"/>
    <w:rsid w:val="0029713F"/>
    <w:rsid w:val="00297F81"/>
    <w:rsid w:val="002A09CA"/>
    <w:rsid w:val="002A1691"/>
    <w:rsid w:val="002A24F5"/>
    <w:rsid w:val="002A34EA"/>
    <w:rsid w:val="002A48BE"/>
    <w:rsid w:val="002A5CA2"/>
    <w:rsid w:val="002A5DA3"/>
    <w:rsid w:val="002A6016"/>
    <w:rsid w:val="002B070D"/>
    <w:rsid w:val="002B2EA1"/>
    <w:rsid w:val="002B5333"/>
    <w:rsid w:val="002B752F"/>
    <w:rsid w:val="002B7568"/>
    <w:rsid w:val="002C078C"/>
    <w:rsid w:val="002C1B1C"/>
    <w:rsid w:val="002C2D39"/>
    <w:rsid w:val="002C2E94"/>
    <w:rsid w:val="002C466F"/>
    <w:rsid w:val="002C48CB"/>
    <w:rsid w:val="002C6256"/>
    <w:rsid w:val="002C7A77"/>
    <w:rsid w:val="002D035A"/>
    <w:rsid w:val="002D1AC5"/>
    <w:rsid w:val="002D22F4"/>
    <w:rsid w:val="002D24E5"/>
    <w:rsid w:val="002D5027"/>
    <w:rsid w:val="002D5BD9"/>
    <w:rsid w:val="002D6054"/>
    <w:rsid w:val="002D6EC1"/>
    <w:rsid w:val="002D71A7"/>
    <w:rsid w:val="002D721C"/>
    <w:rsid w:val="002E0597"/>
    <w:rsid w:val="002E13E8"/>
    <w:rsid w:val="002E171F"/>
    <w:rsid w:val="002E19A5"/>
    <w:rsid w:val="002E23FB"/>
    <w:rsid w:val="002E2DFB"/>
    <w:rsid w:val="002E4FFF"/>
    <w:rsid w:val="002E575D"/>
    <w:rsid w:val="002E6FE4"/>
    <w:rsid w:val="002E7399"/>
    <w:rsid w:val="002E774C"/>
    <w:rsid w:val="002F00F6"/>
    <w:rsid w:val="002F27D0"/>
    <w:rsid w:val="002F5A25"/>
    <w:rsid w:val="002F7618"/>
    <w:rsid w:val="00300149"/>
    <w:rsid w:val="00300FD7"/>
    <w:rsid w:val="00301F43"/>
    <w:rsid w:val="003029AC"/>
    <w:rsid w:val="003040AC"/>
    <w:rsid w:val="0030484C"/>
    <w:rsid w:val="003048F6"/>
    <w:rsid w:val="00304A71"/>
    <w:rsid w:val="00305FC7"/>
    <w:rsid w:val="003070BE"/>
    <w:rsid w:val="00307C89"/>
    <w:rsid w:val="00310DC9"/>
    <w:rsid w:val="00311586"/>
    <w:rsid w:val="00311F69"/>
    <w:rsid w:val="00312A03"/>
    <w:rsid w:val="00312B98"/>
    <w:rsid w:val="003138D1"/>
    <w:rsid w:val="00313E89"/>
    <w:rsid w:val="00314AF1"/>
    <w:rsid w:val="00314B2B"/>
    <w:rsid w:val="00315DC1"/>
    <w:rsid w:val="003169E4"/>
    <w:rsid w:val="00317A40"/>
    <w:rsid w:val="00317C07"/>
    <w:rsid w:val="0032118C"/>
    <w:rsid w:val="0032378B"/>
    <w:rsid w:val="00323E30"/>
    <w:rsid w:val="003244E8"/>
    <w:rsid w:val="00325D94"/>
    <w:rsid w:val="00326A45"/>
    <w:rsid w:val="00326CF9"/>
    <w:rsid w:val="00326E6C"/>
    <w:rsid w:val="00330E4D"/>
    <w:rsid w:val="003329AD"/>
    <w:rsid w:val="00332ADB"/>
    <w:rsid w:val="003345C4"/>
    <w:rsid w:val="003347F8"/>
    <w:rsid w:val="003364DC"/>
    <w:rsid w:val="00336769"/>
    <w:rsid w:val="00336B82"/>
    <w:rsid w:val="00336D3C"/>
    <w:rsid w:val="00337FB5"/>
    <w:rsid w:val="0034066A"/>
    <w:rsid w:val="003411AC"/>
    <w:rsid w:val="003411B0"/>
    <w:rsid w:val="00341299"/>
    <w:rsid w:val="00341A84"/>
    <w:rsid w:val="00341CE1"/>
    <w:rsid w:val="00342BDA"/>
    <w:rsid w:val="003444C4"/>
    <w:rsid w:val="003444F3"/>
    <w:rsid w:val="00344C12"/>
    <w:rsid w:val="00345DD6"/>
    <w:rsid w:val="00345F38"/>
    <w:rsid w:val="003466E2"/>
    <w:rsid w:val="003466F5"/>
    <w:rsid w:val="003469DA"/>
    <w:rsid w:val="00346B78"/>
    <w:rsid w:val="00346C4E"/>
    <w:rsid w:val="00350466"/>
    <w:rsid w:val="00351941"/>
    <w:rsid w:val="00353F4F"/>
    <w:rsid w:val="003541B7"/>
    <w:rsid w:val="003577E2"/>
    <w:rsid w:val="003618ED"/>
    <w:rsid w:val="003637BA"/>
    <w:rsid w:val="00366B11"/>
    <w:rsid w:val="00370D33"/>
    <w:rsid w:val="0037143A"/>
    <w:rsid w:val="00374315"/>
    <w:rsid w:val="00375E64"/>
    <w:rsid w:val="00375F7B"/>
    <w:rsid w:val="0037602C"/>
    <w:rsid w:val="003765FC"/>
    <w:rsid w:val="003765FD"/>
    <w:rsid w:val="0037667B"/>
    <w:rsid w:val="003805D8"/>
    <w:rsid w:val="00380BBC"/>
    <w:rsid w:val="0038188F"/>
    <w:rsid w:val="0038247A"/>
    <w:rsid w:val="00383746"/>
    <w:rsid w:val="00384A38"/>
    <w:rsid w:val="00386038"/>
    <w:rsid w:val="00386564"/>
    <w:rsid w:val="00386922"/>
    <w:rsid w:val="003870B3"/>
    <w:rsid w:val="003876F6"/>
    <w:rsid w:val="00387FCB"/>
    <w:rsid w:val="003903F0"/>
    <w:rsid w:val="00391A16"/>
    <w:rsid w:val="00392475"/>
    <w:rsid w:val="00393D82"/>
    <w:rsid w:val="00394109"/>
    <w:rsid w:val="00394A2C"/>
    <w:rsid w:val="00395B0E"/>
    <w:rsid w:val="003963C0"/>
    <w:rsid w:val="00396AFB"/>
    <w:rsid w:val="003A0AFE"/>
    <w:rsid w:val="003A2814"/>
    <w:rsid w:val="003A2DDA"/>
    <w:rsid w:val="003A36E3"/>
    <w:rsid w:val="003A441A"/>
    <w:rsid w:val="003A69F5"/>
    <w:rsid w:val="003A7F45"/>
    <w:rsid w:val="003B0192"/>
    <w:rsid w:val="003B04DA"/>
    <w:rsid w:val="003B05D7"/>
    <w:rsid w:val="003B12FD"/>
    <w:rsid w:val="003B19A7"/>
    <w:rsid w:val="003B1AA0"/>
    <w:rsid w:val="003B28A4"/>
    <w:rsid w:val="003B2A48"/>
    <w:rsid w:val="003B2FB3"/>
    <w:rsid w:val="003B3B65"/>
    <w:rsid w:val="003B4486"/>
    <w:rsid w:val="003B5C1A"/>
    <w:rsid w:val="003B745B"/>
    <w:rsid w:val="003B7985"/>
    <w:rsid w:val="003C01E4"/>
    <w:rsid w:val="003C0F4C"/>
    <w:rsid w:val="003C19B7"/>
    <w:rsid w:val="003C29AB"/>
    <w:rsid w:val="003C3B70"/>
    <w:rsid w:val="003D2499"/>
    <w:rsid w:val="003D2645"/>
    <w:rsid w:val="003D2D0D"/>
    <w:rsid w:val="003D4044"/>
    <w:rsid w:val="003D4745"/>
    <w:rsid w:val="003D4811"/>
    <w:rsid w:val="003D6A76"/>
    <w:rsid w:val="003D75F4"/>
    <w:rsid w:val="003E152A"/>
    <w:rsid w:val="003E17DE"/>
    <w:rsid w:val="003E2617"/>
    <w:rsid w:val="003E29B1"/>
    <w:rsid w:val="003E29CD"/>
    <w:rsid w:val="003E3727"/>
    <w:rsid w:val="003E373B"/>
    <w:rsid w:val="003E400F"/>
    <w:rsid w:val="003E567F"/>
    <w:rsid w:val="003E5D10"/>
    <w:rsid w:val="003E7051"/>
    <w:rsid w:val="003F0B67"/>
    <w:rsid w:val="003F0C3D"/>
    <w:rsid w:val="003F0F9C"/>
    <w:rsid w:val="003F18DD"/>
    <w:rsid w:val="003F2C1F"/>
    <w:rsid w:val="003F2D6B"/>
    <w:rsid w:val="003F347E"/>
    <w:rsid w:val="003F389C"/>
    <w:rsid w:val="003F59FF"/>
    <w:rsid w:val="003F668B"/>
    <w:rsid w:val="003F69AB"/>
    <w:rsid w:val="003F6F78"/>
    <w:rsid w:val="003F7783"/>
    <w:rsid w:val="003F7B3B"/>
    <w:rsid w:val="003F7E51"/>
    <w:rsid w:val="0040007D"/>
    <w:rsid w:val="0040064F"/>
    <w:rsid w:val="00403A90"/>
    <w:rsid w:val="00404B1F"/>
    <w:rsid w:val="004066F1"/>
    <w:rsid w:val="0040798B"/>
    <w:rsid w:val="004107DD"/>
    <w:rsid w:val="004109F2"/>
    <w:rsid w:val="00410C36"/>
    <w:rsid w:val="00411813"/>
    <w:rsid w:val="00412DBA"/>
    <w:rsid w:val="00413460"/>
    <w:rsid w:val="00413A09"/>
    <w:rsid w:val="00414B70"/>
    <w:rsid w:val="00414CC8"/>
    <w:rsid w:val="004153BF"/>
    <w:rsid w:val="00415D02"/>
    <w:rsid w:val="00416CA1"/>
    <w:rsid w:val="00424F7F"/>
    <w:rsid w:val="00425863"/>
    <w:rsid w:val="00427DA1"/>
    <w:rsid w:val="00430FD9"/>
    <w:rsid w:val="00431787"/>
    <w:rsid w:val="00431E87"/>
    <w:rsid w:val="00433BBF"/>
    <w:rsid w:val="00433DE3"/>
    <w:rsid w:val="00433EE2"/>
    <w:rsid w:val="004355CA"/>
    <w:rsid w:val="004360EF"/>
    <w:rsid w:val="00437BB7"/>
    <w:rsid w:val="0044191E"/>
    <w:rsid w:val="00441FC4"/>
    <w:rsid w:val="0044221D"/>
    <w:rsid w:val="0044355E"/>
    <w:rsid w:val="00444EE6"/>
    <w:rsid w:val="0044588B"/>
    <w:rsid w:val="00445AB2"/>
    <w:rsid w:val="00446C0F"/>
    <w:rsid w:val="0044781B"/>
    <w:rsid w:val="004516BE"/>
    <w:rsid w:val="00452C90"/>
    <w:rsid w:val="00453A1D"/>
    <w:rsid w:val="00453BCB"/>
    <w:rsid w:val="004547C7"/>
    <w:rsid w:val="004560C6"/>
    <w:rsid w:val="00456E26"/>
    <w:rsid w:val="0045730B"/>
    <w:rsid w:val="0046079A"/>
    <w:rsid w:val="004607EA"/>
    <w:rsid w:val="00461544"/>
    <w:rsid w:val="0046260F"/>
    <w:rsid w:val="00463484"/>
    <w:rsid w:val="004647E2"/>
    <w:rsid w:val="004660E3"/>
    <w:rsid w:val="004663D2"/>
    <w:rsid w:val="0046644C"/>
    <w:rsid w:val="00466843"/>
    <w:rsid w:val="00470897"/>
    <w:rsid w:val="004719F9"/>
    <w:rsid w:val="00471D93"/>
    <w:rsid w:val="0047378E"/>
    <w:rsid w:val="00473845"/>
    <w:rsid w:val="004743FE"/>
    <w:rsid w:val="00474C58"/>
    <w:rsid w:val="004756F1"/>
    <w:rsid w:val="00475B1C"/>
    <w:rsid w:val="004767A1"/>
    <w:rsid w:val="004774D3"/>
    <w:rsid w:val="0047755B"/>
    <w:rsid w:val="004818ED"/>
    <w:rsid w:val="00481EA4"/>
    <w:rsid w:val="00482D5D"/>
    <w:rsid w:val="004830CE"/>
    <w:rsid w:val="00483DFA"/>
    <w:rsid w:val="00484C9C"/>
    <w:rsid w:val="00485988"/>
    <w:rsid w:val="004865D0"/>
    <w:rsid w:val="0048696E"/>
    <w:rsid w:val="00487B0A"/>
    <w:rsid w:val="00491AAA"/>
    <w:rsid w:val="00491B20"/>
    <w:rsid w:val="00492E1E"/>
    <w:rsid w:val="004936CF"/>
    <w:rsid w:val="0049407A"/>
    <w:rsid w:val="00494A35"/>
    <w:rsid w:val="004974C5"/>
    <w:rsid w:val="00497759"/>
    <w:rsid w:val="004A08B1"/>
    <w:rsid w:val="004A0AD5"/>
    <w:rsid w:val="004A0FB9"/>
    <w:rsid w:val="004A264E"/>
    <w:rsid w:val="004A30DF"/>
    <w:rsid w:val="004A49F2"/>
    <w:rsid w:val="004A69CB"/>
    <w:rsid w:val="004B2FB8"/>
    <w:rsid w:val="004B3494"/>
    <w:rsid w:val="004B3684"/>
    <w:rsid w:val="004B3D86"/>
    <w:rsid w:val="004B4363"/>
    <w:rsid w:val="004B4647"/>
    <w:rsid w:val="004B53EB"/>
    <w:rsid w:val="004B57ED"/>
    <w:rsid w:val="004B5920"/>
    <w:rsid w:val="004B5986"/>
    <w:rsid w:val="004B5B37"/>
    <w:rsid w:val="004B64E2"/>
    <w:rsid w:val="004B73FA"/>
    <w:rsid w:val="004C0B1F"/>
    <w:rsid w:val="004C13F7"/>
    <w:rsid w:val="004C1B77"/>
    <w:rsid w:val="004C2F9A"/>
    <w:rsid w:val="004C3661"/>
    <w:rsid w:val="004C3A70"/>
    <w:rsid w:val="004C46A1"/>
    <w:rsid w:val="004C47AE"/>
    <w:rsid w:val="004C487B"/>
    <w:rsid w:val="004C596B"/>
    <w:rsid w:val="004C6789"/>
    <w:rsid w:val="004D0BBC"/>
    <w:rsid w:val="004D1573"/>
    <w:rsid w:val="004D232E"/>
    <w:rsid w:val="004D2CAA"/>
    <w:rsid w:val="004D2DF1"/>
    <w:rsid w:val="004D4B33"/>
    <w:rsid w:val="004D4E1A"/>
    <w:rsid w:val="004D5DCF"/>
    <w:rsid w:val="004D6543"/>
    <w:rsid w:val="004D6FC0"/>
    <w:rsid w:val="004D7799"/>
    <w:rsid w:val="004D7CD9"/>
    <w:rsid w:val="004E140A"/>
    <w:rsid w:val="004E2556"/>
    <w:rsid w:val="004E2862"/>
    <w:rsid w:val="004E2F19"/>
    <w:rsid w:val="004E3468"/>
    <w:rsid w:val="004E4226"/>
    <w:rsid w:val="004E4EDD"/>
    <w:rsid w:val="004E541C"/>
    <w:rsid w:val="004E5879"/>
    <w:rsid w:val="004E6FA9"/>
    <w:rsid w:val="004E7E74"/>
    <w:rsid w:val="004F2F0D"/>
    <w:rsid w:val="004F6177"/>
    <w:rsid w:val="004F72A6"/>
    <w:rsid w:val="004F7E2F"/>
    <w:rsid w:val="00500283"/>
    <w:rsid w:val="00500B13"/>
    <w:rsid w:val="00500C00"/>
    <w:rsid w:val="00500CB9"/>
    <w:rsid w:val="005018C2"/>
    <w:rsid w:val="00501AC7"/>
    <w:rsid w:val="005021C5"/>
    <w:rsid w:val="00502804"/>
    <w:rsid w:val="00504DDD"/>
    <w:rsid w:val="00505897"/>
    <w:rsid w:val="00506B17"/>
    <w:rsid w:val="00506D69"/>
    <w:rsid w:val="00507511"/>
    <w:rsid w:val="005101A6"/>
    <w:rsid w:val="0051197A"/>
    <w:rsid w:val="0051358A"/>
    <w:rsid w:val="00513FD7"/>
    <w:rsid w:val="0051708E"/>
    <w:rsid w:val="00517E25"/>
    <w:rsid w:val="0052098D"/>
    <w:rsid w:val="00523C4D"/>
    <w:rsid w:val="00523D16"/>
    <w:rsid w:val="00523D4F"/>
    <w:rsid w:val="005248C1"/>
    <w:rsid w:val="005268E6"/>
    <w:rsid w:val="00527106"/>
    <w:rsid w:val="00527398"/>
    <w:rsid w:val="0053111C"/>
    <w:rsid w:val="00532570"/>
    <w:rsid w:val="00532ADC"/>
    <w:rsid w:val="00532C91"/>
    <w:rsid w:val="0053332A"/>
    <w:rsid w:val="00533345"/>
    <w:rsid w:val="0053391D"/>
    <w:rsid w:val="00533BAD"/>
    <w:rsid w:val="00533C09"/>
    <w:rsid w:val="00533F2C"/>
    <w:rsid w:val="00534102"/>
    <w:rsid w:val="005368DD"/>
    <w:rsid w:val="005402C1"/>
    <w:rsid w:val="00542080"/>
    <w:rsid w:val="00542988"/>
    <w:rsid w:val="00544A8F"/>
    <w:rsid w:val="00545518"/>
    <w:rsid w:val="00546EFC"/>
    <w:rsid w:val="005470B1"/>
    <w:rsid w:val="005473B8"/>
    <w:rsid w:val="00547CCE"/>
    <w:rsid w:val="0055056D"/>
    <w:rsid w:val="005513A8"/>
    <w:rsid w:val="00551808"/>
    <w:rsid w:val="005523CF"/>
    <w:rsid w:val="005554F6"/>
    <w:rsid w:val="0055550C"/>
    <w:rsid w:val="00555E2B"/>
    <w:rsid w:val="005561B6"/>
    <w:rsid w:val="00556A23"/>
    <w:rsid w:val="00556EB0"/>
    <w:rsid w:val="0056058C"/>
    <w:rsid w:val="005612B9"/>
    <w:rsid w:val="00561371"/>
    <w:rsid w:val="00561ED2"/>
    <w:rsid w:val="00563B4A"/>
    <w:rsid w:val="00564785"/>
    <w:rsid w:val="00564FEF"/>
    <w:rsid w:val="00565C07"/>
    <w:rsid w:val="005678FA"/>
    <w:rsid w:val="00567952"/>
    <w:rsid w:val="00571AA0"/>
    <w:rsid w:val="00571B2B"/>
    <w:rsid w:val="005720B0"/>
    <w:rsid w:val="00574CA3"/>
    <w:rsid w:val="00576D32"/>
    <w:rsid w:val="0057721C"/>
    <w:rsid w:val="00577FFE"/>
    <w:rsid w:val="005805A8"/>
    <w:rsid w:val="005806BA"/>
    <w:rsid w:val="00580E92"/>
    <w:rsid w:val="00581FC4"/>
    <w:rsid w:val="00583017"/>
    <w:rsid w:val="0058343F"/>
    <w:rsid w:val="00583526"/>
    <w:rsid w:val="00583E9D"/>
    <w:rsid w:val="00584548"/>
    <w:rsid w:val="00585AB5"/>
    <w:rsid w:val="00586995"/>
    <w:rsid w:val="005874E4"/>
    <w:rsid w:val="0058794A"/>
    <w:rsid w:val="00590FC2"/>
    <w:rsid w:val="005922D5"/>
    <w:rsid w:val="0059244D"/>
    <w:rsid w:val="0059285E"/>
    <w:rsid w:val="00592F53"/>
    <w:rsid w:val="005932FB"/>
    <w:rsid w:val="00593F28"/>
    <w:rsid w:val="00594031"/>
    <w:rsid w:val="0059504D"/>
    <w:rsid w:val="00595CDF"/>
    <w:rsid w:val="00595DB1"/>
    <w:rsid w:val="00597776"/>
    <w:rsid w:val="005A0DFE"/>
    <w:rsid w:val="005A0E3C"/>
    <w:rsid w:val="005A1C30"/>
    <w:rsid w:val="005A299C"/>
    <w:rsid w:val="005A3A84"/>
    <w:rsid w:val="005A4447"/>
    <w:rsid w:val="005A5D74"/>
    <w:rsid w:val="005A652B"/>
    <w:rsid w:val="005A6822"/>
    <w:rsid w:val="005A7D92"/>
    <w:rsid w:val="005A7FC9"/>
    <w:rsid w:val="005B2009"/>
    <w:rsid w:val="005B2AD5"/>
    <w:rsid w:val="005B3626"/>
    <w:rsid w:val="005B36AF"/>
    <w:rsid w:val="005B5329"/>
    <w:rsid w:val="005B633A"/>
    <w:rsid w:val="005B7570"/>
    <w:rsid w:val="005B7CF8"/>
    <w:rsid w:val="005B7F25"/>
    <w:rsid w:val="005C0821"/>
    <w:rsid w:val="005C0B49"/>
    <w:rsid w:val="005C2303"/>
    <w:rsid w:val="005D05FF"/>
    <w:rsid w:val="005D0F5F"/>
    <w:rsid w:val="005D1EC0"/>
    <w:rsid w:val="005D291C"/>
    <w:rsid w:val="005D4664"/>
    <w:rsid w:val="005D57A7"/>
    <w:rsid w:val="005D62C6"/>
    <w:rsid w:val="005D6D1F"/>
    <w:rsid w:val="005D6FFE"/>
    <w:rsid w:val="005D74CC"/>
    <w:rsid w:val="005D7867"/>
    <w:rsid w:val="005E0DF6"/>
    <w:rsid w:val="005E1FF5"/>
    <w:rsid w:val="005E263F"/>
    <w:rsid w:val="005E32A9"/>
    <w:rsid w:val="005E3336"/>
    <w:rsid w:val="005E3347"/>
    <w:rsid w:val="005E3DF2"/>
    <w:rsid w:val="005E4341"/>
    <w:rsid w:val="005E5078"/>
    <w:rsid w:val="005E6C78"/>
    <w:rsid w:val="005F21C4"/>
    <w:rsid w:val="005F4607"/>
    <w:rsid w:val="005F6931"/>
    <w:rsid w:val="005F6F35"/>
    <w:rsid w:val="005F7867"/>
    <w:rsid w:val="005F78D9"/>
    <w:rsid w:val="005F7D9D"/>
    <w:rsid w:val="00600B07"/>
    <w:rsid w:val="0060185C"/>
    <w:rsid w:val="00601DE7"/>
    <w:rsid w:val="006026D3"/>
    <w:rsid w:val="006048E7"/>
    <w:rsid w:val="00604A2D"/>
    <w:rsid w:val="00605CD4"/>
    <w:rsid w:val="0060702D"/>
    <w:rsid w:val="00610F88"/>
    <w:rsid w:val="00612237"/>
    <w:rsid w:val="006150D6"/>
    <w:rsid w:val="006156B4"/>
    <w:rsid w:val="006165D5"/>
    <w:rsid w:val="00617138"/>
    <w:rsid w:val="00617BA1"/>
    <w:rsid w:val="0062068E"/>
    <w:rsid w:val="00620A40"/>
    <w:rsid w:val="00622339"/>
    <w:rsid w:val="00622767"/>
    <w:rsid w:val="006227B6"/>
    <w:rsid w:val="006229AB"/>
    <w:rsid w:val="00625027"/>
    <w:rsid w:val="00625631"/>
    <w:rsid w:val="006257EC"/>
    <w:rsid w:val="006261DE"/>
    <w:rsid w:val="006268EF"/>
    <w:rsid w:val="00626E8B"/>
    <w:rsid w:val="006304BA"/>
    <w:rsid w:val="00630B17"/>
    <w:rsid w:val="00631CF6"/>
    <w:rsid w:val="00632779"/>
    <w:rsid w:val="006336E8"/>
    <w:rsid w:val="006343C8"/>
    <w:rsid w:val="00634490"/>
    <w:rsid w:val="00635065"/>
    <w:rsid w:val="00635BE7"/>
    <w:rsid w:val="006376EB"/>
    <w:rsid w:val="00637D84"/>
    <w:rsid w:val="006406DB"/>
    <w:rsid w:val="00640E66"/>
    <w:rsid w:val="00641985"/>
    <w:rsid w:val="00642229"/>
    <w:rsid w:val="006428C7"/>
    <w:rsid w:val="00642BF1"/>
    <w:rsid w:val="00643373"/>
    <w:rsid w:val="00643A63"/>
    <w:rsid w:val="00644444"/>
    <w:rsid w:val="00645902"/>
    <w:rsid w:val="00645D5A"/>
    <w:rsid w:val="0064671C"/>
    <w:rsid w:val="00646BA5"/>
    <w:rsid w:val="0065047C"/>
    <w:rsid w:val="00652686"/>
    <w:rsid w:val="00653148"/>
    <w:rsid w:val="00653385"/>
    <w:rsid w:val="00653AEC"/>
    <w:rsid w:val="00653B40"/>
    <w:rsid w:val="0065423E"/>
    <w:rsid w:val="006542D9"/>
    <w:rsid w:val="00655504"/>
    <w:rsid w:val="00656E90"/>
    <w:rsid w:val="00662504"/>
    <w:rsid w:val="006674CB"/>
    <w:rsid w:val="00667817"/>
    <w:rsid w:val="006712B8"/>
    <w:rsid w:val="00671A20"/>
    <w:rsid w:val="00673146"/>
    <w:rsid w:val="006746D8"/>
    <w:rsid w:val="00674E18"/>
    <w:rsid w:val="00675320"/>
    <w:rsid w:val="00675C41"/>
    <w:rsid w:val="00676121"/>
    <w:rsid w:val="00676A99"/>
    <w:rsid w:val="00676BE0"/>
    <w:rsid w:val="00677DB1"/>
    <w:rsid w:val="006802D6"/>
    <w:rsid w:val="0068039F"/>
    <w:rsid w:val="00680A57"/>
    <w:rsid w:val="006810A9"/>
    <w:rsid w:val="006816BE"/>
    <w:rsid w:val="00682950"/>
    <w:rsid w:val="00682D1B"/>
    <w:rsid w:val="00685285"/>
    <w:rsid w:val="006852E7"/>
    <w:rsid w:val="006859D7"/>
    <w:rsid w:val="00687D35"/>
    <w:rsid w:val="00690D7E"/>
    <w:rsid w:val="006910D7"/>
    <w:rsid w:val="0069177B"/>
    <w:rsid w:val="00692254"/>
    <w:rsid w:val="0069252D"/>
    <w:rsid w:val="00695B6C"/>
    <w:rsid w:val="00695E49"/>
    <w:rsid w:val="00697776"/>
    <w:rsid w:val="006A3AC1"/>
    <w:rsid w:val="006A4173"/>
    <w:rsid w:val="006A423E"/>
    <w:rsid w:val="006A454F"/>
    <w:rsid w:val="006A483E"/>
    <w:rsid w:val="006A4991"/>
    <w:rsid w:val="006A55B8"/>
    <w:rsid w:val="006A59E3"/>
    <w:rsid w:val="006A5AA9"/>
    <w:rsid w:val="006A6D2E"/>
    <w:rsid w:val="006B0266"/>
    <w:rsid w:val="006B1771"/>
    <w:rsid w:val="006B2A46"/>
    <w:rsid w:val="006B2C15"/>
    <w:rsid w:val="006B61AD"/>
    <w:rsid w:val="006B6F21"/>
    <w:rsid w:val="006B7D9F"/>
    <w:rsid w:val="006C04B6"/>
    <w:rsid w:val="006C1253"/>
    <w:rsid w:val="006C21A8"/>
    <w:rsid w:val="006C21C6"/>
    <w:rsid w:val="006C2EEB"/>
    <w:rsid w:val="006C3C9E"/>
    <w:rsid w:val="006C4A75"/>
    <w:rsid w:val="006C603B"/>
    <w:rsid w:val="006C7458"/>
    <w:rsid w:val="006C76D8"/>
    <w:rsid w:val="006C7DED"/>
    <w:rsid w:val="006D03FB"/>
    <w:rsid w:val="006D361A"/>
    <w:rsid w:val="006D3F5A"/>
    <w:rsid w:val="006D41A3"/>
    <w:rsid w:val="006D421F"/>
    <w:rsid w:val="006D46A3"/>
    <w:rsid w:val="006D613C"/>
    <w:rsid w:val="006D6227"/>
    <w:rsid w:val="006D7107"/>
    <w:rsid w:val="006D7185"/>
    <w:rsid w:val="006D7395"/>
    <w:rsid w:val="006D7D5C"/>
    <w:rsid w:val="006E0277"/>
    <w:rsid w:val="006E03D3"/>
    <w:rsid w:val="006E0451"/>
    <w:rsid w:val="006E076E"/>
    <w:rsid w:val="006E0CE4"/>
    <w:rsid w:val="006E0E11"/>
    <w:rsid w:val="006E269E"/>
    <w:rsid w:val="006E28B7"/>
    <w:rsid w:val="006E410F"/>
    <w:rsid w:val="006E5616"/>
    <w:rsid w:val="006E5B19"/>
    <w:rsid w:val="006E6A10"/>
    <w:rsid w:val="006E72EF"/>
    <w:rsid w:val="006E73F8"/>
    <w:rsid w:val="006E7619"/>
    <w:rsid w:val="006E765B"/>
    <w:rsid w:val="006F1B4F"/>
    <w:rsid w:val="006F23FD"/>
    <w:rsid w:val="006F30D4"/>
    <w:rsid w:val="006F3B2A"/>
    <w:rsid w:val="006F4684"/>
    <w:rsid w:val="006F4C9D"/>
    <w:rsid w:val="006F5853"/>
    <w:rsid w:val="006F6980"/>
    <w:rsid w:val="006F6B7A"/>
    <w:rsid w:val="006F7D66"/>
    <w:rsid w:val="00701DD0"/>
    <w:rsid w:val="00703EDA"/>
    <w:rsid w:val="0070443D"/>
    <w:rsid w:val="00705323"/>
    <w:rsid w:val="00710514"/>
    <w:rsid w:val="00712321"/>
    <w:rsid w:val="007132B6"/>
    <w:rsid w:val="0071341D"/>
    <w:rsid w:val="00713BBE"/>
    <w:rsid w:val="00713DF4"/>
    <w:rsid w:val="007144D3"/>
    <w:rsid w:val="00715B3B"/>
    <w:rsid w:val="007161FB"/>
    <w:rsid w:val="00716CBE"/>
    <w:rsid w:val="00717137"/>
    <w:rsid w:val="007210E1"/>
    <w:rsid w:val="00721C25"/>
    <w:rsid w:val="00722706"/>
    <w:rsid w:val="00722D51"/>
    <w:rsid w:val="00723F94"/>
    <w:rsid w:val="00723FA2"/>
    <w:rsid w:val="0072411C"/>
    <w:rsid w:val="00726B2A"/>
    <w:rsid w:val="00726BAA"/>
    <w:rsid w:val="007308B8"/>
    <w:rsid w:val="00730DA2"/>
    <w:rsid w:val="00731640"/>
    <w:rsid w:val="007320AB"/>
    <w:rsid w:val="0073213A"/>
    <w:rsid w:val="007329FF"/>
    <w:rsid w:val="00732F84"/>
    <w:rsid w:val="0073379E"/>
    <w:rsid w:val="0073481A"/>
    <w:rsid w:val="0073529E"/>
    <w:rsid w:val="0073530D"/>
    <w:rsid w:val="00735605"/>
    <w:rsid w:val="00735AA2"/>
    <w:rsid w:val="00735F8E"/>
    <w:rsid w:val="007372D7"/>
    <w:rsid w:val="00741560"/>
    <w:rsid w:val="00741CC2"/>
    <w:rsid w:val="00742CC8"/>
    <w:rsid w:val="0074303B"/>
    <w:rsid w:val="00743F1E"/>
    <w:rsid w:val="00743F97"/>
    <w:rsid w:val="00744491"/>
    <w:rsid w:val="00747737"/>
    <w:rsid w:val="0075079C"/>
    <w:rsid w:val="0075192D"/>
    <w:rsid w:val="00751DAE"/>
    <w:rsid w:val="007526E7"/>
    <w:rsid w:val="00753C52"/>
    <w:rsid w:val="00753DDF"/>
    <w:rsid w:val="007552FE"/>
    <w:rsid w:val="00757108"/>
    <w:rsid w:val="0075723F"/>
    <w:rsid w:val="00757587"/>
    <w:rsid w:val="00760BE4"/>
    <w:rsid w:val="00760F64"/>
    <w:rsid w:val="00761017"/>
    <w:rsid w:val="007617AC"/>
    <w:rsid w:val="00762068"/>
    <w:rsid w:val="0076253A"/>
    <w:rsid w:val="007629F8"/>
    <w:rsid w:val="00763D3D"/>
    <w:rsid w:val="007644C9"/>
    <w:rsid w:val="00764DCC"/>
    <w:rsid w:val="00765239"/>
    <w:rsid w:val="007652A2"/>
    <w:rsid w:val="00767AAC"/>
    <w:rsid w:val="00767CA2"/>
    <w:rsid w:val="007709D1"/>
    <w:rsid w:val="00770BE7"/>
    <w:rsid w:val="007726A3"/>
    <w:rsid w:val="00773A42"/>
    <w:rsid w:val="00774D2F"/>
    <w:rsid w:val="007759B0"/>
    <w:rsid w:val="00775D47"/>
    <w:rsid w:val="007811A1"/>
    <w:rsid w:val="00781928"/>
    <w:rsid w:val="00781B5F"/>
    <w:rsid w:val="00781CB6"/>
    <w:rsid w:val="00782665"/>
    <w:rsid w:val="007826A9"/>
    <w:rsid w:val="00783CE1"/>
    <w:rsid w:val="00783DB5"/>
    <w:rsid w:val="00785567"/>
    <w:rsid w:val="00786800"/>
    <w:rsid w:val="00786B7E"/>
    <w:rsid w:val="00790A5F"/>
    <w:rsid w:val="00791BE3"/>
    <w:rsid w:val="00792E32"/>
    <w:rsid w:val="007934A1"/>
    <w:rsid w:val="00793C4F"/>
    <w:rsid w:val="00793FA7"/>
    <w:rsid w:val="00794B0A"/>
    <w:rsid w:val="007955AC"/>
    <w:rsid w:val="00795A19"/>
    <w:rsid w:val="00795BBB"/>
    <w:rsid w:val="00796815"/>
    <w:rsid w:val="007A1917"/>
    <w:rsid w:val="007A2D04"/>
    <w:rsid w:val="007A3145"/>
    <w:rsid w:val="007A44A0"/>
    <w:rsid w:val="007A4B00"/>
    <w:rsid w:val="007A4B0D"/>
    <w:rsid w:val="007A4EF3"/>
    <w:rsid w:val="007A6B8D"/>
    <w:rsid w:val="007A745F"/>
    <w:rsid w:val="007A7623"/>
    <w:rsid w:val="007B0197"/>
    <w:rsid w:val="007B186B"/>
    <w:rsid w:val="007B1B08"/>
    <w:rsid w:val="007B1C9D"/>
    <w:rsid w:val="007B2197"/>
    <w:rsid w:val="007B253C"/>
    <w:rsid w:val="007B321A"/>
    <w:rsid w:val="007B4048"/>
    <w:rsid w:val="007B5901"/>
    <w:rsid w:val="007B5B11"/>
    <w:rsid w:val="007B63C0"/>
    <w:rsid w:val="007B71D9"/>
    <w:rsid w:val="007B7C85"/>
    <w:rsid w:val="007C11BC"/>
    <w:rsid w:val="007C1913"/>
    <w:rsid w:val="007C1D33"/>
    <w:rsid w:val="007C1F7C"/>
    <w:rsid w:val="007C40FD"/>
    <w:rsid w:val="007C42CB"/>
    <w:rsid w:val="007C4C49"/>
    <w:rsid w:val="007C4CE5"/>
    <w:rsid w:val="007C56C4"/>
    <w:rsid w:val="007C5F84"/>
    <w:rsid w:val="007C64E1"/>
    <w:rsid w:val="007C64EC"/>
    <w:rsid w:val="007C6CF6"/>
    <w:rsid w:val="007C6DAF"/>
    <w:rsid w:val="007C7536"/>
    <w:rsid w:val="007D054F"/>
    <w:rsid w:val="007D198D"/>
    <w:rsid w:val="007D2284"/>
    <w:rsid w:val="007D22D2"/>
    <w:rsid w:val="007D2395"/>
    <w:rsid w:val="007D246B"/>
    <w:rsid w:val="007D266F"/>
    <w:rsid w:val="007D3134"/>
    <w:rsid w:val="007D36E0"/>
    <w:rsid w:val="007D3757"/>
    <w:rsid w:val="007D46FD"/>
    <w:rsid w:val="007D4EA7"/>
    <w:rsid w:val="007D5525"/>
    <w:rsid w:val="007D6605"/>
    <w:rsid w:val="007D6E0D"/>
    <w:rsid w:val="007E10AF"/>
    <w:rsid w:val="007E134A"/>
    <w:rsid w:val="007E5ACC"/>
    <w:rsid w:val="007E5B8D"/>
    <w:rsid w:val="007E5BFA"/>
    <w:rsid w:val="007E6A63"/>
    <w:rsid w:val="007E6B78"/>
    <w:rsid w:val="007E75E7"/>
    <w:rsid w:val="007F026A"/>
    <w:rsid w:val="007F0482"/>
    <w:rsid w:val="007F0CEC"/>
    <w:rsid w:val="007F1262"/>
    <w:rsid w:val="007F1BBD"/>
    <w:rsid w:val="007F1EA7"/>
    <w:rsid w:val="007F26B6"/>
    <w:rsid w:val="007F2EAB"/>
    <w:rsid w:val="007F5825"/>
    <w:rsid w:val="007F6F6A"/>
    <w:rsid w:val="007F7A4E"/>
    <w:rsid w:val="00800EAF"/>
    <w:rsid w:val="008012C5"/>
    <w:rsid w:val="008020FE"/>
    <w:rsid w:val="00804EF2"/>
    <w:rsid w:val="008050CF"/>
    <w:rsid w:val="0080572F"/>
    <w:rsid w:val="00806E9F"/>
    <w:rsid w:val="00807EDB"/>
    <w:rsid w:val="0081342D"/>
    <w:rsid w:val="0081342E"/>
    <w:rsid w:val="00815853"/>
    <w:rsid w:val="0081601C"/>
    <w:rsid w:val="0081658C"/>
    <w:rsid w:val="0082040B"/>
    <w:rsid w:val="00820B9E"/>
    <w:rsid w:val="00821B7A"/>
    <w:rsid w:val="00822290"/>
    <w:rsid w:val="008224BC"/>
    <w:rsid w:val="00822CFD"/>
    <w:rsid w:val="0082345F"/>
    <w:rsid w:val="00824314"/>
    <w:rsid w:val="00825C52"/>
    <w:rsid w:val="0082798A"/>
    <w:rsid w:val="00831918"/>
    <w:rsid w:val="0083275E"/>
    <w:rsid w:val="00833B61"/>
    <w:rsid w:val="00835026"/>
    <w:rsid w:val="008362C5"/>
    <w:rsid w:val="00843D1A"/>
    <w:rsid w:val="00844BAE"/>
    <w:rsid w:val="008455A5"/>
    <w:rsid w:val="00847041"/>
    <w:rsid w:val="008473B1"/>
    <w:rsid w:val="0085074D"/>
    <w:rsid w:val="00851A7B"/>
    <w:rsid w:val="00852387"/>
    <w:rsid w:val="00852392"/>
    <w:rsid w:val="00852872"/>
    <w:rsid w:val="00853281"/>
    <w:rsid w:val="00854271"/>
    <w:rsid w:val="0085438A"/>
    <w:rsid w:val="00855256"/>
    <w:rsid w:val="00855A5B"/>
    <w:rsid w:val="00856D16"/>
    <w:rsid w:val="00857077"/>
    <w:rsid w:val="00857FDA"/>
    <w:rsid w:val="00860F96"/>
    <w:rsid w:val="00861322"/>
    <w:rsid w:val="008617FD"/>
    <w:rsid w:val="00861973"/>
    <w:rsid w:val="00862401"/>
    <w:rsid w:val="00862A77"/>
    <w:rsid w:val="008631FE"/>
    <w:rsid w:val="00863257"/>
    <w:rsid w:val="00863F46"/>
    <w:rsid w:val="008653DC"/>
    <w:rsid w:val="008659AB"/>
    <w:rsid w:val="00866795"/>
    <w:rsid w:val="00871D11"/>
    <w:rsid w:val="00873390"/>
    <w:rsid w:val="0087359C"/>
    <w:rsid w:val="00873707"/>
    <w:rsid w:val="0087441B"/>
    <w:rsid w:val="0087448C"/>
    <w:rsid w:val="00875131"/>
    <w:rsid w:val="00876103"/>
    <w:rsid w:val="0088098E"/>
    <w:rsid w:val="00882E80"/>
    <w:rsid w:val="0088304A"/>
    <w:rsid w:val="00883B43"/>
    <w:rsid w:val="008859F8"/>
    <w:rsid w:val="00885A73"/>
    <w:rsid w:val="00886C84"/>
    <w:rsid w:val="00887371"/>
    <w:rsid w:val="00887C6B"/>
    <w:rsid w:val="00890910"/>
    <w:rsid w:val="0089106E"/>
    <w:rsid w:val="008934F1"/>
    <w:rsid w:val="00893C84"/>
    <w:rsid w:val="00895231"/>
    <w:rsid w:val="00895447"/>
    <w:rsid w:val="008964DE"/>
    <w:rsid w:val="0089791C"/>
    <w:rsid w:val="00897A3F"/>
    <w:rsid w:val="008A0F4E"/>
    <w:rsid w:val="008A1857"/>
    <w:rsid w:val="008A1CC5"/>
    <w:rsid w:val="008A2FA1"/>
    <w:rsid w:val="008A3625"/>
    <w:rsid w:val="008A5C65"/>
    <w:rsid w:val="008A69D4"/>
    <w:rsid w:val="008A6AB0"/>
    <w:rsid w:val="008B0737"/>
    <w:rsid w:val="008B0D07"/>
    <w:rsid w:val="008B161E"/>
    <w:rsid w:val="008B1B3B"/>
    <w:rsid w:val="008B1FF3"/>
    <w:rsid w:val="008B209C"/>
    <w:rsid w:val="008B3D10"/>
    <w:rsid w:val="008B43BA"/>
    <w:rsid w:val="008B4D8C"/>
    <w:rsid w:val="008B5D1C"/>
    <w:rsid w:val="008B678F"/>
    <w:rsid w:val="008B6898"/>
    <w:rsid w:val="008B69C5"/>
    <w:rsid w:val="008C016B"/>
    <w:rsid w:val="008C06B4"/>
    <w:rsid w:val="008C25B9"/>
    <w:rsid w:val="008C262E"/>
    <w:rsid w:val="008C4211"/>
    <w:rsid w:val="008C5412"/>
    <w:rsid w:val="008C6266"/>
    <w:rsid w:val="008C685D"/>
    <w:rsid w:val="008C6F0E"/>
    <w:rsid w:val="008C7716"/>
    <w:rsid w:val="008D00F8"/>
    <w:rsid w:val="008D01B8"/>
    <w:rsid w:val="008D07EB"/>
    <w:rsid w:val="008D1729"/>
    <w:rsid w:val="008D5469"/>
    <w:rsid w:val="008D5AEC"/>
    <w:rsid w:val="008D5E4A"/>
    <w:rsid w:val="008D5FB7"/>
    <w:rsid w:val="008D6A70"/>
    <w:rsid w:val="008D6D1C"/>
    <w:rsid w:val="008E0B4D"/>
    <w:rsid w:val="008E15BF"/>
    <w:rsid w:val="008E1DBF"/>
    <w:rsid w:val="008E3080"/>
    <w:rsid w:val="008E359C"/>
    <w:rsid w:val="008E3806"/>
    <w:rsid w:val="008E42CF"/>
    <w:rsid w:val="008E490F"/>
    <w:rsid w:val="008E4DAA"/>
    <w:rsid w:val="008E591F"/>
    <w:rsid w:val="008E66A4"/>
    <w:rsid w:val="008E7E1B"/>
    <w:rsid w:val="008F0196"/>
    <w:rsid w:val="008F0F7C"/>
    <w:rsid w:val="008F1093"/>
    <w:rsid w:val="008F11B3"/>
    <w:rsid w:val="008F198D"/>
    <w:rsid w:val="008F28BB"/>
    <w:rsid w:val="008F2F0A"/>
    <w:rsid w:val="008F3C87"/>
    <w:rsid w:val="008F471A"/>
    <w:rsid w:val="008F4FCA"/>
    <w:rsid w:val="00901858"/>
    <w:rsid w:val="009032FA"/>
    <w:rsid w:val="009054BD"/>
    <w:rsid w:val="00905ED7"/>
    <w:rsid w:val="009069C2"/>
    <w:rsid w:val="00907ECC"/>
    <w:rsid w:val="00910219"/>
    <w:rsid w:val="00910231"/>
    <w:rsid w:val="00910E52"/>
    <w:rsid w:val="00911E49"/>
    <w:rsid w:val="009129FF"/>
    <w:rsid w:val="00912BC3"/>
    <w:rsid w:val="00914583"/>
    <w:rsid w:val="009146A9"/>
    <w:rsid w:val="0091722D"/>
    <w:rsid w:val="00920579"/>
    <w:rsid w:val="009207C6"/>
    <w:rsid w:val="00923C1F"/>
    <w:rsid w:val="00923D5B"/>
    <w:rsid w:val="009259A0"/>
    <w:rsid w:val="00925CCD"/>
    <w:rsid w:val="00926C76"/>
    <w:rsid w:val="0093144F"/>
    <w:rsid w:val="00932238"/>
    <w:rsid w:val="00932A74"/>
    <w:rsid w:val="009332F1"/>
    <w:rsid w:val="00933874"/>
    <w:rsid w:val="00934294"/>
    <w:rsid w:val="00934A98"/>
    <w:rsid w:val="00934E9D"/>
    <w:rsid w:val="009354E8"/>
    <w:rsid w:val="0093581C"/>
    <w:rsid w:val="009359B8"/>
    <w:rsid w:val="00936E67"/>
    <w:rsid w:val="009371CD"/>
    <w:rsid w:val="00937216"/>
    <w:rsid w:val="0093768C"/>
    <w:rsid w:val="00940500"/>
    <w:rsid w:val="00941418"/>
    <w:rsid w:val="009425DC"/>
    <w:rsid w:val="00943EA8"/>
    <w:rsid w:val="00944B3D"/>
    <w:rsid w:val="00944FA2"/>
    <w:rsid w:val="009463E9"/>
    <w:rsid w:val="009469AC"/>
    <w:rsid w:val="0094756B"/>
    <w:rsid w:val="00950366"/>
    <w:rsid w:val="0095052A"/>
    <w:rsid w:val="00951324"/>
    <w:rsid w:val="0095172E"/>
    <w:rsid w:val="00952506"/>
    <w:rsid w:val="0095401D"/>
    <w:rsid w:val="0095418B"/>
    <w:rsid w:val="00954D8F"/>
    <w:rsid w:val="0095598E"/>
    <w:rsid w:val="00955994"/>
    <w:rsid w:val="009573FA"/>
    <w:rsid w:val="00957A25"/>
    <w:rsid w:val="00957C38"/>
    <w:rsid w:val="009601A6"/>
    <w:rsid w:val="00960627"/>
    <w:rsid w:val="00960AD7"/>
    <w:rsid w:val="00961153"/>
    <w:rsid w:val="00962986"/>
    <w:rsid w:val="00962AFF"/>
    <w:rsid w:val="00962FEA"/>
    <w:rsid w:val="00963601"/>
    <w:rsid w:val="00963C7B"/>
    <w:rsid w:val="00964585"/>
    <w:rsid w:val="00964CAE"/>
    <w:rsid w:val="00964CDD"/>
    <w:rsid w:val="009653F2"/>
    <w:rsid w:val="009661B8"/>
    <w:rsid w:val="0097275A"/>
    <w:rsid w:val="00973D11"/>
    <w:rsid w:val="00973F28"/>
    <w:rsid w:val="00974016"/>
    <w:rsid w:val="00974101"/>
    <w:rsid w:val="00976463"/>
    <w:rsid w:val="00976A0B"/>
    <w:rsid w:val="00976A3E"/>
    <w:rsid w:val="00976E5A"/>
    <w:rsid w:val="0097787E"/>
    <w:rsid w:val="00980CE1"/>
    <w:rsid w:val="0098143A"/>
    <w:rsid w:val="00983AEF"/>
    <w:rsid w:val="009845B6"/>
    <w:rsid w:val="0098656F"/>
    <w:rsid w:val="00986F9E"/>
    <w:rsid w:val="00987C9E"/>
    <w:rsid w:val="0099149A"/>
    <w:rsid w:val="009917D7"/>
    <w:rsid w:val="00992145"/>
    <w:rsid w:val="00994533"/>
    <w:rsid w:val="0099455E"/>
    <w:rsid w:val="00994B68"/>
    <w:rsid w:val="00994FFB"/>
    <w:rsid w:val="00995F18"/>
    <w:rsid w:val="009970F2"/>
    <w:rsid w:val="009A00DA"/>
    <w:rsid w:val="009A05C5"/>
    <w:rsid w:val="009A1483"/>
    <w:rsid w:val="009A29A4"/>
    <w:rsid w:val="009A43D2"/>
    <w:rsid w:val="009A5787"/>
    <w:rsid w:val="009A5B92"/>
    <w:rsid w:val="009A7AC6"/>
    <w:rsid w:val="009B05AC"/>
    <w:rsid w:val="009B17AC"/>
    <w:rsid w:val="009B2583"/>
    <w:rsid w:val="009B3617"/>
    <w:rsid w:val="009B3619"/>
    <w:rsid w:val="009B5018"/>
    <w:rsid w:val="009B58F7"/>
    <w:rsid w:val="009B5AB4"/>
    <w:rsid w:val="009B60F5"/>
    <w:rsid w:val="009B73F8"/>
    <w:rsid w:val="009C147A"/>
    <w:rsid w:val="009C14AD"/>
    <w:rsid w:val="009C1726"/>
    <w:rsid w:val="009C2D3C"/>
    <w:rsid w:val="009C3818"/>
    <w:rsid w:val="009C4938"/>
    <w:rsid w:val="009C6A54"/>
    <w:rsid w:val="009C7F7B"/>
    <w:rsid w:val="009D1BD4"/>
    <w:rsid w:val="009D2F1B"/>
    <w:rsid w:val="009D3AEB"/>
    <w:rsid w:val="009D447B"/>
    <w:rsid w:val="009D5051"/>
    <w:rsid w:val="009D6131"/>
    <w:rsid w:val="009D7EC6"/>
    <w:rsid w:val="009E1024"/>
    <w:rsid w:val="009E131D"/>
    <w:rsid w:val="009E1A69"/>
    <w:rsid w:val="009E2100"/>
    <w:rsid w:val="009E472D"/>
    <w:rsid w:val="009E48AF"/>
    <w:rsid w:val="009E4CE7"/>
    <w:rsid w:val="009E4D45"/>
    <w:rsid w:val="009E519C"/>
    <w:rsid w:val="009E692A"/>
    <w:rsid w:val="009E7440"/>
    <w:rsid w:val="009F0612"/>
    <w:rsid w:val="009F0EB7"/>
    <w:rsid w:val="009F47B6"/>
    <w:rsid w:val="009F513A"/>
    <w:rsid w:val="009F5D4B"/>
    <w:rsid w:val="009F661B"/>
    <w:rsid w:val="009F6782"/>
    <w:rsid w:val="009F6A1F"/>
    <w:rsid w:val="009F7F24"/>
    <w:rsid w:val="00A0091B"/>
    <w:rsid w:val="00A00F28"/>
    <w:rsid w:val="00A00F6B"/>
    <w:rsid w:val="00A01604"/>
    <w:rsid w:val="00A01627"/>
    <w:rsid w:val="00A01D46"/>
    <w:rsid w:val="00A02CF0"/>
    <w:rsid w:val="00A04E86"/>
    <w:rsid w:val="00A0633D"/>
    <w:rsid w:val="00A06584"/>
    <w:rsid w:val="00A06D24"/>
    <w:rsid w:val="00A07296"/>
    <w:rsid w:val="00A10201"/>
    <w:rsid w:val="00A10F60"/>
    <w:rsid w:val="00A115D1"/>
    <w:rsid w:val="00A145F0"/>
    <w:rsid w:val="00A163F0"/>
    <w:rsid w:val="00A166B8"/>
    <w:rsid w:val="00A1783B"/>
    <w:rsid w:val="00A20496"/>
    <w:rsid w:val="00A20CDC"/>
    <w:rsid w:val="00A23177"/>
    <w:rsid w:val="00A234F0"/>
    <w:rsid w:val="00A24E3B"/>
    <w:rsid w:val="00A25745"/>
    <w:rsid w:val="00A25918"/>
    <w:rsid w:val="00A26D8E"/>
    <w:rsid w:val="00A26EED"/>
    <w:rsid w:val="00A27C34"/>
    <w:rsid w:val="00A33489"/>
    <w:rsid w:val="00A336BC"/>
    <w:rsid w:val="00A33983"/>
    <w:rsid w:val="00A34176"/>
    <w:rsid w:val="00A34313"/>
    <w:rsid w:val="00A348C4"/>
    <w:rsid w:val="00A3531C"/>
    <w:rsid w:val="00A364F3"/>
    <w:rsid w:val="00A36B0B"/>
    <w:rsid w:val="00A435C2"/>
    <w:rsid w:val="00A43CCD"/>
    <w:rsid w:val="00A5041C"/>
    <w:rsid w:val="00A50569"/>
    <w:rsid w:val="00A518CB"/>
    <w:rsid w:val="00A52A52"/>
    <w:rsid w:val="00A52C24"/>
    <w:rsid w:val="00A531B6"/>
    <w:rsid w:val="00A54668"/>
    <w:rsid w:val="00A54CE2"/>
    <w:rsid w:val="00A55511"/>
    <w:rsid w:val="00A558ED"/>
    <w:rsid w:val="00A56F0C"/>
    <w:rsid w:val="00A61E7C"/>
    <w:rsid w:val="00A62B58"/>
    <w:rsid w:val="00A64423"/>
    <w:rsid w:val="00A65F4C"/>
    <w:rsid w:val="00A662DB"/>
    <w:rsid w:val="00A66B16"/>
    <w:rsid w:val="00A70035"/>
    <w:rsid w:val="00A70338"/>
    <w:rsid w:val="00A70DF2"/>
    <w:rsid w:val="00A71BA2"/>
    <w:rsid w:val="00A73064"/>
    <w:rsid w:val="00A743FD"/>
    <w:rsid w:val="00A74F0F"/>
    <w:rsid w:val="00A74F38"/>
    <w:rsid w:val="00A7686F"/>
    <w:rsid w:val="00A76BF3"/>
    <w:rsid w:val="00A777D2"/>
    <w:rsid w:val="00A77D4C"/>
    <w:rsid w:val="00A8060E"/>
    <w:rsid w:val="00A8114E"/>
    <w:rsid w:val="00A814CB"/>
    <w:rsid w:val="00A83462"/>
    <w:rsid w:val="00A83CA8"/>
    <w:rsid w:val="00A84358"/>
    <w:rsid w:val="00A846B9"/>
    <w:rsid w:val="00A84CF4"/>
    <w:rsid w:val="00A86091"/>
    <w:rsid w:val="00A86A63"/>
    <w:rsid w:val="00A870B7"/>
    <w:rsid w:val="00A90293"/>
    <w:rsid w:val="00A90B87"/>
    <w:rsid w:val="00A93B0A"/>
    <w:rsid w:val="00A95DFB"/>
    <w:rsid w:val="00A95EF5"/>
    <w:rsid w:val="00A96657"/>
    <w:rsid w:val="00AA0037"/>
    <w:rsid w:val="00AA01FB"/>
    <w:rsid w:val="00AA0B7E"/>
    <w:rsid w:val="00AA24AE"/>
    <w:rsid w:val="00AA261C"/>
    <w:rsid w:val="00AA3DDF"/>
    <w:rsid w:val="00AA420F"/>
    <w:rsid w:val="00AA4CF0"/>
    <w:rsid w:val="00AA5260"/>
    <w:rsid w:val="00AA5916"/>
    <w:rsid w:val="00AA6DA2"/>
    <w:rsid w:val="00AA74F5"/>
    <w:rsid w:val="00AB0763"/>
    <w:rsid w:val="00AB348F"/>
    <w:rsid w:val="00AB385F"/>
    <w:rsid w:val="00AB4677"/>
    <w:rsid w:val="00AB476D"/>
    <w:rsid w:val="00AB6A26"/>
    <w:rsid w:val="00AB6C06"/>
    <w:rsid w:val="00AB70C5"/>
    <w:rsid w:val="00AC30D9"/>
    <w:rsid w:val="00AC4A77"/>
    <w:rsid w:val="00AC5593"/>
    <w:rsid w:val="00AC63EB"/>
    <w:rsid w:val="00AC6447"/>
    <w:rsid w:val="00AC7EFD"/>
    <w:rsid w:val="00AD064D"/>
    <w:rsid w:val="00AD0BAF"/>
    <w:rsid w:val="00AD14C4"/>
    <w:rsid w:val="00AD217E"/>
    <w:rsid w:val="00AD29DA"/>
    <w:rsid w:val="00AD2E1E"/>
    <w:rsid w:val="00AD3005"/>
    <w:rsid w:val="00AD431D"/>
    <w:rsid w:val="00AD4338"/>
    <w:rsid w:val="00AD5E0B"/>
    <w:rsid w:val="00AD6917"/>
    <w:rsid w:val="00AD74A9"/>
    <w:rsid w:val="00AE03DF"/>
    <w:rsid w:val="00AE1B34"/>
    <w:rsid w:val="00AE6DA2"/>
    <w:rsid w:val="00AE7241"/>
    <w:rsid w:val="00AF0E6E"/>
    <w:rsid w:val="00AF1DBF"/>
    <w:rsid w:val="00AF2BAC"/>
    <w:rsid w:val="00AF3677"/>
    <w:rsid w:val="00AF3B44"/>
    <w:rsid w:val="00AF3F41"/>
    <w:rsid w:val="00AF42AB"/>
    <w:rsid w:val="00AF4653"/>
    <w:rsid w:val="00AF5DCE"/>
    <w:rsid w:val="00AF6642"/>
    <w:rsid w:val="00AF7645"/>
    <w:rsid w:val="00AF7E6E"/>
    <w:rsid w:val="00B02215"/>
    <w:rsid w:val="00B039C7"/>
    <w:rsid w:val="00B0491B"/>
    <w:rsid w:val="00B04F7F"/>
    <w:rsid w:val="00B050F7"/>
    <w:rsid w:val="00B055FF"/>
    <w:rsid w:val="00B1151D"/>
    <w:rsid w:val="00B12357"/>
    <w:rsid w:val="00B125A6"/>
    <w:rsid w:val="00B12F60"/>
    <w:rsid w:val="00B13443"/>
    <w:rsid w:val="00B1534C"/>
    <w:rsid w:val="00B154E0"/>
    <w:rsid w:val="00B2113F"/>
    <w:rsid w:val="00B230DE"/>
    <w:rsid w:val="00B24C15"/>
    <w:rsid w:val="00B25736"/>
    <w:rsid w:val="00B267AD"/>
    <w:rsid w:val="00B269CD"/>
    <w:rsid w:val="00B26E19"/>
    <w:rsid w:val="00B271E5"/>
    <w:rsid w:val="00B273B6"/>
    <w:rsid w:val="00B30584"/>
    <w:rsid w:val="00B3090A"/>
    <w:rsid w:val="00B30D40"/>
    <w:rsid w:val="00B312FC"/>
    <w:rsid w:val="00B316B5"/>
    <w:rsid w:val="00B324EB"/>
    <w:rsid w:val="00B32781"/>
    <w:rsid w:val="00B3292A"/>
    <w:rsid w:val="00B37050"/>
    <w:rsid w:val="00B37D3D"/>
    <w:rsid w:val="00B42BC4"/>
    <w:rsid w:val="00B42C8A"/>
    <w:rsid w:val="00B4587C"/>
    <w:rsid w:val="00B45B43"/>
    <w:rsid w:val="00B4602F"/>
    <w:rsid w:val="00B46521"/>
    <w:rsid w:val="00B47362"/>
    <w:rsid w:val="00B47B14"/>
    <w:rsid w:val="00B47BA6"/>
    <w:rsid w:val="00B507C6"/>
    <w:rsid w:val="00B510F0"/>
    <w:rsid w:val="00B52D78"/>
    <w:rsid w:val="00B542FC"/>
    <w:rsid w:val="00B545B6"/>
    <w:rsid w:val="00B564FA"/>
    <w:rsid w:val="00B5672C"/>
    <w:rsid w:val="00B57946"/>
    <w:rsid w:val="00B601F3"/>
    <w:rsid w:val="00B606BF"/>
    <w:rsid w:val="00B61885"/>
    <w:rsid w:val="00B6237B"/>
    <w:rsid w:val="00B62905"/>
    <w:rsid w:val="00B63F69"/>
    <w:rsid w:val="00B640CD"/>
    <w:rsid w:val="00B655DB"/>
    <w:rsid w:val="00B65F1D"/>
    <w:rsid w:val="00B66DB1"/>
    <w:rsid w:val="00B67756"/>
    <w:rsid w:val="00B70447"/>
    <w:rsid w:val="00B72A36"/>
    <w:rsid w:val="00B73187"/>
    <w:rsid w:val="00B74CF8"/>
    <w:rsid w:val="00B754BE"/>
    <w:rsid w:val="00B75BE9"/>
    <w:rsid w:val="00B76517"/>
    <w:rsid w:val="00B77317"/>
    <w:rsid w:val="00B80D25"/>
    <w:rsid w:val="00B81674"/>
    <w:rsid w:val="00B81CE1"/>
    <w:rsid w:val="00B81F72"/>
    <w:rsid w:val="00B822B7"/>
    <w:rsid w:val="00B83092"/>
    <w:rsid w:val="00B856D5"/>
    <w:rsid w:val="00B86B85"/>
    <w:rsid w:val="00B86F62"/>
    <w:rsid w:val="00B87C80"/>
    <w:rsid w:val="00B9026B"/>
    <w:rsid w:val="00B91BBC"/>
    <w:rsid w:val="00B92054"/>
    <w:rsid w:val="00B922FC"/>
    <w:rsid w:val="00B92695"/>
    <w:rsid w:val="00B92A6A"/>
    <w:rsid w:val="00B93FCD"/>
    <w:rsid w:val="00B942E0"/>
    <w:rsid w:val="00B947DB"/>
    <w:rsid w:val="00B94DA4"/>
    <w:rsid w:val="00B950AB"/>
    <w:rsid w:val="00B96600"/>
    <w:rsid w:val="00B96E5D"/>
    <w:rsid w:val="00B97AF7"/>
    <w:rsid w:val="00BA08C3"/>
    <w:rsid w:val="00BA0D24"/>
    <w:rsid w:val="00BA0DA6"/>
    <w:rsid w:val="00BA0F29"/>
    <w:rsid w:val="00BA1356"/>
    <w:rsid w:val="00BA1B6E"/>
    <w:rsid w:val="00BA1DB1"/>
    <w:rsid w:val="00BA1F03"/>
    <w:rsid w:val="00BA295F"/>
    <w:rsid w:val="00BA2A0D"/>
    <w:rsid w:val="00BA3257"/>
    <w:rsid w:val="00BA44A1"/>
    <w:rsid w:val="00BA462B"/>
    <w:rsid w:val="00BA467F"/>
    <w:rsid w:val="00BA4D78"/>
    <w:rsid w:val="00BA55AA"/>
    <w:rsid w:val="00BA57B7"/>
    <w:rsid w:val="00BA5DB2"/>
    <w:rsid w:val="00BA6A9C"/>
    <w:rsid w:val="00BA70A3"/>
    <w:rsid w:val="00BB0091"/>
    <w:rsid w:val="00BB01DA"/>
    <w:rsid w:val="00BB07D0"/>
    <w:rsid w:val="00BB299B"/>
    <w:rsid w:val="00BB2F18"/>
    <w:rsid w:val="00BB396A"/>
    <w:rsid w:val="00BB4645"/>
    <w:rsid w:val="00BB713F"/>
    <w:rsid w:val="00BB75F6"/>
    <w:rsid w:val="00BB7A3D"/>
    <w:rsid w:val="00BB7ACF"/>
    <w:rsid w:val="00BC179C"/>
    <w:rsid w:val="00BC1B0A"/>
    <w:rsid w:val="00BC1E74"/>
    <w:rsid w:val="00BC2122"/>
    <w:rsid w:val="00BC216A"/>
    <w:rsid w:val="00BC2434"/>
    <w:rsid w:val="00BC269B"/>
    <w:rsid w:val="00BC3A6A"/>
    <w:rsid w:val="00BC4434"/>
    <w:rsid w:val="00BC5CFA"/>
    <w:rsid w:val="00BC5DA2"/>
    <w:rsid w:val="00BC7512"/>
    <w:rsid w:val="00BC7889"/>
    <w:rsid w:val="00BD0040"/>
    <w:rsid w:val="00BD0766"/>
    <w:rsid w:val="00BD0BC0"/>
    <w:rsid w:val="00BD12CE"/>
    <w:rsid w:val="00BD13CB"/>
    <w:rsid w:val="00BD14ED"/>
    <w:rsid w:val="00BD2F82"/>
    <w:rsid w:val="00BD30F9"/>
    <w:rsid w:val="00BD4DDE"/>
    <w:rsid w:val="00BD5998"/>
    <w:rsid w:val="00BD699C"/>
    <w:rsid w:val="00BD72A5"/>
    <w:rsid w:val="00BE0A5B"/>
    <w:rsid w:val="00BE1CD5"/>
    <w:rsid w:val="00BE1E13"/>
    <w:rsid w:val="00BE2A84"/>
    <w:rsid w:val="00BE3459"/>
    <w:rsid w:val="00BE398A"/>
    <w:rsid w:val="00BE6924"/>
    <w:rsid w:val="00BE749F"/>
    <w:rsid w:val="00BE77E3"/>
    <w:rsid w:val="00BF2114"/>
    <w:rsid w:val="00BF29E7"/>
    <w:rsid w:val="00BF2CE3"/>
    <w:rsid w:val="00BF3120"/>
    <w:rsid w:val="00BF33E8"/>
    <w:rsid w:val="00BF356C"/>
    <w:rsid w:val="00BF3E22"/>
    <w:rsid w:val="00BF4672"/>
    <w:rsid w:val="00BF4F7D"/>
    <w:rsid w:val="00BF5034"/>
    <w:rsid w:val="00BF54CF"/>
    <w:rsid w:val="00BF615C"/>
    <w:rsid w:val="00BF6497"/>
    <w:rsid w:val="00BF665D"/>
    <w:rsid w:val="00BF6A32"/>
    <w:rsid w:val="00BF7F1B"/>
    <w:rsid w:val="00C03653"/>
    <w:rsid w:val="00C03B9F"/>
    <w:rsid w:val="00C041A6"/>
    <w:rsid w:val="00C04EB1"/>
    <w:rsid w:val="00C06DD4"/>
    <w:rsid w:val="00C06E8F"/>
    <w:rsid w:val="00C074B1"/>
    <w:rsid w:val="00C101A2"/>
    <w:rsid w:val="00C10291"/>
    <w:rsid w:val="00C108B9"/>
    <w:rsid w:val="00C10AA1"/>
    <w:rsid w:val="00C11A0E"/>
    <w:rsid w:val="00C13154"/>
    <w:rsid w:val="00C1402B"/>
    <w:rsid w:val="00C14D86"/>
    <w:rsid w:val="00C15597"/>
    <w:rsid w:val="00C155BC"/>
    <w:rsid w:val="00C15B91"/>
    <w:rsid w:val="00C1736A"/>
    <w:rsid w:val="00C17BAA"/>
    <w:rsid w:val="00C20CA2"/>
    <w:rsid w:val="00C21A22"/>
    <w:rsid w:val="00C21ED5"/>
    <w:rsid w:val="00C22CF5"/>
    <w:rsid w:val="00C238EA"/>
    <w:rsid w:val="00C239F6"/>
    <w:rsid w:val="00C2527F"/>
    <w:rsid w:val="00C25550"/>
    <w:rsid w:val="00C25D17"/>
    <w:rsid w:val="00C25D24"/>
    <w:rsid w:val="00C25F3D"/>
    <w:rsid w:val="00C26395"/>
    <w:rsid w:val="00C26B1C"/>
    <w:rsid w:val="00C27812"/>
    <w:rsid w:val="00C323A4"/>
    <w:rsid w:val="00C32B1F"/>
    <w:rsid w:val="00C3326D"/>
    <w:rsid w:val="00C33275"/>
    <w:rsid w:val="00C334EE"/>
    <w:rsid w:val="00C33746"/>
    <w:rsid w:val="00C33A2D"/>
    <w:rsid w:val="00C344EB"/>
    <w:rsid w:val="00C353F5"/>
    <w:rsid w:val="00C35AFE"/>
    <w:rsid w:val="00C35EE6"/>
    <w:rsid w:val="00C4136E"/>
    <w:rsid w:val="00C413DE"/>
    <w:rsid w:val="00C41B4A"/>
    <w:rsid w:val="00C41D7C"/>
    <w:rsid w:val="00C42DEC"/>
    <w:rsid w:val="00C44BC1"/>
    <w:rsid w:val="00C44DFC"/>
    <w:rsid w:val="00C459BF"/>
    <w:rsid w:val="00C466B5"/>
    <w:rsid w:val="00C50175"/>
    <w:rsid w:val="00C5060C"/>
    <w:rsid w:val="00C50DF6"/>
    <w:rsid w:val="00C50DF8"/>
    <w:rsid w:val="00C52804"/>
    <w:rsid w:val="00C52ADD"/>
    <w:rsid w:val="00C5380F"/>
    <w:rsid w:val="00C54E70"/>
    <w:rsid w:val="00C55DAC"/>
    <w:rsid w:val="00C55DF5"/>
    <w:rsid w:val="00C6032F"/>
    <w:rsid w:val="00C623E5"/>
    <w:rsid w:val="00C625C9"/>
    <w:rsid w:val="00C630D2"/>
    <w:rsid w:val="00C63C2E"/>
    <w:rsid w:val="00C64624"/>
    <w:rsid w:val="00C649F0"/>
    <w:rsid w:val="00C64EDC"/>
    <w:rsid w:val="00C6568C"/>
    <w:rsid w:val="00C65928"/>
    <w:rsid w:val="00C65BAA"/>
    <w:rsid w:val="00C6734D"/>
    <w:rsid w:val="00C67729"/>
    <w:rsid w:val="00C70056"/>
    <w:rsid w:val="00C71154"/>
    <w:rsid w:val="00C73AA6"/>
    <w:rsid w:val="00C73B86"/>
    <w:rsid w:val="00C7511D"/>
    <w:rsid w:val="00C75360"/>
    <w:rsid w:val="00C772EC"/>
    <w:rsid w:val="00C8064E"/>
    <w:rsid w:val="00C80B64"/>
    <w:rsid w:val="00C83504"/>
    <w:rsid w:val="00C84035"/>
    <w:rsid w:val="00C853F2"/>
    <w:rsid w:val="00C85643"/>
    <w:rsid w:val="00C85777"/>
    <w:rsid w:val="00C866F4"/>
    <w:rsid w:val="00C86886"/>
    <w:rsid w:val="00C86DF6"/>
    <w:rsid w:val="00C905D4"/>
    <w:rsid w:val="00C91A58"/>
    <w:rsid w:val="00C9205A"/>
    <w:rsid w:val="00C92A71"/>
    <w:rsid w:val="00C94116"/>
    <w:rsid w:val="00C9527A"/>
    <w:rsid w:val="00C963E2"/>
    <w:rsid w:val="00C964F4"/>
    <w:rsid w:val="00C96ECB"/>
    <w:rsid w:val="00C97596"/>
    <w:rsid w:val="00CA0C8A"/>
    <w:rsid w:val="00CA0FEA"/>
    <w:rsid w:val="00CA121D"/>
    <w:rsid w:val="00CA19E3"/>
    <w:rsid w:val="00CA33B0"/>
    <w:rsid w:val="00CA3D24"/>
    <w:rsid w:val="00CA5944"/>
    <w:rsid w:val="00CA59E9"/>
    <w:rsid w:val="00CA61BD"/>
    <w:rsid w:val="00CA61F8"/>
    <w:rsid w:val="00CA72AB"/>
    <w:rsid w:val="00CB0E80"/>
    <w:rsid w:val="00CB12F4"/>
    <w:rsid w:val="00CB2D25"/>
    <w:rsid w:val="00CB3B15"/>
    <w:rsid w:val="00CB3D1C"/>
    <w:rsid w:val="00CB4E48"/>
    <w:rsid w:val="00CB5514"/>
    <w:rsid w:val="00CB57CC"/>
    <w:rsid w:val="00CB7B65"/>
    <w:rsid w:val="00CC1AF6"/>
    <w:rsid w:val="00CC3FCE"/>
    <w:rsid w:val="00CC4E6C"/>
    <w:rsid w:val="00CC4FE9"/>
    <w:rsid w:val="00CC70EE"/>
    <w:rsid w:val="00CC73B7"/>
    <w:rsid w:val="00CD10C6"/>
    <w:rsid w:val="00CD3CBE"/>
    <w:rsid w:val="00CD3DE5"/>
    <w:rsid w:val="00CD4B08"/>
    <w:rsid w:val="00CD4BE3"/>
    <w:rsid w:val="00CD574B"/>
    <w:rsid w:val="00CD6119"/>
    <w:rsid w:val="00CD67FE"/>
    <w:rsid w:val="00CD72AC"/>
    <w:rsid w:val="00CD7337"/>
    <w:rsid w:val="00CE114D"/>
    <w:rsid w:val="00CE140A"/>
    <w:rsid w:val="00CE1B7C"/>
    <w:rsid w:val="00CE1EFA"/>
    <w:rsid w:val="00CE2958"/>
    <w:rsid w:val="00CE3DB3"/>
    <w:rsid w:val="00CE51DC"/>
    <w:rsid w:val="00CE6DBC"/>
    <w:rsid w:val="00CE72F6"/>
    <w:rsid w:val="00CE79D9"/>
    <w:rsid w:val="00CE7A15"/>
    <w:rsid w:val="00CE7C90"/>
    <w:rsid w:val="00CF02F6"/>
    <w:rsid w:val="00CF130B"/>
    <w:rsid w:val="00CF2138"/>
    <w:rsid w:val="00CF2548"/>
    <w:rsid w:val="00CF2F2C"/>
    <w:rsid w:val="00CF3432"/>
    <w:rsid w:val="00CF48D5"/>
    <w:rsid w:val="00CF4BA5"/>
    <w:rsid w:val="00CF537A"/>
    <w:rsid w:val="00CF5C30"/>
    <w:rsid w:val="00CF6E3E"/>
    <w:rsid w:val="00CF7D42"/>
    <w:rsid w:val="00D009BF"/>
    <w:rsid w:val="00D00AAB"/>
    <w:rsid w:val="00D0137C"/>
    <w:rsid w:val="00D043EC"/>
    <w:rsid w:val="00D068F1"/>
    <w:rsid w:val="00D06BFA"/>
    <w:rsid w:val="00D07301"/>
    <w:rsid w:val="00D07DCE"/>
    <w:rsid w:val="00D108EC"/>
    <w:rsid w:val="00D1238F"/>
    <w:rsid w:val="00D14AE8"/>
    <w:rsid w:val="00D14EBD"/>
    <w:rsid w:val="00D2083B"/>
    <w:rsid w:val="00D20CDD"/>
    <w:rsid w:val="00D21CF1"/>
    <w:rsid w:val="00D224E4"/>
    <w:rsid w:val="00D23055"/>
    <w:rsid w:val="00D230AB"/>
    <w:rsid w:val="00D238B7"/>
    <w:rsid w:val="00D24702"/>
    <w:rsid w:val="00D24B3A"/>
    <w:rsid w:val="00D2507D"/>
    <w:rsid w:val="00D25194"/>
    <w:rsid w:val="00D26A05"/>
    <w:rsid w:val="00D30449"/>
    <w:rsid w:val="00D3156E"/>
    <w:rsid w:val="00D315ED"/>
    <w:rsid w:val="00D34612"/>
    <w:rsid w:val="00D34D51"/>
    <w:rsid w:val="00D35808"/>
    <w:rsid w:val="00D35A4E"/>
    <w:rsid w:val="00D3647A"/>
    <w:rsid w:val="00D37CD2"/>
    <w:rsid w:val="00D403E9"/>
    <w:rsid w:val="00D406ED"/>
    <w:rsid w:val="00D41A71"/>
    <w:rsid w:val="00D42491"/>
    <w:rsid w:val="00D42937"/>
    <w:rsid w:val="00D43A74"/>
    <w:rsid w:val="00D43C25"/>
    <w:rsid w:val="00D456AA"/>
    <w:rsid w:val="00D462D1"/>
    <w:rsid w:val="00D4657D"/>
    <w:rsid w:val="00D475DC"/>
    <w:rsid w:val="00D508BF"/>
    <w:rsid w:val="00D5247E"/>
    <w:rsid w:val="00D528A3"/>
    <w:rsid w:val="00D53781"/>
    <w:rsid w:val="00D53A81"/>
    <w:rsid w:val="00D55972"/>
    <w:rsid w:val="00D55AB6"/>
    <w:rsid w:val="00D57BAC"/>
    <w:rsid w:val="00D57C7D"/>
    <w:rsid w:val="00D60CF5"/>
    <w:rsid w:val="00D659E3"/>
    <w:rsid w:val="00D6666A"/>
    <w:rsid w:val="00D6680E"/>
    <w:rsid w:val="00D66B0B"/>
    <w:rsid w:val="00D66DEE"/>
    <w:rsid w:val="00D67247"/>
    <w:rsid w:val="00D7025D"/>
    <w:rsid w:val="00D70CD4"/>
    <w:rsid w:val="00D71575"/>
    <w:rsid w:val="00D71EA6"/>
    <w:rsid w:val="00D73B9D"/>
    <w:rsid w:val="00D73E06"/>
    <w:rsid w:val="00D73FE1"/>
    <w:rsid w:val="00D7411D"/>
    <w:rsid w:val="00D744D7"/>
    <w:rsid w:val="00D754E9"/>
    <w:rsid w:val="00D76562"/>
    <w:rsid w:val="00D7751D"/>
    <w:rsid w:val="00D80023"/>
    <w:rsid w:val="00D80B44"/>
    <w:rsid w:val="00D81B33"/>
    <w:rsid w:val="00D82225"/>
    <w:rsid w:val="00D834A5"/>
    <w:rsid w:val="00D835E7"/>
    <w:rsid w:val="00D8566C"/>
    <w:rsid w:val="00D859C0"/>
    <w:rsid w:val="00D86286"/>
    <w:rsid w:val="00D86BE5"/>
    <w:rsid w:val="00D901FB"/>
    <w:rsid w:val="00D90396"/>
    <w:rsid w:val="00D915A6"/>
    <w:rsid w:val="00D91E7C"/>
    <w:rsid w:val="00D920A9"/>
    <w:rsid w:val="00D94ADB"/>
    <w:rsid w:val="00D954A1"/>
    <w:rsid w:val="00D95D91"/>
    <w:rsid w:val="00D95F5C"/>
    <w:rsid w:val="00D96605"/>
    <w:rsid w:val="00D97989"/>
    <w:rsid w:val="00D97DA9"/>
    <w:rsid w:val="00DA062D"/>
    <w:rsid w:val="00DA2408"/>
    <w:rsid w:val="00DA2D49"/>
    <w:rsid w:val="00DA2E48"/>
    <w:rsid w:val="00DA5560"/>
    <w:rsid w:val="00DA5D62"/>
    <w:rsid w:val="00DA6A01"/>
    <w:rsid w:val="00DA78F4"/>
    <w:rsid w:val="00DB0B42"/>
    <w:rsid w:val="00DB16FF"/>
    <w:rsid w:val="00DB2021"/>
    <w:rsid w:val="00DB2A8D"/>
    <w:rsid w:val="00DB4C87"/>
    <w:rsid w:val="00DB4DD2"/>
    <w:rsid w:val="00DB653C"/>
    <w:rsid w:val="00DB6B9B"/>
    <w:rsid w:val="00DB6CBC"/>
    <w:rsid w:val="00DB70DC"/>
    <w:rsid w:val="00DB79B4"/>
    <w:rsid w:val="00DC085F"/>
    <w:rsid w:val="00DC1EA8"/>
    <w:rsid w:val="00DC3BD0"/>
    <w:rsid w:val="00DC4DD6"/>
    <w:rsid w:val="00DC599B"/>
    <w:rsid w:val="00DC5B9C"/>
    <w:rsid w:val="00DC731B"/>
    <w:rsid w:val="00DD143F"/>
    <w:rsid w:val="00DD1B26"/>
    <w:rsid w:val="00DD4A00"/>
    <w:rsid w:val="00DD64B1"/>
    <w:rsid w:val="00DD68C4"/>
    <w:rsid w:val="00DD6F3F"/>
    <w:rsid w:val="00DD72EF"/>
    <w:rsid w:val="00DD73C4"/>
    <w:rsid w:val="00DD7907"/>
    <w:rsid w:val="00DE050E"/>
    <w:rsid w:val="00DE1530"/>
    <w:rsid w:val="00DE1E6A"/>
    <w:rsid w:val="00DE2C53"/>
    <w:rsid w:val="00DE431F"/>
    <w:rsid w:val="00DE43F6"/>
    <w:rsid w:val="00DE4696"/>
    <w:rsid w:val="00DE4CEF"/>
    <w:rsid w:val="00DE5022"/>
    <w:rsid w:val="00DE5C10"/>
    <w:rsid w:val="00DE70EE"/>
    <w:rsid w:val="00DE7710"/>
    <w:rsid w:val="00DF0318"/>
    <w:rsid w:val="00DF1408"/>
    <w:rsid w:val="00DF23EC"/>
    <w:rsid w:val="00DF500A"/>
    <w:rsid w:val="00DF5523"/>
    <w:rsid w:val="00DF55F6"/>
    <w:rsid w:val="00DF57C2"/>
    <w:rsid w:val="00DF65CA"/>
    <w:rsid w:val="00DF6D81"/>
    <w:rsid w:val="00DF70D4"/>
    <w:rsid w:val="00E00C6F"/>
    <w:rsid w:val="00E0267F"/>
    <w:rsid w:val="00E04BF0"/>
    <w:rsid w:val="00E06EED"/>
    <w:rsid w:val="00E11519"/>
    <w:rsid w:val="00E1239B"/>
    <w:rsid w:val="00E123F2"/>
    <w:rsid w:val="00E13D86"/>
    <w:rsid w:val="00E15273"/>
    <w:rsid w:val="00E15C1A"/>
    <w:rsid w:val="00E15F7D"/>
    <w:rsid w:val="00E16038"/>
    <w:rsid w:val="00E16906"/>
    <w:rsid w:val="00E16F0D"/>
    <w:rsid w:val="00E1737B"/>
    <w:rsid w:val="00E1767A"/>
    <w:rsid w:val="00E17747"/>
    <w:rsid w:val="00E1780B"/>
    <w:rsid w:val="00E17B69"/>
    <w:rsid w:val="00E17F94"/>
    <w:rsid w:val="00E20AB7"/>
    <w:rsid w:val="00E22DA0"/>
    <w:rsid w:val="00E2492F"/>
    <w:rsid w:val="00E25E1C"/>
    <w:rsid w:val="00E27AB7"/>
    <w:rsid w:val="00E30C5D"/>
    <w:rsid w:val="00E31410"/>
    <w:rsid w:val="00E339A7"/>
    <w:rsid w:val="00E33CB1"/>
    <w:rsid w:val="00E3506B"/>
    <w:rsid w:val="00E35EE5"/>
    <w:rsid w:val="00E36E2A"/>
    <w:rsid w:val="00E4134C"/>
    <w:rsid w:val="00E42E93"/>
    <w:rsid w:val="00E4327D"/>
    <w:rsid w:val="00E43478"/>
    <w:rsid w:val="00E439A6"/>
    <w:rsid w:val="00E45293"/>
    <w:rsid w:val="00E465C5"/>
    <w:rsid w:val="00E504EF"/>
    <w:rsid w:val="00E507E6"/>
    <w:rsid w:val="00E55FF2"/>
    <w:rsid w:val="00E57C5D"/>
    <w:rsid w:val="00E61C38"/>
    <w:rsid w:val="00E6208C"/>
    <w:rsid w:val="00E65009"/>
    <w:rsid w:val="00E658DD"/>
    <w:rsid w:val="00E662F4"/>
    <w:rsid w:val="00E678C0"/>
    <w:rsid w:val="00E67E71"/>
    <w:rsid w:val="00E716B5"/>
    <w:rsid w:val="00E71DFB"/>
    <w:rsid w:val="00E72584"/>
    <w:rsid w:val="00E737B5"/>
    <w:rsid w:val="00E741DB"/>
    <w:rsid w:val="00E755FF"/>
    <w:rsid w:val="00E77382"/>
    <w:rsid w:val="00E77DDE"/>
    <w:rsid w:val="00E805C2"/>
    <w:rsid w:val="00E80B7D"/>
    <w:rsid w:val="00E81E78"/>
    <w:rsid w:val="00E83DE5"/>
    <w:rsid w:val="00E84226"/>
    <w:rsid w:val="00E84470"/>
    <w:rsid w:val="00E84828"/>
    <w:rsid w:val="00E84D74"/>
    <w:rsid w:val="00E86CF7"/>
    <w:rsid w:val="00E86DD4"/>
    <w:rsid w:val="00E874CA"/>
    <w:rsid w:val="00E91443"/>
    <w:rsid w:val="00E92A0F"/>
    <w:rsid w:val="00E92CAF"/>
    <w:rsid w:val="00E9347F"/>
    <w:rsid w:val="00E944C6"/>
    <w:rsid w:val="00E944EA"/>
    <w:rsid w:val="00E95BE7"/>
    <w:rsid w:val="00E966D6"/>
    <w:rsid w:val="00E97EDC"/>
    <w:rsid w:val="00E97FCF"/>
    <w:rsid w:val="00EA0525"/>
    <w:rsid w:val="00EA2C85"/>
    <w:rsid w:val="00EA2D2B"/>
    <w:rsid w:val="00EA44AE"/>
    <w:rsid w:val="00EA45B0"/>
    <w:rsid w:val="00EA52EE"/>
    <w:rsid w:val="00EA5481"/>
    <w:rsid w:val="00EA6180"/>
    <w:rsid w:val="00EA75E4"/>
    <w:rsid w:val="00EB0978"/>
    <w:rsid w:val="00EB0A93"/>
    <w:rsid w:val="00EB0B7A"/>
    <w:rsid w:val="00EB0D87"/>
    <w:rsid w:val="00EB0F0F"/>
    <w:rsid w:val="00EB1D50"/>
    <w:rsid w:val="00EB1D90"/>
    <w:rsid w:val="00EB1F5F"/>
    <w:rsid w:val="00EB29C4"/>
    <w:rsid w:val="00EB362A"/>
    <w:rsid w:val="00EB3B7E"/>
    <w:rsid w:val="00EB6591"/>
    <w:rsid w:val="00EB65BC"/>
    <w:rsid w:val="00EB690F"/>
    <w:rsid w:val="00EC0D87"/>
    <w:rsid w:val="00EC0EC1"/>
    <w:rsid w:val="00EC18DC"/>
    <w:rsid w:val="00EC1C40"/>
    <w:rsid w:val="00EC3193"/>
    <w:rsid w:val="00EC44D3"/>
    <w:rsid w:val="00EC4616"/>
    <w:rsid w:val="00EC4641"/>
    <w:rsid w:val="00EC4E72"/>
    <w:rsid w:val="00EC5881"/>
    <w:rsid w:val="00EC59FA"/>
    <w:rsid w:val="00EC64F9"/>
    <w:rsid w:val="00EC75EA"/>
    <w:rsid w:val="00EC7B78"/>
    <w:rsid w:val="00ED0FC7"/>
    <w:rsid w:val="00ED23A9"/>
    <w:rsid w:val="00ED321C"/>
    <w:rsid w:val="00ED3870"/>
    <w:rsid w:val="00ED6A0A"/>
    <w:rsid w:val="00ED79D1"/>
    <w:rsid w:val="00EE1F96"/>
    <w:rsid w:val="00EE27BB"/>
    <w:rsid w:val="00EE3C3C"/>
    <w:rsid w:val="00EE72D9"/>
    <w:rsid w:val="00EF17A1"/>
    <w:rsid w:val="00EF1860"/>
    <w:rsid w:val="00EF2898"/>
    <w:rsid w:val="00EF3E09"/>
    <w:rsid w:val="00EF48BC"/>
    <w:rsid w:val="00EF710D"/>
    <w:rsid w:val="00F0017E"/>
    <w:rsid w:val="00F00693"/>
    <w:rsid w:val="00F00DDA"/>
    <w:rsid w:val="00F00E23"/>
    <w:rsid w:val="00F013A6"/>
    <w:rsid w:val="00F018AD"/>
    <w:rsid w:val="00F01C74"/>
    <w:rsid w:val="00F0227D"/>
    <w:rsid w:val="00F03925"/>
    <w:rsid w:val="00F0595C"/>
    <w:rsid w:val="00F05EDB"/>
    <w:rsid w:val="00F06B27"/>
    <w:rsid w:val="00F07252"/>
    <w:rsid w:val="00F07E0C"/>
    <w:rsid w:val="00F114E8"/>
    <w:rsid w:val="00F116E4"/>
    <w:rsid w:val="00F1268D"/>
    <w:rsid w:val="00F12A1A"/>
    <w:rsid w:val="00F1392A"/>
    <w:rsid w:val="00F1543E"/>
    <w:rsid w:val="00F157EF"/>
    <w:rsid w:val="00F163C4"/>
    <w:rsid w:val="00F17316"/>
    <w:rsid w:val="00F20102"/>
    <w:rsid w:val="00F2040C"/>
    <w:rsid w:val="00F20C32"/>
    <w:rsid w:val="00F224FC"/>
    <w:rsid w:val="00F22E93"/>
    <w:rsid w:val="00F23149"/>
    <w:rsid w:val="00F233AA"/>
    <w:rsid w:val="00F24ADB"/>
    <w:rsid w:val="00F258F6"/>
    <w:rsid w:val="00F2788F"/>
    <w:rsid w:val="00F27ACE"/>
    <w:rsid w:val="00F27C9C"/>
    <w:rsid w:val="00F301A3"/>
    <w:rsid w:val="00F304C5"/>
    <w:rsid w:val="00F3091A"/>
    <w:rsid w:val="00F3148B"/>
    <w:rsid w:val="00F316A7"/>
    <w:rsid w:val="00F32846"/>
    <w:rsid w:val="00F32E57"/>
    <w:rsid w:val="00F37A12"/>
    <w:rsid w:val="00F40A36"/>
    <w:rsid w:val="00F40C2E"/>
    <w:rsid w:val="00F41D6B"/>
    <w:rsid w:val="00F4227C"/>
    <w:rsid w:val="00F4236C"/>
    <w:rsid w:val="00F43A2A"/>
    <w:rsid w:val="00F43E76"/>
    <w:rsid w:val="00F44B2A"/>
    <w:rsid w:val="00F45CDB"/>
    <w:rsid w:val="00F463E6"/>
    <w:rsid w:val="00F46481"/>
    <w:rsid w:val="00F47064"/>
    <w:rsid w:val="00F4758B"/>
    <w:rsid w:val="00F508AD"/>
    <w:rsid w:val="00F50D1C"/>
    <w:rsid w:val="00F52264"/>
    <w:rsid w:val="00F527B5"/>
    <w:rsid w:val="00F5308F"/>
    <w:rsid w:val="00F538C9"/>
    <w:rsid w:val="00F5399F"/>
    <w:rsid w:val="00F54E4B"/>
    <w:rsid w:val="00F55899"/>
    <w:rsid w:val="00F55BF2"/>
    <w:rsid w:val="00F60A7A"/>
    <w:rsid w:val="00F638F5"/>
    <w:rsid w:val="00F65566"/>
    <w:rsid w:val="00F72C77"/>
    <w:rsid w:val="00F802C3"/>
    <w:rsid w:val="00F8133E"/>
    <w:rsid w:val="00F830EA"/>
    <w:rsid w:val="00F84C21"/>
    <w:rsid w:val="00F84E4B"/>
    <w:rsid w:val="00F86C03"/>
    <w:rsid w:val="00F87B0C"/>
    <w:rsid w:val="00F91821"/>
    <w:rsid w:val="00F92338"/>
    <w:rsid w:val="00F926D9"/>
    <w:rsid w:val="00F927BD"/>
    <w:rsid w:val="00F94E76"/>
    <w:rsid w:val="00F94ED4"/>
    <w:rsid w:val="00F959E0"/>
    <w:rsid w:val="00F96A4C"/>
    <w:rsid w:val="00F97BD1"/>
    <w:rsid w:val="00FA00E5"/>
    <w:rsid w:val="00FA1757"/>
    <w:rsid w:val="00FA180F"/>
    <w:rsid w:val="00FA24D2"/>
    <w:rsid w:val="00FA3766"/>
    <w:rsid w:val="00FA3988"/>
    <w:rsid w:val="00FA5352"/>
    <w:rsid w:val="00FA53A9"/>
    <w:rsid w:val="00FA5FC2"/>
    <w:rsid w:val="00FA67E4"/>
    <w:rsid w:val="00FA7122"/>
    <w:rsid w:val="00FA73A8"/>
    <w:rsid w:val="00FA74D6"/>
    <w:rsid w:val="00FB01D6"/>
    <w:rsid w:val="00FB29EF"/>
    <w:rsid w:val="00FB3DBF"/>
    <w:rsid w:val="00FB4852"/>
    <w:rsid w:val="00FB5916"/>
    <w:rsid w:val="00FB6636"/>
    <w:rsid w:val="00FB69C7"/>
    <w:rsid w:val="00FB7109"/>
    <w:rsid w:val="00FB7EDD"/>
    <w:rsid w:val="00FC2134"/>
    <w:rsid w:val="00FC2626"/>
    <w:rsid w:val="00FC3D39"/>
    <w:rsid w:val="00FC3DB0"/>
    <w:rsid w:val="00FC4256"/>
    <w:rsid w:val="00FC4CD2"/>
    <w:rsid w:val="00FC5097"/>
    <w:rsid w:val="00FC5566"/>
    <w:rsid w:val="00FC5EC2"/>
    <w:rsid w:val="00FC73A7"/>
    <w:rsid w:val="00FC77F2"/>
    <w:rsid w:val="00FC7E31"/>
    <w:rsid w:val="00FD0370"/>
    <w:rsid w:val="00FD111D"/>
    <w:rsid w:val="00FD173A"/>
    <w:rsid w:val="00FD1880"/>
    <w:rsid w:val="00FD2D6B"/>
    <w:rsid w:val="00FD3914"/>
    <w:rsid w:val="00FD394A"/>
    <w:rsid w:val="00FD474B"/>
    <w:rsid w:val="00FD5986"/>
    <w:rsid w:val="00FD6335"/>
    <w:rsid w:val="00FD6973"/>
    <w:rsid w:val="00FD6A36"/>
    <w:rsid w:val="00FD7696"/>
    <w:rsid w:val="00FE1106"/>
    <w:rsid w:val="00FE11D1"/>
    <w:rsid w:val="00FE3C71"/>
    <w:rsid w:val="00FE3D3F"/>
    <w:rsid w:val="00FE3E08"/>
    <w:rsid w:val="00FE3F6A"/>
    <w:rsid w:val="00FE455E"/>
    <w:rsid w:val="00FE4892"/>
    <w:rsid w:val="00FE4EA3"/>
    <w:rsid w:val="00FE4F69"/>
    <w:rsid w:val="00FE6396"/>
    <w:rsid w:val="00FE6F09"/>
    <w:rsid w:val="00FE6FC6"/>
    <w:rsid w:val="00FE71E4"/>
    <w:rsid w:val="00FE76CB"/>
    <w:rsid w:val="00FF00E3"/>
    <w:rsid w:val="00FF0181"/>
    <w:rsid w:val="00FF07FA"/>
    <w:rsid w:val="00FF102B"/>
    <w:rsid w:val="00FF2449"/>
    <w:rsid w:val="00FF2598"/>
    <w:rsid w:val="00FF34A6"/>
    <w:rsid w:val="00FF5009"/>
    <w:rsid w:val="00FF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4492"/>
  <w15:chartTrackingRefBased/>
  <w15:docId w15:val="{5BE758E4-0D21-44FB-8E92-9C12F412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25"/>
  </w:style>
  <w:style w:type="paragraph" w:styleId="Rubrik1">
    <w:name w:val="heading 1"/>
    <w:basedOn w:val="Normal"/>
    <w:link w:val="Rubrik1Char"/>
    <w:uiPriority w:val="9"/>
    <w:qFormat/>
    <w:rsid w:val="0005514A"/>
    <w:pPr>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Rubrik2">
    <w:name w:val="heading 2"/>
    <w:basedOn w:val="Normal"/>
    <w:next w:val="Normal"/>
    <w:link w:val="Rubrik2Char"/>
    <w:uiPriority w:val="9"/>
    <w:unhideWhenUsed/>
    <w:qFormat/>
    <w:rsid w:val="00BF64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4974C5"/>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A84CF4"/>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7A7623"/>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514A"/>
    <w:rPr>
      <w:rFonts w:ascii="Times New Roman" w:eastAsia="Times New Roman" w:hAnsi="Times New Roman" w:cs="Times New Roman"/>
      <w:b/>
      <w:bCs/>
      <w:kern w:val="36"/>
      <w:sz w:val="48"/>
      <w:szCs w:val="48"/>
      <w:lang w:val="fr-FR" w:eastAsia="fr-FR"/>
    </w:rPr>
  </w:style>
  <w:style w:type="paragraph" w:customStyle="1" w:styleId="EndNoteBibliographyTitle">
    <w:name w:val="EndNote Bibliography Title"/>
    <w:basedOn w:val="Normal"/>
    <w:link w:val="EndNoteBibliographyTitleChar"/>
    <w:rsid w:val="0005514A"/>
    <w:pPr>
      <w:jc w:val="center"/>
    </w:pPr>
    <w:rPr>
      <w:rFonts w:ascii="Times New Roman" w:hAnsi="Times New Roman" w:cs="Times New Roman"/>
    </w:rPr>
  </w:style>
  <w:style w:type="character" w:customStyle="1" w:styleId="EndNoteBibliographyTitleChar">
    <w:name w:val="EndNote Bibliography Title Char"/>
    <w:basedOn w:val="Standardstycketeckensnitt"/>
    <w:link w:val="EndNoteBibliographyTitle"/>
    <w:rsid w:val="0005514A"/>
    <w:rPr>
      <w:rFonts w:ascii="Times New Roman" w:hAnsi="Times New Roman" w:cs="Times New Roman"/>
    </w:rPr>
  </w:style>
  <w:style w:type="paragraph" w:customStyle="1" w:styleId="EndNoteBibliography">
    <w:name w:val="EndNote Bibliography"/>
    <w:basedOn w:val="Normal"/>
    <w:link w:val="EndNoteBibliographyChar"/>
    <w:rsid w:val="0005514A"/>
    <w:rPr>
      <w:rFonts w:ascii="Times New Roman" w:hAnsi="Times New Roman" w:cs="Times New Roman"/>
    </w:rPr>
  </w:style>
  <w:style w:type="character" w:customStyle="1" w:styleId="EndNoteBibliographyChar">
    <w:name w:val="EndNote Bibliography Char"/>
    <w:basedOn w:val="Standardstycketeckensnitt"/>
    <w:link w:val="EndNoteBibliography"/>
    <w:rsid w:val="0005514A"/>
    <w:rPr>
      <w:rFonts w:ascii="Times New Roman" w:hAnsi="Times New Roman" w:cs="Times New Roman"/>
    </w:rPr>
  </w:style>
  <w:style w:type="paragraph" w:styleId="Ballongtext">
    <w:name w:val="Balloon Text"/>
    <w:basedOn w:val="Normal"/>
    <w:link w:val="BallongtextChar"/>
    <w:uiPriority w:val="99"/>
    <w:semiHidden/>
    <w:unhideWhenUsed/>
    <w:rsid w:val="0005514A"/>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5514A"/>
    <w:rPr>
      <w:rFonts w:ascii="Times New Roman" w:hAnsi="Times New Roman" w:cs="Times New Roman"/>
      <w:sz w:val="18"/>
      <w:szCs w:val="18"/>
    </w:rPr>
  </w:style>
  <w:style w:type="character" w:styleId="Hyperlnk">
    <w:name w:val="Hyperlink"/>
    <w:basedOn w:val="Standardstycketeckensnitt"/>
    <w:uiPriority w:val="99"/>
    <w:unhideWhenUsed/>
    <w:rsid w:val="0005514A"/>
    <w:rPr>
      <w:color w:val="0563C1" w:themeColor="hyperlink"/>
      <w:u w:val="single"/>
    </w:rPr>
  </w:style>
  <w:style w:type="character" w:customStyle="1" w:styleId="UnresolvedMention1">
    <w:name w:val="Unresolved Mention1"/>
    <w:basedOn w:val="Standardstycketeckensnitt"/>
    <w:uiPriority w:val="99"/>
    <w:semiHidden/>
    <w:unhideWhenUsed/>
    <w:rsid w:val="0005514A"/>
    <w:rPr>
      <w:color w:val="605E5C"/>
      <w:shd w:val="clear" w:color="auto" w:fill="E1DFDD"/>
    </w:rPr>
  </w:style>
  <w:style w:type="character" w:styleId="AnvndHyperlnk">
    <w:name w:val="FollowedHyperlink"/>
    <w:basedOn w:val="Standardstycketeckensnitt"/>
    <w:uiPriority w:val="99"/>
    <w:semiHidden/>
    <w:unhideWhenUsed/>
    <w:rsid w:val="0005514A"/>
    <w:rPr>
      <w:color w:val="954F72" w:themeColor="followedHyperlink"/>
      <w:u w:val="single"/>
    </w:rPr>
  </w:style>
  <w:style w:type="paragraph" w:styleId="Revision">
    <w:name w:val="Revision"/>
    <w:hidden/>
    <w:uiPriority w:val="99"/>
    <w:semiHidden/>
    <w:rsid w:val="0005514A"/>
  </w:style>
  <w:style w:type="character" w:styleId="Kommentarsreferens">
    <w:name w:val="annotation reference"/>
    <w:basedOn w:val="Standardstycketeckensnitt"/>
    <w:uiPriority w:val="99"/>
    <w:semiHidden/>
    <w:unhideWhenUsed/>
    <w:rsid w:val="0005514A"/>
    <w:rPr>
      <w:sz w:val="16"/>
      <w:szCs w:val="16"/>
    </w:rPr>
  </w:style>
  <w:style w:type="paragraph" w:styleId="Kommentarer">
    <w:name w:val="annotation text"/>
    <w:basedOn w:val="Normal"/>
    <w:link w:val="KommentarerChar"/>
    <w:uiPriority w:val="99"/>
    <w:unhideWhenUsed/>
    <w:rsid w:val="0005514A"/>
    <w:rPr>
      <w:sz w:val="20"/>
      <w:szCs w:val="20"/>
    </w:rPr>
  </w:style>
  <w:style w:type="character" w:customStyle="1" w:styleId="KommentarerChar">
    <w:name w:val="Kommentarer Char"/>
    <w:basedOn w:val="Standardstycketeckensnitt"/>
    <w:link w:val="Kommentarer"/>
    <w:uiPriority w:val="99"/>
    <w:rsid w:val="0005514A"/>
    <w:rPr>
      <w:sz w:val="20"/>
      <w:szCs w:val="20"/>
    </w:rPr>
  </w:style>
  <w:style w:type="paragraph" w:styleId="Kommentarsmne">
    <w:name w:val="annotation subject"/>
    <w:basedOn w:val="Kommentarer"/>
    <w:next w:val="Kommentarer"/>
    <w:link w:val="KommentarsmneChar"/>
    <w:uiPriority w:val="99"/>
    <w:semiHidden/>
    <w:unhideWhenUsed/>
    <w:rsid w:val="0005514A"/>
    <w:rPr>
      <w:b/>
      <w:bCs/>
    </w:rPr>
  </w:style>
  <w:style w:type="character" w:customStyle="1" w:styleId="KommentarsmneChar">
    <w:name w:val="Kommentarsämne Char"/>
    <w:basedOn w:val="KommentarerChar"/>
    <w:link w:val="Kommentarsmne"/>
    <w:uiPriority w:val="99"/>
    <w:semiHidden/>
    <w:rsid w:val="0005514A"/>
    <w:rPr>
      <w:b/>
      <w:bCs/>
      <w:sz w:val="20"/>
      <w:szCs w:val="20"/>
    </w:rPr>
  </w:style>
  <w:style w:type="character" w:customStyle="1" w:styleId="il">
    <w:name w:val="il"/>
    <w:basedOn w:val="Standardstycketeckensnitt"/>
    <w:rsid w:val="0005514A"/>
  </w:style>
  <w:style w:type="paragraph" w:styleId="Sidhuvud">
    <w:name w:val="header"/>
    <w:basedOn w:val="Normal"/>
    <w:link w:val="SidhuvudChar"/>
    <w:uiPriority w:val="99"/>
    <w:unhideWhenUsed/>
    <w:rsid w:val="0005514A"/>
    <w:pPr>
      <w:tabs>
        <w:tab w:val="center" w:pos="4680"/>
        <w:tab w:val="right" w:pos="9360"/>
      </w:tabs>
    </w:pPr>
  </w:style>
  <w:style w:type="character" w:customStyle="1" w:styleId="SidhuvudChar">
    <w:name w:val="Sidhuvud Char"/>
    <w:basedOn w:val="Standardstycketeckensnitt"/>
    <w:link w:val="Sidhuvud"/>
    <w:uiPriority w:val="99"/>
    <w:rsid w:val="0005514A"/>
  </w:style>
  <w:style w:type="paragraph" w:styleId="Sidfot">
    <w:name w:val="footer"/>
    <w:basedOn w:val="Normal"/>
    <w:link w:val="SidfotChar"/>
    <w:uiPriority w:val="99"/>
    <w:unhideWhenUsed/>
    <w:rsid w:val="0005514A"/>
    <w:pPr>
      <w:tabs>
        <w:tab w:val="center" w:pos="4680"/>
        <w:tab w:val="right" w:pos="9360"/>
      </w:tabs>
    </w:pPr>
  </w:style>
  <w:style w:type="character" w:customStyle="1" w:styleId="SidfotChar">
    <w:name w:val="Sidfot Char"/>
    <w:basedOn w:val="Standardstycketeckensnitt"/>
    <w:link w:val="Sidfot"/>
    <w:uiPriority w:val="99"/>
    <w:rsid w:val="0005514A"/>
  </w:style>
  <w:style w:type="table" w:styleId="Tabellrutnt">
    <w:name w:val="Table Grid"/>
    <w:basedOn w:val="Normaltabell"/>
    <w:uiPriority w:val="39"/>
    <w:rsid w:val="0005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stycketeckensnitt"/>
    <w:rsid w:val="0005514A"/>
  </w:style>
  <w:style w:type="character" w:customStyle="1" w:styleId="apple-converted-space">
    <w:name w:val="apple-converted-space"/>
    <w:basedOn w:val="Standardstycketeckensnitt"/>
    <w:rsid w:val="0005514A"/>
  </w:style>
  <w:style w:type="paragraph" w:styleId="Liststycke">
    <w:name w:val="List Paragraph"/>
    <w:basedOn w:val="Normal"/>
    <w:uiPriority w:val="34"/>
    <w:qFormat/>
    <w:rsid w:val="0005514A"/>
    <w:pPr>
      <w:ind w:left="720"/>
      <w:contextualSpacing/>
    </w:pPr>
  </w:style>
  <w:style w:type="paragraph" w:customStyle="1" w:styleId="Acknowledgement">
    <w:name w:val="Acknowledgement"/>
    <w:basedOn w:val="Normal"/>
    <w:rsid w:val="0005514A"/>
    <w:pPr>
      <w:spacing w:before="120"/>
      <w:ind w:left="720" w:hanging="720"/>
    </w:pPr>
    <w:rPr>
      <w:rFonts w:ascii="Times New Roman" w:eastAsia="Times New Roman" w:hAnsi="Times New Roman" w:cs="Times New Roman"/>
    </w:rPr>
  </w:style>
  <w:style w:type="paragraph" w:customStyle="1" w:styleId="Default">
    <w:name w:val="Default"/>
    <w:rsid w:val="006712B8"/>
    <w:pPr>
      <w:autoSpaceDE w:val="0"/>
      <w:autoSpaceDN w:val="0"/>
      <w:adjustRightInd w:val="0"/>
    </w:pPr>
    <w:rPr>
      <w:rFonts w:ascii="Arial" w:hAnsi="Arial" w:cs="Arial"/>
      <w:color w:val="000000"/>
    </w:rPr>
  </w:style>
  <w:style w:type="character" w:customStyle="1" w:styleId="Rubrik2Char">
    <w:name w:val="Rubrik 2 Char"/>
    <w:basedOn w:val="Standardstycketeckensnitt"/>
    <w:link w:val="Rubrik2"/>
    <w:uiPriority w:val="9"/>
    <w:rsid w:val="00BF6497"/>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4974C5"/>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rsid w:val="00A84CF4"/>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7A7623"/>
    <w:rPr>
      <w:rFonts w:asciiTheme="majorHAnsi" w:eastAsiaTheme="majorEastAsia" w:hAnsiTheme="majorHAnsi" w:cstheme="majorBidi"/>
      <w:color w:val="2F5496" w:themeColor="accent1" w:themeShade="BF"/>
    </w:rPr>
  </w:style>
  <w:style w:type="character" w:customStyle="1" w:styleId="author">
    <w:name w:val="author"/>
    <w:basedOn w:val="Standardstycketeckensnitt"/>
    <w:rsid w:val="00C25550"/>
  </w:style>
  <w:style w:type="character" w:customStyle="1" w:styleId="articletitle">
    <w:name w:val="articletitle"/>
    <w:basedOn w:val="Standardstycketeckensnitt"/>
    <w:rsid w:val="00C25550"/>
  </w:style>
  <w:style w:type="character" w:customStyle="1" w:styleId="pubyear">
    <w:name w:val="pubyear"/>
    <w:basedOn w:val="Standardstycketeckensnitt"/>
    <w:rsid w:val="00C25550"/>
  </w:style>
  <w:style w:type="character" w:customStyle="1" w:styleId="vol">
    <w:name w:val="vol"/>
    <w:basedOn w:val="Standardstycketeckensnitt"/>
    <w:rsid w:val="00C25550"/>
  </w:style>
  <w:style w:type="character" w:customStyle="1" w:styleId="citedissue">
    <w:name w:val="citedissue"/>
    <w:basedOn w:val="Standardstycketeckensnitt"/>
    <w:rsid w:val="00C25550"/>
  </w:style>
  <w:style w:type="character" w:customStyle="1" w:styleId="pagefirst">
    <w:name w:val="pagefirst"/>
    <w:basedOn w:val="Standardstycketeckensnitt"/>
    <w:rsid w:val="00C25550"/>
  </w:style>
  <w:style w:type="character" w:customStyle="1" w:styleId="pagelast">
    <w:name w:val="pagelast"/>
    <w:basedOn w:val="Standardstycketeckensnitt"/>
    <w:rsid w:val="00C25550"/>
  </w:style>
  <w:style w:type="character" w:customStyle="1" w:styleId="UnresolvedMention2">
    <w:name w:val="Unresolved Mention2"/>
    <w:basedOn w:val="Standardstycketeckensnitt"/>
    <w:uiPriority w:val="99"/>
    <w:semiHidden/>
    <w:unhideWhenUsed/>
    <w:rsid w:val="00BD72A5"/>
    <w:rPr>
      <w:color w:val="605E5C"/>
      <w:shd w:val="clear" w:color="auto" w:fill="E1DFDD"/>
    </w:rPr>
  </w:style>
  <w:style w:type="character" w:customStyle="1" w:styleId="UnresolvedMention3">
    <w:name w:val="Unresolved Mention3"/>
    <w:basedOn w:val="Standardstycketeckensnitt"/>
    <w:uiPriority w:val="99"/>
    <w:semiHidden/>
    <w:unhideWhenUsed/>
    <w:rsid w:val="0068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470">
      <w:bodyDiv w:val="1"/>
      <w:marLeft w:val="0"/>
      <w:marRight w:val="0"/>
      <w:marTop w:val="0"/>
      <w:marBottom w:val="0"/>
      <w:divBdr>
        <w:top w:val="none" w:sz="0" w:space="0" w:color="auto"/>
        <w:left w:val="none" w:sz="0" w:space="0" w:color="auto"/>
        <w:bottom w:val="none" w:sz="0" w:space="0" w:color="auto"/>
        <w:right w:val="none" w:sz="0" w:space="0" w:color="auto"/>
      </w:divBdr>
    </w:div>
    <w:div w:id="31156491">
      <w:bodyDiv w:val="1"/>
      <w:marLeft w:val="0"/>
      <w:marRight w:val="0"/>
      <w:marTop w:val="0"/>
      <w:marBottom w:val="0"/>
      <w:divBdr>
        <w:top w:val="none" w:sz="0" w:space="0" w:color="auto"/>
        <w:left w:val="none" w:sz="0" w:space="0" w:color="auto"/>
        <w:bottom w:val="none" w:sz="0" w:space="0" w:color="auto"/>
        <w:right w:val="none" w:sz="0" w:space="0" w:color="auto"/>
      </w:divBdr>
    </w:div>
    <w:div w:id="32317059">
      <w:bodyDiv w:val="1"/>
      <w:marLeft w:val="0"/>
      <w:marRight w:val="0"/>
      <w:marTop w:val="0"/>
      <w:marBottom w:val="0"/>
      <w:divBdr>
        <w:top w:val="none" w:sz="0" w:space="0" w:color="auto"/>
        <w:left w:val="none" w:sz="0" w:space="0" w:color="auto"/>
        <w:bottom w:val="none" w:sz="0" w:space="0" w:color="auto"/>
        <w:right w:val="none" w:sz="0" w:space="0" w:color="auto"/>
      </w:divBdr>
    </w:div>
    <w:div w:id="43145302">
      <w:bodyDiv w:val="1"/>
      <w:marLeft w:val="0"/>
      <w:marRight w:val="0"/>
      <w:marTop w:val="0"/>
      <w:marBottom w:val="0"/>
      <w:divBdr>
        <w:top w:val="none" w:sz="0" w:space="0" w:color="auto"/>
        <w:left w:val="none" w:sz="0" w:space="0" w:color="auto"/>
        <w:bottom w:val="none" w:sz="0" w:space="0" w:color="auto"/>
        <w:right w:val="none" w:sz="0" w:space="0" w:color="auto"/>
      </w:divBdr>
    </w:div>
    <w:div w:id="59791963">
      <w:bodyDiv w:val="1"/>
      <w:marLeft w:val="0"/>
      <w:marRight w:val="0"/>
      <w:marTop w:val="0"/>
      <w:marBottom w:val="0"/>
      <w:divBdr>
        <w:top w:val="none" w:sz="0" w:space="0" w:color="auto"/>
        <w:left w:val="none" w:sz="0" w:space="0" w:color="auto"/>
        <w:bottom w:val="none" w:sz="0" w:space="0" w:color="auto"/>
        <w:right w:val="none" w:sz="0" w:space="0" w:color="auto"/>
      </w:divBdr>
    </w:div>
    <w:div w:id="73019554">
      <w:bodyDiv w:val="1"/>
      <w:marLeft w:val="0"/>
      <w:marRight w:val="0"/>
      <w:marTop w:val="0"/>
      <w:marBottom w:val="0"/>
      <w:divBdr>
        <w:top w:val="none" w:sz="0" w:space="0" w:color="auto"/>
        <w:left w:val="none" w:sz="0" w:space="0" w:color="auto"/>
        <w:bottom w:val="none" w:sz="0" w:space="0" w:color="auto"/>
        <w:right w:val="none" w:sz="0" w:space="0" w:color="auto"/>
      </w:divBdr>
    </w:div>
    <w:div w:id="83918143">
      <w:bodyDiv w:val="1"/>
      <w:marLeft w:val="0"/>
      <w:marRight w:val="0"/>
      <w:marTop w:val="0"/>
      <w:marBottom w:val="0"/>
      <w:divBdr>
        <w:top w:val="none" w:sz="0" w:space="0" w:color="auto"/>
        <w:left w:val="none" w:sz="0" w:space="0" w:color="auto"/>
        <w:bottom w:val="none" w:sz="0" w:space="0" w:color="auto"/>
        <w:right w:val="none" w:sz="0" w:space="0" w:color="auto"/>
      </w:divBdr>
    </w:div>
    <w:div w:id="104737913">
      <w:bodyDiv w:val="1"/>
      <w:marLeft w:val="0"/>
      <w:marRight w:val="0"/>
      <w:marTop w:val="0"/>
      <w:marBottom w:val="0"/>
      <w:divBdr>
        <w:top w:val="none" w:sz="0" w:space="0" w:color="auto"/>
        <w:left w:val="none" w:sz="0" w:space="0" w:color="auto"/>
        <w:bottom w:val="none" w:sz="0" w:space="0" w:color="auto"/>
        <w:right w:val="none" w:sz="0" w:space="0" w:color="auto"/>
      </w:divBdr>
    </w:div>
    <w:div w:id="105926050">
      <w:bodyDiv w:val="1"/>
      <w:marLeft w:val="0"/>
      <w:marRight w:val="0"/>
      <w:marTop w:val="0"/>
      <w:marBottom w:val="0"/>
      <w:divBdr>
        <w:top w:val="none" w:sz="0" w:space="0" w:color="auto"/>
        <w:left w:val="none" w:sz="0" w:space="0" w:color="auto"/>
        <w:bottom w:val="none" w:sz="0" w:space="0" w:color="auto"/>
        <w:right w:val="none" w:sz="0" w:space="0" w:color="auto"/>
      </w:divBdr>
    </w:div>
    <w:div w:id="110170113">
      <w:bodyDiv w:val="1"/>
      <w:marLeft w:val="0"/>
      <w:marRight w:val="0"/>
      <w:marTop w:val="0"/>
      <w:marBottom w:val="0"/>
      <w:divBdr>
        <w:top w:val="none" w:sz="0" w:space="0" w:color="auto"/>
        <w:left w:val="none" w:sz="0" w:space="0" w:color="auto"/>
        <w:bottom w:val="none" w:sz="0" w:space="0" w:color="auto"/>
        <w:right w:val="none" w:sz="0" w:space="0" w:color="auto"/>
      </w:divBdr>
    </w:div>
    <w:div w:id="124082284">
      <w:bodyDiv w:val="1"/>
      <w:marLeft w:val="0"/>
      <w:marRight w:val="0"/>
      <w:marTop w:val="0"/>
      <w:marBottom w:val="0"/>
      <w:divBdr>
        <w:top w:val="none" w:sz="0" w:space="0" w:color="auto"/>
        <w:left w:val="none" w:sz="0" w:space="0" w:color="auto"/>
        <w:bottom w:val="none" w:sz="0" w:space="0" w:color="auto"/>
        <w:right w:val="none" w:sz="0" w:space="0" w:color="auto"/>
      </w:divBdr>
    </w:div>
    <w:div w:id="128741681">
      <w:bodyDiv w:val="1"/>
      <w:marLeft w:val="0"/>
      <w:marRight w:val="0"/>
      <w:marTop w:val="0"/>
      <w:marBottom w:val="0"/>
      <w:divBdr>
        <w:top w:val="none" w:sz="0" w:space="0" w:color="auto"/>
        <w:left w:val="none" w:sz="0" w:space="0" w:color="auto"/>
        <w:bottom w:val="none" w:sz="0" w:space="0" w:color="auto"/>
        <w:right w:val="none" w:sz="0" w:space="0" w:color="auto"/>
      </w:divBdr>
    </w:div>
    <w:div w:id="128940573">
      <w:bodyDiv w:val="1"/>
      <w:marLeft w:val="0"/>
      <w:marRight w:val="0"/>
      <w:marTop w:val="0"/>
      <w:marBottom w:val="0"/>
      <w:divBdr>
        <w:top w:val="none" w:sz="0" w:space="0" w:color="auto"/>
        <w:left w:val="none" w:sz="0" w:space="0" w:color="auto"/>
        <w:bottom w:val="none" w:sz="0" w:space="0" w:color="auto"/>
        <w:right w:val="none" w:sz="0" w:space="0" w:color="auto"/>
      </w:divBdr>
    </w:div>
    <w:div w:id="134639453">
      <w:bodyDiv w:val="1"/>
      <w:marLeft w:val="0"/>
      <w:marRight w:val="0"/>
      <w:marTop w:val="0"/>
      <w:marBottom w:val="0"/>
      <w:divBdr>
        <w:top w:val="none" w:sz="0" w:space="0" w:color="auto"/>
        <w:left w:val="none" w:sz="0" w:space="0" w:color="auto"/>
        <w:bottom w:val="none" w:sz="0" w:space="0" w:color="auto"/>
        <w:right w:val="none" w:sz="0" w:space="0" w:color="auto"/>
      </w:divBdr>
    </w:div>
    <w:div w:id="182091316">
      <w:bodyDiv w:val="1"/>
      <w:marLeft w:val="0"/>
      <w:marRight w:val="0"/>
      <w:marTop w:val="0"/>
      <w:marBottom w:val="0"/>
      <w:divBdr>
        <w:top w:val="none" w:sz="0" w:space="0" w:color="auto"/>
        <w:left w:val="none" w:sz="0" w:space="0" w:color="auto"/>
        <w:bottom w:val="none" w:sz="0" w:space="0" w:color="auto"/>
        <w:right w:val="none" w:sz="0" w:space="0" w:color="auto"/>
      </w:divBdr>
    </w:div>
    <w:div w:id="188955721">
      <w:bodyDiv w:val="1"/>
      <w:marLeft w:val="0"/>
      <w:marRight w:val="0"/>
      <w:marTop w:val="0"/>
      <w:marBottom w:val="0"/>
      <w:divBdr>
        <w:top w:val="none" w:sz="0" w:space="0" w:color="auto"/>
        <w:left w:val="none" w:sz="0" w:space="0" w:color="auto"/>
        <w:bottom w:val="none" w:sz="0" w:space="0" w:color="auto"/>
        <w:right w:val="none" w:sz="0" w:space="0" w:color="auto"/>
      </w:divBdr>
    </w:div>
    <w:div w:id="212497728">
      <w:bodyDiv w:val="1"/>
      <w:marLeft w:val="0"/>
      <w:marRight w:val="0"/>
      <w:marTop w:val="0"/>
      <w:marBottom w:val="0"/>
      <w:divBdr>
        <w:top w:val="none" w:sz="0" w:space="0" w:color="auto"/>
        <w:left w:val="none" w:sz="0" w:space="0" w:color="auto"/>
        <w:bottom w:val="none" w:sz="0" w:space="0" w:color="auto"/>
        <w:right w:val="none" w:sz="0" w:space="0" w:color="auto"/>
      </w:divBdr>
    </w:div>
    <w:div w:id="216863370">
      <w:bodyDiv w:val="1"/>
      <w:marLeft w:val="0"/>
      <w:marRight w:val="0"/>
      <w:marTop w:val="0"/>
      <w:marBottom w:val="0"/>
      <w:divBdr>
        <w:top w:val="none" w:sz="0" w:space="0" w:color="auto"/>
        <w:left w:val="none" w:sz="0" w:space="0" w:color="auto"/>
        <w:bottom w:val="none" w:sz="0" w:space="0" w:color="auto"/>
        <w:right w:val="none" w:sz="0" w:space="0" w:color="auto"/>
      </w:divBdr>
    </w:div>
    <w:div w:id="230192242">
      <w:bodyDiv w:val="1"/>
      <w:marLeft w:val="0"/>
      <w:marRight w:val="0"/>
      <w:marTop w:val="0"/>
      <w:marBottom w:val="0"/>
      <w:divBdr>
        <w:top w:val="none" w:sz="0" w:space="0" w:color="auto"/>
        <w:left w:val="none" w:sz="0" w:space="0" w:color="auto"/>
        <w:bottom w:val="none" w:sz="0" w:space="0" w:color="auto"/>
        <w:right w:val="none" w:sz="0" w:space="0" w:color="auto"/>
      </w:divBdr>
    </w:div>
    <w:div w:id="250817817">
      <w:bodyDiv w:val="1"/>
      <w:marLeft w:val="0"/>
      <w:marRight w:val="0"/>
      <w:marTop w:val="0"/>
      <w:marBottom w:val="0"/>
      <w:divBdr>
        <w:top w:val="none" w:sz="0" w:space="0" w:color="auto"/>
        <w:left w:val="none" w:sz="0" w:space="0" w:color="auto"/>
        <w:bottom w:val="none" w:sz="0" w:space="0" w:color="auto"/>
        <w:right w:val="none" w:sz="0" w:space="0" w:color="auto"/>
      </w:divBdr>
    </w:div>
    <w:div w:id="284043301">
      <w:bodyDiv w:val="1"/>
      <w:marLeft w:val="0"/>
      <w:marRight w:val="0"/>
      <w:marTop w:val="0"/>
      <w:marBottom w:val="0"/>
      <w:divBdr>
        <w:top w:val="none" w:sz="0" w:space="0" w:color="auto"/>
        <w:left w:val="none" w:sz="0" w:space="0" w:color="auto"/>
        <w:bottom w:val="none" w:sz="0" w:space="0" w:color="auto"/>
        <w:right w:val="none" w:sz="0" w:space="0" w:color="auto"/>
      </w:divBdr>
    </w:div>
    <w:div w:id="288436364">
      <w:bodyDiv w:val="1"/>
      <w:marLeft w:val="0"/>
      <w:marRight w:val="0"/>
      <w:marTop w:val="0"/>
      <w:marBottom w:val="0"/>
      <w:divBdr>
        <w:top w:val="none" w:sz="0" w:space="0" w:color="auto"/>
        <w:left w:val="none" w:sz="0" w:space="0" w:color="auto"/>
        <w:bottom w:val="none" w:sz="0" w:space="0" w:color="auto"/>
        <w:right w:val="none" w:sz="0" w:space="0" w:color="auto"/>
      </w:divBdr>
    </w:div>
    <w:div w:id="291448007">
      <w:bodyDiv w:val="1"/>
      <w:marLeft w:val="0"/>
      <w:marRight w:val="0"/>
      <w:marTop w:val="0"/>
      <w:marBottom w:val="0"/>
      <w:divBdr>
        <w:top w:val="none" w:sz="0" w:space="0" w:color="auto"/>
        <w:left w:val="none" w:sz="0" w:space="0" w:color="auto"/>
        <w:bottom w:val="none" w:sz="0" w:space="0" w:color="auto"/>
        <w:right w:val="none" w:sz="0" w:space="0" w:color="auto"/>
      </w:divBdr>
    </w:div>
    <w:div w:id="294413667">
      <w:bodyDiv w:val="1"/>
      <w:marLeft w:val="0"/>
      <w:marRight w:val="0"/>
      <w:marTop w:val="0"/>
      <w:marBottom w:val="0"/>
      <w:divBdr>
        <w:top w:val="none" w:sz="0" w:space="0" w:color="auto"/>
        <w:left w:val="none" w:sz="0" w:space="0" w:color="auto"/>
        <w:bottom w:val="none" w:sz="0" w:space="0" w:color="auto"/>
        <w:right w:val="none" w:sz="0" w:space="0" w:color="auto"/>
      </w:divBdr>
    </w:div>
    <w:div w:id="305403826">
      <w:bodyDiv w:val="1"/>
      <w:marLeft w:val="0"/>
      <w:marRight w:val="0"/>
      <w:marTop w:val="0"/>
      <w:marBottom w:val="0"/>
      <w:divBdr>
        <w:top w:val="none" w:sz="0" w:space="0" w:color="auto"/>
        <w:left w:val="none" w:sz="0" w:space="0" w:color="auto"/>
        <w:bottom w:val="none" w:sz="0" w:space="0" w:color="auto"/>
        <w:right w:val="none" w:sz="0" w:space="0" w:color="auto"/>
      </w:divBdr>
    </w:div>
    <w:div w:id="305671473">
      <w:bodyDiv w:val="1"/>
      <w:marLeft w:val="0"/>
      <w:marRight w:val="0"/>
      <w:marTop w:val="0"/>
      <w:marBottom w:val="0"/>
      <w:divBdr>
        <w:top w:val="none" w:sz="0" w:space="0" w:color="auto"/>
        <w:left w:val="none" w:sz="0" w:space="0" w:color="auto"/>
        <w:bottom w:val="none" w:sz="0" w:space="0" w:color="auto"/>
        <w:right w:val="none" w:sz="0" w:space="0" w:color="auto"/>
      </w:divBdr>
    </w:div>
    <w:div w:id="322512833">
      <w:bodyDiv w:val="1"/>
      <w:marLeft w:val="0"/>
      <w:marRight w:val="0"/>
      <w:marTop w:val="0"/>
      <w:marBottom w:val="0"/>
      <w:divBdr>
        <w:top w:val="none" w:sz="0" w:space="0" w:color="auto"/>
        <w:left w:val="none" w:sz="0" w:space="0" w:color="auto"/>
        <w:bottom w:val="none" w:sz="0" w:space="0" w:color="auto"/>
        <w:right w:val="none" w:sz="0" w:space="0" w:color="auto"/>
      </w:divBdr>
    </w:div>
    <w:div w:id="348918685">
      <w:bodyDiv w:val="1"/>
      <w:marLeft w:val="0"/>
      <w:marRight w:val="0"/>
      <w:marTop w:val="0"/>
      <w:marBottom w:val="0"/>
      <w:divBdr>
        <w:top w:val="none" w:sz="0" w:space="0" w:color="auto"/>
        <w:left w:val="none" w:sz="0" w:space="0" w:color="auto"/>
        <w:bottom w:val="none" w:sz="0" w:space="0" w:color="auto"/>
        <w:right w:val="none" w:sz="0" w:space="0" w:color="auto"/>
      </w:divBdr>
    </w:div>
    <w:div w:id="357239467">
      <w:bodyDiv w:val="1"/>
      <w:marLeft w:val="0"/>
      <w:marRight w:val="0"/>
      <w:marTop w:val="0"/>
      <w:marBottom w:val="0"/>
      <w:divBdr>
        <w:top w:val="none" w:sz="0" w:space="0" w:color="auto"/>
        <w:left w:val="none" w:sz="0" w:space="0" w:color="auto"/>
        <w:bottom w:val="none" w:sz="0" w:space="0" w:color="auto"/>
        <w:right w:val="none" w:sz="0" w:space="0" w:color="auto"/>
      </w:divBdr>
    </w:div>
    <w:div w:id="361367732">
      <w:bodyDiv w:val="1"/>
      <w:marLeft w:val="0"/>
      <w:marRight w:val="0"/>
      <w:marTop w:val="0"/>
      <w:marBottom w:val="0"/>
      <w:divBdr>
        <w:top w:val="none" w:sz="0" w:space="0" w:color="auto"/>
        <w:left w:val="none" w:sz="0" w:space="0" w:color="auto"/>
        <w:bottom w:val="none" w:sz="0" w:space="0" w:color="auto"/>
        <w:right w:val="none" w:sz="0" w:space="0" w:color="auto"/>
      </w:divBdr>
    </w:div>
    <w:div w:id="370961009">
      <w:bodyDiv w:val="1"/>
      <w:marLeft w:val="0"/>
      <w:marRight w:val="0"/>
      <w:marTop w:val="0"/>
      <w:marBottom w:val="0"/>
      <w:divBdr>
        <w:top w:val="none" w:sz="0" w:space="0" w:color="auto"/>
        <w:left w:val="none" w:sz="0" w:space="0" w:color="auto"/>
        <w:bottom w:val="none" w:sz="0" w:space="0" w:color="auto"/>
        <w:right w:val="none" w:sz="0" w:space="0" w:color="auto"/>
      </w:divBdr>
    </w:div>
    <w:div w:id="375665253">
      <w:bodyDiv w:val="1"/>
      <w:marLeft w:val="0"/>
      <w:marRight w:val="0"/>
      <w:marTop w:val="0"/>
      <w:marBottom w:val="0"/>
      <w:divBdr>
        <w:top w:val="none" w:sz="0" w:space="0" w:color="auto"/>
        <w:left w:val="none" w:sz="0" w:space="0" w:color="auto"/>
        <w:bottom w:val="none" w:sz="0" w:space="0" w:color="auto"/>
        <w:right w:val="none" w:sz="0" w:space="0" w:color="auto"/>
      </w:divBdr>
    </w:div>
    <w:div w:id="381369179">
      <w:bodyDiv w:val="1"/>
      <w:marLeft w:val="0"/>
      <w:marRight w:val="0"/>
      <w:marTop w:val="0"/>
      <w:marBottom w:val="0"/>
      <w:divBdr>
        <w:top w:val="none" w:sz="0" w:space="0" w:color="auto"/>
        <w:left w:val="none" w:sz="0" w:space="0" w:color="auto"/>
        <w:bottom w:val="none" w:sz="0" w:space="0" w:color="auto"/>
        <w:right w:val="none" w:sz="0" w:space="0" w:color="auto"/>
      </w:divBdr>
    </w:div>
    <w:div w:id="398137599">
      <w:bodyDiv w:val="1"/>
      <w:marLeft w:val="0"/>
      <w:marRight w:val="0"/>
      <w:marTop w:val="0"/>
      <w:marBottom w:val="0"/>
      <w:divBdr>
        <w:top w:val="none" w:sz="0" w:space="0" w:color="auto"/>
        <w:left w:val="none" w:sz="0" w:space="0" w:color="auto"/>
        <w:bottom w:val="none" w:sz="0" w:space="0" w:color="auto"/>
        <w:right w:val="none" w:sz="0" w:space="0" w:color="auto"/>
      </w:divBdr>
    </w:div>
    <w:div w:id="400761632">
      <w:bodyDiv w:val="1"/>
      <w:marLeft w:val="0"/>
      <w:marRight w:val="0"/>
      <w:marTop w:val="0"/>
      <w:marBottom w:val="0"/>
      <w:divBdr>
        <w:top w:val="none" w:sz="0" w:space="0" w:color="auto"/>
        <w:left w:val="none" w:sz="0" w:space="0" w:color="auto"/>
        <w:bottom w:val="none" w:sz="0" w:space="0" w:color="auto"/>
        <w:right w:val="none" w:sz="0" w:space="0" w:color="auto"/>
      </w:divBdr>
    </w:div>
    <w:div w:id="446003495">
      <w:bodyDiv w:val="1"/>
      <w:marLeft w:val="0"/>
      <w:marRight w:val="0"/>
      <w:marTop w:val="0"/>
      <w:marBottom w:val="0"/>
      <w:divBdr>
        <w:top w:val="none" w:sz="0" w:space="0" w:color="auto"/>
        <w:left w:val="none" w:sz="0" w:space="0" w:color="auto"/>
        <w:bottom w:val="none" w:sz="0" w:space="0" w:color="auto"/>
        <w:right w:val="none" w:sz="0" w:space="0" w:color="auto"/>
      </w:divBdr>
    </w:div>
    <w:div w:id="446433085">
      <w:bodyDiv w:val="1"/>
      <w:marLeft w:val="0"/>
      <w:marRight w:val="0"/>
      <w:marTop w:val="0"/>
      <w:marBottom w:val="0"/>
      <w:divBdr>
        <w:top w:val="none" w:sz="0" w:space="0" w:color="auto"/>
        <w:left w:val="none" w:sz="0" w:space="0" w:color="auto"/>
        <w:bottom w:val="none" w:sz="0" w:space="0" w:color="auto"/>
        <w:right w:val="none" w:sz="0" w:space="0" w:color="auto"/>
      </w:divBdr>
    </w:div>
    <w:div w:id="459963048">
      <w:bodyDiv w:val="1"/>
      <w:marLeft w:val="0"/>
      <w:marRight w:val="0"/>
      <w:marTop w:val="0"/>
      <w:marBottom w:val="0"/>
      <w:divBdr>
        <w:top w:val="none" w:sz="0" w:space="0" w:color="auto"/>
        <w:left w:val="none" w:sz="0" w:space="0" w:color="auto"/>
        <w:bottom w:val="none" w:sz="0" w:space="0" w:color="auto"/>
        <w:right w:val="none" w:sz="0" w:space="0" w:color="auto"/>
      </w:divBdr>
    </w:div>
    <w:div w:id="463816677">
      <w:bodyDiv w:val="1"/>
      <w:marLeft w:val="0"/>
      <w:marRight w:val="0"/>
      <w:marTop w:val="0"/>
      <w:marBottom w:val="0"/>
      <w:divBdr>
        <w:top w:val="none" w:sz="0" w:space="0" w:color="auto"/>
        <w:left w:val="none" w:sz="0" w:space="0" w:color="auto"/>
        <w:bottom w:val="none" w:sz="0" w:space="0" w:color="auto"/>
        <w:right w:val="none" w:sz="0" w:space="0" w:color="auto"/>
      </w:divBdr>
    </w:div>
    <w:div w:id="467821559">
      <w:bodyDiv w:val="1"/>
      <w:marLeft w:val="0"/>
      <w:marRight w:val="0"/>
      <w:marTop w:val="0"/>
      <w:marBottom w:val="0"/>
      <w:divBdr>
        <w:top w:val="none" w:sz="0" w:space="0" w:color="auto"/>
        <w:left w:val="none" w:sz="0" w:space="0" w:color="auto"/>
        <w:bottom w:val="none" w:sz="0" w:space="0" w:color="auto"/>
        <w:right w:val="none" w:sz="0" w:space="0" w:color="auto"/>
      </w:divBdr>
    </w:div>
    <w:div w:id="468087438">
      <w:bodyDiv w:val="1"/>
      <w:marLeft w:val="0"/>
      <w:marRight w:val="0"/>
      <w:marTop w:val="0"/>
      <w:marBottom w:val="0"/>
      <w:divBdr>
        <w:top w:val="none" w:sz="0" w:space="0" w:color="auto"/>
        <w:left w:val="none" w:sz="0" w:space="0" w:color="auto"/>
        <w:bottom w:val="none" w:sz="0" w:space="0" w:color="auto"/>
        <w:right w:val="none" w:sz="0" w:space="0" w:color="auto"/>
      </w:divBdr>
    </w:div>
    <w:div w:id="490684983">
      <w:bodyDiv w:val="1"/>
      <w:marLeft w:val="0"/>
      <w:marRight w:val="0"/>
      <w:marTop w:val="0"/>
      <w:marBottom w:val="0"/>
      <w:divBdr>
        <w:top w:val="none" w:sz="0" w:space="0" w:color="auto"/>
        <w:left w:val="none" w:sz="0" w:space="0" w:color="auto"/>
        <w:bottom w:val="none" w:sz="0" w:space="0" w:color="auto"/>
        <w:right w:val="none" w:sz="0" w:space="0" w:color="auto"/>
      </w:divBdr>
    </w:div>
    <w:div w:id="496918660">
      <w:bodyDiv w:val="1"/>
      <w:marLeft w:val="0"/>
      <w:marRight w:val="0"/>
      <w:marTop w:val="0"/>
      <w:marBottom w:val="0"/>
      <w:divBdr>
        <w:top w:val="none" w:sz="0" w:space="0" w:color="auto"/>
        <w:left w:val="none" w:sz="0" w:space="0" w:color="auto"/>
        <w:bottom w:val="none" w:sz="0" w:space="0" w:color="auto"/>
        <w:right w:val="none" w:sz="0" w:space="0" w:color="auto"/>
      </w:divBdr>
    </w:div>
    <w:div w:id="498425096">
      <w:bodyDiv w:val="1"/>
      <w:marLeft w:val="0"/>
      <w:marRight w:val="0"/>
      <w:marTop w:val="0"/>
      <w:marBottom w:val="0"/>
      <w:divBdr>
        <w:top w:val="none" w:sz="0" w:space="0" w:color="auto"/>
        <w:left w:val="none" w:sz="0" w:space="0" w:color="auto"/>
        <w:bottom w:val="none" w:sz="0" w:space="0" w:color="auto"/>
        <w:right w:val="none" w:sz="0" w:space="0" w:color="auto"/>
      </w:divBdr>
    </w:div>
    <w:div w:id="525026527">
      <w:bodyDiv w:val="1"/>
      <w:marLeft w:val="0"/>
      <w:marRight w:val="0"/>
      <w:marTop w:val="0"/>
      <w:marBottom w:val="0"/>
      <w:divBdr>
        <w:top w:val="none" w:sz="0" w:space="0" w:color="auto"/>
        <w:left w:val="none" w:sz="0" w:space="0" w:color="auto"/>
        <w:bottom w:val="none" w:sz="0" w:space="0" w:color="auto"/>
        <w:right w:val="none" w:sz="0" w:space="0" w:color="auto"/>
      </w:divBdr>
    </w:div>
    <w:div w:id="535509405">
      <w:bodyDiv w:val="1"/>
      <w:marLeft w:val="0"/>
      <w:marRight w:val="0"/>
      <w:marTop w:val="0"/>
      <w:marBottom w:val="0"/>
      <w:divBdr>
        <w:top w:val="none" w:sz="0" w:space="0" w:color="auto"/>
        <w:left w:val="none" w:sz="0" w:space="0" w:color="auto"/>
        <w:bottom w:val="none" w:sz="0" w:space="0" w:color="auto"/>
        <w:right w:val="none" w:sz="0" w:space="0" w:color="auto"/>
      </w:divBdr>
    </w:div>
    <w:div w:id="557084034">
      <w:bodyDiv w:val="1"/>
      <w:marLeft w:val="0"/>
      <w:marRight w:val="0"/>
      <w:marTop w:val="0"/>
      <w:marBottom w:val="0"/>
      <w:divBdr>
        <w:top w:val="none" w:sz="0" w:space="0" w:color="auto"/>
        <w:left w:val="none" w:sz="0" w:space="0" w:color="auto"/>
        <w:bottom w:val="none" w:sz="0" w:space="0" w:color="auto"/>
        <w:right w:val="none" w:sz="0" w:space="0" w:color="auto"/>
      </w:divBdr>
    </w:div>
    <w:div w:id="565842954">
      <w:bodyDiv w:val="1"/>
      <w:marLeft w:val="0"/>
      <w:marRight w:val="0"/>
      <w:marTop w:val="0"/>
      <w:marBottom w:val="0"/>
      <w:divBdr>
        <w:top w:val="none" w:sz="0" w:space="0" w:color="auto"/>
        <w:left w:val="none" w:sz="0" w:space="0" w:color="auto"/>
        <w:bottom w:val="none" w:sz="0" w:space="0" w:color="auto"/>
        <w:right w:val="none" w:sz="0" w:space="0" w:color="auto"/>
      </w:divBdr>
    </w:div>
    <w:div w:id="578633036">
      <w:bodyDiv w:val="1"/>
      <w:marLeft w:val="0"/>
      <w:marRight w:val="0"/>
      <w:marTop w:val="0"/>
      <w:marBottom w:val="0"/>
      <w:divBdr>
        <w:top w:val="none" w:sz="0" w:space="0" w:color="auto"/>
        <w:left w:val="none" w:sz="0" w:space="0" w:color="auto"/>
        <w:bottom w:val="none" w:sz="0" w:space="0" w:color="auto"/>
        <w:right w:val="none" w:sz="0" w:space="0" w:color="auto"/>
      </w:divBdr>
    </w:div>
    <w:div w:id="581372942">
      <w:bodyDiv w:val="1"/>
      <w:marLeft w:val="0"/>
      <w:marRight w:val="0"/>
      <w:marTop w:val="0"/>
      <w:marBottom w:val="0"/>
      <w:divBdr>
        <w:top w:val="none" w:sz="0" w:space="0" w:color="auto"/>
        <w:left w:val="none" w:sz="0" w:space="0" w:color="auto"/>
        <w:bottom w:val="none" w:sz="0" w:space="0" w:color="auto"/>
        <w:right w:val="none" w:sz="0" w:space="0" w:color="auto"/>
      </w:divBdr>
    </w:div>
    <w:div w:id="616326853">
      <w:bodyDiv w:val="1"/>
      <w:marLeft w:val="0"/>
      <w:marRight w:val="0"/>
      <w:marTop w:val="0"/>
      <w:marBottom w:val="0"/>
      <w:divBdr>
        <w:top w:val="none" w:sz="0" w:space="0" w:color="auto"/>
        <w:left w:val="none" w:sz="0" w:space="0" w:color="auto"/>
        <w:bottom w:val="none" w:sz="0" w:space="0" w:color="auto"/>
        <w:right w:val="none" w:sz="0" w:space="0" w:color="auto"/>
      </w:divBdr>
    </w:div>
    <w:div w:id="621378084">
      <w:bodyDiv w:val="1"/>
      <w:marLeft w:val="0"/>
      <w:marRight w:val="0"/>
      <w:marTop w:val="0"/>
      <w:marBottom w:val="0"/>
      <w:divBdr>
        <w:top w:val="none" w:sz="0" w:space="0" w:color="auto"/>
        <w:left w:val="none" w:sz="0" w:space="0" w:color="auto"/>
        <w:bottom w:val="none" w:sz="0" w:space="0" w:color="auto"/>
        <w:right w:val="none" w:sz="0" w:space="0" w:color="auto"/>
      </w:divBdr>
    </w:div>
    <w:div w:id="627391630">
      <w:bodyDiv w:val="1"/>
      <w:marLeft w:val="0"/>
      <w:marRight w:val="0"/>
      <w:marTop w:val="0"/>
      <w:marBottom w:val="0"/>
      <w:divBdr>
        <w:top w:val="none" w:sz="0" w:space="0" w:color="auto"/>
        <w:left w:val="none" w:sz="0" w:space="0" w:color="auto"/>
        <w:bottom w:val="none" w:sz="0" w:space="0" w:color="auto"/>
        <w:right w:val="none" w:sz="0" w:space="0" w:color="auto"/>
      </w:divBdr>
      <w:divsChild>
        <w:div w:id="819004263">
          <w:marLeft w:val="0"/>
          <w:marRight w:val="0"/>
          <w:marTop w:val="0"/>
          <w:marBottom w:val="0"/>
          <w:divBdr>
            <w:top w:val="none" w:sz="0" w:space="0" w:color="auto"/>
            <w:left w:val="none" w:sz="0" w:space="0" w:color="auto"/>
            <w:bottom w:val="none" w:sz="0" w:space="0" w:color="auto"/>
            <w:right w:val="none" w:sz="0" w:space="0" w:color="auto"/>
          </w:divBdr>
          <w:divsChild>
            <w:div w:id="1521700804">
              <w:marLeft w:val="0"/>
              <w:marRight w:val="0"/>
              <w:marTop w:val="0"/>
              <w:marBottom w:val="0"/>
              <w:divBdr>
                <w:top w:val="none" w:sz="0" w:space="0" w:color="auto"/>
                <w:left w:val="none" w:sz="0" w:space="0" w:color="auto"/>
                <w:bottom w:val="none" w:sz="0" w:space="0" w:color="auto"/>
                <w:right w:val="none" w:sz="0" w:space="0" w:color="auto"/>
              </w:divBdr>
            </w:div>
          </w:divsChild>
        </w:div>
        <w:div w:id="498036129">
          <w:marLeft w:val="0"/>
          <w:marRight w:val="0"/>
          <w:marTop w:val="75"/>
          <w:marBottom w:val="0"/>
          <w:divBdr>
            <w:top w:val="none" w:sz="0" w:space="0" w:color="auto"/>
            <w:left w:val="none" w:sz="0" w:space="0" w:color="auto"/>
            <w:bottom w:val="none" w:sz="0" w:space="0" w:color="auto"/>
            <w:right w:val="none" w:sz="0" w:space="0" w:color="auto"/>
          </w:divBdr>
        </w:div>
        <w:div w:id="1583903800">
          <w:marLeft w:val="0"/>
          <w:marRight w:val="0"/>
          <w:marTop w:val="75"/>
          <w:marBottom w:val="0"/>
          <w:divBdr>
            <w:top w:val="none" w:sz="0" w:space="0" w:color="auto"/>
            <w:left w:val="none" w:sz="0" w:space="0" w:color="auto"/>
            <w:bottom w:val="none" w:sz="0" w:space="0" w:color="auto"/>
            <w:right w:val="none" w:sz="0" w:space="0" w:color="auto"/>
          </w:divBdr>
        </w:div>
      </w:divsChild>
    </w:div>
    <w:div w:id="632640106">
      <w:bodyDiv w:val="1"/>
      <w:marLeft w:val="0"/>
      <w:marRight w:val="0"/>
      <w:marTop w:val="0"/>
      <w:marBottom w:val="0"/>
      <w:divBdr>
        <w:top w:val="none" w:sz="0" w:space="0" w:color="auto"/>
        <w:left w:val="none" w:sz="0" w:space="0" w:color="auto"/>
        <w:bottom w:val="none" w:sz="0" w:space="0" w:color="auto"/>
        <w:right w:val="none" w:sz="0" w:space="0" w:color="auto"/>
      </w:divBdr>
    </w:div>
    <w:div w:id="632953196">
      <w:bodyDiv w:val="1"/>
      <w:marLeft w:val="0"/>
      <w:marRight w:val="0"/>
      <w:marTop w:val="0"/>
      <w:marBottom w:val="0"/>
      <w:divBdr>
        <w:top w:val="none" w:sz="0" w:space="0" w:color="auto"/>
        <w:left w:val="none" w:sz="0" w:space="0" w:color="auto"/>
        <w:bottom w:val="none" w:sz="0" w:space="0" w:color="auto"/>
        <w:right w:val="none" w:sz="0" w:space="0" w:color="auto"/>
      </w:divBdr>
    </w:div>
    <w:div w:id="641618405">
      <w:bodyDiv w:val="1"/>
      <w:marLeft w:val="0"/>
      <w:marRight w:val="0"/>
      <w:marTop w:val="0"/>
      <w:marBottom w:val="0"/>
      <w:divBdr>
        <w:top w:val="none" w:sz="0" w:space="0" w:color="auto"/>
        <w:left w:val="none" w:sz="0" w:space="0" w:color="auto"/>
        <w:bottom w:val="none" w:sz="0" w:space="0" w:color="auto"/>
        <w:right w:val="none" w:sz="0" w:space="0" w:color="auto"/>
      </w:divBdr>
    </w:div>
    <w:div w:id="653222683">
      <w:bodyDiv w:val="1"/>
      <w:marLeft w:val="0"/>
      <w:marRight w:val="0"/>
      <w:marTop w:val="0"/>
      <w:marBottom w:val="0"/>
      <w:divBdr>
        <w:top w:val="none" w:sz="0" w:space="0" w:color="auto"/>
        <w:left w:val="none" w:sz="0" w:space="0" w:color="auto"/>
        <w:bottom w:val="none" w:sz="0" w:space="0" w:color="auto"/>
        <w:right w:val="none" w:sz="0" w:space="0" w:color="auto"/>
      </w:divBdr>
    </w:div>
    <w:div w:id="653413058">
      <w:bodyDiv w:val="1"/>
      <w:marLeft w:val="0"/>
      <w:marRight w:val="0"/>
      <w:marTop w:val="0"/>
      <w:marBottom w:val="0"/>
      <w:divBdr>
        <w:top w:val="none" w:sz="0" w:space="0" w:color="auto"/>
        <w:left w:val="none" w:sz="0" w:space="0" w:color="auto"/>
        <w:bottom w:val="none" w:sz="0" w:space="0" w:color="auto"/>
        <w:right w:val="none" w:sz="0" w:space="0" w:color="auto"/>
      </w:divBdr>
    </w:div>
    <w:div w:id="657811662">
      <w:bodyDiv w:val="1"/>
      <w:marLeft w:val="0"/>
      <w:marRight w:val="0"/>
      <w:marTop w:val="0"/>
      <w:marBottom w:val="0"/>
      <w:divBdr>
        <w:top w:val="none" w:sz="0" w:space="0" w:color="auto"/>
        <w:left w:val="none" w:sz="0" w:space="0" w:color="auto"/>
        <w:bottom w:val="none" w:sz="0" w:space="0" w:color="auto"/>
        <w:right w:val="none" w:sz="0" w:space="0" w:color="auto"/>
      </w:divBdr>
    </w:div>
    <w:div w:id="661469048">
      <w:bodyDiv w:val="1"/>
      <w:marLeft w:val="0"/>
      <w:marRight w:val="0"/>
      <w:marTop w:val="0"/>
      <w:marBottom w:val="0"/>
      <w:divBdr>
        <w:top w:val="none" w:sz="0" w:space="0" w:color="auto"/>
        <w:left w:val="none" w:sz="0" w:space="0" w:color="auto"/>
        <w:bottom w:val="none" w:sz="0" w:space="0" w:color="auto"/>
        <w:right w:val="none" w:sz="0" w:space="0" w:color="auto"/>
      </w:divBdr>
    </w:div>
    <w:div w:id="672103061">
      <w:bodyDiv w:val="1"/>
      <w:marLeft w:val="0"/>
      <w:marRight w:val="0"/>
      <w:marTop w:val="0"/>
      <w:marBottom w:val="0"/>
      <w:divBdr>
        <w:top w:val="none" w:sz="0" w:space="0" w:color="auto"/>
        <w:left w:val="none" w:sz="0" w:space="0" w:color="auto"/>
        <w:bottom w:val="none" w:sz="0" w:space="0" w:color="auto"/>
        <w:right w:val="none" w:sz="0" w:space="0" w:color="auto"/>
      </w:divBdr>
    </w:div>
    <w:div w:id="675376803">
      <w:bodyDiv w:val="1"/>
      <w:marLeft w:val="0"/>
      <w:marRight w:val="0"/>
      <w:marTop w:val="0"/>
      <w:marBottom w:val="0"/>
      <w:divBdr>
        <w:top w:val="none" w:sz="0" w:space="0" w:color="auto"/>
        <w:left w:val="none" w:sz="0" w:space="0" w:color="auto"/>
        <w:bottom w:val="none" w:sz="0" w:space="0" w:color="auto"/>
        <w:right w:val="none" w:sz="0" w:space="0" w:color="auto"/>
      </w:divBdr>
    </w:div>
    <w:div w:id="681012935">
      <w:bodyDiv w:val="1"/>
      <w:marLeft w:val="0"/>
      <w:marRight w:val="0"/>
      <w:marTop w:val="0"/>
      <w:marBottom w:val="0"/>
      <w:divBdr>
        <w:top w:val="none" w:sz="0" w:space="0" w:color="auto"/>
        <w:left w:val="none" w:sz="0" w:space="0" w:color="auto"/>
        <w:bottom w:val="none" w:sz="0" w:space="0" w:color="auto"/>
        <w:right w:val="none" w:sz="0" w:space="0" w:color="auto"/>
      </w:divBdr>
    </w:div>
    <w:div w:id="750154639">
      <w:bodyDiv w:val="1"/>
      <w:marLeft w:val="0"/>
      <w:marRight w:val="0"/>
      <w:marTop w:val="0"/>
      <w:marBottom w:val="0"/>
      <w:divBdr>
        <w:top w:val="none" w:sz="0" w:space="0" w:color="auto"/>
        <w:left w:val="none" w:sz="0" w:space="0" w:color="auto"/>
        <w:bottom w:val="none" w:sz="0" w:space="0" w:color="auto"/>
        <w:right w:val="none" w:sz="0" w:space="0" w:color="auto"/>
      </w:divBdr>
    </w:div>
    <w:div w:id="753166385">
      <w:bodyDiv w:val="1"/>
      <w:marLeft w:val="0"/>
      <w:marRight w:val="0"/>
      <w:marTop w:val="0"/>
      <w:marBottom w:val="0"/>
      <w:divBdr>
        <w:top w:val="none" w:sz="0" w:space="0" w:color="auto"/>
        <w:left w:val="none" w:sz="0" w:space="0" w:color="auto"/>
        <w:bottom w:val="none" w:sz="0" w:space="0" w:color="auto"/>
        <w:right w:val="none" w:sz="0" w:space="0" w:color="auto"/>
      </w:divBdr>
    </w:div>
    <w:div w:id="774909350">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999213">
      <w:bodyDiv w:val="1"/>
      <w:marLeft w:val="0"/>
      <w:marRight w:val="0"/>
      <w:marTop w:val="0"/>
      <w:marBottom w:val="0"/>
      <w:divBdr>
        <w:top w:val="none" w:sz="0" w:space="0" w:color="auto"/>
        <w:left w:val="none" w:sz="0" w:space="0" w:color="auto"/>
        <w:bottom w:val="none" w:sz="0" w:space="0" w:color="auto"/>
        <w:right w:val="none" w:sz="0" w:space="0" w:color="auto"/>
      </w:divBdr>
    </w:div>
    <w:div w:id="781149966">
      <w:bodyDiv w:val="1"/>
      <w:marLeft w:val="0"/>
      <w:marRight w:val="0"/>
      <w:marTop w:val="0"/>
      <w:marBottom w:val="0"/>
      <w:divBdr>
        <w:top w:val="none" w:sz="0" w:space="0" w:color="auto"/>
        <w:left w:val="none" w:sz="0" w:space="0" w:color="auto"/>
        <w:bottom w:val="none" w:sz="0" w:space="0" w:color="auto"/>
        <w:right w:val="none" w:sz="0" w:space="0" w:color="auto"/>
      </w:divBdr>
    </w:div>
    <w:div w:id="833574502">
      <w:bodyDiv w:val="1"/>
      <w:marLeft w:val="0"/>
      <w:marRight w:val="0"/>
      <w:marTop w:val="0"/>
      <w:marBottom w:val="0"/>
      <w:divBdr>
        <w:top w:val="none" w:sz="0" w:space="0" w:color="auto"/>
        <w:left w:val="none" w:sz="0" w:space="0" w:color="auto"/>
        <w:bottom w:val="none" w:sz="0" w:space="0" w:color="auto"/>
        <w:right w:val="none" w:sz="0" w:space="0" w:color="auto"/>
      </w:divBdr>
    </w:div>
    <w:div w:id="864824532">
      <w:bodyDiv w:val="1"/>
      <w:marLeft w:val="0"/>
      <w:marRight w:val="0"/>
      <w:marTop w:val="0"/>
      <w:marBottom w:val="0"/>
      <w:divBdr>
        <w:top w:val="none" w:sz="0" w:space="0" w:color="auto"/>
        <w:left w:val="none" w:sz="0" w:space="0" w:color="auto"/>
        <w:bottom w:val="none" w:sz="0" w:space="0" w:color="auto"/>
        <w:right w:val="none" w:sz="0" w:space="0" w:color="auto"/>
      </w:divBdr>
    </w:div>
    <w:div w:id="869417547">
      <w:bodyDiv w:val="1"/>
      <w:marLeft w:val="0"/>
      <w:marRight w:val="0"/>
      <w:marTop w:val="0"/>
      <w:marBottom w:val="0"/>
      <w:divBdr>
        <w:top w:val="none" w:sz="0" w:space="0" w:color="auto"/>
        <w:left w:val="none" w:sz="0" w:space="0" w:color="auto"/>
        <w:bottom w:val="none" w:sz="0" w:space="0" w:color="auto"/>
        <w:right w:val="none" w:sz="0" w:space="0" w:color="auto"/>
      </w:divBdr>
    </w:div>
    <w:div w:id="879517059">
      <w:bodyDiv w:val="1"/>
      <w:marLeft w:val="0"/>
      <w:marRight w:val="0"/>
      <w:marTop w:val="0"/>
      <w:marBottom w:val="0"/>
      <w:divBdr>
        <w:top w:val="none" w:sz="0" w:space="0" w:color="auto"/>
        <w:left w:val="none" w:sz="0" w:space="0" w:color="auto"/>
        <w:bottom w:val="none" w:sz="0" w:space="0" w:color="auto"/>
        <w:right w:val="none" w:sz="0" w:space="0" w:color="auto"/>
      </w:divBdr>
    </w:div>
    <w:div w:id="897008252">
      <w:bodyDiv w:val="1"/>
      <w:marLeft w:val="0"/>
      <w:marRight w:val="0"/>
      <w:marTop w:val="0"/>
      <w:marBottom w:val="0"/>
      <w:divBdr>
        <w:top w:val="none" w:sz="0" w:space="0" w:color="auto"/>
        <w:left w:val="none" w:sz="0" w:space="0" w:color="auto"/>
        <w:bottom w:val="none" w:sz="0" w:space="0" w:color="auto"/>
        <w:right w:val="none" w:sz="0" w:space="0" w:color="auto"/>
      </w:divBdr>
    </w:div>
    <w:div w:id="897209590">
      <w:bodyDiv w:val="1"/>
      <w:marLeft w:val="0"/>
      <w:marRight w:val="0"/>
      <w:marTop w:val="0"/>
      <w:marBottom w:val="0"/>
      <w:divBdr>
        <w:top w:val="none" w:sz="0" w:space="0" w:color="auto"/>
        <w:left w:val="none" w:sz="0" w:space="0" w:color="auto"/>
        <w:bottom w:val="none" w:sz="0" w:space="0" w:color="auto"/>
        <w:right w:val="none" w:sz="0" w:space="0" w:color="auto"/>
      </w:divBdr>
    </w:div>
    <w:div w:id="904267562">
      <w:bodyDiv w:val="1"/>
      <w:marLeft w:val="0"/>
      <w:marRight w:val="0"/>
      <w:marTop w:val="0"/>
      <w:marBottom w:val="0"/>
      <w:divBdr>
        <w:top w:val="none" w:sz="0" w:space="0" w:color="auto"/>
        <w:left w:val="none" w:sz="0" w:space="0" w:color="auto"/>
        <w:bottom w:val="none" w:sz="0" w:space="0" w:color="auto"/>
        <w:right w:val="none" w:sz="0" w:space="0" w:color="auto"/>
      </w:divBdr>
      <w:divsChild>
        <w:div w:id="1004477513">
          <w:marLeft w:val="0"/>
          <w:marRight w:val="0"/>
          <w:marTop w:val="0"/>
          <w:marBottom w:val="0"/>
          <w:divBdr>
            <w:top w:val="none" w:sz="0" w:space="0" w:color="auto"/>
            <w:left w:val="none" w:sz="0" w:space="0" w:color="auto"/>
            <w:bottom w:val="none" w:sz="0" w:space="0" w:color="auto"/>
            <w:right w:val="none" w:sz="0" w:space="0" w:color="auto"/>
          </w:divBdr>
        </w:div>
      </w:divsChild>
    </w:div>
    <w:div w:id="928542194">
      <w:bodyDiv w:val="1"/>
      <w:marLeft w:val="0"/>
      <w:marRight w:val="0"/>
      <w:marTop w:val="0"/>
      <w:marBottom w:val="0"/>
      <w:divBdr>
        <w:top w:val="none" w:sz="0" w:space="0" w:color="auto"/>
        <w:left w:val="none" w:sz="0" w:space="0" w:color="auto"/>
        <w:bottom w:val="none" w:sz="0" w:space="0" w:color="auto"/>
        <w:right w:val="none" w:sz="0" w:space="0" w:color="auto"/>
      </w:divBdr>
    </w:div>
    <w:div w:id="929503858">
      <w:bodyDiv w:val="1"/>
      <w:marLeft w:val="0"/>
      <w:marRight w:val="0"/>
      <w:marTop w:val="0"/>
      <w:marBottom w:val="0"/>
      <w:divBdr>
        <w:top w:val="none" w:sz="0" w:space="0" w:color="auto"/>
        <w:left w:val="none" w:sz="0" w:space="0" w:color="auto"/>
        <w:bottom w:val="none" w:sz="0" w:space="0" w:color="auto"/>
        <w:right w:val="none" w:sz="0" w:space="0" w:color="auto"/>
      </w:divBdr>
    </w:div>
    <w:div w:id="932201672">
      <w:bodyDiv w:val="1"/>
      <w:marLeft w:val="0"/>
      <w:marRight w:val="0"/>
      <w:marTop w:val="0"/>
      <w:marBottom w:val="0"/>
      <w:divBdr>
        <w:top w:val="none" w:sz="0" w:space="0" w:color="auto"/>
        <w:left w:val="none" w:sz="0" w:space="0" w:color="auto"/>
        <w:bottom w:val="none" w:sz="0" w:space="0" w:color="auto"/>
        <w:right w:val="none" w:sz="0" w:space="0" w:color="auto"/>
      </w:divBdr>
    </w:div>
    <w:div w:id="935020717">
      <w:bodyDiv w:val="1"/>
      <w:marLeft w:val="0"/>
      <w:marRight w:val="0"/>
      <w:marTop w:val="0"/>
      <w:marBottom w:val="0"/>
      <w:divBdr>
        <w:top w:val="none" w:sz="0" w:space="0" w:color="auto"/>
        <w:left w:val="none" w:sz="0" w:space="0" w:color="auto"/>
        <w:bottom w:val="none" w:sz="0" w:space="0" w:color="auto"/>
        <w:right w:val="none" w:sz="0" w:space="0" w:color="auto"/>
      </w:divBdr>
    </w:div>
    <w:div w:id="935401585">
      <w:bodyDiv w:val="1"/>
      <w:marLeft w:val="0"/>
      <w:marRight w:val="0"/>
      <w:marTop w:val="0"/>
      <w:marBottom w:val="0"/>
      <w:divBdr>
        <w:top w:val="none" w:sz="0" w:space="0" w:color="auto"/>
        <w:left w:val="none" w:sz="0" w:space="0" w:color="auto"/>
        <w:bottom w:val="none" w:sz="0" w:space="0" w:color="auto"/>
        <w:right w:val="none" w:sz="0" w:space="0" w:color="auto"/>
      </w:divBdr>
    </w:div>
    <w:div w:id="936979595">
      <w:bodyDiv w:val="1"/>
      <w:marLeft w:val="0"/>
      <w:marRight w:val="0"/>
      <w:marTop w:val="0"/>
      <w:marBottom w:val="0"/>
      <w:divBdr>
        <w:top w:val="none" w:sz="0" w:space="0" w:color="auto"/>
        <w:left w:val="none" w:sz="0" w:space="0" w:color="auto"/>
        <w:bottom w:val="none" w:sz="0" w:space="0" w:color="auto"/>
        <w:right w:val="none" w:sz="0" w:space="0" w:color="auto"/>
      </w:divBdr>
    </w:div>
    <w:div w:id="941571443">
      <w:bodyDiv w:val="1"/>
      <w:marLeft w:val="0"/>
      <w:marRight w:val="0"/>
      <w:marTop w:val="0"/>
      <w:marBottom w:val="0"/>
      <w:divBdr>
        <w:top w:val="none" w:sz="0" w:space="0" w:color="auto"/>
        <w:left w:val="none" w:sz="0" w:space="0" w:color="auto"/>
        <w:bottom w:val="none" w:sz="0" w:space="0" w:color="auto"/>
        <w:right w:val="none" w:sz="0" w:space="0" w:color="auto"/>
      </w:divBdr>
    </w:div>
    <w:div w:id="946738686">
      <w:bodyDiv w:val="1"/>
      <w:marLeft w:val="0"/>
      <w:marRight w:val="0"/>
      <w:marTop w:val="0"/>
      <w:marBottom w:val="0"/>
      <w:divBdr>
        <w:top w:val="none" w:sz="0" w:space="0" w:color="auto"/>
        <w:left w:val="none" w:sz="0" w:space="0" w:color="auto"/>
        <w:bottom w:val="none" w:sz="0" w:space="0" w:color="auto"/>
        <w:right w:val="none" w:sz="0" w:space="0" w:color="auto"/>
      </w:divBdr>
    </w:div>
    <w:div w:id="949626773">
      <w:bodyDiv w:val="1"/>
      <w:marLeft w:val="0"/>
      <w:marRight w:val="0"/>
      <w:marTop w:val="0"/>
      <w:marBottom w:val="0"/>
      <w:divBdr>
        <w:top w:val="none" w:sz="0" w:space="0" w:color="auto"/>
        <w:left w:val="none" w:sz="0" w:space="0" w:color="auto"/>
        <w:bottom w:val="none" w:sz="0" w:space="0" w:color="auto"/>
        <w:right w:val="none" w:sz="0" w:space="0" w:color="auto"/>
      </w:divBdr>
    </w:div>
    <w:div w:id="950625872">
      <w:bodyDiv w:val="1"/>
      <w:marLeft w:val="0"/>
      <w:marRight w:val="0"/>
      <w:marTop w:val="0"/>
      <w:marBottom w:val="0"/>
      <w:divBdr>
        <w:top w:val="none" w:sz="0" w:space="0" w:color="auto"/>
        <w:left w:val="none" w:sz="0" w:space="0" w:color="auto"/>
        <w:bottom w:val="none" w:sz="0" w:space="0" w:color="auto"/>
        <w:right w:val="none" w:sz="0" w:space="0" w:color="auto"/>
      </w:divBdr>
    </w:div>
    <w:div w:id="952441961">
      <w:bodyDiv w:val="1"/>
      <w:marLeft w:val="0"/>
      <w:marRight w:val="0"/>
      <w:marTop w:val="0"/>
      <w:marBottom w:val="0"/>
      <w:divBdr>
        <w:top w:val="none" w:sz="0" w:space="0" w:color="auto"/>
        <w:left w:val="none" w:sz="0" w:space="0" w:color="auto"/>
        <w:bottom w:val="none" w:sz="0" w:space="0" w:color="auto"/>
        <w:right w:val="none" w:sz="0" w:space="0" w:color="auto"/>
      </w:divBdr>
    </w:div>
    <w:div w:id="952514115">
      <w:bodyDiv w:val="1"/>
      <w:marLeft w:val="0"/>
      <w:marRight w:val="0"/>
      <w:marTop w:val="0"/>
      <w:marBottom w:val="0"/>
      <w:divBdr>
        <w:top w:val="none" w:sz="0" w:space="0" w:color="auto"/>
        <w:left w:val="none" w:sz="0" w:space="0" w:color="auto"/>
        <w:bottom w:val="none" w:sz="0" w:space="0" w:color="auto"/>
        <w:right w:val="none" w:sz="0" w:space="0" w:color="auto"/>
      </w:divBdr>
    </w:div>
    <w:div w:id="976910158">
      <w:bodyDiv w:val="1"/>
      <w:marLeft w:val="0"/>
      <w:marRight w:val="0"/>
      <w:marTop w:val="0"/>
      <w:marBottom w:val="0"/>
      <w:divBdr>
        <w:top w:val="none" w:sz="0" w:space="0" w:color="auto"/>
        <w:left w:val="none" w:sz="0" w:space="0" w:color="auto"/>
        <w:bottom w:val="none" w:sz="0" w:space="0" w:color="auto"/>
        <w:right w:val="none" w:sz="0" w:space="0" w:color="auto"/>
      </w:divBdr>
    </w:div>
    <w:div w:id="980310334">
      <w:bodyDiv w:val="1"/>
      <w:marLeft w:val="0"/>
      <w:marRight w:val="0"/>
      <w:marTop w:val="0"/>
      <w:marBottom w:val="0"/>
      <w:divBdr>
        <w:top w:val="none" w:sz="0" w:space="0" w:color="auto"/>
        <w:left w:val="none" w:sz="0" w:space="0" w:color="auto"/>
        <w:bottom w:val="none" w:sz="0" w:space="0" w:color="auto"/>
        <w:right w:val="none" w:sz="0" w:space="0" w:color="auto"/>
      </w:divBdr>
    </w:div>
    <w:div w:id="994187409">
      <w:bodyDiv w:val="1"/>
      <w:marLeft w:val="0"/>
      <w:marRight w:val="0"/>
      <w:marTop w:val="0"/>
      <w:marBottom w:val="0"/>
      <w:divBdr>
        <w:top w:val="none" w:sz="0" w:space="0" w:color="auto"/>
        <w:left w:val="none" w:sz="0" w:space="0" w:color="auto"/>
        <w:bottom w:val="none" w:sz="0" w:space="0" w:color="auto"/>
        <w:right w:val="none" w:sz="0" w:space="0" w:color="auto"/>
      </w:divBdr>
    </w:div>
    <w:div w:id="998193191">
      <w:bodyDiv w:val="1"/>
      <w:marLeft w:val="0"/>
      <w:marRight w:val="0"/>
      <w:marTop w:val="0"/>
      <w:marBottom w:val="0"/>
      <w:divBdr>
        <w:top w:val="none" w:sz="0" w:space="0" w:color="auto"/>
        <w:left w:val="none" w:sz="0" w:space="0" w:color="auto"/>
        <w:bottom w:val="none" w:sz="0" w:space="0" w:color="auto"/>
        <w:right w:val="none" w:sz="0" w:space="0" w:color="auto"/>
      </w:divBdr>
    </w:div>
    <w:div w:id="1001356136">
      <w:bodyDiv w:val="1"/>
      <w:marLeft w:val="0"/>
      <w:marRight w:val="0"/>
      <w:marTop w:val="0"/>
      <w:marBottom w:val="0"/>
      <w:divBdr>
        <w:top w:val="none" w:sz="0" w:space="0" w:color="auto"/>
        <w:left w:val="none" w:sz="0" w:space="0" w:color="auto"/>
        <w:bottom w:val="none" w:sz="0" w:space="0" w:color="auto"/>
        <w:right w:val="none" w:sz="0" w:space="0" w:color="auto"/>
      </w:divBdr>
    </w:div>
    <w:div w:id="1027945039">
      <w:bodyDiv w:val="1"/>
      <w:marLeft w:val="0"/>
      <w:marRight w:val="0"/>
      <w:marTop w:val="0"/>
      <w:marBottom w:val="0"/>
      <w:divBdr>
        <w:top w:val="none" w:sz="0" w:space="0" w:color="auto"/>
        <w:left w:val="none" w:sz="0" w:space="0" w:color="auto"/>
        <w:bottom w:val="none" w:sz="0" w:space="0" w:color="auto"/>
        <w:right w:val="none" w:sz="0" w:space="0" w:color="auto"/>
      </w:divBdr>
    </w:div>
    <w:div w:id="1064598432">
      <w:bodyDiv w:val="1"/>
      <w:marLeft w:val="0"/>
      <w:marRight w:val="0"/>
      <w:marTop w:val="0"/>
      <w:marBottom w:val="0"/>
      <w:divBdr>
        <w:top w:val="none" w:sz="0" w:space="0" w:color="auto"/>
        <w:left w:val="none" w:sz="0" w:space="0" w:color="auto"/>
        <w:bottom w:val="none" w:sz="0" w:space="0" w:color="auto"/>
        <w:right w:val="none" w:sz="0" w:space="0" w:color="auto"/>
      </w:divBdr>
    </w:div>
    <w:div w:id="1078671085">
      <w:bodyDiv w:val="1"/>
      <w:marLeft w:val="0"/>
      <w:marRight w:val="0"/>
      <w:marTop w:val="0"/>
      <w:marBottom w:val="0"/>
      <w:divBdr>
        <w:top w:val="none" w:sz="0" w:space="0" w:color="auto"/>
        <w:left w:val="none" w:sz="0" w:space="0" w:color="auto"/>
        <w:bottom w:val="none" w:sz="0" w:space="0" w:color="auto"/>
        <w:right w:val="none" w:sz="0" w:space="0" w:color="auto"/>
      </w:divBdr>
    </w:div>
    <w:div w:id="1079139778">
      <w:bodyDiv w:val="1"/>
      <w:marLeft w:val="0"/>
      <w:marRight w:val="0"/>
      <w:marTop w:val="0"/>
      <w:marBottom w:val="0"/>
      <w:divBdr>
        <w:top w:val="none" w:sz="0" w:space="0" w:color="auto"/>
        <w:left w:val="none" w:sz="0" w:space="0" w:color="auto"/>
        <w:bottom w:val="none" w:sz="0" w:space="0" w:color="auto"/>
        <w:right w:val="none" w:sz="0" w:space="0" w:color="auto"/>
      </w:divBdr>
    </w:div>
    <w:div w:id="1082725367">
      <w:bodyDiv w:val="1"/>
      <w:marLeft w:val="0"/>
      <w:marRight w:val="0"/>
      <w:marTop w:val="0"/>
      <w:marBottom w:val="0"/>
      <w:divBdr>
        <w:top w:val="none" w:sz="0" w:space="0" w:color="auto"/>
        <w:left w:val="none" w:sz="0" w:space="0" w:color="auto"/>
        <w:bottom w:val="none" w:sz="0" w:space="0" w:color="auto"/>
        <w:right w:val="none" w:sz="0" w:space="0" w:color="auto"/>
      </w:divBdr>
    </w:div>
    <w:div w:id="1093166839">
      <w:bodyDiv w:val="1"/>
      <w:marLeft w:val="0"/>
      <w:marRight w:val="0"/>
      <w:marTop w:val="0"/>
      <w:marBottom w:val="0"/>
      <w:divBdr>
        <w:top w:val="none" w:sz="0" w:space="0" w:color="auto"/>
        <w:left w:val="none" w:sz="0" w:space="0" w:color="auto"/>
        <w:bottom w:val="none" w:sz="0" w:space="0" w:color="auto"/>
        <w:right w:val="none" w:sz="0" w:space="0" w:color="auto"/>
      </w:divBdr>
    </w:div>
    <w:div w:id="1100687276">
      <w:bodyDiv w:val="1"/>
      <w:marLeft w:val="0"/>
      <w:marRight w:val="0"/>
      <w:marTop w:val="0"/>
      <w:marBottom w:val="0"/>
      <w:divBdr>
        <w:top w:val="none" w:sz="0" w:space="0" w:color="auto"/>
        <w:left w:val="none" w:sz="0" w:space="0" w:color="auto"/>
        <w:bottom w:val="none" w:sz="0" w:space="0" w:color="auto"/>
        <w:right w:val="none" w:sz="0" w:space="0" w:color="auto"/>
      </w:divBdr>
    </w:div>
    <w:div w:id="1102603946">
      <w:bodyDiv w:val="1"/>
      <w:marLeft w:val="0"/>
      <w:marRight w:val="0"/>
      <w:marTop w:val="0"/>
      <w:marBottom w:val="0"/>
      <w:divBdr>
        <w:top w:val="none" w:sz="0" w:space="0" w:color="auto"/>
        <w:left w:val="none" w:sz="0" w:space="0" w:color="auto"/>
        <w:bottom w:val="none" w:sz="0" w:space="0" w:color="auto"/>
        <w:right w:val="none" w:sz="0" w:space="0" w:color="auto"/>
      </w:divBdr>
    </w:div>
    <w:div w:id="1119834346">
      <w:bodyDiv w:val="1"/>
      <w:marLeft w:val="0"/>
      <w:marRight w:val="0"/>
      <w:marTop w:val="0"/>
      <w:marBottom w:val="0"/>
      <w:divBdr>
        <w:top w:val="none" w:sz="0" w:space="0" w:color="auto"/>
        <w:left w:val="none" w:sz="0" w:space="0" w:color="auto"/>
        <w:bottom w:val="none" w:sz="0" w:space="0" w:color="auto"/>
        <w:right w:val="none" w:sz="0" w:space="0" w:color="auto"/>
      </w:divBdr>
    </w:div>
    <w:div w:id="1122266860">
      <w:bodyDiv w:val="1"/>
      <w:marLeft w:val="0"/>
      <w:marRight w:val="0"/>
      <w:marTop w:val="0"/>
      <w:marBottom w:val="0"/>
      <w:divBdr>
        <w:top w:val="none" w:sz="0" w:space="0" w:color="auto"/>
        <w:left w:val="none" w:sz="0" w:space="0" w:color="auto"/>
        <w:bottom w:val="none" w:sz="0" w:space="0" w:color="auto"/>
        <w:right w:val="none" w:sz="0" w:space="0" w:color="auto"/>
      </w:divBdr>
    </w:div>
    <w:div w:id="1127774589">
      <w:bodyDiv w:val="1"/>
      <w:marLeft w:val="0"/>
      <w:marRight w:val="0"/>
      <w:marTop w:val="0"/>
      <w:marBottom w:val="0"/>
      <w:divBdr>
        <w:top w:val="none" w:sz="0" w:space="0" w:color="auto"/>
        <w:left w:val="none" w:sz="0" w:space="0" w:color="auto"/>
        <w:bottom w:val="none" w:sz="0" w:space="0" w:color="auto"/>
        <w:right w:val="none" w:sz="0" w:space="0" w:color="auto"/>
      </w:divBdr>
    </w:div>
    <w:div w:id="1129589555">
      <w:bodyDiv w:val="1"/>
      <w:marLeft w:val="0"/>
      <w:marRight w:val="0"/>
      <w:marTop w:val="0"/>
      <w:marBottom w:val="0"/>
      <w:divBdr>
        <w:top w:val="none" w:sz="0" w:space="0" w:color="auto"/>
        <w:left w:val="none" w:sz="0" w:space="0" w:color="auto"/>
        <w:bottom w:val="none" w:sz="0" w:space="0" w:color="auto"/>
        <w:right w:val="none" w:sz="0" w:space="0" w:color="auto"/>
      </w:divBdr>
    </w:div>
    <w:div w:id="1134905737">
      <w:bodyDiv w:val="1"/>
      <w:marLeft w:val="0"/>
      <w:marRight w:val="0"/>
      <w:marTop w:val="0"/>
      <w:marBottom w:val="0"/>
      <w:divBdr>
        <w:top w:val="none" w:sz="0" w:space="0" w:color="auto"/>
        <w:left w:val="none" w:sz="0" w:space="0" w:color="auto"/>
        <w:bottom w:val="none" w:sz="0" w:space="0" w:color="auto"/>
        <w:right w:val="none" w:sz="0" w:space="0" w:color="auto"/>
      </w:divBdr>
    </w:div>
    <w:div w:id="1141341408">
      <w:bodyDiv w:val="1"/>
      <w:marLeft w:val="0"/>
      <w:marRight w:val="0"/>
      <w:marTop w:val="0"/>
      <w:marBottom w:val="0"/>
      <w:divBdr>
        <w:top w:val="none" w:sz="0" w:space="0" w:color="auto"/>
        <w:left w:val="none" w:sz="0" w:space="0" w:color="auto"/>
        <w:bottom w:val="none" w:sz="0" w:space="0" w:color="auto"/>
        <w:right w:val="none" w:sz="0" w:space="0" w:color="auto"/>
      </w:divBdr>
    </w:div>
    <w:div w:id="1151678102">
      <w:bodyDiv w:val="1"/>
      <w:marLeft w:val="0"/>
      <w:marRight w:val="0"/>
      <w:marTop w:val="0"/>
      <w:marBottom w:val="0"/>
      <w:divBdr>
        <w:top w:val="none" w:sz="0" w:space="0" w:color="auto"/>
        <w:left w:val="none" w:sz="0" w:space="0" w:color="auto"/>
        <w:bottom w:val="none" w:sz="0" w:space="0" w:color="auto"/>
        <w:right w:val="none" w:sz="0" w:space="0" w:color="auto"/>
      </w:divBdr>
    </w:div>
    <w:div w:id="1157964834">
      <w:bodyDiv w:val="1"/>
      <w:marLeft w:val="0"/>
      <w:marRight w:val="0"/>
      <w:marTop w:val="0"/>
      <w:marBottom w:val="0"/>
      <w:divBdr>
        <w:top w:val="none" w:sz="0" w:space="0" w:color="auto"/>
        <w:left w:val="none" w:sz="0" w:space="0" w:color="auto"/>
        <w:bottom w:val="none" w:sz="0" w:space="0" w:color="auto"/>
        <w:right w:val="none" w:sz="0" w:space="0" w:color="auto"/>
      </w:divBdr>
    </w:div>
    <w:div w:id="1181358188">
      <w:bodyDiv w:val="1"/>
      <w:marLeft w:val="0"/>
      <w:marRight w:val="0"/>
      <w:marTop w:val="0"/>
      <w:marBottom w:val="0"/>
      <w:divBdr>
        <w:top w:val="none" w:sz="0" w:space="0" w:color="auto"/>
        <w:left w:val="none" w:sz="0" w:space="0" w:color="auto"/>
        <w:bottom w:val="none" w:sz="0" w:space="0" w:color="auto"/>
        <w:right w:val="none" w:sz="0" w:space="0" w:color="auto"/>
      </w:divBdr>
    </w:div>
    <w:div w:id="1204708911">
      <w:bodyDiv w:val="1"/>
      <w:marLeft w:val="0"/>
      <w:marRight w:val="0"/>
      <w:marTop w:val="0"/>
      <w:marBottom w:val="0"/>
      <w:divBdr>
        <w:top w:val="none" w:sz="0" w:space="0" w:color="auto"/>
        <w:left w:val="none" w:sz="0" w:space="0" w:color="auto"/>
        <w:bottom w:val="none" w:sz="0" w:space="0" w:color="auto"/>
        <w:right w:val="none" w:sz="0" w:space="0" w:color="auto"/>
      </w:divBdr>
    </w:div>
    <w:div w:id="1221134825">
      <w:bodyDiv w:val="1"/>
      <w:marLeft w:val="0"/>
      <w:marRight w:val="0"/>
      <w:marTop w:val="0"/>
      <w:marBottom w:val="0"/>
      <w:divBdr>
        <w:top w:val="none" w:sz="0" w:space="0" w:color="auto"/>
        <w:left w:val="none" w:sz="0" w:space="0" w:color="auto"/>
        <w:bottom w:val="none" w:sz="0" w:space="0" w:color="auto"/>
        <w:right w:val="none" w:sz="0" w:space="0" w:color="auto"/>
      </w:divBdr>
    </w:div>
    <w:div w:id="1224025302">
      <w:bodyDiv w:val="1"/>
      <w:marLeft w:val="0"/>
      <w:marRight w:val="0"/>
      <w:marTop w:val="0"/>
      <w:marBottom w:val="0"/>
      <w:divBdr>
        <w:top w:val="none" w:sz="0" w:space="0" w:color="auto"/>
        <w:left w:val="none" w:sz="0" w:space="0" w:color="auto"/>
        <w:bottom w:val="none" w:sz="0" w:space="0" w:color="auto"/>
        <w:right w:val="none" w:sz="0" w:space="0" w:color="auto"/>
      </w:divBdr>
    </w:div>
    <w:div w:id="1234245082">
      <w:bodyDiv w:val="1"/>
      <w:marLeft w:val="0"/>
      <w:marRight w:val="0"/>
      <w:marTop w:val="0"/>
      <w:marBottom w:val="0"/>
      <w:divBdr>
        <w:top w:val="none" w:sz="0" w:space="0" w:color="auto"/>
        <w:left w:val="none" w:sz="0" w:space="0" w:color="auto"/>
        <w:bottom w:val="none" w:sz="0" w:space="0" w:color="auto"/>
        <w:right w:val="none" w:sz="0" w:space="0" w:color="auto"/>
      </w:divBdr>
    </w:div>
    <w:div w:id="1234779123">
      <w:bodyDiv w:val="1"/>
      <w:marLeft w:val="0"/>
      <w:marRight w:val="0"/>
      <w:marTop w:val="0"/>
      <w:marBottom w:val="0"/>
      <w:divBdr>
        <w:top w:val="none" w:sz="0" w:space="0" w:color="auto"/>
        <w:left w:val="none" w:sz="0" w:space="0" w:color="auto"/>
        <w:bottom w:val="none" w:sz="0" w:space="0" w:color="auto"/>
        <w:right w:val="none" w:sz="0" w:space="0" w:color="auto"/>
      </w:divBdr>
    </w:div>
    <w:div w:id="1245532778">
      <w:bodyDiv w:val="1"/>
      <w:marLeft w:val="0"/>
      <w:marRight w:val="0"/>
      <w:marTop w:val="0"/>
      <w:marBottom w:val="0"/>
      <w:divBdr>
        <w:top w:val="none" w:sz="0" w:space="0" w:color="auto"/>
        <w:left w:val="none" w:sz="0" w:space="0" w:color="auto"/>
        <w:bottom w:val="none" w:sz="0" w:space="0" w:color="auto"/>
        <w:right w:val="none" w:sz="0" w:space="0" w:color="auto"/>
      </w:divBdr>
    </w:div>
    <w:div w:id="1264998125">
      <w:bodyDiv w:val="1"/>
      <w:marLeft w:val="0"/>
      <w:marRight w:val="0"/>
      <w:marTop w:val="0"/>
      <w:marBottom w:val="0"/>
      <w:divBdr>
        <w:top w:val="none" w:sz="0" w:space="0" w:color="auto"/>
        <w:left w:val="none" w:sz="0" w:space="0" w:color="auto"/>
        <w:bottom w:val="none" w:sz="0" w:space="0" w:color="auto"/>
        <w:right w:val="none" w:sz="0" w:space="0" w:color="auto"/>
      </w:divBdr>
    </w:div>
    <w:div w:id="1281493085">
      <w:bodyDiv w:val="1"/>
      <w:marLeft w:val="0"/>
      <w:marRight w:val="0"/>
      <w:marTop w:val="0"/>
      <w:marBottom w:val="0"/>
      <w:divBdr>
        <w:top w:val="none" w:sz="0" w:space="0" w:color="auto"/>
        <w:left w:val="none" w:sz="0" w:space="0" w:color="auto"/>
        <w:bottom w:val="none" w:sz="0" w:space="0" w:color="auto"/>
        <w:right w:val="none" w:sz="0" w:space="0" w:color="auto"/>
      </w:divBdr>
    </w:div>
    <w:div w:id="1282103681">
      <w:bodyDiv w:val="1"/>
      <w:marLeft w:val="0"/>
      <w:marRight w:val="0"/>
      <w:marTop w:val="0"/>
      <w:marBottom w:val="0"/>
      <w:divBdr>
        <w:top w:val="none" w:sz="0" w:space="0" w:color="auto"/>
        <w:left w:val="none" w:sz="0" w:space="0" w:color="auto"/>
        <w:bottom w:val="none" w:sz="0" w:space="0" w:color="auto"/>
        <w:right w:val="none" w:sz="0" w:space="0" w:color="auto"/>
      </w:divBdr>
    </w:div>
    <w:div w:id="1302690366">
      <w:bodyDiv w:val="1"/>
      <w:marLeft w:val="0"/>
      <w:marRight w:val="0"/>
      <w:marTop w:val="0"/>
      <w:marBottom w:val="0"/>
      <w:divBdr>
        <w:top w:val="none" w:sz="0" w:space="0" w:color="auto"/>
        <w:left w:val="none" w:sz="0" w:space="0" w:color="auto"/>
        <w:bottom w:val="none" w:sz="0" w:space="0" w:color="auto"/>
        <w:right w:val="none" w:sz="0" w:space="0" w:color="auto"/>
      </w:divBdr>
    </w:div>
    <w:div w:id="1319766261">
      <w:bodyDiv w:val="1"/>
      <w:marLeft w:val="0"/>
      <w:marRight w:val="0"/>
      <w:marTop w:val="0"/>
      <w:marBottom w:val="0"/>
      <w:divBdr>
        <w:top w:val="none" w:sz="0" w:space="0" w:color="auto"/>
        <w:left w:val="none" w:sz="0" w:space="0" w:color="auto"/>
        <w:bottom w:val="none" w:sz="0" w:space="0" w:color="auto"/>
        <w:right w:val="none" w:sz="0" w:space="0" w:color="auto"/>
      </w:divBdr>
    </w:div>
    <w:div w:id="1339432321">
      <w:bodyDiv w:val="1"/>
      <w:marLeft w:val="0"/>
      <w:marRight w:val="0"/>
      <w:marTop w:val="0"/>
      <w:marBottom w:val="0"/>
      <w:divBdr>
        <w:top w:val="none" w:sz="0" w:space="0" w:color="auto"/>
        <w:left w:val="none" w:sz="0" w:space="0" w:color="auto"/>
        <w:bottom w:val="none" w:sz="0" w:space="0" w:color="auto"/>
        <w:right w:val="none" w:sz="0" w:space="0" w:color="auto"/>
      </w:divBdr>
    </w:div>
    <w:div w:id="1339961998">
      <w:bodyDiv w:val="1"/>
      <w:marLeft w:val="0"/>
      <w:marRight w:val="0"/>
      <w:marTop w:val="0"/>
      <w:marBottom w:val="0"/>
      <w:divBdr>
        <w:top w:val="none" w:sz="0" w:space="0" w:color="auto"/>
        <w:left w:val="none" w:sz="0" w:space="0" w:color="auto"/>
        <w:bottom w:val="none" w:sz="0" w:space="0" w:color="auto"/>
        <w:right w:val="none" w:sz="0" w:space="0" w:color="auto"/>
      </w:divBdr>
    </w:div>
    <w:div w:id="1343315786">
      <w:bodyDiv w:val="1"/>
      <w:marLeft w:val="0"/>
      <w:marRight w:val="0"/>
      <w:marTop w:val="0"/>
      <w:marBottom w:val="0"/>
      <w:divBdr>
        <w:top w:val="none" w:sz="0" w:space="0" w:color="auto"/>
        <w:left w:val="none" w:sz="0" w:space="0" w:color="auto"/>
        <w:bottom w:val="none" w:sz="0" w:space="0" w:color="auto"/>
        <w:right w:val="none" w:sz="0" w:space="0" w:color="auto"/>
      </w:divBdr>
    </w:div>
    <w:div w:id="1348211389">
      <w:bodyDiv w:val="1"/>
      <w:marLeft w:val="0"/>
      <w:marRight w:val="0"/>
      <w:marTop w:val="0"/>
      <w:marBottom w:val="0"/>
      <w:divBdr>
        <w:top w:val="none" w:sz="0" w:space="0" w:color="auto"/>
        <w:left w:val="none" w:sz="0" w:space="0" w:color="auto"/>
        <w:bottom w:val="none" w:sz="0" w:space="0" w:color="auto"/>
        <w:right w:val="none" w:sz="0" w:space="0" w:color="auto"/>
      </w:divBdr>
    </w:div>
    <w:div w:id="1367369960">
      <w:bodyDiv w:val="1"/>
      <w:marLeft w:val="0"/>
      <w:marRight w:val="0"/>
      <w:marTop w:val="0"/>
      <w:marBottom w:val="0"/>
      <w:divBdr>
        <w:top w:val="none" w:sz="0" w:space="0" w:color="auto"/>
        <w:left w:val="none" w:sz="0" w:space="0" w:color="auto"/>
        <w:bottom w:val="none" w:sz="0" w:space="0" w:color="auto"/>
        <w:right w:val="none" w:sz="0" w:space="0" w:color="auto"/>
      </w:divBdr>
    </w:div>
    <w:div w:id="1374503067">
      <w:bodyDiv w:val="1"/>
      <w:marLeft w:val="0"/>
      <w:marRight w:val="0"/>
      <w:marTop w:val="0"/>
      <w:marBottom w:val="0"/>
      <w:divBdr>
        <w:top w:val="none" w:sz="0" w:space="0" w:color="auto"/>
        <w:left w:val="none" w:sz="0" w:space="0" w:color="auto"/>
        <w:bottom w:val="none" w:sz="0" w:space="0" w:color="auto"/>
        <w:right w:val="none" w:sz="0" w:space="0" w:color="auto"/>
      </w:divBdr>
    </w:div>
    <w:div w:id="1397163758">
      <w:bodyDiv w:val="1"/>
      <w:marLeft w:val="0"/>
      <w:marRight w:val="0"/>
      <w:marTop w:val="0"/>
      <w:marBottom w:val="0"/>
      <w:divBdr>
        <w:top w:val="none" w:sz="0" w:space="0" w:color="auto"/>
        <w:left w:val="none" w:sz="0" w:space="0" w:color="auto"/>
        <w:bottom w:val="none" w:sz="0" w:space="0" w:color="auto"/>
        <w:right w:val="none" w:sz="0" w:space="0" w:color="auto"/>
      </w:divBdr>
    </w:div>
    <w:div w:id="1415736943">
      <w:bodyDiv w:val="1"/>
      <w:marLeft w:val="0"/>
      <w:marRight w:val="0"/>
      <w:marTop w:val="0"/>
      <w:marBottom w:val="0"/>
      <w:divBdr>
        <w:top w:val="none" w:sz="0" w:space="0" w:color="auto"/>
        <w:left w:val="none" w:sz="0" w:space="0" w:color="auto"/>
        <w:bottom w:val="none" w:sz="0" w:space="0" w:color="auto"/>
        <w:right w:val="none" w:sz="0" w:space="0" w:color="auto"/>
      </w:divBdr>
    </w:div>
    <w:div w:id="1417629688">
      <w:bodyDiv w:val="1"/>
      <w:marLeft w:val="0"/>
      <w:marRight w:val="0"/>
      <w:marTop w:val="0"/>
      <w:marBottom w:val="0"/>
      <w:divBdr>
        <w:top w:val="none" w:sz="0" w:space="0" w:color="auto"/>
        <w:left w:val="none" w:sz="0" w:space="0" w:color="auto"/>
        <w:bottom w:val="none" w:sz="0" w:space="0" w:color="auto"/>
        <w:right w:val="none" w:sz="0" w:space="0" w:color="auto"/>
      </w:divBdr>
    </w:div>
    <w:div w:id="1422725251">
      <w:bodyDiv w:val="1"/>
      <w:marLeft w:val="0"/>
      <w:marRight w:val="0"/>
      <w:marTop w:val="0"/>
      <w:marBottom w:val="0"/>
      <w:divBdr>
        <w:top w:val="none" w:sz="0" w:space="0" w:color="auto"/>
        <w:left w:val="none" w:sz="0" w:space="0" w:color="auto"/>
        <w:bottom w:val="none" w:sz="0" w:space="0" w:color="auto"/>
        <w:right w:val="none" w:sz="0" w:space="0" w:color="auto"/>
      </w:divBdr>
    </w:div>
    <w:div w:id="1439568762">
      <w:bodyDiv w:val="1"/>
      <w:marLeft w:val="0"/>
      <w:marRight w:val="0"/>
      <w:marTop w:val="0"/>
      <w:marBottom w:val="0"/>
      <w:divBdr>
        <w:top w:val="none" w:sz="0" w:space="0" w:color="auto"/>
        <w:left w:val="none" w:sz="0" w:space="0" w:color="auto"/>
        <w:bottom w:val="none" w:sz="0" w:space="0" w:color="auto"/>
        <w:right w:val="none" w:sz="0" w:space="0" w:color="auto"/>
      </w:divBdr>
    </w:div>
    <w:div w:id="1448505216">
      <w:bodyDiv w:val="1"/>
      <w:marLeft w:val="0"/>
      <w:marRight w:val="0"/>
      <w:marTop w:val="0"/>
      <w:marBottom w:val="0"/>
      <w:divBdr>
        <w:top w:val="none" w:sz="0" w:space="0" w:color="auto"/>
        <w:left w:val="none" w:sz="0" w:space="0" w:color="auto"/>
        <w:bottom w:val="none" w:sz="0" w:space="0" w:color="auto"/>
        <w:right w:val="none" w:sz="0" w:space="0" w:color="auto"/>
      </w:divBdr>
    </w:div>
    <w:div w:id="1456095395">
      <w:bodyDiv w:val="1"/>
      <w:marLeft w:val="0"/>
      <w:marRight w:val="0"/>
      <w:marTop w:val="0"/>
      <w:marBottom w:val="0"/>
      <w:divBdr>
        <w:top w:val="none" w:sz="0" w:space="0" w:color="auto"/>
        <w:left w:val="none" w:sz="0" w:space="0" w:color="auto"/>
        <w:bottom w:val="none" w:sz="0" w:space="0" w:color="auto"/>
        <w:right w:val="none" w:sz="0" w:space="0" w:color="auto"/>
      </w:divBdr>
    </w:div>
    <w:div w:id="1469279308">
      <w:bodyDiv w:val="1"/>
      <w:marLeft w:val="0"/>
      <w:marRight w:val="0"/>
      <w:marTop w:val="0"/>
      <w:marBottom w:val="0"/>
      <w:divBdr>
        <w:top w:val="none" w:sz="0" w:space="0" w:color="auto"/>
        <w:left w:val="none" w:sz="0" w:space="0" w:color="auto"/>
        <w:bottom w:val="none" w:sz="0" w:space="0" w:color="auto"/>
        <w:right w:val="none" w:sz="0" w:space="0" w:color="auto"/>
      </w:divBdr>
    </w:div>
    <w:div w:id="1475022574">
      <w:bodyDiv w:val="1"/>
      <w:marLeft w:val="0"/>
      <w:marRight w:val="0"/>
      <w:marTop w:val="0"/>
      <w:marBottom w:val="0"/>
      <w:divBdr>
        <w:top w:val="none" w:sz="0" w:space="0" w:color="auto"/>
        <w:left w:val="none" w:sz="0" w:space="0" w:color="auto"/>
        <w:bottom w:val="none" w:sz="0" w:space="0" w:color="auto"/>
        <w:right w:val="none" w:sz="0" w:space="0" w:color="auto"/>
      </w:divBdr>
    </w:div>
    <w:div w:id="1480227939">
      <w:bodyDiv w:val="1"/>
      <w:marLeft w:val="0"/>
      <w:marRight w:val="0"/>
      <w:marTop w:val="0"/>
      <w:marBottom w:val="0"/>
      <w:divBdr>
        <w:top w:val="none" w:sz="0" w:space="0" w:color="auto"/>
        <w:left w:val="none" w:sz="0" w:space="0" w:color="auto"/>
        <w:bottom w:val="none" w:sz="0" w:space="0" w:color="auto"/>
        <w:right w:val="none" w:sz="0" w:space="0" w:color="auto"/>
      </w:divBdr>
    </w:div>
    <w:div w:id="1496188379">
      <w:bodyDiv w:val="1"/>
      <w:marLeft w:val="0"/>
      <w:marRight w:val="0"/>
      <w:marTop w:val="0"/>
      <w:marBottom w:val="0"/>
      <w:divBdr>
        <w:top w:val="none" w:sz="0" w:space="0" w:color="auto"/>
        <w:left w:val="none" w:sz="0" w:space="0" w:color="auto"/>
        <w:bottom w:val="none" w:sz="0" w:space="0" w:color="auto"/>
        <w:right w:val="none" w:sz="0" w:space="0" w:color="auto"/>
      </w:divBdr>
    </w:div>
    <w:div w:id="1506506961">
      <w:bodyDiv w:val="1"/>
      <w:marLeft w:val="0"/>
      <w:marRight w:val="0"/>
      <w:marTop w:val="0"/>
      <w:marBottom w:val="0"/>
      <w:divBdr>
        <w:top w:val="none" w:sz="0" w:space="0" w:color="auto"/>
        <w:left w:val="none" w:sz="0" w:space="0" w:color="auto"/>
        <w:bottom w:val="none" w:sz="0" w:space="0" w:color="auto"/>
        <w:right w:val="none" w:sz="0" w:space="0" w:color="auto"/>
      </w:divBdr>
    </w:div>
    <w:div w:id="1511945191">
      <w:bodyDiv w:val="1"/>
      <w:marLeft w:val="0"/>
      <w:marRight w:val="0"/>
      <w:marTop w:val="0"/>
      <w:marBottom w:val="0"/>
      <w:divBdr>
        <w:top w:val="none" w:sz="0" w:space="0" w:color="auto"/>
        <w:left w:val="none" w:sz="0" w:space="0" w:color="auto"/>
        <w:bottom w:val="none" w:sz="0" w:space="0" w:color="auto"/>
        <w:right w:val="none" w:sz="0" w:space="0" w:color="auto"/>
      </w:divBdr>
    </w:div>
    <w:div w:id="1554392333">
      <w:bodyDiv w:val="1"/>
      <w:marLeft w:val="0"/>
      <w:marRight w:val="0"/>
      <w:marTop w:val="0"/>
      <w:marBottom w:val="0"/>
      <w:divBdr>
        <w:top w:val="none" w:sz="0" w:space="0" w:color="auto"/>
        <w:left w:val="none" w:sz="0" w:space="0" w:color="auto"/>
        <w:bottom w:val="none" w:sz="0" w:space="0" w:color="auto"/>
        <w:right w:val="none" w:sz="0" w:space="0" w:color="auto"/>
      </w:divBdr>
    </w:div>
    <w:div w:id="1574730940">
      <w:bodyDiv w:val="1"/>
      <w:marLeft w:val="0"/>
      <w:marRight w:val="0"/>
      <w:marTop w:val="0"/>
      <w:marBottom w:val="0"/>
      <w:divBdr>
        <w:top w:val="none" w:sz="0" w:space="0" w:color="auto"/>
        <w:left w:val="none" w:sz="0" w:space="0" w:color="auto"/>
        <w:bottom w:val="none" w:sz="0" w:space="0" w:color="auto"/>
        <w:right w:val="none" w:sz="0" w:space="0" w:color="auto"/>
      </w:divBdr>
    </w:div>
    <w:div w:id="1579707853">
      <w:bodyDiv w:val="1"/>
      <w:marLeft w:val="0"/>
      <w:marRight w:val="0"/>
      <w:marTop w:val="0"/>
      <w:marBottom w:val="0"/>
      <w:divBdr>
        <w:top w:val="none" w:sz="0" w:space="0" w:color="auto"/>
        <w:left w:val="none" w:sz="0" w:space="0" w:color="auto"/>
        <w:bottom w:val="none" w:sz="0" w:space="0" w:color="auto"/>
        <w:right w:val="none" w:sz="0" w:space="0" w:color="auto"/>
      </w:divBdr>
    </w:div>
    <w:div w:id="1581013905">
      <w:bodyDiv w:val="1"/>
      <w:marLeft w:val="0"/>
      <w:marRight w:val="0"/>
      <w:marTop w:val="0"/>
      <w:marBottom w:val="0"/>
      <w:divBdr>
        <w:top w:val="none" w:sz="0" w:space="0" w:color="auto"/>
        <w:left w:val="none" w:sz="0" w:space="0" w:color="auto"/>
        <w:bottom w:val="none" w:sz="0" w:space="0" w:color="auto"/>
        <w:right w:val="none" w:sz="0" w:space="0" w:color="auto"/>
      </w:divBdr>
    </w:div>
    <w:div w:id="1585609166">
      <w:bodyDiv w:val="1"/>
      <w:marLeft w:val="0"/>
      <w:marRight w:val="0"/>
      <w:marTop w:val="0"/>
      <w:marBottom w:val="0"/>
      <w:divBdr>
        <w:top w:val="none" w:sz="0" w:space="0" w:color="auto"/>
        <w:left w:val="none" w:sz="0" w:space="0" w:color="auto"/>
        <w:bottom w:val="none" w:sz="0" w:space="0" w:color="auto"/>
        <w:right w:val="none" w:sz="0" w:space="0" w:color="auto"/>
      </w:divBdr>
    </w:div>
    <w:div w:id="1608075760">
      <w:bodyDiv w:val="1"/>
      <w:marLeft w:val="0"/>
      <w:marRight w:val="0"/>
      <w:marTop w:val="0"/>
      <w:marBottom w:val="0"/>
      <w:divBdr>
        <w:top w:val="none" w:sz="0" w:space="0" w:color="auto"/>
        <w:left w:val="none" w:sz="0" w:space="0" w:color="auto"/>
        <w:bottom w:val="none" w:sz="0" w:space="0" w:color="auto"/>
        <w:right w:val="none" w:sz="0" w:space="0" w:color="auto"/>
      </w:divBdr>
    </w:div>
    <w:div w:id="1623877497">
      <w:bodyDiv w:val="1"/>
      <w:marLeft w:val="0"/>
      <w:marRight w:val="0"/>
      <w:marTop w:val="0"/>
      <w:marBottom w:val="0"/>
      <w:divBdr>
        <w:top w:val="none" w:sz="0" w:space="0" w:color="auto"/>
        <w:left w:val="none" w:sz="0" w:space="0" w:color="auto"/>
        <w:bottom w:val="none" w:sz="0" w:space="0" w:color="auto"/>
        <w:right w:val="none" w:sz="0" w:space="0" w:color="auto"/>
      </w:divBdr>
    </w:div>
    <w:div w:id="1629898351">
      <w:bodyDiv w:val="1"/>
      <w:marLeft w:val="0"/>
      <w:marRight w:val="0"/>
      <w:marTop w:val="0"/>
      <w:marBottom w:val="0"/>
      <w:divBdr>
        <w:top w:val="none" w:sz="0" w:space="0" w:color="auto"/>
        <w:left w:val="none" w:sz="0" w:space="0" w:color="auto"/>
        <w:bottom w:val="none" w:sz="0" w:space="0" w:color="auto"/>
        <w:right w:val="none" w:sz="0" w:space="0" w:color="auto"/>
      </w:divBdr>
    </w:div>
    <w:div w:id="1648584470">
      <w:bodyDiv w:val="1"/>
      <w:marLeft w:val="0"/>
      <w:marRight w:val="0"/>
      <w:marTop w:val="0"/>
      <w:marBottom w:val="0"/>
      <w:divBdr>
        <w:top w:val="none" w:sz="0" w:space="0" w:color="auto"/>
        <w:left w:val="none" w:sz="0" w:space="0" w:color="auto"/>
        <w:bottom w:val="none" w:sz="0" w:space="0" w:color="auto"/>
        <w:right w:val="none" w:sz="0" w:space="0" w:color="auto"/>
      </w:divBdr>
    </w:div>
    <w:div w:id="1654094430">
      <w:bodyDiv w:val="1"/>
      <w:marLeft w:val="0"/>
      <w:marRight w:val="0"/>
      <w:marTop w:val="0"/>
      <w:marBottom w:val="0"/>
      <w:divBdr>
        <w:top w:val="none" w:sz="0" w:space="0" w:color="auto"/>
        <w:left w:val="none" w:sz="0" w:space="0" w:color="auto"/>
        <w:bottom w:val="none" w:sz="0" w:space="0" w:color="auto"/>
        <w:right w:val="none" w:sz="0" w:space="0" w:color="auto"/>
      </w:divBdr>
    </w:div>
    <w:div w:id="1675305123">
      <w:bodyDiv w:val="1"/>
      <w:marLeft w:val="0"/>
      <w:marRight w:val="0"/>
      <w:marTop w:val="0"/>
      <w:marBottom w:val="0"/>
      <w:divBdr>
        <w:top w:val="none" w:sz="0" w:space="0" w:color="auto"/>
        <w:left w:val="none" w:sz="0" w:space="0" w:color="auto"/>
        <w:bottom w:val="none" w:sz="0" w:space="0" w:color="auto"/>
        <w:right w:val="none" w:sz="0" w:space="0" w:color="auto"/>
      </w:divBdr>
    </w:div>
    <w:div w:id="1698697245">
      <w:bodyDiv w:val="1"/>
      <w:marLeft w:val="0"/>
      <w:marRight w:val="0"/>
      <w:marTop w:val="0"/>
      <w:marBottom w:val="0"/>
      <w:divBdr>
        <w:top w:val="none" w:sz="0" w:space="0" w:color="auto"/>
        <w:left w:val="none" w:sz="0" w:space="0" w:color="auto"/>
        <w:bottom w:val="none" w:sz="0" w:space="0" w:color="auto"/>
        <w:right w:val="none" w:sz="0" w:space="0" w:color="auto"/>
      </w:divBdr>
    </w:div>
    <w:div w:id="1706061293">
      <w:bodyDiv w:val="1"/>
      <w:marLeft w:val="0"/>
      <w:marRight w:val="0"/>
      <w:marTop w:val="0"/>
      <w:marBottom w:val="0"/>
      <w:divBdr>
        <w:top w:val="none" w:sz="0" w:space="0" w:color="auto"/>
        <w:left w:val="none" w:sz="0" w:space="0" w:color="auto"/>
        <w:bottom w:val="none" w:sz="0" w:space="0" w:color="auto"/>
        <w:right w:val="none" w:sz="0" w:space="0" w:color="auto"/>
      </w:divBdr>
    </w:div>
    <w:div w:id="1729986006">
      <w:bodyDiv w:val="1"/>
      <w:marLeft w:val="0"/>
      <w:marRight w:val="0"/>
      <w:marTop w:val="0"/>
      <w:marBottom w:val="0"/>
      <w:divBdr>
        <w:top w:val="none" w:sz="0" w:space="0" w:color="auto"/>
        <w:left w:val="none" w:sz="0" w:space="0" w:color="auto"/>
        <w:bottom w:val="none" w:sz="0" w:space="0" w:color="auto"/>
        <w:right w:val="none" w:sz="0" w:space="0" w:color="auto"/>
      </w:divBdr>
    </w:div>
    <w:div w:id="1737623536">
      <w:bodyDiv w:val="1"/>
      <w:marLeft w:val="0"/>
      <w:marRight w:val="0"/>
      <w:marTop w:val="0"/>
      <w:marBottom w:val="0"/>
      <w:divBdr>
        <w:top w:val="none" w:sz="0" w:space="0" w:color="auto"/>
        <w:left w:val="none" w:sz="0" w:space="0" w:color="auto"/>
        <w:bottom w:val="none" w:sz="0" w:space="0" w:color="auto"/>
        <w:right w:val="none" w:sz="0" w:space="0" w:color="auto"/>
      </w:divBdr>
    </w:div>
    <w:div w:id="1751459529">
      <w:bodyDiv w:val="1"/>
      <w:marLeft w:val="0"/>
      <w:marRight w:val="0"/>
      <w:marTop w:val="0"/>
      <w:marBottom w:val="0"/>
      <w:divBdr>
        <w:top w:val="none" w:sz="0" w:space="0" w:color="auto"/>
        <w:left w:val="none" w:sz="0" w:space="0" w:color="auto"/>
        <w:bottom w:val="none" w:sz="0" w:space="0" w:color="auto"/>
        <w:right w:val="none" w:sz="0" w:space="0" w:color="auto"/>
      </w:divBdr>
    </w:div>
    <w:div w:id="1755123136">
      <w:bodyDiv w:val="1"/>
      <w:marLeft w:val="0"/>
      <w:marRight w:val="0"/>
      <w:marTop w:val="0"/>
      <w:marBottom w:val="0"/>
      <w:divBdr>
        <w:top w:val="none" w:sz="0" w:space="0" w:color="auto"/>
        <w:left w:val="none" w:sz="0" w:space="0" w:color="auto"/>
        <w:bottom w:val="none" w:sz="0" w:space="0" w:color="auto"/>
        <w:right w:val="none" w:sz="0" w:space="0" w:color="auto"/>
      </w:divBdr>
    </w:div>
    <w:div w:id="1760758218">
      <w:bodyDiv w:val="1"/>
      <w:marLeft w:val="0"/>
      <w:marRight w:val="0"/>
      <w:marTop w:val="0"/>
      <w:marBottom w:val="0"/>
      <w:divBdr>
        <w:top w:val="none" w:sz="0" w:space="0" w:color="auto"/>
        <w:left w:val="none" w:sz="0" w:space="0" w:color="auto"/>
        <w:bottom w:val="none" w:sz="0" w:space="0" w:color="auto"/>
        <w:right w:val="none" w:sz="0" w:space="0" w:color="auto"/>
      </w:divBdr>
    </w:div>
    <w:div w:id="1782995363">
      <w:bodyDiv w:val="1"/>
      <w:marLeft w:val="0"/>
      <w:marRight w:val="0"/>
      <w:marTop w:val="0"/>
      <w:marBottom w:val="0"/>
      <w:divBdr>
        <w:top w:val="none" w:sz="0" w:space="0" w:color="auto"/>
        <w:left w:val="none" w:sz="0" w:space="0" w:color="auto"/>
        <w:bottom w:val="none" w:sz="0" w:space="0" w:color="auto"/>
        <w:right w:val="none" w:sz="0" w:space="0" w:color="auto"/>
      </w:divBdr>
    </w:div>
    <w:div w:id="1784569674">
      <w:bodyDiv w:val="1"/>
      <w:marLeft w:val="0"/>
      <w:marRight w:val="0"/>
      <w:marTop w:val="0"/>
      <w:marBottom w:val="0"/>
      <w:divBdr>
        <w:top w:val="none" w:sz="0" w:space="0" w:color="auto"/>
        <w:left w:val="none" w:sz="0" w:space="0" w:color="auto"/>
        <w:bottom w:val="none" w:sz="0" w:space="0" w:color="auto"/>
        <w:right w:val="none" w:sz="0" w:space="0" w:color="auto"/>
      </w:divBdr>
    </w:div>
    <w:div w:id="1790661247">
      <w:bodyDiv w:val="1"/>
      <w:marLeft w:val="0"/>
      <w:marRight w:val="0"/>
      <w:marTop w:val="0"/>
      <w:marBottom w:val="0"/>
      <w:divBdr>
        <w:top w:val="none" w:sz="0" w:space="0" w:color="auto"/>
        <w:left w:val="none" w:sz="0" w:space="0" w:color="auto"/>
        <w:bottom w:val="none" w:sz="0" w:space="0" w:color="auto"/>
        <w:right w:val="none" w:sz="0" w:space="0" w:color="auto"/>
      </w:divBdr>
    </w:div>
    <w:div w:id="1809935293">
      <w:bodyDiv w:val="1"/>
      <w:marLeft w:val="0"/>
      <w:marRight w:val="0"/>
      <w:marTop w:val="0"/>
      <w:marBottom w:val="0"/>
      <w:divBdr>
        <w:top w:val="none" w:sz="0" w:space="0" w:color="auto"/>
        <w:left w:val="none" w:sz="0" w:space="0" w:color="auto"/>
        <w:bottom w:val="none" w:sz="0" w:space="0" w:color="auto"/>
        <w:right w:val="none" w:sz="0" w:space="0" w:color="auto"/>
      </w:divBdr>
    </w:div>
    <w:div w:id="1820729771">
      <w:bodyDiv w:val="1"/>
      <w:marLeft w:val="0"/>
      <w:marRight w:val="0"/>
      <w:marTop w:val="0"/>
      <w:marBottom w:val="0"/>
      <w:divBdr>
        <w:top w:val="none" w:sz="0" w:space="0" w:color="auto"/>
        <w:left w:val="none" w:sz="0" w:space="0" w:color="auto"/>
        <w:bottom w:val="none" w:sz="0" w:space="0" w:color="auto"/>
        <w:right w:val="none" w:sz="0" w:space="0" w:color="auto"/>
      </w:divBdr>
    </w:div>
    <w:div w:id="1821457877">
      <w:bodyDiv w:val="1"/>
      <w:marLeft w:val="0"/>
      <w:marRight w:val="0"/>
      <w:marTop w:val="0"/>
      <w:marBottom w:val="0"/>
      <w:divBdr>
        <w:top w:val="none" w:sz="0" w:space="0" w:color="auto"/>
        <w:left w:val="none" w:sz="0" w:space="0" w:color="auto"/>
        <w:bottom w:val="none" w:sz="0" w:space="0" w:color="auto"/>
        <w:right w:val="none" w:sz="0" w:space="0" w:color="auto"/>
      </w:divBdr>
    </w:div>
    <w:div w:id="1839690971">
      <w:bodyDiv w:val="1"/>
      <w:marLeft w:val="0"/>
      <w:marRight w:val="0"/>
      <w:marTop w:val="0"/>
      <w:marBottom w:val="0"/>
      <w:divBdr>
        <w:top w:val="none" w:sz="0" w:space="0" w:color="auto"/>
        <w:left w:val="none" w:sz="0" w:space="0" w:color="auto"/>
        <w:bottom w:val="none" w:sz="0" w:space="0" w:color="auto"/>
        <w:right w:val="none" w:sz="0" w:space="0" w:color="auto"/>
      </w:divBdr>
    </w:div>
    <w:div w:id="1853228596">
      <w:bodyDiv w:val="1"/>
      <w:marLeft w:val="0"/>
      <w:marRight w:val="0"/>
      <w:marTop w:val="0"/>
      <w:marBottom w:val="0"/>
      <w:divBdr>
        <w:top w:val="none" w:sz="0" w:space="0" w:color="auto"/>
        <w:left w:val="none" w:sz="0" w:space="0" w:color="auto"/>
        <w:bottom w:val="none" w:sz="0" w:space="0" w:color="auto"/>
        <w:right w:val="none" w:sz="0" w:space="0" w:color="auto"/>
      </w:divBdr>
    </w:div>
    <w:div w:id="1853569847">
      <w:bodyDiv w:val="1"/>
      <w:marLeft w:val="0"/>
      <w:marRight w:val="0"/>
      <w:marTop w:val="0"/>
      <w:marBottom w:val="0"/>
      <w:divBdr>
        <w:top w:val="none" w:sz="0" w:space="0" w:color="auto"/>
        <w:left w:val="none" w:sz="0" w:space="0" w:color="auto"/>
        <w:bottom w:val="none" w:sz="0" w:space="0" w:color="auto"/>
        <w:right w:val="none" w:sz="0" w:space="0" w:color="auto"/>
      </w:divBdr>
    </w:div>
    <w:div w:id="1896232200">
      <w:bodyDiv w:val="1"/>
      <w:marLeft w:val="0"/>
      <w:marRight w:val="0"/>
      <w:marTop w:val="0"/>
      <w:marBottom w:val="0"/>
      <w:divBdr>
        <w:top w:val="none" w:sz="0" w:space="0" w:color="auto"/>
        <w:left w:val="none" w:sz="0" w:space="0" w:color="auto"/>
        <w:bottom w:val="none" w:sz="0" w:space="0" w:color="auto"/>
        <w:right w:val="none" w:sz="0" w:space="0" w:color="auto"/>
      </w:divBdr>
    </w:div>
    <w:div w:id="1896578649">
      <w:bodyDiv w:val="1"/>
      <w:marLeft w:val="0"/>
      <w:marRight w:val="0"/>
      <w:marTop w:val="0"/>
      <w:marBottom w:val="0"/>
      <w:divBdr>
        <w:top w:val="none" w:sz="0" w:space="0" w:color="auto"/>
        <w:left w:val="none" w:sz="0" w:space="0" w:color="auto"/>
        <w:bottom w:val="none" w:sz="0" w:space="0" w:color="auto"/>
        <w:right w:val="none" w:sz="0" w:space="0" w:color="auto"/>
      </w:divBdr>
    </w:div>
    <w:div w:id="1899895864">
      <w:bodyDiv w:val="1"/>
      <w:marLeft w:val="0"/>
      <w:marRight w:val="0"/>
      <w:marTop w:val="0"/>
      <w:marBottom w:val="0"/>
      <w:divBdr>
        <w:top w:val="none" w:sz="0" w:space="0" w:color="auto"/>
        <w:left w:val="none" w:sz="0" w:space="0" w:color="auto"/>
        <w:bottom w:val="none" w:sz="0" w:space="0" w:color="auto"/>
        <w:right w:val="none" w:sz="0" w:space="0" w:color="auto"/>
      </w:divBdr>
    </w:div>
    <w:div w:id="1900508920">
      <w:bodyDiv w:val="1"/>
      <w:marLeft w:val="0"/>
      <w:marRight w:val="0"/>
      <w:marTop w:val="0"/>
      <w:marBottom w:val="0"/>
      <w:divBdr>
        <w:top w:val="none" w:sz="0" w:space="0" w:color="auto"/>
        <w:left w:val="none" w:sz="0" w:space="0" w:color="auto"/>
        <w:bottom w:val="none" w:sz="0" w:space="0" w:color="auto"/>
        <w:right w:val="none" w:sz="0" w:space="0" w:color="auto"/>
      </w:divBdr>
    </w:div>
    <w:div w:id="1927879897">
      <w:bodyDiv w:val="1"/>
      <w:marLeft w:val="0"/>
      <w:marRight w:val="0"/>
      <w:marTop w:val="0"/>
      <w:marBottom w:val="0"/>
      <w:divBdr>
        <w:top w:val="none" w:sz="0" w:space="0" w:color="auto"/>
        <w:left w:val="none" w:sz="0" w:space="0" w:color="auto"/>
        <w:bottom w:val="none" w:sz="0" w:space="0" w:color="auto"/>
        <w:right w:val="none" w:sz="0" w:space="0" w:color="auto"/>
      </w:divBdr>
    </w:div>
    <w:div w:id="1933126848">
      <w:bodyDiv w:val="1"/>
      <w:marLeft w:val="0"/>
      <w:marRight w:val="0"/>
      <w:marTop w:val="0"/>
      <w:marBottom w:val="0"/>
      <w:divBdr>
        <w:top w:val="none" w:sz="0" w:space="0" w:color="auto"/>
        <w:left w:val="none" w:sz="0" w:space="0" w:color="auto"/>
        <w:bottom w:val="none" w:sz="0" w:space="0" w:color="auto"/>
        <w:right w:val="none" w:sz="0" w:space="0" w:color="auto"/>
      </w:divBdr>
    </w:div>
    <w:div w:id="1939631826">
      <w:bodyDiv w:val="1"/>
      <w:marLeft w:val="0"/>
      <w:marRight w:val="0"/>
      <w:marTop w:val="0"/>
      <w:marBottom w:val="0"/>
      <w:divBdr>
        <w:top w:val="none" w:sz="0" w:space="0" w:color="auto"/>
        <w:left w:val="none" w:sz="0" w:space="0" w:color="auto"/>
        <w:bottom w:val="none" w:sz="0" w:space="0" w:color="auto"/>
        <w:right w:val="none" w:sz="0" w:space="0" w:color="auto"/>
      </w:divBdr>
    </w:div>
    <w:div w:id="1966622431">
      <w:bodyDiv w:val="1"/>
      <w:marLeft w:val="0"/>
      <w:marRight w:val="0"/>
      <w:marTop w:val="0"/>
      <w:marBottom w:val="0"/>
      <w:divBdr>
        <w:top w:val="none" w:sz="0" w:space="0" w:color="auto"/>
        <w:left w:val="none" w:sz="0" w:space="0" w:color="auto"/>
        <w:bottom w:val="none" w:sz="0" w:space="0" w:color="auto"/>
        <w:right w:val="none" w:sz="0" w:space="0" w:color="auto"/>
      </w:divBdr>
    </w:div>
    <w:div w:id="1972128689">
      <w:bodyDiv w:val="1"/>
      <w:marLeft w:val="0"/>
      <w:marRight w:val="0"/>
      <w:marTop w:val="0"/>
      <w:marBottom w:val="0"/>
      <w:divBdr>
        <w:top w:val="none" w:sz="0" w:space="0" w:color="auto"/>
        <w:left w:val="none" w:sz="0" w:space="0" w:color="auto"/>
        <w:bottom w:val="none" w:sz="0" w:space="0" w:color="auto"/>
        <w:right w:val="none" w:sz="0" w:space="0" w:color="auto"/>
      </w:divBdr>
    </w:div>
    <w:div w:id="2031639926">
      <w:bodyDiv w:val="1"/>
      <w:marLeft w:val="0"/>
      <w:marRight w:val="0"/>
      <w:marTop w:val="0"/>
      <w:marBottom w:val="0"/>
      <w:divBdr>
        <w:top w:val="none" w:sz="0" w:space="0" w:color="auto"/>
        <w:left w:val="none" w:sz="0" w:space="0" w:color="auto"/>
        <w:bottom w:val="none" w:sz="0" w:space="0" w:color="auto"/>
        <w:right w:val="none" w:sz="0" w:space="0" w:color="auto"/>
      </w:divBdr>
    </w:div>
    <w:div w:id="2035186619">
      <w:bodyDiv w:val="1"/>
      <w:marLeft w:val="0"/>
      <w:marRight w:val="0"/>
      <w:marTop w:val="0"/>
      <w:marBottom w:val="0"/>
      <w:divBdr>
        <w:top w:val="none" w:sz="0" w:space="0" w:color="auto"/>
        <w:left w:val="none" w:sz="0" w:space="0" w:color="auto"/>
        <w:bottom w:val="none" w:sz="0" w:space="0" w:color="auto"/>
        <w:right w:val="none" w:sz="0" w:space="0" w:color="auto"/>
      </w:divBdr>
    </w:div>
    <w:div w:id="2044095455">
      <w:bodyDiv w:val="1"/>
      <w:marLeft w:val="0"/>
      <w:marRight w:val="0"/>
      <w:marTop w:val="0"/>
      <w:marBottom w:val="0"/>
      <w:divBdr>
        <w:top w:val="none" w:sz="0" w:space="0" w:color="auto"/>
        <w:left w:val="none" w:sz="0" w:space="0" w:color="auto"/>
        <w:bottom w:val="none" w:sz="0" w:space="0" w:color="auto"/>
        <w:right w:val="none" w:sz="0" w:space="0" w:color="auto"/>
      </w:divBdr>
    </w:div>
    <w:div w:id="2050640274">
      <w:bodyDiv w:val="1"/>
      <w:marLeft w:val="0"/>
      <w:marRight w:val="0"/>
      <w:marTop w:val="0"/>
      <w:marBottom w:val="0"/>
      <w:divBdr>
        <w:top w:val="none" w:sz="0" w:space="0" w:color="auto"/>
        <w:left w:val="none" w:sz="0" w:space="0" w:color="auto"/>
        <w:bottom w:val="none" w:sz="0" w:space="0" w:color="auto"/>
        <w:right w:val="none" w:sz="0" w:space="0" w:color="auto"/>
      </w:divBdr>
    </w:div>
    <w:div w:id="2050765177">
      <w:bodyDiv w:val="1"/>
      <w:marLeft w:val="0"/>
      <w:marRight w:val="0"/>
      <w:marTop w:val="0"/>
      <w:marBottom w:val="0"/>
      <w:divBdr>
        <w:top w:val="none" w:sz="0" w:space="0" w:color="auto"/>
        <w:left w:val="none" w:sz="0" w:space="0" w:color="auto"/>
        <w:bottom w:val="none" w:sz="0" w:space="0" w:color="auto"/>
        <w:right w:val="none" w:sz="0" w:space="0" w:color="auto"/>
      </w:divBdr>
    </w:div>
    <w:div w:id="2056194624">
      <w:bodyDiv w:val="1"/>
      <w:marLeft w:val="0"/>
      <w:marRight w:val="0"/>
      <w:marTop w:val="0"/>
      <w:marBottom w:val="0"/>
      <w:divBdr>
        <w:top w:val="none" w:sz="0" w:space="0" w:color="auto"/>
        <w:left w:val="none" w:sz="0" w:space="0" w:color="auto"/>
        <w:bottom w:val="none" w:sz="0" w:space="0" w:color="auto"/>
        <w:right w:val="none" w:sz="0" w:space="0" w:color="auto"/>
      </w:divBdr>
    </w:div>
    <w:div w:id="2062098846">
      <w:bodyDiv w:val="1"/>
      <w:marLeft w:val="0"/>
      <w:marRight w:val="0"/>
      <w:marTop w:val="0"/>
      <w:marBottom w:val="0"/>
      <w:divBdr>
        <w:top w:val="none" w:sz="0" w:space="0" w:color="auto"/>
        <w:left w:val="none" w:sz="0" w:space="0" w:color="auto"/>
        <w:bottom w:val="none" w:sz="0" w:space="0" w:color="auto"/>
        <w:right w:val="none" w:sz="0" w:space="0" w:color="auto"/>
      </w:divBdr>
    </w:div>
    <w:div w:id="2085451646">
      <w:bodyDiv w:val="1"/>
      <w:marLeft w:val="0"/>
      <w:marRight w:val="0"/>
      <w:marTop w:val="0"/>
      <w:marBottom w:val="0"/>
      <w:divBdr>
        <w:top w:val="none" w:sz="0" w:space="0" w:color="auto"/>
        <w:left w:val="none" w:sz="0" w:space="0" w:color="auto"/>
        <w:bottom w:val="none" w:sz="0" w:space="0" w:color="auto"/>
        <w:right w:val="none" w:sz="0" w:space="0" w:color="auto"/>
      </w:divBdr>
    </w:div>
    <w:div w:id="2090418764">
      <w:bodyDiv w:val="1"/>
      <w:marLeft w:val="0"/>
      <w:marRight w:val="0"/>
      <w:marTop w:val="0"/>
      <w:marBottom w:val="0"/>
      <w:divBdr>
        <w:top w:val="none" w:sz="0" w:space="0" w:color="auto"/>
        <w:left w:val="none" w:sz="0" w:space="0" w:color="auto"/>
        <w:bottom w:val="none" w:sz="0" w:space="0" w:color="auto"/>
        <w:right w:val="none" w:sz="0" w:space="0" w:color="auto"/>
      </w:divBdr>
    </w:div>
    <w:div w:id="2098135415">
      <w:bodyDiv w:val="1"/>
      <w:marLeft w:val="0"/>
      <w:marRight w:val="0"/>
      <w:marTop w:val="0"/>
      <w:marBottom w:val="0"/>
      <w:divBdr>
        <w:top w:val="none" w:sz="0" w:space="0" w:color="auto"/>
        <w:left w:val="none" w:sz="0" w:space="0" w:color="auto"/>
        <w:bottom w:val="none" w:sz="0" w:space="0" w:color="auto"/>
        <w:right w:val="none" w:sz="0" w:space="0" w:color="auto"/>
      </w:divBdr>
    </w:div>
    <w:div w:id="2098938935">
      <w:bodyDiv w:val="1"/>
      <w:marLeft w:val="0"/>
      <w:marRight w:val="0"/>
      <w:marTop w:val="0"/>
      <w:marBottom w:val="0"/>
      <w:divBdr>
        <w:top w:val="none" w:sz="0" w:space="0" w:color="auto"/>
        <w:left w:val="none" w:sz="0" w:space="0" w:color="auto"/>
        <w:bottom w:val="none" w:sz="0" w:space="0" w:color="auto"/>
        <w:right w:val="none" w:sz="0" w:space="0" w:color="auto"/>
      </w:divBdr>
    </w:div>
    <w:div w:id="2112040740">
      <w:bodyDiv w:val="1"/>
      <w:marLeft w:val="0"/>
      <w:marRight w:val="0"/>
      <w:marTop w:val="0"/>
      <w:marBottom w:val="0"/>
      <w:divBdr>
        <w:top w:val="none" w:sz="0" w:space="0" w:color="auto"/>
        <w:left w:val="none" w:sz="0" w:space="0" w:color="auto"/>
        <w:bottom w:val="none" w:sz="0" w:space="0" w:color="auto"/>
        <w:right w:val="none" w:sz="0" w:space="0" w:color="auto"/>
      </w:divBdr>
    </w:div>
    <w:div w:id="21417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oannid@stanford.edu" TargetMode="External"/><Relationship Id="rId13" Type="http://schemas.openxmlformats.org/officeDocument/2006/relationships/hyperlink" Target="https://osf.io/47cg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otracker.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F6B3-E534-4610-ABCC-A0655450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10075</Words>
  <Characters>57432</Characters>
  <Application>Microsoft Office Word</Application>
  <DocSecurity>0</DocSecurity>
  <Lines>478</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Axfors;John Ioannidis</dc:creator>
  <cp:keywords/>
  <dc:description/>
  <cp:lastModifiedBy>Cathrine Axfors</cp:lastModifiedBy>
  <cp:revision>15</cp:revision>
  <dcterms:created xsi:type="dcterms:W3CDTF">2021-07-08T14:28:00Z</dcterms:created>
  <dcterms:modified xsi:type="dcterms:W3CDTF">2021-07-08T15:41:00Z</dcterms:modified>
</cp:coreProperties>
</file>