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32D12" w14:textId="238BE1EF" w:rsidR="00004248" w:rsidRDefault="008D59DD">
      <w:pPr>
        <w:rPr>
          <w:b/>
          <w:bCs/>
        </w:rPr>
      </w:pPr>
      <w:r>
        <w:rPr>
          <w:b/>
          <w:bCs/>
        </w:rPr>
        <w:t xml:space="preserve">Supplemental </w:t>
      </w:r>
      <w:r w:rsidR="00045824">
        <w:rPr>
          <w:b/>
          <w:bCs/>
        </w:rPr>
        <w:t xml:space="preserve">Tables and </w:t>
      </w:r>
      <w:r>
        <w:rPr>
          <w:b/>
          <w:bCs/>
        </w:rPr>
        <w:t>Figures</w:t>
      </w:r>
    </w:p>
    <w:p w14:paraId="79D2BFF4" w14:textId="77777777" w:rsidR="00045824" w:rsidRDefault="00045824" w:rsidP="00045824">
      <w:pPr>
        <w:pStyle w:val="NoSpacing"/>
        <w:rPr>
          <w:rFonts w:ascii="Courier New" w:hAnsi="Courier New" w:cs="Courier New"/>
          <w:sz w:val="18"/>
          <w:szCs w:val="18"/>
        </w:rPr>
      </w:pPr>
    </w:p>
    <w:tbl>
      <w:tblPr>
        <w:tblStyle w:val="TableGrid"/>
        <w:tblW w:w="0" w:type="auto"/>
        <w:tblLook w:val="04A0" w:firstRow="1" w:lastRow="0" w:firstColumn="1" w:lastColumn="0" w:noHBand="0" w:noVBand="1"/>
      </w:tblPr>
      <w:tblGrid>
        <w:gridCol w:w="1234"/>
        <w:gridCol w:w="1326"/>
        <w:gridCol w:w="1366"/>
        <w:gridCol w:w="1366"/>
        <w:gridCol w:w="1326"/>
        <w:gridCol w:w="1366"/>
        <w:gridCol w:w="1366"/>
      </w:tblGrid>
      <w:tr w:rsidR="00045824" w:rsidRPr="00402FBE" w14:paraId="7965D15B" w14:textId="77777777" w:rsidTr="00FD7AD3">
        <w:tc>
          <w:tcPr>
            <w:tcW w:w="1234" w:type="dxa"/>
          </w:tcPr>
          <w:p w14:paraId="251AF8A4" w14:textId="77777777" w:rsidR="00045824" w:rsidRPr="00402FBE" w:rsidRDefault="00045824" w:rsidP="00FE406E">
            <w:pPr>
              <w:pStyle w:val="NoSpacing"/>
              <w:rPr>
                <w:rFonts w:cstheme="minorHAnsi"/>
              </w:rPr>
            </w:pPr>
          </w:p>
        </w:tc>
        <w:tc>
          <w:tcPr>
            <w:tcW w:w="1326" w:type="dxa"/>
          </w:tcPr>
          <w:p w14:paraId="16C16EF1" w14:textId="77777777" w:rsidR="00045824" w:rsidRPr="00402FBE" w:rsidRDefault="00045824" w:rsidP="00FE406E">
            <w:pPr>
              <w:pStyle w:val="NoSpacing"/>
              <w:jc w:val="center"/>
              <w:rPr>
                <w:rFonts w:cstheme="minorHAnsi"/>
                <w:b/>
              </w:rPr>
            </w:pPr>
            <w:r w:rsidRPr="00402FBE">
              <w:rPr>
                <w:rFonts w:cstheme="minorHAnsi"/>
                <w:b/>
              </w:rPr>
              <w:t>Total symptom score vaccine 1</w:t>
            </w:r>
          </w:p>
        </w:tc>
        <w:tc>
          <w:tcPr>
            <w:tcW w:w="1366" w:type="dxa"/>
          </w:tcPr>
          <w:p w14:paraId="15C9D258" w14:textId="77777777" w:rsidR="00045824" w:rsidRPr="00402FBE" w:rsidRDefault="00045824" w:rsidP="00FE406E">
            <w:pPr>
              <w:pStyle w:val="NoSpacing"/>
              <w:jc w:val="center"/>
              <w:rPr>
                <w:rFonts w:cstheme="minorHAnsi"/>
                <w:b/>
              </w:rPr>
            </w:pPr>
            <w:r w:rsidRPr="00402FBE">
              <w:rPr>
                <w:rFonts w:cstheme="minorHAnsi"/>
                <w:b/>
              </w:rPr>
              <w:t>Systemic symptoms score vaccine 1</w:t>
            </w:r>
          </w:p>
        </w:tc>
        <w:tc>
          <w:tcPr>
            <w:tcW w:w="1366" w:type="dxa"/>
          </w:tcPr>
          <w:p w14:paraId="7A9735AF" w14:textId="77777777" w:rsidR="00045824" w:rsidRPr="00402FBE" w:rsidRDefault="00045824" w:rsidP="00FE406E">
            <w:pPr>
              <w:pStyle w:val="NoSpacing"/>
              <w:jc w:val="center"/>
              <w:rPr>
                <w:rFonts w:cstheme="minorHAnsi"/>
                <w:b/>
              </w:rPr>
            </w:pPr>
            <w:r w:rsidRPr="00402FBE">
              <w:rPr>
                <w:rFonts w:cstheme="minorHAnsi"/>
                <w:b/>
              </w:rPr>
              <w:t>Local symptoms score vaccine 1</w:t>
            </w:r>
          </w:p>
        </w:tc>
        <w:tc>
          <w:tcPr>
            <w:tcW w:w="1326" w:type="dxa"/>
          </w:tcPr>
          <w:p w14:paraId="15F371DD" w14:textId="77777777" w:rsidR="00045824" w:rsidRPr="00402FBE" w:rsidRDefault="00045824" w:rsidP="00FE406E">
            <w:pPr>
              <w:pStyle w:val="NoSpacing"/>
              <w:jc w:val="center"/>
              <w:rPr>
                <w:rFonts w:cstheme="minorHAnsi"/>
                <w:b/>
              </w:rPr>
            </w:pPr>
            <w:r w:rsidRPr="00402FBE">
              <w:rPr>
                <w:rFonts w:cstheme="minorHAnsi"/>
                <w:b/>
              </w:rPr>
              <w:t>Total symptom score vaccine 2</w:t>
            </w:r>
          </w:p>
        </w:tc>
        <w:tc>
          <w:tcPr>
            <w:tcW w:w="1366" w:type="dxa"/>
          </w:tcPr>
          <w:p w14:paraId="3763E55B" w14:textId="77777777" w:rsidR="00045824" w:rsidRPr="00402FBE" w:rsidRDefault="00045824" w:rsidP="00FE406E">
            <w:pPr>
              <w:pStyle w:val="NoSpacing"/>
              <w:jc w:val="center"/>
              <w:rPr>
                <w:rFonts w:cstheme="minorHAnsi"/>
                <w:b/>
              </w:rPr>
            </w:pPr>
            <w:r w:rsidRPr="00402FBE">
              <w:rPr>
                <w:rFonts w:cstheme="minorHAnsi"/>
                <w:b/>
              </w:rPr>
              <w:t>Systemic symptoms score vaccine 2</w:t>
            </w:r>
          </w:p>
        </w:tc>
        <w:tc>
          <w:tcPr>
            <w:tcW w:w="1366" w:type="dxa"/>
          </w:tcPr>
          <w:p w14:paraId="0E62A522" w14:textId="77777777" w:rsidR="00045824" w:rsidRPr="00402FBE" w:rsidRDefault="00045824" w:rsidP="00FE406E">
            <w:pPr>
              <w:pStyle w:val="NoSpacing"/>
              <w:jc w:val="center"/>
              <w:rPr>
                <w:rFonts w:cstheme="minorHAnsi"/>
                <w:b/>
              </w:rPr>
            </w:pPr>
            <w:r w:rsidRPr="00402FBE">
              <w:rPr>
                <w:rFonts w:cstheme="minorHAnsi"/>
                <w:b/>
              </w:rPr>
              <w:t>Local symptoms score vaccine 2</w:t>
            </w:r>
          </w:p>
        </w:tc>
      </w:tr>
      <w:tr w:rsidR="00FD7AD3" w:rsidRPr="00402FBE" w14:paraId="4B88DEC5" w14:textId="77777777" w:rsidTr="00FD7AD3">
        <w:tc>
          <w:tcPr>
            <w:tcW w:w="1234" w:type="dxa"/>
          </w:tcPr>
          <w:p w14:paraId="521D7F40" w14:textId="77777777" w:rsidR="00FD7AD3" w:rsidRPr="00402FBE" w:rsidRDefault="00FD7AD3" w:rsidP="00FD7AD3">
            <w:pPr>
              <w:pStyle w:val="NoSpacing"/>
              <w:rPr>
                <w:rFonts w:cstheme="minorHAnsi"/>
                <w:b/>
              </w:rPr>
            </w:pPr>
            <w:r w:rsidRPr="00402FBE">
              <w:rPr>
                <w:rFonts w:cstheme="minorHAnsi"/>
                <w:b/>
              </w:rPr>
              <w:t>Female</w:t>
            </w:r>
          </w:p>
        </w:tc>
        <w:tc>
          <w:tcPr>
            <w:tcW w:w="1326" w:type="dxa"/>
          </w:tcPr>
          <w:p w14:paraId="14287ACC" w14:textId="77777777" w:rsidR="00FD7AD3" w:rsidRPr="00402FBE" w:rsidRDefault="00FD7AD3" w:rsidP="00FD7AD3">
            <w:pPr>
              <w:pStyle w:val="NoSpacing"/>
              <w:jc w:val="center"/>
              <w:rPr>
                <w:rFonts w:cstheme="minorHAnsi"/>
              </w:rPr>
            </w:pPr>
            <w:r w:rsidRPr="00402FBE">
              <w:rPr>
                <w:rFonts w:cstheme="minorHAnsi"/>
              </w:rPr>
              <w:t>.104</w:t>
            </w:r>
          </w:p>
          <w:p w14:paraId="4B19634C" w14:textId="56EFDB36" w:rsidR="00FD7AD3" w:rsidRPr="00402FBE" w:rsidRDefault="00FD7AD3" w:rsidP="00FD7AD3">
            <w:pPr>
              <w:pStyle w:val="NoSpacing"/>
              <w:jc w:val="center"/>
              <w:rPr>
                <w:rFonts w:cstheme="minorHAnsi"/>
              </w:rPr>
            </w:pPr>
            <w:r w:rsidRPr="00402FBE">
              <w:rPr>
                <w:rFonts w:cstheme="minorHAnsi"/>
              </w:rPr>
              <w:t>(.140)</w:t>
            </w:r>
          </w:p>
        </w:tc>
        <w:tc>
          <w:tcPr>
            <w:tcW w:w="1366" w:type="dxa"/>
          </w:tcPr>
          <w:p w14:paraId="3C098C00" w14:textId="77777777" w:rsidR="00FD7AD3" w:rsidRPr="00402FBE" w:rsidRDefault="00FD7AD3" w:rsidP="00FD7AD3">
            <w:pPr>
              <w:pStyle w:val="NoSpacing"/>
              <w:jc w:val="center"/>
              <w:rPr>
                <w:rFonts w:cstheme="minorHAnsi"/>
              </w:rPr>
            </w:pPr>
            <w:r w:rsidRPr="00402FBE">
              <w:rPr>
                <w:rFonts w:cstheme="minorHAnsi"/>
              </w:rPr>
              <w:t>.058</w:t>
            </w:r>
          </w:p>
          <w:p w14:paraId="20C311A3" w14:textId="38928187" w:rsidR="00FD7AD3" w:rsidRPr="00402FBE" w:rsidRDefault="00FD7AD3" w:rsidP="00FD7AD3">
            <w:pPr>
              <w:pStyle w:val="NoSpacing"/>
              <w:jc w:val="center"/>
              <w:rPr>
                <w:rFonts w:cstheme="minorHAnsi"/>
              </w:rPr>
            </w:pPr>
            <w:r w:rsidRPr="00402FBE">
              <w:rPr>
                <w:rFonts w:cstheme="minorHAnsi"/>
              </w:rPr>
              <w:t>(.408)</w:t>
            </w:r>
          </w:p>
        </w:tc>
        <w:tc>
          <w:tcPr>
            <w:tcW w:w="1366" w:type="dxa"/>
          </w:tcPr>
          <w:p w14:paraId="3785EE7B" w14:textId="77777777" w:rsidR="00FD7AD3" w:rsidRPr="00402FBE" w:rsidRDefault="00FD7AD3" w:rsidP="00FD7AD3">
            <w:pPr>
              <w:pStyle w:val="NoSpacing"/>
              <w:jc w:val="center"/>
              <w:rPr>
                <w:rFonts w:cstheme="minorHAnsi"/>
              </w:rPr>
            </w:pPr>
            <w:r w:rsidRPr="00402FBE">
              <w:rPr>
                <w:rFonts w:cstheme="minorHAnsi"/>
              </w:rPr>
              <w:t>.134</w:t>
            </w:r>
          </w:p>
          <w:p w14:paraId="69552BB9" w14:textId="41033B2F" w:rsidR="00FD7AD3" w:rsidRPr="00402FBE" w:rsidRDefault="00FD7AD3" w:rsidP="00FD7AD3">
            <w:pPr>
              <w:pStyle w:val="NoSpacing"/>
              <w:jc w:val="center"/>
              <w:rPr>
                <w:rFonts w:cstheme="minorHAnsi"/>
              </w:rPr>
            </w:pPr>
            <w:r w:rsidRPr="00402FBE">
              <w:rPr>
                <w:rFonts w:cstheme="minorHAnsi"/>
              </w:rPr>
              <w:t>(.056)</w:t>
            </w:r>
          </w:p>
        </w:tc>
        <w:tc>
          <w:tcPr>
            <w:tcW w:w="1326" w:type="dxa"/>
          </w:tcPr>
          <w:p w14:paraId="3BE0E8BD" w14:textId="77777777" w:rsidR="00FD7AD3" w:rsidRPr="00402FBE" w:rsidRDefault="00FD7AD3" w:rsidP="00FD7AD3">
            <w:pPr>
              <w:pStyle w:val="NoSpacing"/>
              <w:jc w:val="center"/>
              <w:rPr>
                <w:rFonts w:cstheme="minorHAnsi"/>
              </w:rPr>
            </w:pPr>
            <w:r w:rsidRPr="00402FBE">
              <w:rPr>
                <w:rFonts w:cstheme="minorHAnsi"/>
              </w:rPr>
              <w:t>.050</w:t>
            </w:r>
          </w:p>
          <w:p w14:paraId="2E4C0232" w14:textId="5263DDD8" w:rsidR="00FD7AD3" w:rsidRPr="00402FBE" w:rsidRDefault="00FD7AD3" w:rsidP="00FD7AD3">
            <w:pPr>
              <w:pStyle w:val="NoSpacing"/>
              <w:jc w:val="center"/>
              <w:rPr>
                <w:rFonts w:cstheme="minorHAnsi"/>
              </w:rPr>
            </w:pPr>
            <w:r w:rsidRPr="00402FBE">
              <w:rPr>
                <w:rFonts w:cstheme="minorHAnsi"/>
              </w:rPr>
              <w:t>(.476)</w:t>
            </w:r>
          </w:p>
        </w:tc>
        <w:tc>
          <w:tcPr>
            <w:tcW w:w="1366" w:type="dxa"/>
          </w:tcPr>
          <w:p w14:paraId="14034CAA" w14:textId="77777777" w:rsidR="00FD7AD3" w:rsidRPr="00402FBE" w:rsidRDefault="00FD7AD3" w:rsidP="00FD7AD3">
            <w:pPr>
              <w:pStyle w:val="NoSpacing"/>
              <w:jc w:val="center"/>
              <w:rPr>
                <w:rFonts w:cstheme="minorHAnsi"/>
              </w:rPr>
            </w:pPr>
            <w:r w:rsidRPr="00402FBE">
              <w:rPr>
                <w:rFonts w:cstheme="minorHAnsi"/>
              </w:rPr>
              <w:t>.049</w:t>
            </w:r>
          </w:p>
          <w:p w14:paraId="6B8BC353" w14:textId="7F72371D" w:rsidR="00FD7AD3" w:rsidRPr="00402FBE" w:rsidRDefault="00FD7AD3" w:rsidP="00FD7AD3">
            <w:pPr>
              <w:pStyle w:val="NoSpacing"/>
              <w:jc w:val="center"/>
              <w:rPr>
                <w:rFonts w:cstheme="minorHAnsi"/>
              </w:rPr>
            </w:pPr>
            <w:r w:rsidRPr="00402FBE">
              <w:rPr>
                <w:rFonts w:cstheme="minorHAnsi"/>
              </w:rPr>
              <w:t>(.491)</w:t>
            </w:r>
          </w:p>
        </w:tc>
        <w:tc>
          <w:tcPr>
            <w:tcW w:w="1366" w:type="dxa"/>
          </w:tcPr>
          <w:p w14:paraId="5EBB4A6E" w14:textId="77777777" w:rsidR="00FD7AD3" w:rsidRPr="00402FBE" w:rsidRDefault="00FD7AD3" w:rsidP="00FD7AD3">
            <w:pPr>
              <w:pStyle w:val="NoSpacing"/>
              <w:jc w:val="center"/>
              <w:rPr>
                <w:rFonts w:cstheme="minorHAnsi"/>
              </w:rPr>
            </w:pPr>
            <w:r w:rsidRPr="00402FBE">
              <w:rPr>
                <w:rFonts w:cstheme="minorHAnsi"/>
              </w:rPr>
              <w:t>.019</w:t>
            </w:r>
          </w:p>
          <w:p w14:paraId="57073BAA" w14:textId="7776E987" w:rsidR="00FD7AD3" w:rsidRPr="00402FBE" w:rsidRDefault="00FD7AD3" w:rsidP="00FD7AD3">
            <w:pPr>
              <w:pStyle w:val="NoSpacing"/>
              <w:jc w:val="center"/>
              <w:rPr>
                <w:rFonts w:cstheme="minorHAnsi"/>
              </w:rPr>
            </w:pPr>
            <w:r w:rsidRPr="00402FBE">
              <w:rPr>
                <w:rFonts w:cstheme="minorHAnsi"/>
              </w:rPr>
              <w:t>(.788)</w:t>
            </w:r>
          </w:p>
        </w:tc>
      </w:tr>
      <w:tr w:rsidR="00FD7AD3" w:rsidRPr="00402FBE" w14:paraId="6A617C07" w14:textId="77777777" w:rsidTr="00FD7AD3">
        <w:tc>
          <w:tcPr>
            <w:tcW w:w="1234" w:type="dxa"/>
          </w:tcPr>
          <w:p w14:paraId="5CD708A0" w14:textId="77777777" w:rsidR="00FD7AD3" w:rsidRPr="00402FBE" w:rsidRDefault="00FD7AD3" w:rsidP="00FD7AD3">
            <w:pPr>
              <w:pStyle w:val="NoSpacing"/>
              <w:rPr>
                <w:rFonts w:cstheme="minorHAnsi"/>
                <w:b/>
              </w:rPr>
            </w:pPr>
            <w:r w:rsidRPr="00402FBE">
              <w:rPr>
                <w:rFonts w:cstheme="minorHAnsi"/>
                <w:b/>
              </w:rPr>
              <w:t>Age (per year)</w:t>
            </w:r>
          </w:p>
        </w:tc>
        <w:tc>
          <w:tcPr>
            <w:tcW w:w="1326" w:type="dxa"/>
          </w:tcPr>
          <w:p w14:paraId="760ABE41" w14:textId="77777777" w:rsidR="00FD7AD3" w:rsidRPr="00402FBE" w:rsidRDefault="00FD7AD3" w:rsidP="00FD7AD3">
            <w:pPr>
              <w:pStyle w:val="NoSpacing"/>
              <w:jc w:val="center"/>
              <w:rPr>
                <w:rFonts w:cstheme="minorHAnsi"/>
              </w:rPr>
            </w:pPr>
            <w:r w:rsidRPr="00402FBE">
              <w:rPr>
                <w:rFonts w:cstheme="minorHAnsi"/>
              </w:rPr>
              <w:t>-.166*</w:t>
            </w:r>
          </w:p>
          <w:p w14:paraId="10115CD5" w14:textId="4E031892" w:rsidR="00FD7AD3" w:rsidRPr="00402FBE" w:rsidRDefault="00FD7AD3" w:rsidP="00FD7AD3">
            <w:pPr>
              <w:pStyle w:val="NoSpacing"/>
              <w:jc w:val="center"/>
              <w:rPr>
                <w:rFonts w:cstheme="minorHAnsi"/>
              </w:rPr>
            </w:pPr>
            <w:r w:rsidRPr="00402FBE">
              <w:rPr>
                <w:rFonts w:cstheme="minorHAnsi"/>
              </w:rPr>
              <w:t>(.018)</w:t>
            </w:r>
          </w:p>
        </w:tc>
        <w:tc>
          <w:tcPr>
            <w:tcW w:w="1366" w:type="dxa"/>
          </w:tcPr>
          <w:p w14:paraId="506269AA" w14:textId="77777777" w:rsidR="00FD7AD3" w:rsidRPr="00402FBE" w:rsidRDefault="00FD7AD3" w:rsidP="00FD7AD3">
            <w:pPr>
              <w:pStyle w:val="NoSpacing"/>
              <w:jc w:val="center"/>
              <w:rPr>
                <w:rFonts w:cstheme="minorHAnsi"/>
              </w:rPr>
            </w:pPr>
            <w:r w:rsidRPr="00402FBE">
              <w:rPr>
                <w:rFonts w:cstheme="minorHAnsi"/>
              </w:rPr>
              <w:t>-.128</w:t>
            </w:r>
          </w:p>
          <w:p w14:paraId="2D10BD79" w14:textId="32339461" w:rsidR="00FD7AD3" w:rsidRPr="00402FBE" w:rsidRDefault="00FD7AD3" w:rsidP="00FD7AD3">
            <w:pPr>
              <w:pStyle w:val="NoSpacing"/>
              <w:jc w:val="center"/>
              <w:rPr>
                <w:rFonts w:cstheme="minorHAnsi"/>
              </w:rPr>
            </w:pPr>
            <w:r w:rsidRPr="00402FBE">
              <w:rPr>
                <w:rFonts w:cstheme="minorHAnsi"/>
              </w:rPr>
              <w:t>(.068)</w:t>
            </w:r>
          </w:p>
        </w:tc>
        <w:tc>
          <w:tcPr>
            <w:tcW w:w="1366" w:type="dxa"/>
          </w:tcPr>
          <w:p w14:paraId="002E2240" w14:textId="77777777" w:rsidR="00FD7AD3" w:rsidRPr="00402FBE" w:rsidRDefault="00FD7AD3" w:rsidP="00FD7AD3">
            <w:pPr>
              <w:pStyle w:val="NoSpacing"/>
              <w:jc w:val="center"/>
              <w:rPr>
                <w:rFonts w:cstheme="minorHAnsi"/>
              </w:rPr>
            </w:pPr>
            <w:r w:rsidRPr="00402FBE">
              <w:rPr>
                <w:rFonts w:cstheme="minorHAnsi"/>
              </w:rPr>
              <w:t>-.100</w:t>
            </w:r>
          </w:p>
          <w:p w14:paraId="4CBB560B" w14:textId="7CA979D2" w:rsidR="00FD7AD3" w:rsidRPr="00402FBE" w:rsidRDefault="00FD7AD3" w:rsidP="00FD7AD3">
            <w:pPr>
              <w:pStyle w:val="NoSpacing"/>
              <w:jc w:val="center"/>
              <w:rPr>
                <w:rFonts w:cstheme="minorHAnsi"/>
              </w:rPr>
            </w:pPr>
            <w:r w:rsidRPr="00402FBE">
              <w:rPr>
                <w:rFonts w:cstheme="minorHAnsi"/>
              </w:rPr>
              <w:t>(.155)</w:t>
            </w:r>
          </w:p>
        </w:tc>
        <w:tc>
          <w:tcPr>
            <w:tcW w:w="1326" w:type="dxa"/>
          </w:tcPr>
          <w:p w14:paraId="6A60B461" w14:textId="77777777" w:rsidR="00FD7AD3" w:rsidRPr="00402FBE" w:rsidRDefault="00FD7AD3" w:rsidP="00FD7AD3">
            <w:pPr>
              <w:pStyle w:val="NoSpacing"/>
              <w:jc w:val="center"/>
              <w:rPr>
                <w:rFonts w:cstheme="minorHAnsi"/>
              </w:rPr>
            </w:pPr>
            <w:r w:rsidRPr="00402FBE">
              <w:rPr>
                <w:rFonts w:cstheme="minorHAnsi"/>
              </w:rPr>
              <w:t>-.165*</w:t>
            </w:r>
          </w:p>
          <w:p w14:paraId="4E978423" w14:textId="658A9CD5" w:rsidR="00FD7AD3" w:rsidRPr="00402FBE" w:rsidRDefault="00FD7AD3" w:rsidP="00FD7AD3">
            <w:pPr>
              <w:pStyle w:val="NoSpacing"/>
              <w:jc w:val="center"/>
              <w:rPr>
                <w:rFonts w:cstheme="minorHAnsi"/>
              </w:rPr>
            </w:pPr>
            <w:r w:rsidRPr="00402FBE">
              <w:rPr>
                <w:rFonts w:cstheme="minorHAnsi"/>
              </w:rPr>
              <w:t>(.018)</w:t>
            </w:r>
          </w:p>
        </w:tc>
        <w:tc>
          <w:tcPr>
            <w:tcW w:w="1366" w:type="dxa"/>
          </w:tcPr>
          <w:p w14:paraId="03A806EB" w14:textId="77777777" w:rsidR="00FD7AD3" w:rsidRPr="00402FBE" w:rsidRDefault="00FD7AD3" w:rsidP="00FD7AD3">
            <w:pPr>
              <w:pStyle w:val="NoSpacing"/>
              <w:jc w:val="center"/>
              <w:rPr>
                <w:rFonts w:cstheme="minorHAnsi"/>
              </w:rPr>
            </w:pPr>
            <w:r w:rsidRPr="00402FBE">
              <w:rPr>
                <w:rFonts w:cstheme="minorHAnsi"/>
              </w:rPr>
              <w:t>-.126</w:t>
            </w:r>
          </w:p>
          <w:p w14:paraId="2E562DC2" w14:textId="1881CC22" w:rsidR="00FD7AD3" w:rsidRPr="00402FBE" w:rsidRDefault="00FD7AD3" w:rsidP="00FD7AD3">
            <w:pPr>
              <w:pStyle w:val="NoSpacing"/>
              <w:jc w:val="center"/>
              <w:rPr>
                <w:rFonts w:cstheme="minorHAnsi"/>
              </w:rPr>
            </w:pPr>
            <w:r w:rsidRPr="00402FBE">
              <w:rPr>
                <w:rFonts w:cstheme="minorHAnsi"/>
              </w:rPr>
              <w:t>(.073)</w:t>
            </w:r>
          </w:p>
        </w:tc>
        <w:tc>
          <w:tcPr>
            <w:tcW w:w="1366" w:type="dxa"/>
          </w:tcPr>
          <w:p w14:paraId="5741FBD2" w14:textId="77777777" w:rsidR="00FD7AD3" w:rsidRPr="00402FBE" w:rsidRDefault="00FD7AD3" w:rsidP="00FD7AD3">
            <w:pPr>
              <w:pStyle w:val="NoSpacing"/>
              <w:jc w:val="center"/>
              <w:rPr>
                <w:rFonts w:cstheme="minorHAnsi"/>
              </w:rPr>
            </w:pPr>
            <w:r w:rsidRPr="00402FBE">
              <w:rPr>
                <w:rFonts w:cstheme="minorHAnsi"/>
              </w:rPr>
              <w:t>-.107</w:t>
            </w:r>
          </w:p>
          <w:p w14:paraId="44D99622" w14:textId="10B33CB2" w:rsidR="00FD7AD3" w:rsidRPr="00402FBE" w:rsidRDefault="00FD7AD3" w:rsidP="00FD7AD3">
            <w:pPr>
              <w:pStyle w:val="NoSpacing"/>
              <w:jc w:val="center"/>
              <w:rPr>
                <w:rFonts w:cstheme="minorHAnsi"/>
              </w:rPr>
            </w:pPr>
            <w:r w:rsidRPr="00402FBE">
              <w:rPr>
                <w:rFonts w:cstheme="minorHAnsi"/>
              </w:rPr>
              <w:t>(.128)</w:t>
            </w:r>
          </w:p>
        </w:tc>
      </w:tr>
      <w:tr w:rsidR="00FD7AD3" w:rsidRPr="00402FBE" w14:paraId="31295D99" w14:textId="77777777" w:rsidTr="00FD7AD3">
        <w:tc>
          <w:tcPr>
            <w:tcW w:w="1234" w:type="dxa"/>
          </w:tcPr>
          <w:p w14:paraId="38E0050A" w14:textId="77777777" w:rsidR="00FD7AD3" w:rsidRPr="00402FBE" w:rsidRDefault="00FD7AD3" w:rsidP="00FD7AD3">
            <w:pPr>
              <w:pStyle w:val="NoSpacing"/>
              <w:rPr>
                <w:rFonts w:cstheme="minorHAnsi"/>
                <w:b/>
              </w:rPr>
            </w:pPr>
            <w:r w:rsidRPr="00402FBE">
              <w:rPr>
                <w:rFonts w:cstheme="minorHAnsi"/>
                <w:b/>
              </w:rPr>
              <w:t>Weight (per kg)</w:t>
            </w:r>
          </w:p>
        </w:tc>
        <w:tc>
          <w:tcPr>
            <w:tcW w:w="1326" w:type="dxa"/>
          </w:tcPr>
          <w:p w14:paraId="021B5F1F" w14:textId="77777777" w:rsidR="00FD7AD3" w:rsidRPr="00402FBE" w:rsidRDefault="00FD7AD3" w:rsidP="00FD7AD3">
            <w:pPr>
              <w:pStyle w:val="NoSpacing"/>
              <w:jc w:val="center"/>
              <w:rPr>
                <w:rFonts w:cstheme="minorHAnsi"/>
              </w:rPr>
            </w:pPr>
            <w:r w:rsidRPr="00402FBE">
              <w:rPr>
                <w:rFonts w:cstheme="minorHAnsi"/>
              </w:rPr>
              <w:t>-.133</w:t>
            </w:r>
          </w:p>
          <w:p w14:paraId="57373498" w14:textId="2429A3E5" w:rsidR="00FD7AD3" w:rsidRPr="00402FBE" w:rsidRDefault="00FD7AD3" w:rsidP="00FD7AD3">
            <w:pPr>
              <w:pStyle w:val="NoSpacing"/>
              <w:jc w:val="center"/>
              <w:rPr>
                <w:rFonts w:cstheme="minorHAnsi"/>
              </w:rPr>
            </w:pPr>
            <w:r w:rsidRPr="00402FBE">
              <w:rPr>
                <w:rFonts w:cstheme="minorHAnsi"/>
              </w:rPr>
              <w:t>(.057)</w:t>
            </w:r>
          </w:p>
        </w:tc>
        <w:tc>
          <w:tcPr>
            <w:tcW w:w="1366" w:type="dxa"/>
          </w:tcPr>
          <w:p w14:paraId="72C96962" w14:textId="77777777" w:rsidR="00FD7AD3" w:rsidRPr="00402FBE" w:rsidRDefault="00FD7AD3" w:rsidP="00FD7AD3">
            <w:pPr>
              <w:pStyle w:val="NoSpacing"/>
              <w:jc w:val="center"/>
              <w:rPr>
                <w:rFonts w:cstheme="minorHAnsi"/>
              </w:rPr>
            </w:pPr>
            <w:r w:rsidRPr="00402FBE">
              <w:rPr>
                <w:rFonts w:cstheme="minorHAnsi"/>
              </w:rPr>
              <w:t>-.045</w:t>
            </w:r>
          </w:p>
          <w:p w14:paraId="49601996" w14:textId="694FCDEA" w:rsidR="00FD7AD3" w:rsidRPr="00402FBE" w:rsidRDefault="00FD7AD3" w:rsidP="00FD7AD3">
            <w:pPr>
              <w:pStyle w:val="NoSpacing"/>
              <w:jc w:val="center"/>
              <w:rPr>
                <w:rFonts w:cstheme="minorHAnsi"/>
              </w:rPr>
            </w:pPr>
            <w:r w:rsidRPr="00402FBE">
              <w:rPr>
                <w:rFonts w:cstheme="minorHAnsi"/>
              </w:rPr>
              <w:t>(.525)</w:t>
            </w:r>
          </w:p>
        </w:tc>
        <w:tc>
          <w:tcPr>
            <w:tcW w:w="1366" w:type="dxa"/>
          </w:tcPr>
          <w:p w14:paraId="4FC5D913" w14:textId="77777777" w:rsidR="00FD7AD3" w:rsidRPr="00402FBE" w:rsidRDefault="00FD7AD3" w:rsidP="00FD7AD3">
            <w:pPr>
              <w:pStyle w:val="NoSpacing"/>
              <w:jc w:val="center"/>
              <w:rPr>
                <w:rFonts w:cstheme="minorHAnsi"/>
              </w:rPr>
            </w:pPr>
            <w:r w:rsidRPr="00402FBE">
              <w:rPr>
                <w:rFonts w:cstheme="minorHAnsi"/>
              </w:rPr>
              <w:t>-.100</w:t>
            </w:r>
          </w:p>
          <w:p w14:paraId="6ABA3A46" w14:textId="3F4C4D90" w:rsidR="00FD7AD3" w:rsidRPr="00402FBE" w:rsidRDefault="00FD7AD3" w:rsidP="00FD7AD3">
            <w:pPr>
              <w:pStyle w:val="NoSpacing"/>
              <w:jc w:val="center"/>
              <w:rPr>
                <w:rFonts w:cstheme="minorHAnsi"/>
              </w:rPr>
            </w:pPr>
            <w:r w:rsidRPr="00402FBE">
              <w:rPr>
                <w:rFonts w:cstheme="minorHAnsi"/>
              </w:rPr>
              <w:t>(.155)</w:t>
            </w:r>
          </w:p>
        </w:tc>
        <w:tc>
          <w:tcPr>
            <w:tcW w:w="1326" w:type="dxa"/>
          </w:tcPr>
          <w:p w14:paraId="38F9D504" w14:textId="77777777" w:rsidR="00FD7AD3" w:rsidRPr="00402FBE" w:rsidRDefault="00FD7AD3" w:rsidP="00FD7AD3">
            <w:pPr>
              <w:pStyle w:val="NoSpacing"/>
              <w:jc w:val="center"/>
              <w:rPr>
                <w:rFonts w:cstheme="minorHAnsi"/>
              </w:rPr>
            </w:pPr>
            <w:r w:rsidRPr="00402FBE">
              <w:rPr>
                <w:rFonts w:cstheme="minorHAnsi"/>
              </w:rPr>
              <w:t>-.100</w:t>
            </w:r>
          </w:p>
          <w:p w14:paraId="7BD267B7" w14:textId="3B09A016" w:rsidR="00FD7AD3" w:rsidRPr="00402FBE" w:rsidRDefault="00FD7AD3" w:rsidP="00FD7AD3">
            <w:pPr>
              <w:pStyle w:val="NoSpacing"/>
              <w:jc w:val="center"/>
              <w:rPr>
                <w:rFonts w:cstheme="minorHAnsi"/>
              </w:rPr>
            </w:pPr>
            <w:r w:rsidRPr="00402FBE">
              <w:rPr>
                <w:rFonts w:cstheme="minorHAnsi"/>
              </w:rPr>
              <w:t>(.155)</w:t>
            </w:r>
          </w:p>
        </w:tc>
        <w:tc>
          <w:tcPr>
            <w:tcW w:w="1366" w:type="dxa"/>
          </w:tcPr>
          <w:p w14:paraId="6B5F8BDE" w14:textId="77777777" w:rsidR="00FD7AD3" w:rsidRPr="00402FBE" w:rsidRDefault="00FD7AD3" w:rsidP="00FD7AD3">
            <w:pPr>
              <w:pStyle w:val="NoSpacing"/>
              <w:jc w:val="center"/>
              <w:rPr>
                <w:rFonts w:cstheme="minorHAnsi"/>
              </w:rPr>
            </w:pPr>
            <w:r w:rsidRPr="00402FBE">
              <w:rPr>
                <w:rFonts w:cstheme="minorHAnsi"/>
              </w:rPr>
              <w:t>-.076</w:t>
            </w:r>
          </w:p>
          <w:p w14:paraId="5CB24DA2" w14:textId="50C720FD" w:rsidR="00FD7AD3" w:rsidRPr="00402FBE" w:rsidRDefault="00FD7AD3" w:rsidP="00FD7AD3">
            <w:pPr>
              <w:pStyle w:val="NoSpacing"/>
              <w:jc w:val="center"/>
              <w:rPr>
                <w:rFonts w:cstheme="minorHAnsi"/>
              </w:rPr>
            </w:pPr>
            <w:r w:rsidRPr="00402FBE">
              <w:rPr>
                <w:rFonts w:cstheme="minorHAnsi"/>
              </w:rPr>
              <w:t>(.279)</w:t>
            </w:r>
          </w:p>
        </w:tc>
        <w:tc>
          <w:tcPr>
            <w:tcW w:w="1366" w:type="dxa"/>
          </w:tcPr>
          <w:p w14:paraId="741F0C44" w14:textId="77777777" w:rsidR="00FD7AD3" w:rsidRPr="00402FBE" w:rsidRDefault="00FD7AD3" w:rsidP="00FD7AD3">
            <w:pPr>
              <w:pStyle w:val="NoSpacing"/>
              <w:jc w:val="center"/>
              <w:rPr>
                <w:rFonts w:cstheme="minorHAnsi"/>
              </w:rPr>
            </w:pPr>
            <w:r w:rsidRPr="00402FBE">
              <w:rPr>
                <w:rFonts w:cstheme="minorHAnsi"/>
              </w:rPr>
              <w:t>-.126</w:t>
            </w:r>
          </w:p>
          <w:p w14:paraId="5CFB5644" w14:textId="1BA0AB66" w:rsidR="00FD7AD3" w:rsidRPr="00402FBE" w:rsidRDefault="00FD7AD3" w:rsidP="00FD7AD3">
            <w:pPr>
              <w:pStyle w:val="NoSpacing"/>
              <w:jc w:val="center"/>
              <w:rPr>
                <w:rFonts w:cstheme="minorHAnsi"/>
              </w:rPr>
            </w:pPr>
            <w:r w:rsidRPr="00402FBE">
              <w:rPr>
                <w:rFonts w:cstheme="minorHAnsi"/>
              </w:rPr>
              <w:t>(.072)</w:t>
            </w:r>
          </w:p>
        </w:tc>
      </w:tr>
    </w:tbl>
    <w:p w14:paraId="1AF889D4" w14:textId="77777777" w:rsidR="00045824" w:rsidRPr="00402FBE" w:rsidRDefault="00045824" w:rsidP="00045824">
      <w:pPr>
        <w:pStyle w:val="NoSpacing"/>
        <w:rPr>
          <w:rFonts w:cstheme="minorHAnsi"/>
        </w:rPr>
      </w:pPr>
    </w:p>
    <w:p w14:paraId="4BCC5C49" w14:textId="77777777" w:rsidR="00045824" w:rsidRPr="00402FBE" w:rsidRDefault="00045824" w:rsidP="00045824">
      <w:pPr>
        <w:pStyle w:val="NoSpacing"/>
        <w:rPr>
          <w:rFonts w:cstheme="minorHAnsi"/>
        </w:rPr>
      </w:pPr>
    </w:p>
    <w:p w14:paraId="79FD474A" w14:textId="0443EFC7" w:rsidR="00045824" w:rsidRPr="00402FBE" w:rsidRDefault="00045824" w:rsidP="00045824">
      <w:pPr>
        <w:pStyle w:val="NoSpacing"/>
        <w:rPr>
          <w:rFonts w:cstheme="minorHAnsi"/>
        </w:rPr>
      </w:pPr>
      <w:r w:rsidRPr="00402FBE">
        <w:rPr>
          <w:rFonts w:cstheme="minorHAnsi"/>
          <w:b/>
        </w:rPr>
        <w:t xml:space="preserve">Supplemental Table </w:t>
      </w:r>
      <w:r w:rsidR="00121821">
        <w:rPr>
          <w:rFonts w:cstheme="minorHAnsi"/>
          <w:b/>
        </w:rPr>
        <w:t>1</w:t>
      </w:r>
      <w:r w:rsidRPr="00402FBE">
        <w:rPr>
          <w:rFonts w:cstheme="minorHAnsi"/>
          <w:b/>
        </w:rPr>
        <w:t>:</w:t>
      </w:r>
      <w:r w:rsidRPr="00402FBE">
        <w:rPr>
          <w:rFonts w:cstheme="minorHAnsi"/>
        </w:rPr>
        <w:t xml:space="preserve"> </w:t>
      </w:r>
      <w:r w:rsidR="00FD7AD3" w:rsidRPr="00402FBE">
        <w:rPr>
          <w:rFonts w:cstheme="minorHAnsi"/>
        </w:rPr>
        <w:t>Partial Spearman correlation coefficients for female sex, weight, and age with total symptom scores (range 0-48), systemic symptom scores (range 0-</w:t>
      </w:r>
      <w:r w:rsidR="00CF08D0" w:rsidRPr="00402FBE">
        <w:rPr>
          <w:rFonts w:cstheme="minorHAnsi"/>
        </w:rPr>
        <w:t>32</w:t>
      </w:r>
      <w:r w:rsidR="00FD7AD3" w:rsidRPr="00402FBE">
        <w:rPr>
          <w:rFonts w:cstheme="minorHAnsi"/>
        </w:rPr>
        <w:t xml:space="preserve">), and local symptom scores (range 0-12) after </w:t>
      </w:r>
      <w:r w:rsidR="00CF08D0" w:rsidRPr="00402FBE">
        <w:rPr>
          <w:rFonts w:cstheme="minorHAnsi"/>
        </w:rPr>
        <w:t>first and second</w:t>
      </w:r>
      <w:r w:rsidR="00FD7AD3" w:rsidRPr="00402FBE">
        <w:rPr>
          <w:rFonts w:cstheme="minorHAnsi"/>
        </w:rPr>
        <w:t xml:space="preserve"> vaccinations. Coefficients in each row are adjusted for the variables listed in </w:t>
      </w:r>
      <w:r w:rsidR="00861CA0" w:rsidRPr="00402FBE">
        <w:rPr>
          <w:rFonts w:cstheme="minorHAnsi"/>
        </w:rPr>
        <w:t>the</w:t>
      </w:r>
      <w:r w:rsidR="00FD7AD3" w:rsidRPr="00402FBE">
        <w:rPr>
          <w:rFonts w:cstheme="minorHAnsi"/>
        </w:rPr>
        <w:t xml:space="preserve"> other rows.  For female sex, a positive coefficient indicates that women have higher symptom scores than men. (</w:t>
      </w:r>
      <w:r w:rsidR="00475418">
        <w:rPr>
          <w:rFonts w:cstheme="minorHAnsi"/>
        </w:rPr>
        <w:t>N</w:t>
      </w:r>
      <w:r w:rsidR="00FD7AD3" w:rsidRPr="00402FBE">
        <w:rPr>
          <w:rFonts w:cstheme="minorHAnsi"/>
        </w:rPr>
        <w:t xml:space="preserve"> = 206. P values are in parentheses. * p &lt; 0.05. ** p &lt; 0.01)</w:t>
      </w:r>
    </w:p>
    <w:p w14:paraId="282177B4" w14:textId="77777777" w:rsidR="00045824" w:rsidRDefault="00045824">
      <w:pPr>
        <w:rPr>
          <w:b/>
          <w:bCs/>
        </w:rPr>
      </w:pPr>
    </w:p>
    <w:p w14:paraId="26F9F13C" w14:textId="77777777" w:rsidR="00045824" w:rsidRDefault="00045824">
      <w:pPr>
        <w:rPr>
          <w:b/>
          <w:bCs/>
        </w:rPr>
      </w:pPr>
    </w:p>
    <w:p w14:paraId="5DA85127" w14:textId="04A4DBDF" w:rsidR="00045824" w:rsidRDefault="00045824">
      <w:pPr>
        <w:rPr>
          <w:b/>
          <w:bCs/>
        </w:rPr>
      </w:pPr>
      <w:r>
        <w:rPr>
          <w:b/>
          <w:bCs/>
        </w:rPr>
        <w:br w:type="page"/>
      </w:r>
    </w:p>
    <w:p w14:paraId="4393A266" w14:textId="77777777" w:rsidR="00045824" w:rsidRDefault="00045824">
      <w:pPr>
        <w:rPr>
          <w:b/>
          <w:bCs/>
        </w:rPr>
      </w:pPr>
    </w:p>
    <w:p w14:paraId="18CF619C" w14:textId="30153AC0" w:rsidR="008D59DD" w:rsidRDefault="00402FBE">
      <w:pPr>
        <w:rPr>
          <w:b/>
          <w:bCs/>
        </w:rPr>
      </w:pPr>
      <w:r>
        <w:rPr>
          <w:b/>
          <w:bCs/>
          <w:noProof/>
        </w:rPr>
        <w:drawing>
          <wp:inline distT="0" distB="0" distL="0" distR="0" wp14:anchorId="12A558D0" wp14:editId="578C9397">
            <wp:extent cx="5166218" cy="256806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66218" cy="2568066"/>
                    </a:xfrm>
                    <a:prstGeom prst="rect">
                      <a:avLst/>
                    </a:prstGeom>
                    <a:noFill/>
                    <a:ln>
                      <a:noFill/>
                    </a:ln>
                  </pic:spPr>
                </pic:pic>
              </a:graphicData>
            </a:graphic>
          </wp:inline>
        </w:drawing>
      </w:r>
    </w:p>
    <w:p w14:paraId="5B699E48" w14:textId="06C9E4EF" w:rsidR="008D59DD" w:rsidRPr="008F4305" w:rsidRDefault="008D59DD">
      <w:r>
        <w:rPr>
          <w:b/>
          <w:bCs/>
        </w:rPr>
        <w:t>Supplemental Figure 1</w:t>
      </w:r>
      <w:r w:rsidR="00771E7F">
        <w:rPr>
          <w:b/>
          <w:bCs/>
        </w:rPr>
        <w:t xml:space="preserve">: </w:t>
      </w:r>
      <w:r w:rsidR="00F77C24">
        <w:rPr>
          <w:b/>
          <w:bCs/>
        </w:rPr>
        <w:t>Lack of</w:t>
      </w:r>
      <w:r w:rsidR="00771E7F">
        <w:rPr>
          <w:b/>
          <w:bCs/>
        </w:rPr>
        <w:t xml:space="preserve"> correlation between race and </w:t>
      </w:r>
      <w:r w:rsidR="00F77C24">
        <w:rPr>
          <w:b/>
          <w:bCs/>
        </w:rPr>
        <w:t>vaccine-associated symptoms</w:t>
      </w:r>
      <w:r w:rsidR="00771E7F">
        <w:rPr>
          <w:b/>
          <w:bCs/>
        </w:rPr>
        <w:t xml:space="preserve">. </w:t>
      </w:r>
      <w:r w:rsidR="00771E7F" w:rsidRPr="008F4305">
        <w:t>Reported symptom scores following the first (A) and second (B) vaccinations plotted by race.</w:t>
      </w:r>
      <w:r w:rsidR="008F4305" w:rsidRPr="008F4305">
        <w:t xml:space="preserve"> </w:t>
      </w:r>
      <w:r w:rsidR="00B37E25">
        <w:t xml:space="preserve">(N = 206 subjects. </w:t>
      </w:r>
      <w:r w:rsidR="008F4305">
        <w:t xml:space="preserve">Statistical significance </w:t>
      </w:r>
      <w:r w:rsidR="00B37E25">
        <w:t>evaluated by</w:t>
      </w:r>
      <w:r w:rsidR="008F4305">
        <w:t xml:space="preserve"> </w:t>
      </w:r>
      <w:r w:rsidR="00970E91">
        <w:t>ANOVA</w:t>
      </w:r>
      <w:r w:rsidR="00B37E25">
        <w:t xml:space="preserve">. </w:t>
      </w:r>
      <w:r w:rsidR="008F4305">
        <w:t xml:space="preserve"> NS= no significance while bars represent mean and standard deviation</w:t>
      </w:r>
      <w:r w:rsidR="00B37E25">
        <w:t>)</w:t>
      </w:r>
      <w:r w:rsidR="00CF08D0">
        <w:t>.</w:t>
      </w:r>
    </w:p>
    <w:p w14:paraId="318BABCD" w14:textId="77777777" w:rsidR="00730ED3" w:rsidRDefault="00730ED3">
      <w:pPr>
        <w:rPr>
          <w:b/>
          <w:bCs/>
        </w:rPr>
      </w:pPr>
    </w:p>
    <w:p w14:paraId="3EFF7F7B" w14:textId="0C6AD534" w:rsidR="00993FA5" w:rsidRDefault="00993FA5">
      <w:pPr>
        <w:rPr>
          <w:b/>
          <w:bCs/>
        </w:rPr>
      </w:pPr>
      <w:r>
        <w:rPr>
          <w:b/>
          <w:bCs/>
        </w:rPr>
        <w:br w:type="page"/>
      </w:r>
    </w:p>
    <w:p w14:paraId="6ACA6992" w14:textId="77777777" w:rsidR="00993FA5" w:rsidRDefault="00993FA5">
      <w:pPr>
        <w:rPr>
          <w:b/>
          <w:bCs/>
        </w:rPr>
      </w:pPr>
    </w:p>
    <w:p w14:paraId="724108B6" w14:textId="1EFA8CD4" w:rsidR="00993FA5" w:rsidRDefault="00475418">
      <w:pPr>
        <w:rPr>
          <w:b/>
          <w:bCs/>
        </w:rPr>
      </w:pPr>
      <w:r>
        <w:rPr>
          <w:b/>
          <w:bCs/>
          <w:noProof/>
        </w:rPr>
        <w:drawing>
          <wp:inline distT="0" distB="0" distL="0" distR="0" wp14:anchorId="09678F68" wp14:editId="0CF966A1">
            <wp:extent cx="5943600" cy="1914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14525"/>
                    </a:xfrm>
                    <a:prstGeom prst="rect">
                      <a:avLst/>
                    </a:prstGeom>
                    <a:noFill/>
                    <a:ln>
                      <a:noFill/>
                    </a:ln>
                  </pic:spPr>
                </pic:pic>
              </a:graphicData>
            </a:graphic>
          </wp:inline>
        </w:drawing>
      </w:r>
    </w:p>
    <w:p w14:paraId="4B012D20" w14:textId="653B5E2E" w:rsidR="007D1BBD" w:rsidRPr="00C45249" w:rsidRDefault="00066D7A" w:rsidP="007D1BBD">
      <w:pPr>
        <w:rPr>
          <w:b/>
          <w:bCs/>
        </w:rPr>
      </w:pPr>
      <w:r>
        <w:rPr>
          <w:b/>
          <w:bCs/>
        </w:rPr>
        <w:t>Supplemental Figure 2: Lack o</w:t>
      </w:r>
      <w:r w:rsidR="007D1BBD">
        <w:rPr>
          <w:b/>
          <w:bCs/>
        </w:rPr>
        <w:t xml:space="preserve">f association between race and BNT162b2-induced anti-SARS-CoV-2 antibody titers. </w:t>
      </w:r>
      <w:r w:rsidR="007D1BBD">
        <w:t>Samples collected one month (</w:t>
      </w:r>
      <w:r w:rsidR="007D1BBD">
        <w:rPr>
          <w:rFonts w:cstheme="minorHAnsi"/>
        </w:rPr>
        <w:t>mean 3</w:t>
      </w:r>
      <w:r w:rsidR="00D958B8">
        <w:rPr>
          <w:rFonts w:cstheme="minorHAnsi"/>
        </w:rPr>
        <w:t>6</w:t>
      </w:r>
      <w:r w:rsidR="007D1BBD">
        <w:rPr>
          <w:rFonts w:cstheme="minorHAnsi"/>
        </w:rPr>
        <w:t>.8</w:t>
      </w:r>
      <w:r w:rsidR="007D1BBD">
        <w:t xml:space="preserve"> days) after participants received the second </w:t>
      </w:r>
      <w:r w:rsidR="00861CA0">
        <w:t xml:space="preserve">BNT162b2 </w:t>
      </w:r>
      <w:r w:rsidR="007D1BBD">
        <w:t xml:space="preserve">vaccine dose were tested for antibodies against SARS-CoV-2 spike protein </w:t>
      </w:r>
      <w:r w:rsidR="00C6636F">
        <w:t xml:space="preserve">(green) </w:t>
      </w:r>
      <w:r w:rsidR="007D1BBD">
        <w:t xml:space="preserve">and </w:t>
      </w:r>
      <w:r w:rsidR="008C195C">
        <w:t>RBD</w:t>
      </w:r>
      <w:r w:rsidR="007D1BBD">
        <w:t xml:space="preserve"> </w:t>
      </w:r>
      <w:r w:rsidR="00C6636F">
        <w:t xml:space="preserve">(purple) </w:t>
      </w:r>
      <w:r w:rsidR="007D1BBD">
        <w:t xml:space="preserve">and plotted against </w:t>
      </w:r>
      <w:r w:rsidR="008F0490">
        <w:t xml:space="preserve">participant race. </w:t>
      </w:r>
      <w:r w:rsidR="007D1BBD">
        <w:t xml:space="preserve"> </w:t>
      </w:r>
      <w:r w:rsidR="00D11A15">
        <w:t>(</w:t>
      </w:r>
      <w:r w:rsidR="008F0490">
        <w:t xml:space="preserve">A) </w:t>
      </w:r>
      <w:r w:rsidR="007D1BBD">
        <w:t>Antibody reactivity against SARS-CoV-2 spike protein in samples diluted 1:400</w:t>
      </w:r>
      <w:r w:rsidR="008F0490">
        <w:t xml:space="preserve">, </w:t>
      </w:r>
      <w:r w:rsidR="007D1BBD">
        <w:t xml:space="preserve">reported as </w:t>
      </w:r>
      <w:r w:rsidR="00475418">
        <w:t>MFI</w:t>
      </w:r>
      <w:r w:rsidR="007D1BBD">
        <w:t xml:space="preserve">. </w:t>
      </w:r>
      <w:r w:rsidR="00D11A15">
        <w:t>(</w:t>
      </w:r>
      <w:r w:rsidR="008F0490">
        <w:t xml:space="preserve">B) </w:t>
      </w:r>
      <w:r w:rsidR="007D1BBD">
        <w:t xml:space="preserve">Endpoint dilution titers </w:t>
      </w:r>
      <w:r w:rsidR="008F0490">
        <w:t>of anti-sp</w:t>
      </w:r>
      <w:r w:rsidR="00475418">
        <w:t>i</w:t>
      </w:r>
      <w:r w:rsidR="008F0490">
        <w:t xml:space="preserve">ke IgG and </w:t>
      </w:r>
      <w:r w:rsidR="00D11A15">
        <w:t>(</w:t>
      </w:r>
      <w:r w:rsidR="008F0490">
        <w:t xml:space="preserve">C) anti-RBD IgG </w:t>
      </w:r>
      <w:r w:rsidR="007D1BBD">
        <w:t>measu</w:t>
      </w:r>
      <w:r w:rsidR="008F0490">
        <w:t xml:space="preserve">red in a subset of </w:t>
      </w:r>
      <w:r w:rsidR="00861CA0">
        <w:t>participants</w:t>
      </w:r>
      <w:r w:rsidR="008F0490">
        <w:t xml:space="preserve">. </w:t>
      </w:r>
      <w:r w:rsidR="007D1BBD">
        <w:t>(</w:t>
      </w:r>
      <w:r w:rsidR="00D11A15">
        <w:t xml:space="preserve">ANOVA (A) and </w:t>
      </w:r>
      <w:r w:rsidR="007D1BBD">
        <w:t xml:space="preserve">Kruskal-Wallis </w:t>
      </w:r>
      <w:r w:rsidR="00D11A15">
        <w:t xml:space="preserve">(B,C) </w:t>
      </w:r>
      <w:r w:rsidR="007D1BBD">
        <w:t>analys</w:t>
      </w:r>
      <w:r w:rsidR="00D11A15">
        <w:t>es were</w:t>
      </w:r>
      <w:r w:rsidR="007D1BBD">
        <w:t xml:space="preserve"> used to assess significance. </w:t>
      </w:r>
      <w:r w:rsidR="00475418">
        <w:t>N</w:t>
      </w:r>
      <w:r w:rsidR="007D1BBD">
        <w:t xml:space="preserve"> = 20</w:t>
      </w:r>
      <w:r w:rsidR="00475418">
        <w:t>6</w:t>
      </w:r>
      <w:r w:rsidR="007D1BBD">
        <w:t xml:space="preserve"> for panel A and </w:t>
      </w:r>
      <w:r w:rsidR="00861CA0">
        <w:t xml:space="preserve">n = </w:t>
      </w:r>
      <w:r w:rsidR="007D1BBD">
        <w:t>101 for panels B and C. Bars indicate</w:t>
      </w:r>
      <w:r w:rsidR="00CF08D0">
        <w:t xml:space="preserve"> mean and standard deviation (A) or</w:t>
      </w:r>
      <w:r w:rsidR="007D1BBD">
        <w:t xml:space="preserve"> geometric mean </w:t>
      </w:r>
      <w:r w:rsidR="00CF08D0">
        <w:t>(B,C).</w:t>
      </w:r>
      <w:r w:rsidR="00861CA0">
        <w:t xml:space="preserve"> </w:t>
      </w:r>
      <w:r w:rsidR="00CF08D0">
        <w:t>T</w:t>
      </w:r>
      <w:r w:rsidR="007D1BBD">
        <w:t>iters recorded as &gt;32000 are plotted as 64000</w:t>
      </w:r>
      <w:r w:rsidR="00D11A15">
        <w:t>)</w:t>
      </w:r>
      <w:r w:rsidR="00CF08D0">
        <w:t>.</w:t>
      </w:r>
    </w:p>
    <w:p w14:paraId="127FC6FA" w14:textId="77777777" w:rsidR="007D1BBD" w:rsidRDefault="007D1BBD">
      <w:pPr>
        <w:rPr>
          <w:b/>
          <w:bCs/>
        </w:rPr>
      </w:pPr>
    </w:p>
    <w:p w14:paraId="534BE801" w14:textId="4D02C394" w:rsidR="00C2720E" w:rsidRDefault="00C2720E">
      <w:pPr>
        <w:rPr>
          <w:b/>
          <w:bCs/>
        </w:rPr>
      </w:pPr>
    </w:p>
    <w:p w14:paraId="5B2CB03E" w14:textId="5C723089" w:rsidR="00A26CD0" w:rsidRDefault="00A26CD0">
      <w:pPr>
        <w:rPr>
          <w:b/>
          <w:bCs/>
        </w:rPr>
      </w:pPr>
      <w:r>
        <w:rPr>
          <w:b/>
          <w:bCs/>
        </w:rPr>
        <w:br w:type="page"/>
      </w:r>
    </w:p>
    <w:p w14:paraId="1E3DB9C9" w14:textId="77777777" w:rsidR="00A26CD0" w:rsidRDefault="00A26CD0" w:rsidP="00A26CD0">
      <w:r>
        <w:rPr>
          <w:noProof/>
        </w:rPr>
        <w:lastRenderedPageBreak/>
        <w:drawing>
          <wp:inline distT="0" distB="0" distL="0" distR="0" wp14:anchorId="2E04AC5E" wp14:editId="65D7EA23">
            <wp:extent cx="4707291" cy="61641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07291" cy="6164175"/>
                    </a:xfrm>
                    <a:prstGeom prst="rect">
                      <a:avLst/>
                    </a:prstGeom>
                    <a:noFill/>
                    <a:ln>
                      <a:noFill/>
                    </a:ln>
                  </pic:spPr>
                </pic:pic>
              </a:graphicData>
            </a:graphic>
          </wp:inline>
        </w:drawing>
      </w:r>
    </w:p>
    <w:p w14:paraId="23BCD4D5" w14:textId="1CF8519D" w:rsidR="00A26CD0" w:rsidRDefault="00E63EB6">
      <w:pPr>
        <w:rPr>
          <w:rFonts w:ascii="Arial" w:hAnsi="Arial" w:cs="Arial"/>
          <w:color w:val="222222"/>
          <w:shd w:val="clear" w:color="auto" w:fill="FFFFFF"/>
        </w:rPr>
      </w:pPr>
      <w:r>
        <w:rPr>
          <w:b/>
          <w:bCs/>
        </w:rPr>
        <w:t xml:space="preserve">Supplemental </w:t>
      </w:r>
      <w:r w:rsidR="007D1BBD" w:rsidRPr="00276154">
        <w:rPr>
          <w:b/>
          <w:bCs/>
        </w:rPr>
        <w:t xml:space="preserve">Figure </w:t>
      </w:r>
      <w:r w:rsidR="007D1BBD">
        <w:rPr>
          <w:b/>
          <w:bCs/>
        </w:rPr>
        <w:t>3:</w:t>
      </w:r>
      <w:r w:rsidR="007D1BBD" w:rsidRPr="00276154">
        <w:rPr>
          <w:b/>
          <w:bCs/>
        </w:rPr>
        <w:t xml:space="preserve"> </w:t>
      </w:r>
      <w:r w:rsidR="007D1BBD">
        <w:rPr>
          <w:b/>
          <w:bCs/>
        </w:rPr>
        <w:t xml:space="preserve">Duration of symptoms and BNT162b2-induced antibody levels. </w:t>
      </w:r>
      <w:r w:rsidR="007D1BBD">
        <w:t>Samples collected one month (</w:t>
      </w:r>
      <w:r w:rsidR="007D1BBD">
        <w:rPr>
          <w:rFonts w:cstheme="minorHAnsi"/>
        </w:rPr>
        <w:t>mean 3</w:t>
      </w:r>
      <w:r w:rsidR="00D958B8">
        <w:rPr>
          <w:rFonts w:cstheme="minorHAnsi"/>
        </w:rPr>
        <w:t>6</w:t>
      </w:r>
      <w:r w:rsidR="007D1BBD">
        <w:rPr>
          <w:rFonts w:cstheme="minorHAnsi"/>
        </w:rPr>
        <w:t>.8</w:t>
      </w:r>
      <w:r w:rsidR="007D1BBD">
        <w:t xml:space="preserve"> days) after participants received the second vaccine dose were tested for antibodies against SARS-CoV-2 spike protein and </w:t>
      </w:r>
      <w:r w:rsidR="008C195C">
        <w:t>RBD</w:t>
      </w:r>
      <w:r w:rsidR="007D1BBD">
        <w:t xml:space="preserve"> and plotted against total symptom duration. (A, B) Levels of anti-spike IgG antibodies as measured by MFI after </w:t>
      </w:r>
      <w:r w:rsidR="0051700D">
        <w:t>first</w:t>
      </w:r>
      <w:r w:rsidR="00C6636F">
        <w:t xml:space="preserve"> (orange)</w:t>
      </w:r>
      <w:r w:rsidR="0051700D">
        <w:t xml:space="preserve"> and second </w:t>
      </w:r>
      <w:r w:rsidR="00C6636F">
        <w:t xml:space="preserve">(blue) </w:t>
      </w:r>
      <w:r w:rsidR="007D1BBD">
        <w:t>vaccination (</w:t>
      </w:r>
      <w:r w:rsidR="00C6636F">
        <w:t>N</w:t>
      </w:r>
      <w:r w:rsidR="007D1BBD">
        <w:t>=20</w:t>
      </w:r>
      <w:r w:rsidR="00C6636F">
        <w:t>6</w:t>
      </w:r>
      <w:r w:rsidR="007D1BBD">
        <w:t xml:space="preserve">). (C, D) Titers of anti-spike IgG antibodies after </w:t>
      </w:r>
      <w:r w:rsidR="0051700D">
        <w:t>first and second</w:t>
      </w:r>
      <w:r w:rsidR="007D1BBD">
        <w:t xml:space="preserve"> vaccination (n=101). (E, F) Titers of anti-RBD IgG antibodies after </w:t>
      </w:r>
      <w:r w:rsidR="0051700D">
        <w:t xml:space="preserve">first and second </w:t>
      </w:r>
      <w:r w:rsidR="007D1BBD">
        <w:t xml:space="preserve">vaccination (n=101).  </w:t>
      </w:r>
      <w:r w:rsidR="00970E91">
        <w:t>(</w:t>
      </w:r>
      <w:r w:rsidR="007D1BBD">
        <w:t xml:space="preserve">Bars indicate </w:t>
      </w:r>
      <w:r>
        <w:t xml:space="preserve">mean and standard deviation (A,B) or </w:t>
      </w:r>
      <w:r w:rsidR="007D1BBD">
        <w:t>geometric mean</w:t>
      </w:r>
      <w:r>
        <w:t xml:space="preserve"> (C-D).T</w:t>
      </w:r>
      <w:r w:rsidR="007D1BBD">
        <w:t xml:space="preserve">iters recorded as &gt;32000 are plotted as 64000. Spearman rank correlation analysis demonstrated a </w:t>
      </w:r>
      <w:r w:rsidR="006A0D27">
        <w:t>negative</w:t>
      </w:r>
      <w:r w:rsidR="007D1BBD">
        <w:t xml:space="preserve"> correlation of vaccination 2 symptom duration with anti-spike IgG antibody titers</w:t>
      </w:r>
      <w:r w:rsidRPr="00C6636F">
        <w:rPr>
          <w:rFonts w:cstheme="minorHAnsi"/>
        </w:rPr>
        <w:t>:</w:t>
      </w:r>
      <w:r w:rsidR="00E64465" w:rsidRPr="00C6636F">
        <w:rPr>
          <w:rFonts w:cstheme="minorHAnsi"/>
        </w:rPr>
        <w:t xml:space="preserve">* </w:t>
      </w:r>
      <w:r w:rsidR="00E64465" w:rsidRPr="00C6636F">
        <w:rPr>
          <w:rFonts w:cstheme="minorHAnsi"/>
          <w:color w:val="222222"/>
          <w:shd w:val="clear" w:color="auto" w:fill="FFFFFF"/>
        </w:rPr>
        <w:t>p= 0.</w:t>
      </w:r>
      <w:r w:rsidR="005F36A6" w:rsidRPr="00C6636F">
        <w:rPr>
          <w:rFonts w:cstheme="minorHAnsi"/>
          <w:color w:val="222222"/>
          <w:shd w:val="clear" w:color="auto" w:fill="FFFFFF"/>
        </w:rPr>
        <w:t>0274</w:t>
      </w:r>
      <w:r w:rsidR="00E64465" w:rsidRPr="00C6636F">
        <w:rPr>
          <w:rFonts w:cstheme="minorHAnsi"/>
          <w:color w:val="222222"/>
          <w:shd w:val="clear" w:color="auto" w:fill="FFFFFF"/>
        </w:rPr>
        <w:t>, r</w:t>
      </w:r>
      <w:r w:rsidR="00874695" w:rsidRPr="00C6636F">
        <w:rPr>
          <w:rFonts w:cstheme="minorHAnsi"/>
          <w:color w:val="222222"/>
          <w:shd w:val="clear" w:color="auto" w:fill="FFFFFF"/>
          <w:vertAlign w:val="subscript"/>
        </w:rPr>
        <w:t>s</w:t>
      </w:r>
      <w:r w:rsidR="00E64465" w:rsidRPr="00C6636F">
        <w:rPr>
          <w:rFonts w:cstheme="minorHAnsi"/>
          <w:color w:val="222222"/>
          <w:shd w:val="clear" w:color="auto" w:fill="FFFFFF"/>
        </w:rPr>
        <w:t xml:space="preserve"> = </w:t>
      </w:r>
      <w:r w:rsidR="005F36A6" w:rsidRPr="00C6636F">
        <w:rPr>
          <w:rFonts w:cstheme="minorHAnsi"/>
          <w:color w:val="222222"/>
          <w:shd w:val="clear" w:color="auto" w:fill="FFFFFF"/>
        </w:rPr>
        <w:t>-</w:t>
      </w:r>
      <w:r w:rsidR="00E64465" w:rsidRPr="00C6636F">
        <w:rPr>
          <w:rFonts w:cstheme="minorHAnsi"/>
          <w:color w:val="222222"/>
          <w:shd w:val="clear" w:color="auto" w:fill="FFFFFF"/>
        </w:rPr>
        <w:t>0.2</w:t>
      </w:r>
      <w:r w:rsidR="005F36A6" w:rsidRPr="00C6636F">
        <w:rPr>
          <w:rFonts w:cstheme="minorHAnsi"/>
          <w:color w:val="222222"/>
          <w:shd w:val="clear" w:color="auto" w:fill="FFFFFF"/>
        </w:rPr>
        <w:t>2</w:t>
      </w:r>
      <w:r w:rsidR="00970E91">
        <w:rPr>
          <w:rFonts w:ascii="Arial" w:hAnsi="Arial" w:cs="Arial"/>
          <w:color w:val="222222"/>
          <w:shd w:val="clear" w:color="auto" w:fill="FFFFFF"/>
        </w:rPr>
        <w:t>)</w:t>
      </w:r>
      <w:r>
        <w:rPr>
          <w:rFonts w:ascii="Arial" w:hAnsi="Arial" w:cs="Arial"/>
          <w:color w:val="222222"/>
          <w:shd w:val="clear" w:color="auto" w:fill="FFFFFF"/>
        </w:rPr>
        <w:t>.</w:t>
      </w:r>
    </w:p>
    <w:p w14:paraId="486752FC" w14:textId="77777777" w:rsidR="00BE6116" w:rsidRDefault="00BE6116">
      <w:pPr>
        <w:rPr>
          <w:rFonts w:ascii="Arial" w:hAnsi="Arial" w:cs="Arial"/>
          <w:color w:val="222222"/>
          <w:shd w:val="clear" w:color="auto" w:fill="FFFFFF"/>
        </w:rPr>
      </w:pPr>
    </w:p>
    <w:p w14:paraId="3EE75A20" w14:textId="63191D5D" w:rsidR="00BE6116" w:rsidRPr="00BE6116" w:rsidRDefault="00BE6116">
      <w:pPr>
        <w:rPr>
          <w:rFonts w:cstheme="minorHAnsi"/>
          <w:b/>
          <w:color w:val="222222"/>
          <w:shd w:val="clear" w:color="auto" w:fill="FFFFFF"/>
        </w:rPr>
      </w:pPr>
      <w:r w:rsidRPr="00BE6116">
        <w:rPr>
          <w:rFonts w:cstheme="minorHAnsi"/>
          <w:b/>
          <w:color w:val="222222"/>
          <w:shd w:val="clear" w:color="auto" w:fill="FFFFFF"/>
        </w:rPr>
        <w:lastRenderedPageBreak/>
        <w:t>Supplemental Methods</w:t>
      </w:r>
    </w:p>
    <w:p w14:paraId="66A73C05" w14:textId="77777777" w:rsidR="00BE6116" w:rsidRPr="00F66D38" w:rsidRDefault="00BE6116" w:rsidP="00BE6116">
      <w:pPr>
        <w:spacing w:after="0" w:line="240" w:lineRule="auto"/>
        <w:rPr>
          <w:rFonts w:cstheme="minorHAnsi"/>
          <w:b/>
          <w:i/>
        </w:rPr>
      </w:pPr>
      <w:r w:rsidRPr="00F66D38">
        <w:rPr>
          <w:rFonts w:cstheme="minorHAnsi"/>
          <w:b/>
          <w:i/>
        </w:rPr>
        <w:t>Antibody testing</w:t>
      </w:r>
    </w:p>
    <w:p w14:paraId="485AF911" w14:textId="4DB09E41" w:rsidR="00BE6116" w:rsidRDefault="00BE6116" w:rsidP="00BE6116">
      <w:pPr>
        <w:rPr>
          <w:rFonts w:cstheme="minorHAnsi"/>
          <w:bCs/>
        </w:rPr>
      </w:pPr>
      <w:r w:rsidRPr="005E7AF8">
        <w:rPr>
          <w:rFonts w:cstheme="minorHAnsi"/>
        </w:rPr>
        <w:t xml:space="preserve">Testing for IgG antibodies against SARS-CoV-2 spike  protein and receptor binding domain (RBD) was conducted using </w:t>
      </w:r>
      <w:r w:rsidRPr="005E7AF8">
        <w:rPr>
          <w:rFonts w:cstheme="minorHAnsi"/>
          <w:lang w:val="en"/>
        </w:rPr>
        <w:t xml:space="preserve">microsphere-based multiplex immunoassays (MMIAs) built using Luminex xMAP-based technology </w:t>
      </w:r>
      <w:r>
        <w:rPr>
          <w:rFonts w:cstheme="minorHAnsi"/>
          <w:lang w:val="en"/>
        </w:rPr>
        <w:t xml:space="preserve">as previously described </w:t>
      </w:r>
      <w:r>
        <w:rPr>
          <w:rFonts w:cstheme="minorHAnsi"/>
          <w:lang w:val="en"/>
        </w:rPr>
        <w:fldChar w:fldCharType="begin"/>
      </w:r>
      <w:r>
        <w:rPr>
          <w:rFonts w:cstheme="minorHAnsi"/>
          <w:lang w:val="en"/>
        </w:rPr>
        <w:instrText xml:space="preserve"> ADDIN EN.CITE &lt;EndNote&gt;&lt;Cite&gt;&lt;Author&gt;Laing&lt;/Author&gt;&lt;Year&gt;2021&lt;/Year&gt;&lt;RecNum&gt;4056&lt;/RecNum&gt;&lt;DisplayText&gt;&lt;style face="superscript"&gt;14&lt;/style&gt;&lt;/DisplayText&gt;&lt;record&gt;&lt;rec-number&gt;4056&lt;/rec-number&gt;&lt;foreign-keys&gt;&lt;key app="EN" db-id="a2txwfx0m25p0yeetv1ptsz8wz025ew59s5d" timestamp="1621378768"&gt;4056&lt;/key&gt;&lt;/foreign-keys&gt;&lt;ref-type name="Journal Article"&gt;17&lt;/ref-type&gt;&lt;contributors&gt;&lt;authors&gt;&lt;author&gt;Laing, E. D.&lt;/author&gt;&lt;author&gt;Sterling, S. L.&lt;/author&gt;&lt;author&gt;Richard, S. A.&lt;/author&gt;&lt;author&gt;Epsi, N. J.&lt;/author&gt;&lt;author&gt;Coggins, S.&lt;/author&gt;&lt;author&gt;Samuels, E. C.&lt;/author&gt;&lt;author&gt;Phogat, S.&lt;/author&gt;&lt;author&gt;Yan, L.&lt;/author&gt;&lt;author&gt;Moreno, N.&lt;/author&gt;&lt;author&gt;Coles, C. L.&lt;/author&gt;&lt;author&gt;Drew, M.&lt;/author&gt;&lt;author&gt;Mehalko, J.&lt;/author&gt;&lt;author&gt;Merritt, S.&lt;/author&gt;&lt;author&gt;Mende, K.&lt;/author&gt;&lt;author&gt;Munster, V.&lt;/author&gt;&lt;author&gt;de Wit, E.&lt;/author&gt;&lt;author&gt;Chung, K. K.&lt;/author&gt;&lt;author&gt;Millar, E. V.&lt;/author&gt;&lt;author&gt;Tribble, D. R.&lt;/author&gt;&lt;author&gt;Simons, M. P.&lt;/author&gt;&lt;author&gt;Pollett, S. D.&lt;/author&gt;&lt;author&gt;Esposito, D.&lt;/author&gt;&lt;author&gt;Lanteri, C.&lt;/author&gt;&lt;author&gt;Clifton, G. T.&lt;/author&gt;&lt;author&gt;Mitre, E.&lt;/author&gt;&lt;author&gt;Burgess, T. H.&lt;/author&gt;&lt;author&gt;Broder, C. C.&lt;/author&gt;&lt;/authors&gt;&lt;/contributors&gt;&lt;titles&gt;&lt;title&gt;Antigen-based multiplex strategies to discriminate SARS-CoV-2 natural and vaccine induced immunity from seasonal human coronavirus humoral responses&lt;/title&gt;&lt;secondary-title&gt;medRxiv&lt;/secondary-title&gt;&lt;/titles&gt;&lt;periodical&gt;&lt;full-title&gt;medRxiv&lt;/full-title&gt;&lt;/periodical&gt;&lt;edition&gt;2021/02/18&lt;/edition&gt;&lt;dates&gt;&lt;year&gt;2021&lt;/year&gt;&lt;pub-dates&gt;&lt;date&gt;Feb 12&lt;/date&gt;&lt;/pub-dates&gt;&lt;/dates&gt;&lt;accession-num&gt;33594376&lt;/accession-num&gt;&lt;urls&gt;&lt;related-urls&gt;&lt;url&gt;https://www.ncbi.nlm.nih.gov/pubmed/33594376&lt;/url&gt;&lt;/related-urls&gt;&lt;/urls&gt;&lt;custom2&gt;PMC7885935&lt;/custom2&gt;&lt;electronic-resource-num&gt;10.1101/2021.02.10.21251518&lt;/electronic-resource-num&gt;&lt;/record&gt;&lt;/Cite&gt;&lt;/EndNote&gt;</w:instrText>
      </w:r>
      <w:r>
        <w:rPr>
          <w:rFonts w:cstheme="minorHAnsi"/>
          <w:lang w:val="en"/>
        </w:rPr>
        <w:fldChar w:fldCharType="separate"/>
      </w:r>
      <w:r w:rsidRPr="001207F2">
        <w:rPr>
          <w:rFonts w:cstheme="minorHAnsi"/>
          <w:noProof/>
          <w:vertAlign w:val="superscript"/>
          <w:lang w:val="en"/>
        </w:rPr>
        <w:t>14</w:t>
      </w:r>
      <w:r>
        <w:rPr>
          <w:rFonts w:cstheme="minorHAnsi"/>
          <w:lang w:val="en"/>
        </w:rPr>
        <w:fldChar w:fldCharType="end"/>
      </w:r>
      <w:r>
        <w:rPr>
          <w:rFonts w:cstheme="minorHAnsi"/>
          <w:lang w:val="en"/>
        </w:rPr>
        <w:t xml:space="preserve">. </w:t>
      </w:r>
      <w:r w:rsidRPr="00BE6116">
        <w:rPr>
          <w:rFonts w:cstheme="minorHAnsi"/>
          <w:bCs/>
          <w:lang w:val="en"/>
        </w:rPr>
        <w:t xml:space="preserve">Two MMIA antigen-based panels were used, one with trimeric prefusion-stabilized ectodomain spike proteins of SARS-CoV-2 and the four seasonal human coronaviruses (HKU1, OC43, 229E, and NL63), and one with SARS-CoV-2 RBD and nucleocapsid protein. </w:t>
      </w:r>
      <w:r w:rsidRPr="00BE6116">
        <w:rPr>
          <w:rFonts w:cstheme="minorHAnsi"/>
          <w:bCs/>
        </w:rPr>
        <w:t>The SARS-CoV-2 spike protein was obtained from LakePharma, Inc (San Carlos, CA, USA), whereas the RBD  was provided by Dr. Dominic Esposito (FNLCR, Frederick, MD, USA)</w:t>
      </w:r>
      <w:r w:rsidRPr="00BE6116">
        <w:rPr>
          <w:rFonts w:cstheme="minorHAnsi"/>
          <w:bCs/>
        </w:rPr>
        <w:fldChar w:fldCharType="begin">
          <w:fldData xml:space="preserve">PEVuZE5vdGU+PENpdGU+PEF1dGhvcj5NZWhhbGtvPC9BdXRob3I+PFllYXI+MjAyMTwvWWVhcj48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</w:fldData>
        </w:fldChar>
      </w:r>
      <w:r>
        <w:rPr>
          <w:rFonts w:cstheme="minorHAnsi"/>
          <w:bCs/>
        </w:rPr>
        <w:instrText xml:space="preserve"> ADDIN EN.CITE </w:instrText>
      </w:r>
      <w:r>
        <w:rPr>
          <w:rFonts w:cstheme="minorHAnsi"/>
          <w:bCs/>
        </w:rPr>
        <w:fldChar w:fldCharType="begin">
          <w:fldData xml:space="preserve">PEVuZE5vdGU+PENpdGU+PEF1dGhvcj5NZWhhbGtvPC9BdXRob3I+PFllYXI+MjAyMTwvWWVhcj48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</w:fldData>
        </w:fldChar>
      </w:r>
      <w:r>
        <w:rPr>
          <w:rFonts w:cstheme="minorHAnsi"/>
          <w:bCs/>
        </w:rPr>
        <w:instrText xml:space="preserve"> ADDIN EN.CITE.DATA </w:instrText>
      </w:r>
      <w:r>
        <w:rPr>
          <w:rFonts w:cstheme="minorHAnsi"/>
          <w:bCs/>
        </w:rPr>
      </w:r>
      <w:r>
        <w:rPr>
          <w:rFonts w:cstheme="minorHAnsi"/>
          <w:bCs/>
        </w:rPr>
        <w:fldChar w:fldCharType="end"/>
      </w:r>
      <w:r w:rsidRPr="00BE6116">
        <w:rPr>
          <w:rFonts w:cstheme="minorHAnsi"/>
          <w:bCs/>
        </w:rPr>
      </w:r>
      <w:r w:rsidRPr="00BE6116">
        <w:rPr>
          <w:rFonts w:cstheme="minorHAnsi"/>
          <w:bCs/>
        </w:rPr>
        <w:fldChar w:fldCharType="separate"/>
      </w:r>
      <w:r w:rsidRPr="00BE6116">
        <w:rPr>
          <w:rFonts w:cstheme="minorHAnsi"/>
          <w:bCs/>
          <w:noProof/>
          <w:vertAlign w:val="superscript"/>
        </w:rPr>
        <w:t>1</w:t>
      </w:r>
      <w:r w:rsidRPr="00BE6116">
        <w:rPr>
          <w:rFonts w:cstheme="minorHAnsi"/>
          <w:bCs/>
        </w:rPr>
        <w:fldChar w:fldCharType="end"/>
      </w:r>
      <w:r w:rsidRPr="00BE6116">
        <w:rPr>
          <w:rFonts w:cstheme="minorHAnsi"/>
          <w:bCs/>
        </w:rPr>
        <w:t xml:space="preserve"> and nucleocapsid protein was obtained from RayBiotech (Peachtree Corners, GA, USA).  Sensitivity of this assay for the detection of SARS-CoV-2 IgG antibodies from blood specimens 7-28 days after the onset of symptoms is 94% and specificity is 100% </w:t>
      </w:r>
      <w:r w:rsidRPr="00BE6116">
        <w:rPr>
          <w:rFonts w:cstheme="minorHAnsi"/>
          <w:bCs/>
        </w:rPr>
        <w:fldChar w:fldCharType="begin"/>
      </w:r>
      <w:r>
        <w:rPr>
          <w:rFonts w:cstheme="minorHAnsi"/>
          <w:bCs/>
        </w:rPr>
        <w:instrText xml:space="preserve"> ADDIN EN.CITE &lt;EndNote&gt;&lt;Cite&gt;&lt;Author&gt;Laing&lt;/Author&gt;&lt;Year&gt;2021&lt;/Year&gt;&lt;RecNum&gt;4056&lt;/RecNum&gt;&lt;DisplayText&gt;&lt;style face="superscript"&gt;2&lt;/style&gt;&lt;/DisplayText&gt;&lt;record&gt;&lt;rec-number&gt;4056&lt;/rec-number&gt;&lt;foreign-keys&gt;&lt;key app="EN" db-id="a2txwfx0m25p0yeetv1ptsz8wz025ew59s5d" timestamp="1621378768"&gt;4056&lt;/key&gt;&lt;/foreign-keys&gt;&lt;ref-type name="Journal Article"&gt;17&lt;/ref-type&gt;&lt;contributors&gt;&lt;authors&gt;&lt;author&gt;Laing, E. D.&lt;/author&gt;&lt;author&gt;Sterling, S. L.&lt;/author&gt;&lt;author&gt;Richard, S. A.&lt;/author&gt;&lt;author&gt;Epsi, N. J.&lt;/author&gt;&lt;author&gt;Coggins, S.&lt;/author&gt;&lt;author&gt;Samuels, E. C.&lt;/author&gt;&lt;author&gt;Phogat, S.&lt;/author&gt;&lt;author&gt;Yan, L.&lt;/author&gt;&lt;author&gt;Moreno, N.&lt;/author&gt;&lt;author&gt;Coles, C. L.&lt;/author&gt;&lt;author&gt;Drew, M.&lt;/author&gt;&lt;author&gt;Mehalko, J.&lt;/author&gt;&lt;author&gt;Merritt, S.&lt;/author&gt;&lt;author&gt;Mende, K.&lt;/author&gt;&lt;author&gt;Munster, V.&lt;/author&gt;&lt;author&gt;de Wit, E.&lt;/author&gt;&lt;author&gt;Chung, K. K.&lt;/author&gt;&lt;author&gt;Millar, E. V.&lt;/author&gt;&lt;author&gt;Tribble, D. R.&lt;/author&gt;&lt;author&gt;Simons, M. P.&lt;/author&gt;&lt;author&gt;Pollett, S. D.&lt;/author&gt;&lt;author&gt;Esposito, D.&lt;/author&gt;&lt;author&gt;Lanteri, C.&lt;/author&gt;&lt;author&gt;Clifton, G. T.&lt;/author&gt;&lt;author&gt;Mitre, E.&lt;/author&gt;&lt;author&gt;Burgess, T. H.&lt;/author&gt;&lt;author&gt;Broder, C. C.&lt;/author&gt;&lt;/authors&gt;&lt;/contributors&gt;&lt;titles&gt;&lt;title&gt;Antigen-based multiplex strategies to discriminate SARS-CoV-2 natural and vaccine induced immunity from seasonal human coronavirus humoral responses&lt;/title&gt;&lt;secondary-title&gt;medRxiv&lt;/secondary-title&gt;&lt;/titles&gt;&lt;periodical&gt;&lt;full-title&gt;medRxiv&lt;/full-title&gt;&lt;/periodical&gt;&lt;edition&gt;2021/02/18&lt;/edition&gt;&lt;dates&gt;&lt;year&gt;2021&lt;/year&gt;&lt;pub-dates&gt;&lt;date&gt;Feb 12&lt;/date&gt;&lt;/pub-dates&gt;&lt;/dates&gt;&lt;accession-num&gt;33594376&lt;/accession-num&gt;&lt;urls&gt;&lt;related-urls&gt;&lt;url&gt;https://www.ncbi.nlm.nih.gov/pubmed/33594376&lt;/url&gt;&lt;/related-urls&gt;&lt;/urls&gt;&lt;custom2&gt;PMC7885935&lt;/custom2&gt;&lt;electronic-resource-num&gt;10.1101/2021.02.10.21251518&lt;/electronic-resource-num&gt;&lt;/record&gt;&lt;/Cite&gt;&lt;/EndNote&gt;</w:instrText>
      </w:r>
      <w:r w:rsidRPr="00BE6116">
        <w:rPr>
          <w:rFonts w:cstheme="minorHAnsi"/>
          <w:bCs/>
        </w:rPr>
        <w:fldChar w:fldCharType="separate"/>
      </w:r>
      <w:r w:rsidRPr="00BE6116">
        <w:rPr>
          <w:rFonts w:cstheme="minorHAnsi"/>
          <w:bCs/>
          <w:noProof/>
          <w:vertAlign w:val="superscript"/>
        </w:rPr>
        <w:t>2</w:t>
      </w:r>
      <w:r w:rsidRPr="00BE6116">
        <w:rPr>
          <w:rFonts w:cstheme="minorHAnsi"/>
          <w:bCs/>
        </w:rPr>
        <w:fldChar w:fldCharType="end"/>
      </w:r>
      <w:r w:rsidRPr="00BE6116">
        <w:rPr>
          <w:rFonts w:cstheme="minorHAnsi"/>
          <w:bCs/>
        </w:rPr>
        <w:t>.  Mean fluorescence intensity (MFI) was measured for all serum samples prepared at a dilution of 1:400 using the MMIA panel measuring IgG antibodies against SARS-CoV-2 spike protein. Additionally, endpoint dilution titers were determined for the first 101 participants with one-month post-2</w:t>
      </w:r>
      <w:r w:rsidRPr="00BE6116">
        <w:rPr>
          <w:rFonts w:cstheme="minorHAnsi"/>
          <w:bCs/>
          <w:vertAlign w:val="superscript"/>
        </w:rPr>
        <w:t>nd</w:t>
      </w:r>
      <w:r w:rsidRPr="00BE6116">
        <w:rPr>
          <w:rFonts w:cstheme="minorHAnsi"/>
          <w:bCs/>
        </w:rPr>
        <w:t xml:space="preserve"> vaccination serum samples obtained from the study cohort on both MMIA assays. Titers were peformed at seven two-fold dilutions from 1:500 to 1:32000 in phosphate buffered saline (PBS) without calcium and magnesium. Endpoint titers of IgG against SARS-CoV-2 spike and RBD were defined as the last dilution at which the MFI exceeded the threshold cutoff values of 4774 MFI and 4666 MFI respectively, as previously reported in Laing et al </w:t>
      </w:r>
      <w:r w:rsidRPr="00BE6116">
        <w:rPr>
          <w:rFonts w:cstheme="minorHAnsi"/>
          <w:bCs/>
        </w:rPr>
        <w:fldChar w:fldCharType="begin"/>
      </w:r>
      <w:r>
        <w:rPr>
          <w:rFonts w:cstheme="minorHAnsi"/>
          <w:bCs/>
        </w:rPr>
        <w:instrText xml:space="preserve"> ADDIN EN.CITE &lt;EndNote&gt;&lt;Cite&gt;&lt;Author&gt;Laing&lt;/Author&gt;&lt;Year&gt;2021&lt;/Year&gt;&lt;RecNum&gt;4056&lt;/RecNum&gt;&lt;DisplayText&gt;&lt;style face="superscript"&gt;2&lt;/style&gt;&lt;/DisplayText&gt;&lt;record&gt;&lt;rec-number&gt;4056&lt;/rec-number&gt;&lt;foreign-keys&gt;&lt;key app="EN" db-id="a2txwfx0m25p0yeetv1ptsz8wz025ew59s5d" timestamp="1621378768"&gt;4056&lt;/key&gt;&lt;/foreign-keys&gt;&lt;ref-type name="Journal Article"&gt;17&lt;/ref-type&gt;&lt;contributors&gt;&lt;authors&gt;&lt;author&gt;Laing, E. D.&lt;/author&gt;&lt;author&gt;Sterling, S. L.&lt;/author&gt;&lt;author&gt;Richard, S. A.&lt;/author&gt;&lt;author&gt;Epsi, N. J.&lt;/author&gt;&lt;author&gt;Coggins, S.&lt;/author&gt;&lt;author&gt;Samuels, E. C.&lt;/author&gt;&lt;author&gt;Phogat, S.&lt;/author&gt;&lt;author&gt;Yan, L.&lt;/author&gt;&lt;author&gt;Moreno, N.&lt;/author&gt;&lt;author&gt;Coles, C. L.&lt;/author&gt;&lt;author&gt;Drew, M.&lt;/author&gt;&lt;author&gt;Mehalko, J.&lt;/author&gt;&lt;author&gt;Merritt, S.&lt;/author&gt;&lt;author&gt;Mende, K.&lt;/author&gt;&lt;author&gt;Munster, V.&lt;/author&gt;&lt;author&gt;de Wit, E.&lt;/author&gt;&lt;author&gt;Chung, K. K.&lt;/author&gt;&lt;author&gt;Millar, E. V.&lt;/author&gt;&lt;author&gt;Tribble, D. R.&lt;/author&gt;&lt;author&gt;Simons, M. P.&lt;/author&gt;&lt;author&gt;Pollett, S. D.&lt;/author&gt;&lt;author&gt;Esposito, D.&lt;/author&gt;&lt;author&gt;Lanteri, C.&lt;/author&gt;&lt;author&gt;Clifton, G. T.&lt;/author&gt;&lt;author&gt;Mitre, E.&lt;/author&gt;&lt;author&gt;Burgess, T. H.&lt;/author&gt;&lt;author&gt;Broder, C. C.&lt;/author&gt;&lt;/authors&gt;&lt;/contributors&gt;&lt;titles&gt;&lt;title&gt;Antigen-based multiplex strategies to discriminate SARS-CoV-2 natural and vaccine induced immunity from seasonal human coronavirus humoral responses&lt;/title&gt;&lt;secondary-title&gt;medRxiv&lt;/secondary-title&gt;&lt;/titles&gt;&lt;periodical&gt;&lt;full-title&gt;medRxiv&lt;/full-title&gt;&lt;/periodical&gt;&lt;edition&gt;2021/02/18&lt;/edition&gt;&lt;dates&gt;&lt;year&gt;2021&lt;/year&gt;&lt;pub-dates&gt;&lt;date&gt;Feb 12&lt;/date&gt;&lt;/pub-dates&gt;&lt;/dates&gt;&lt;accession-num&gt;33594376&lt;/accession-num&gt;&lt;urls&gt;&lt;related-urls&gt;&lt;url&gt;https://www.ncbi.nlm.nih.gov/pubmed/33594376&lt;/url&gt;&lt;/related-urls&gt;&lt;/urls&gt;&lt;custom2&gt;PMC7885935&lt;/custom2&gt;&lt;electronic-resource-num&gt;10.1101/2021.02.10.21251518&lt;/electronic-resource-num&gt;&lt;/record&gt;&lt;/Cite&gt;&lt;/EndNote&gt;</w:instrText>
      </w:r>
      <w:r w:rsidRPr="00BE6116">
        <w:rPr>
          <w:rFonts w:cstheme="minorHAnsi"/>
          <w:bCs/>
        </w:rPr>
        <w:fldChar w:fldCharType="separate"/>
      </w:r>
      <w:r w:rsidRPr="00BE6116">
        <w:rPr>
          <w:rFonts w:cstheme="minorHAnsi"/>
          <w:bCs/>
          <w:noProof/>
          <w:vertAlign w:val="superscript"/>
        </w:rPr>
        <w:t>2</w:t>
      </w:r>
      <w:r w:rsidRPr="00BE6116">
        <w:rPr>
          <w:rFonts w:cstheme="minorHAnsi"/>
          <w:bCs/>
        </w:rPr>
        <w:fldChar w:fldCharType="end"/>
      </w:r>
      <w:r w:rsidRPr="00BE6116">
        <w:rPr>
          <w:rFonts w:cstheme="minorHAnsi"/>
          <w:bCs/>
        </w:rPr>
        <w:t>.</w:t>
      </w:r>
    </w:p>
    <w:p w14:paraId="77BE8920" w14:textId="77777777" w:rsidR="00BE6116" w:rsidRDefault="00BE6116">
      <w:pPr>
        <w:rPr>
          <w:rFonts w:cstheme="minorHAnsi"/>
          <w:bCs/>
        </w:rPr>
      </w:pPr>
    </w:p>
    <w:p w14:paraId="45A9DF4B" w14:textId="1C31588E" w:rsidR="00BE6116" w:rsidRPr="00977C8C" w:rsidRDefault="00977C8C">
      <w:pPr>
        <w:rPr>
          <w:rFonts w:cstheme="minorHAnsi"/>
          <w:b/>
          <w:bCs/>
        </w:rPr>
      </w:pPr>
      <w:r w:rsidRPr="00977C8C">
        <w:rPr>
          <w:rFonts w:cstheme="minorHAnsi"/>
          <w:b/>
          <w:bCs/>
        </w:rPr>
        <w:t xml:space="preserve">References </w:t>
      </w:r>
      <w:r w:rsidR="00BE6116" w:rsidRPr="00977C8C">
        <w:rPr>
          <w:rFonts w:cstheme="minorHAnsi"/>
          <w:b/>
          <w:bCs/>
        </w:rPr>
        <w:t>Supplemental Methods</w:t>
      </w:r>
    </w:p>
    <w:p w14:paraId="356273DF" w14:textId="77777777" w:rsidR="00BE6116" w:rsidRPr="00BE6116" w:rsidRDefault="00BE6116" w:rsidP="00BE6116">
      <w:pPr>
        <w:pStyle w:val="EndNoteBibliography"/>
        <w:spacing w:after="0"/>
      </w:pPr>
      <w:r>
        <w:rPr>
          <w:rFonts w:cstheme="minorHAnsi"/>
          <w:bCs/>
        </w:rPr>
        <w:fldChar w:fldCharType="begin"/>
      </w:r>
      <w:r>
        <w:rPr>
          <w:rFonts w:cstheme="minorHAnsi"/>
          <w:bCs/>
        </w:rPr>
        <w:instrText xml:space="preserve"> ADDIN EN.REFLIST </w:instrText>
      </w:r>
      <w:r>
        <w:rPr>
          <w:rFonts w:cstheme="minorHAnsi"/>
          <w:bCs/>
        </w:rPr>
        <w:fldChar w:fldCharType="separate"/>
      </w:r>
      <w:r w:rsidRPr="00BE6116">
        <w:t>1.</w:t>
      </w:r>
      <w:r w:rsidRPr="00BE6116">
        <w:tab/>
        <w:t xml:space="preserve">Mehalko J, Drew M, Snead K, et al. Improved production of SARS-CoV-2 spike receptor-binding domain (RBD) for serology assays. </w:t>
      </w:r>
      <w:r w:rsidRPr="00BE6116">
        <w:rPr>
          <w:i/>
        </w:rPr>
        <w:t>Protein Expr Purif</w:t>
      </w:r>
      <w:r w:rsidRPr="00BE6116">
        <w:t>. Mar 2021;179:105802. doi:10.1016/j.pep.2020.105802</w:t>
      </w:r>
    </w:p>
    <w:p w14:paraId="469DD793" w14:textId="77777777" w:rsidR="00BE6116" w:rsidRPr="00BE6116" w:rsidRDefault="00BE6116" w:rsidP="00BE6116">
      <w:pPr>
        <w:pStyle w:val="EndNoteBibliography"/>
      </w:pPr>
      <w:r w:rsidRPr="00BE6116">
        <w:t>2.</w:t>
      </w:r>
      <w:r w:rsidRPr="00BE6116">
        <w:tab/>
        <w:t xml:space="preserve">Laing ED, Sterling SL, Richard SA, et al. Antigen-based multiplex strategies to discriminate SARS-CoV-2 natural and vaccine induced immunity from seasonal human coronavirus humoral responses. </w:t>
      </w:r>
      <w:r w:rsidRPr="00BE6116">
        <w:rPr>
          <w:i/>
        </w:rPr>
        <w:t>medRxiv</w:t>
      </w:r>
      <w:r w:rsidRPr="00BE6116">
        <w:t>. Feb 12 2021;doi:10.1101/2021.02.10.21251518</w:t>
      </w:r>
    </w:p>
    <w:p w14:paraId="6EC3A72A" w14:textId="3C593D9F" w:rsidR="00BE6116" w:rsidRPr="00BE6116" w:rsidRDefault="00BE6116">
      <w:pPr>
        <w:rPr>
          <w:rFonts w:cstheme="minorHAnsi"/>
          <w:bCs/>
        </w:rPr>
      </w:pPr>
      <w:r>
        <w:rPr>
          <w:rFonts w:cstheme="minorHAnsi"/>
          <w:bCs/>
        </w:rPr>
        <w:fldChar w:fldCharType="end"/>
      </w:r>
    </w:p>
    <w:sectPr w:rsidR="00BE6116" w:rsidRPr="00BE6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8DA4C" w14:textId="77777777" w:rsidR="005B3010" w:rsidRDefault="005B3010" w:rsidP="00EC2791">
      <w:pPr>
        <w:spacing w:after="0" w:line="240" w:lineRule="auto"/>
      </w:pPr>
      <w:r>
        <w:separator/>
      </w:r>
    </w:p>
  </w:endnote>
  <w:endnote w:type="continuationSeparator" w:id="0">
    <w:p w14:paraId="6CDBB794" w14:textId="77777777" w:rsidR="005B3010" w:rsidRDefault="005B3010" w:rsidP="00EC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2E03C" w14:textId="77777777" w:rsidR="005B3010" w:rsidRDefault="005B3010" w:rsidP="00EC2791">
      <w:pPr>
        <w:spacing w:after="0" w:line="240" w:lineRule="auto"/>
      </w:pPr>
      <w:r>
        <w:separator/>
      </w:r>
    </w:p>
  </w:footnote>
  <w:footnote w:type="continuationSeparator" w:id="0">
    <w:p w14:paraId="56A96C95" w14:textId="77777777" w:rsidR="005B3010" w:rsidRDefault="005B3010" w:rsidP="00EC2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txwfx0m25p0yeetv1ptsz8wz025ew59s5d&quot;&gt;Big Basos and Eos Library-Converted-Converted April 2021&lt;record-ids&gt;&lt;item&gt;4056&lt;/item&gt;&lt;item&gt;4057&lt;/item&gt;&lt;/record-ids&gt;&lt;/item&gt;&lt;/Libraries&gt;"/>
  </w:docVars>
  <w:rsids>
    <w:rsidRoot w:val="0071021C"/>
    <w:rsid w:val="00004248"/>
    <w:rsid w:val="00006D58"/>
    <w:rsid w:val="00037015"/>
    <w:rsid w:val="00045824"/>
    <w:rsid w:val="00066D7A"/>
    <w:rsid w:val="00083324"/>
    <w:rsid w:val="000A0927"/>
    <w:rsid w:val="000D603A"/>
    <w:rsid w:val="0010483F"/>
    <w:rsid w:val="001076DD"/>
    <w:rsid w:val="00110998"/>
    <w:rsid w:val="00112349"/>
    <w:rsid w:val="00121821"/>
    <w:rsid w:val="001246B0"/>
    <w:rsid w:val="0012565D"/>
    <w:rsid w:val="00135CA6"/>
    <w:rsid w:val="00147648"/>
    <w:rsid w:val="001579D8"/>
    <w:rsid w:val="0016566E"/>
    <w:rsid w:val="00184C11"/>
    <w:rsid w:val="001B5AF7"/>
    <w:rsid w:val="001F3A3E"/>
    <w:rsid w:val="002257DA"/>
    <w:rsid w:val="002631F9"/>
    <w:rsid w:val="00274BAF"/>
    <w:rsid w:val="00276154"/>
    <w:rsid w:val="002970EB"/>
    <w:rsid w:val="002B3085"/>
    <w:rsid w:val="002B4E4A"/>
    <w:rsid w:val="002E7E26"/>
    <w:rsid w:val="003A5820"/>
    <w:rsid w:val="003F1B01"/>
    <w:rsid w:val="00402FBE"/>
    <w:rsid w:val="00406F3F"/>
    <w:rsid w:val="0042755E"/>
    <w:rsid w:val="00457050"/>
    <w:rsid w:val="00471445"/>
    <w:rsid w:val="00475418"/>
    <w:rsid w:val="0048497A"/>
    <w:rsid w:val="004860AD"/>
    <w:rsid w:val="0051700D"/>
    <w:rsid w:val="00542685"/>
    <w:rsid w:val="005452C8"/>
    <w:rsid w:val="005A5CE5"/>
    <w:rsid w:val="005B3010"/>
    <w:rsid w:val="005B36E7"/>
    <w:rsid w:val="005E5199"/>
    <w:rsid w:val="005F360B"/>
    <w:rsid w:val="005F36A6"/>
    <w:rsid w:val="005F498A"/>
    <w:rsid w:val="00603F5A"/>
    <w:rsid w:val="00654A9C"/>
    <w:rsid w:val="006614FB"/>
    <w:rsid w:val="00673C95"/>
    <w:rsid w:val="006A0D27"/>
    <w:rsid w:val="006C0AA2"/>
    <w:rsid w:val="006E50DD"/>
    <w:rsid w:val="0071021C"/>
    <w:rsid w:val="007148E5"/>
    <w:rsid w:val="00730ED3"/>
    <w:rsid w:val="00735F68"/>
    <w:rsid w:val="0075556F"/>
    <w:rsid w:val="007608C3"/>
    <w:rsid w:val="0076138E"/>
    <w:rsid w:val="00763A53"/>
    <w:rsid w:val="00771E7F"/>
    <w:rsid w:val="00785276"/>
    <w:rsid w:val="007C0401"/>
    <w:rsid w:val="007D1BBD"/>
    <w:rsid w:val="0080041A"/>
    <w:rsid w:val="008447CA"/>
    <w:rsid w:val="00861CA0"/>
    <w:rsid w:val="00874695"/>
    <w:rsid w:val="00890475"/>
    <w:rsid w:val="00890852"/>
    <w:rsid w:val="008A472B"/>
    <w:rsid w:val="008B0A1F"/>
    <w:rsid w:val="008C1127"/>
    <w:rsid w:val="008C195C"/>
    <w:rsid w:val="008C6B0D"/>
    <w:rsid w:val="008D3526"/>
    <w:rsid w:val="008D4CD8"/>
    <w:rsid w:val="008D59DD"/>
    <w:rsid w:val="008F0490"/>
    <w:rsid w:val="008F4305"/>
    <w:rsid w:val="00906156"/>
    <w:rsid w:val="0091695E"/>
    <w:rsid w:val="00934A82"/>
    <w:rsid w:val="00955539"/>
    <w:rsid w:val="009565FD"/>
    <w:rsid w:val="00970E91"/>
    <w:rsid w:val="00977C8C"/>
    <w:rsid w:val="00993FA5"/>
    <w:rsid w:val="00997EE7"/>
    <w:rsid w:val="009A3F9F"/>
    <w:rsid w:val="009A4FA2"/>
    <w:rsid w:val="009D58C3"/>
    <w:rsid w:val="009E31F6"/>
    <w:rsid w:val="009E7903"/>
    <w:rsid w:val="00A04C98"/>
    <w:rsid w:val="00A26CD0"/>
    <w:rsid w:val="00A36E9A"/>
    <w:rsid w:val="00A456C3"/>
    <w:rsid w:val="00A45939"/>
    <w:rsid w:val="00A46D75"/>
    <w:rsid w:val="00A54D44"/>
    <w:rsid w:val="00A706BC"/>
    <w:rsid w:val="00A73E77"/>
    <w:rsid w:val="00AE6FF8"/>
    <w:rsid w:val="00B24501"/>
    <w:rsid w:val="00B37E25"/>
    <w:rsid w:val="00B41C3D"/>
    <w:rsid w:val="00B57459"/>
    <w:rsid w:val="00B60BF0"/>
    <w:rsid w:val="00B77D04"/>
    <w:rsid w:val="00B87D51"/>
    <w:rsid w:val="00B9148A"/>
    <w:rsid w:val="00BB2705"/>
    <w:rsid w:val="00BB682B"/>
    <w:rsid w:val="00BD500A"/>
    <w:rsid w:val="00BE43DC"/>
    <w:rsid w:val="00BE6116"/>
    <w:rsid w:val="00C10D60"/>
    <w:rsid w:val="00C2720E"/>
    <w:rsid w:val="00C278DF"/>
    <w:rsid w:val="00C45249"/>
    <w:rsid w:val="00C6636F"/>
    <w:rsid w:val="00C670BD"/>
    <w:rsid w:val="00C97EC0"/>
    <w:rsid w:val="00CB15F0"/>
    <w:rsid w:val="00CD0E79"/>
    <w:rsid w:val="00CE5A07"/>
    <w:rsid w:val="00CF08D0"/>
    <w:rsid w:val="00D11A15"/>
    <w:rsid w:val="00D4590F"/>
    <w:rsid w:val="00D93DC5"/>
    <w:rsid w:val="00D958B8"/>
    <w:rsid w:val="00DE57A3"/>
    <w:rsid w:val="00E03D58"/>
    <w:rsid w:val="00E5016A"/>
    <w:rsid w:val="00E63EB6"/>
    <w:rsid w:val="00E64465"/>
    <w:rsid w:val="00E66551"/>
    <w:rsid w:val="00E729CD"/>
    <w:rsid w:val="00EA41D7"/>
    <w:rsid w:val="00EC2791"/>
    <w:rsid w:val="00ED3392"/>
    <w:rsid w:val="00EF2599"/>
    <w:rsid w:val="00F25344"/>
    <w:rsid w:val="00F66E82"/>
    <w:rsid w:val="00F77C24"/>
    <w:rsid w:val="00FA47BB"/>
    <w:rsid w:val="00FA77F7"/>
    <w:rsid w:val="00FC6E23"/>
    <w:rsid w:val="00FD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4CB1"/>
  <w15:chartTrackingRefBased/>
  <w15:docId w15:val="{D7196B1A-9D60-4639-B9B5-C4DE7FD6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4E4A"/>
    <w:rPr>
      <w:sz w:val="16"/>
      <w:szCs w:val="16"/>
    </w:rPr>
  </w:style>
  <w:style w:type="paragraph" w:styleId="CommentText">
    <w:name w:val="annotation text"/>
    <w:basedOn w:val="Normal"/>
    <w:link w:val="CommentTextChar"/>
    <w:uiPriority w:val="99"/>
    <w:semiHidden/>
    <w:unhideWhenUsed/>
    <w:rsid w:val="002B4E4A"/>
    <w:pPr>
      <w:spacing w:line="240" w:lineRule="auto"/>
    </w:pPr>
    <w:rPr>
      <w:sz w:val="20"/>
      <w:szCs w:val="20"/>
    </w:rPr>
  </w:style>
  <w:style w:type="character" w:customStyle="1" w:styleId="CommentTextChar">
    <w:name w:val="Comment Text Char"/>
    <w:basedOn w:val="DefaultParagraphFont"/>
    <w:link w:val="CommentText"/>
    <w:uiPriority w:val="99"/>
    <w:semiHidden/>
    <w:rsid w:val="002B4E4A"/>
    <w:rPr>
      <w:sz w:val="20"/>
      <w:szCs w:val="20"/>
    </w:rPr>
  </w:style>
  <w:style w:type="paragraph" w:styleId="CommentSubject">
    <w:name w:val="annotation subject"/>
    <w:basedOn w:val="CommentText"/>
    <w:next w:val="CommentText"/>
    <w:link w:val="CommentSubjectChar"/>
    <w:uiPriority w:val="99"/>
    <w:semiHidden/>
    <w:unhideWhenUsed/>
    <w:rsid w:val="002B4E4A"/>
    <w:rPr>
      <w:b/>
      <w:bCs/>
    </w:rPr>
  </w:style>
  <w:style w:type="character" w:customStyle="1" w:styleId="CommentSubjectChar">
    <w:name w:val="Comment Subject Char"/>
    <w:basedOn w:val="CommentTextChar"/>
    <w:link w:val="CommentSubject"/>
    <w:uiPriority w:val="99"/>
    <w:semiHidden/>
    <w:rsid w:val="002B4E4A"/>
    <w:rPr>
      <w:b/>
      <w:bCs/>
      <w:sz w:val="20"/>
      <w:szCs w:val="20"/>
    </w:rPr>
  </w:style>
  <w:style w:type="paragraph" w:styleId="BalloonText">
    <w:name w:val="Balloon Text"/>
    <w:basedOn w:val="Normal"/>
    <w:link w:val="BalloonTextChar"/>
    <w:uiPriority w:val="99"/>
    <w:semiHidden/>
    <w:unhideWhenUsed/>
    <w:rsid w:val="002B4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E4A"/>
    <w:rPr>
      <w:rFonts w:ascii="Segoe UI" w:hAnsi="Segoe UI" w:cs="Segoe UI"/>
      <w:sz w:val="18"/>
      <w:szCs w:val="18"/>
    </w:rPr>
  </w:style>
  <w:style w:type="paragraph" w:styleId="NoSpacing">
    <w:name w:val="No Spacing"/>
    <w:uiPriority w:val="1"/>
    <w:qFormat/>
    <w:rsid w:val="00730ED3"/>
    <w:pPr>
      <w:spacing w:after="0" w:line="240" w:lineRule="auto"/>
    </w:pPr>
  </w:style>
  <w:style w:type="table" w:styleId="TableGrid">
    <w:name w:val="Table Grid"/>
    <w:basedOn w:val="TableNormal"/>
    <w:uiPriority w:val="39"/>
    <w:rsid w:val="0073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791"/>
  </w:style>
  <w:style w:type="paragraph" w:styleId="Footer">
    <w:name w:val="footer"/>
    <w:basedOn w:val="Normal"/>
    <w:link w:val="FooterChar"/>
    <w:uiPriority w:val="99"/>
    <w:unhideWhenUsed/>
    <w:rsid w:val="00EC2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791"/>
  </w:style>
  <w:style w:type="paragraph" w:customStyle="1" w:styleId="EndNoteBibliographyTitle">
    <w:name w:val="EndNote Bibliography Title"/>
    <w:basedOn w:val="Normal"/>
    <w:link w:val="EndNoteBibliographyTitleChar"/>
    <w:rsid w:val="00BE611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E6116"/>
    <w:rPr>
      <w:rFonts w:ascii="Calibri" w:hAnsi="Calibri" w:cs="Calibri"/>
      <w:noProof/>
    </w:rPr>
  </w:style>
  <w:style w:type="paragraph" w:customStyle="1" w:styleId="EndNoteBibliography">
    <w:name w:val="EndNote Bibliography"/>
    <w:basedOn w:val="Normal"/>
    <w:link w:val="EndNoteBibliographyChar"/>
    <w:rsid w:val="00BE611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E6116"/>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430810">
      <w:bodyDiv w:val="1"/>
      <w:marLeft w:val="0"/>
      <w:marRight w:val="0"/>
      <w:marTop w:val="0"/>
      <w:marBottom w:val="0"/>
      <w:divBdr>
        <w:top w:val="none" w:sz="0" w:space="0" w:color="auto"/>
        <w:left w:val="none" w:sz="0" w:space="0" w:color="auto"/>
        <w:bottom w:val="none" w:sz="0" w:space="0" w:color="auto"/>
        <w:right w:val="none" w:sz="0" w:space="0" w:color="auto"/>
      </w:divBdr>
    </w:div>
    <w:div w:id="17152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Coggins, Si'Ana</dc:creator>
  <cp:keywords/>
  <dc:description/>
  <cp:lastModifiedBy>Coggins, Si'Ana</cp:lastModifiedBy>
  <cp:revision>4</cp:revision>
  <cp:lastPrinted>2021-05-24T20:51:00Z</cp:lastPrinted>
  <dcterms:created xsi:type="dcterms:W3CDTF">2021-06-25T16:05:00Z</dcterms:created>
  <dcterms:modified xsi:type="dcterms:W3CDTF">2021-06-25T17:18:00Z</dcterms:modified>
</cp:coreProperties>
</file>