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AB0FA7" w14:textId="5F87A1D4" w:rsidR="00595805" w:rsidRDefault="00595805" w:rsidP="003C04F4">
      <w:pPr>
        <w:pStyle w:val="unfinishedtext"/>
        <w:spacing w:line="240" w:lineRule="auto"/>
        <w:jc w:val="center"/>
        <w:rPr>
          <w:b/>
          <w:color w:val="808080" w:themeColor="background1" w:themeShade="80"/>
          <w:sz w:val="28"/>
        </w:rPr>
      </w:pPr>
      <w:r w:rsidRPr="00595805">
        <w:rPr>
          <w:b/>
          <w:color w:val="808080" w:themeColor="background1" w:themeShade="80"/>
          <w:sz w:val="28"/>
        </w:rPr>
        <w:t>Supplementary material</w:t>
      </w:r>
    </w:p>
    <w:p w14:paraId="71582FA2" w14:textId="77777777" w:rsidR="003C04F4" w:rsidRPr="003C04F4" w:rsidRDefault="003C04F4" w:rsidP="003C04F4">
      <w:pPr>
        <w:pStyle w:val="text"/>
      </w:pPr>
    </w:p>
    <w:p w14:paraId="28954E1C" w14:textId="3FC316B0" w:rsidR="003C04F4" w:rsidRPr="003C04F4" w:rsidRDefault="008C525D" w:rsidP="003C04F4">
      <w:pPr>
        <w:pStyle w:val="manuscripttitle"/>
        <w:spacing w:line="240" w:lineRule="auto"/>
        <w:rPr>
          <w:sz w:val="36"/>
          <w:szCs w:val="36"/>
        </w:rPr>
      </w:pPr>
      <w:r w:rsidRPr="003C04F4">
        <w:rPr>
          <w:sz w:val="36"/>
          <w:szCs w:val="36"/>
        </w:rPr>
        <w:t>Histone H3 lysine 27 acetylation profile undergoes two global shifts in the first year of life of undernourished children and suggests one-carbon metabolite insufficiency</w:t>
      </w:r>
    </w:p>
    <w:p w14:paraId="3A4A3276" w14:textId="77777777" w:rsidR="003C04F4" w:rsidRDefault="003C04F4" w:rsidP="003C04F4">
      <w:pPr>
        <w:pStyle w:val="manuscripttitle"/>
        <w:spacing w:line="240" w:lineRule="auto"/>
      </w:pPr>
    </w:p>
    <w:p w14:paraId="4A1FE0F3" w14:textId="713C522E" w:rsidR="008C525D" w:rsidRDefault="008C525D" w:rsidP="003C04F4">
      <w:pPr>
        <w:pStyle w:val="unfinishedtext"/>
        <w:spacing w:line="240" w:lineRule="auto"/>
        <w:rPr>
          <w:rFonts w:cs="Times New Roman (Body CS)"/>
          <w:color w:val="000000" w:themeColor="text1"/>
          <w:vertAlign w:val="superscript"/>
        </w:rPr>
      </w:pPr>
      <w:r w:rsidRPr="00F815B9">
        <w:rPr>
          <w:rFonts w:cs="Times New Roman (Body CS)"/>
          <w:color w:val="000000" w:themeColor="text1"/>
        </w:rPr>
        <w:t>Kristyna Kupkova, Savera J</w:t>
      </w:r>
      <w:r w:rsidRPr="005514DD">
        <w:rPr>
          <w:rFonts w:cs="Times New Roman (Body CS)"/>
          <w:color w:val="000000" w:themeColor="text1"/>
        </w:rPr>
        <w:t>. Shetty,</w:t>
      </w:r>
      <w:r>
        <w:rPr>
          <w:rFonts w:cs="Times New Roman (Body CS)"/>
          <w:color w:val="000000" w:themeColor="text1"/>
        </w:rPr>
        <w:t xml:space="preserve"> Rashidul Haque</w:t>
      </w:r>
      <w:r w:rsidR="00B07F5F">
        <w:rPr>
          <w:rFonts w:cs="Times New Roman (Body CS)"/>
          <w:color w:val="000000" w:themeColor="text1"/>
        </w:rPr>
        <w:t xml:space="preserve">, </w:t>
      </w:r>
      <w:r>
        <w:rPr>
          <w:rFonts w:cs="Times New Roman (Body CS)"/>
          <w:color w:val="000000" w:themeColor="text1"/>
        </w:rPr>
        <w:t>William A. Petri Jr., and David T. Auble</w:t>
      </w:r>
      <w:r w:rsidRPr="005514DD">
        <w:rPr>
          <w:rFonts w:cs="Times New Roman (Body CS)"/>
          <w:color w:val="000000" w:themeColor="text1"/>
          <w:vertAlign w:val="superscript"/>
        </w:rPr>
        <w:sym w:font="Wingdings" w:char="F02A"/>
      </w:r>
    </w:p>
    <w:p w14:paraId="47B6744F" w14:textId="77777777" w:rsidR="008C525D" w:rsidRDefault="008C525D" w:rsidP="003C04F4">
      <w:pPr>
        <w:pStyle w:val="text"/>
        <w:spacing w:line="240" w:lineRule="auto"/>
        <w:rPr>
          <w:b/>
          <w:vertAlign w:val="superscript"/>
        </w:rPr>
      </w:pPr>
    </w:p>
    <w:p w14:paraId="624CD586" w14:textId="2B17B639" w:rsidR="008C525D" w:rsidRDefault="008C525D" w:rsidP="003C04F4">
      <w:pPr>
        <w:pStyle w:val="text"/>
        <w:spacing w:line="240" w:lineRule="auto"/>
      </w:pPr>
      <w:r w:rsidRPr="007C6CCC">
        <w:rPr>
          <w:b/>
          <w:vertAlign w:val="superscript"/>
        </w:rPr>
        <w:sym w:font="Wingdings" w:char="F02A"/>
      </w:r>
      <w:r w:rsidRPr="007C6CCC">
        <w:t xml:space="preserve"> </w:t>
      </w:r>
      <w:r>
        <w:t xml:space="preserve">Correspondence: </w:t>
      </w:r>
      <w:hyperlink r:id="rId8" w:history="1">
        <w:r w:rsidRPr="003122CC">
          <w:rPr>
            <w:rStyle w:val="Hyperlink"/>
          </w:rPr>
          <w:t>auble@virginia.edu</w:t>
        </w:r>
      </w:hyperlink>
      <w:r w:rsidRPr="003122CC">
        <w:t>.</w:t>
      </w:r>
    </w:p>
    <w:p w14:paraId="1F62CB73" w14:textId="77777777" w:rsidR="008C525D" w:rsidRDefault="008C525D" w:rsidP="003C04F4">
      <w:pPr>
        <w:pStyle w:val="manuscripttitle"/>
        <w:spacing w:line="240" w:lineRule="auto"/>
      </w:pPr>
    </w:p>
    <w:sdt>
      <w:sdtPr>
        <w:rPr>
          <w:rFonts w:asciiTheme="minorHAnsi" w:eastAsiaTheme="minorHAnsi" w:hAnsiTheme="minorHAnsi" w:cstheme="minorBidi"/>
          <w:bCs w:val="0"/>
          <w:caps w:val="0"/>
          <w:color w:val="auto"/>
          <w:sz w:val="24"/>
          <w:szCs w:val="24"/>
        </w:rPr>
        <w:id w:val="-1159230205"/>
        <w:docPartObj>
          <w:docPartGallery w:val="Table of Contents"/>
          <w:docPartUnique/>
        </w:docPartObj>
      </w:sdtPr>
      <w:sdtEndPr>
        <w:rPr>
          <w:b/>
          <w:noProof/>
        </w:rPr>
      </w:sdtEndPr>
      <w:sdtContent>
        <w:p w14:paraId="5D9D3F15" w14:textId="1F92CA9F" w:rsidR="00595805" w:rsidRDefault="00595805" w:rsidP="003C04F4">
          <w:pPr>
            <w:pStyle w:val="TOCHeading"/>
            <w:spacing w:line="240" w:lineRule="auto"/>
          </w:pPr>
          <w:r>
            <w:t>Table of Contents</w:t>
          </w:r>
        </w:p>
        <w:p w14:paraId="311F3B3F" w14:textId="077FF3B4" w:rsidR="00F4162C" w:rsidRDefault="00595805" w:rsidP="003C04F4">
          <w:pPr>
            <w:pStyle w:val="TOC1"/>
            <w:tabs>
              <w:tab w:val="right" w:leader="dot"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73962118" w:history="1">
            <w:r w:rsidR="00F4162C" w:rsidRPr="00D7391E">
              <w:rPr>
                <w:rStyle w:val="Hyperlink"/>
                <w:noProof/>
              </w:rPr>
              <w:t>Supplementary figures</w:t>
            </w:r>
            <w:r w:rsidR="00F4162C">
              <w:rPr>
                <w:noProof/>
                <w:webHidden/>
              </w:rPr>
              <w:tab/>
            </w:r>
            <w:r w:rsidR="00F4162C">
              <w:rPr>
                <w:noProof/>
                <w:webHidden/>
              </w:rPr>
              <w:fldChar w:fldCharType="begin"/>
            </w:r>
            <w:r w:rsidR="00F4162C">
              <w:rPr>
                <w:noProof/>
                <w:webHidden/>
              </w:rPr>
              <w:instrText xml:space="preserve"> PAGEREF _Toc73962118 \h </w:instrText>
            </w:r>
            <w:r w:rsidR="00F4162C">
              <w:rPr>
                <w:noProof/>
                <w:webHidden/>
              </w:rPr>
            </w:r>
            <w:r w:rsidR="00F4162C">
              <w:rPr>
                <w:noProof/>
                <w:webHidden/>
              </w:rPr>
              <w:fldChar w:fldCharType="separate"/>
            </w:r>
            <w:r w:rsidR="00F4162C">
              <w:rPr>
                <w:noProof/>
                <w:webHidden/>
              </w:rPr>
              <w:t>2</w:t>
            </w:r>
            <w:r w:rsidR="00F4162C">
              <w:rPr>
                <w:noProof/>
                <w:webHidden/>
              </w:rPr>
              <w:fldChar w:fldCharType="end"/>
            </w:r>
          </w:hyperlink>
        </w:p>
        <w:p w14:paraId="2FE2339C" w14:textId="16309BC2" w:rsidR="00595805" w:rsidRPr="00595805" w:rsidRDefault="00595805" w:rsidP="003C04F4">
          <w:r>
            <w:rPr>
              <w:b/>
              <w:bCs/>
              <w:noProof/>
            </w:rPr>
            <w:fldChar w:fldCharType="end"/>
          </w:r>
        </w:p>
      </w:sdtContent>
    </w:sdt>
    <w:p w14:paraId="2FD91677" w14:textId="24FC6A63" w:rsidR="00EF3ABC" w:rsidRDefault="00A7203C" w:rsidP="003C04F4">
      <w:pPr>
        <w:pStyle w:val="Heading1"/>
        <w:spacing w:line="240" w:lineRule="auto"/>
      </w:pPr>
      <w:bookmarkStart w:id="0" w:name="_Toc73962118"/>
      <w:r w:rsidRPr="00595805">
        <w:lastRenderedPageBreak/>
        <w:t>Supplementary</w:t>
      </w:r>
      <w:r>
        <w:t xml:space="preserve"> figures</w:t>
      </w:r>
      <w:bookmarkEnd w:id="0"/>
    </w:p>
    <w:p w14:paraId="21AF53A3" w14:textId="77777777" w:rsidR="008C525D" w:rsidRDefault="008C525D" w:rsidP="003C04F4">
      <w:pPr>
        <w:keepNext/>
        <w:widowControl w:val="0"/>
        <w:autoSpaceDE w:val="0"/>
        <w:autoSpaceDN w:val="0"/>
        <w:adjustRightInd w:val="0"/>
        <w:ind w:left="360"/>
        <w:jc w:val="center"/>
      </w:pPr>
      <w:r>
        <w:rPr>
          <w:noProof/>
        </w:rPr>
        <w:drawing>
          <wp:inline distT="0" distB="0" distL="0" distR="0" wp14:anchorId="530158D8" wp14:editId="4CDE3A84">
            <wp:extent cx="4002061" cy="6515100"/>
            <wp:effectExtent l="0" t="0" r="0" b="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0653" cy="6577925"/>
                    </a:xfrm>
                    <a:prstGeom prst="rect">
                      <a:avLst/>
                    </a:prstGeom>
                  </pic:spPr>
                </pic:pic>
              </a:graphicData>
            </a:graphic>
          </wp:inline>
        </w:drawing>
      </w:r>
    </w:p>
    <w:p w14:paraId="5E285686" w14:textId="6ECBE4EF" w:rsidR="008C525D" w:rsidRDefault="008C525D" w:rsidP="000F6DE4">
      <w:pPr>
        <w:pStyle w:val="figcaption"/>
        <w:spacing w:line="240" w:lineRule="auto"/>
        <w:jc w:val="both"/>
      </w:pPr>
      <w:bookmarkStart w:id="1" w:name="_Ref65161261"/>
      <w:r>
        <w:t>Fig. S</w:t>
      </w:r>
      <w:fldSimple w:instr=" SEQ Fig._S \* ARABIC ">
        <w:r>
          <w:rPr>
            <w:noProof/>
          </w:rPr>
          <w:t>1</w:t>
        </w:r>
      </w:fldSimple>
      <w:bookmarkEnd w:id="1"/>
      <w:r>
        <w:t xml:space="preserve">. </w:t>
      </w:r>
      <w:r w:rsidRPr="006112A0">
        <w:rPr>
          <w:b w:val="0"/>
        </w:rPr>
        <w:t>(A</w:t>
      </w:r>
      <w:r w:rsidR="00065BA7" w:rsidRPr="00065BA7">
        <w:rPr>
          <w:b w:val="0"/>
        </w:rPr>
        <w:t xml:space="preserve">) Mosaic plot showing stunting status (defined by HAZ at 1 year) vs. sex distribution of 18-week-old children whose samples were used in this study. (B, C) Box plots of HAZ (18 </w:t>
      </w:r>
      <w:proofErr w:type="spellStart"/>
      <w:r w:rsidR="00065BA7" w:rsidRPr="00065BA7">
        <w:rPr>
          <w:b w:val="0"/>
        </w:rPr>
        <w:t>wk</w:t>
      </w:r>
      <w:proofErr w:type="spellEnd"/>
      <w:r w:rsidR="00065BA7" w:rsidRPr="00065BA7">
        <w:rPr>
          <w:b w:val="0"/>
        </w:rPr>
        <w:t xml:space="preserve">) and ΔHAZ (18 </w:t>
      </w:r>
      <w:proofErr w:type="spellStart"/>
      <w:r w:rsidR="00065BA7" w:rsidRPr="00065BA7">
        <w:rPr>
          <w:b w:val="0"/>
        </w:rPr>
        <w:t>wk</w:t>
      </w:r>
      <w:proofErr w:type="spellEnd"/>
      <w:r w:rsidR="00065BA7" w:rsidRPr="00065BA7">
        <w:rPr>
          <w:b w:val="0"/>
        </w:rPr>
        <w:t xml:space="preserve">) scores of 18-week-old males and females from this study. (D – F) Scatter plot showing relationship between HAZ (18 </w:t>
      </w:r>
      <w:proofErr w:type="spellStart"/>
      <w:r w:rsidR="00065BA7" w:rsidRPr="00065BA7">
        <w:rPr>
          <w:b w:val="0"/>
        </w:rPr>
        <w:t>wk</w:t>
      </w:r>
      <w:proofErr w:type="spellEnd"/>
      <w:r w:rsidR="00065BA7" w:rsidRPr="00065BA7">
        <w:rPr>
          <w:b w:val="0"/>
        </w:rPr>
        <w:t xml:space="preserve">) and number of identified peaks (D), enhancers (E), and superenhancers (F). (G – I) Scatter plot showing relationship between ΔHAZ (18 </w:t>
      </w:r>
      <w:proofErr w:type="spellStart"/>
      <w:r w:rsidR="00065BA7" w:rsidRPr="00065BA7">
        <w:rPr>
          <w:b w:val="0"/>
        </w:rPr>
        <w:t>wk</w:t>
      </w:r>
      <w:proofErr w:type="spellEnd"/>
      <w:r w:rsidR="00065BA7" w:rsidRPr="00065BA7">
        <w:rPr>
          <w:b w:val="0"/>
        </w:rPr>
        <w:t>) and number of identified peaks (G), enhancers (H), and superenhancers (I). (J – R) Same as in (A – I) for 1-year-old children, HAZ, and ΔHAZ scores at 1 year.</w:t>
      </w:r>
      <w:r w:rsidR="00F518B2">
        <w:rPr>
          <w:b w:val="0"/>
        </w:rPr>
        <w:t xml:space="preserve"> </w:t>
      </w:r>
      <w:r w:rsidR="00F518B2">
        <w:rPr>
          <w:b w:val="0"/>
        </w:rPr>
        <w:t xml:space="preserve">Boxplots show </w:t>
      </w:r>
      <w:r w:rsidR="00F518B2" w:rsidRPr="002C34DA">
        <w:rPr>
          <w:b w:val="0"/>
        </w:rPr>
        <w:t>median, first and third quartile and 95% confidence interval of median</w:t>
      </w:r>
      <w:r w:rsidR="00F518B2">
        <w:rPr>
          <w:b w:val="0"/>
        </w:rPr>
        <w:t>.</w:t>
      </w:r>
    </w:p>
    <w:p w14:paraId="4C8C495E" w14:textId="77777777" w:rsidR="008C525D" w:rsidRDefault="008C525D" w:rsidP="00F955D9">
      <w:pPr>
        <w:keepNext/>
        <w:widowControl w:val="0"/>
        <w:autoSpaceDE w:val="0"/>
        <w:autoSpaceDN w:val="0"/>
        <w:adjustRightInd w:val="0"/>
        <w:ind w:left="640" w:hanging="640"/>
        <w:jc w:val="center"/>
      </w:pPr>
      <w:r>
        <w:rPr>
          <w:noProof/>
        </w:rPr>
        <w:lastRenderedPageBreak/>
        <w:drawing>
          <wp:inline distT="0" distB="0" distL="0" distR="0" wp14:anchorId="0338143D" wp14:editId="196D0A8E">
            <wp:extent cx="5943600" cy="5513705"/>
            <wp:effectExtent l="0" t="0" r="0" b="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513705"/>
                    </a:xfrm>
                    <a:prstGeom prst="rect">
                      <a:avLst/>
                    </a:prstGeom>
                  </pic:spPr>
                </pic:pic>
              </a:graphicData>
            </a:graphic>
          </wp:inline>
        </w:drawing>
      </w:r>
    </w:p>
    <w:p w14:paraId="14E1F235" w14:textId="0C5E2A72" w:rsidR="008C525D" w:rsidRPr="00F518B2" w:rsidRDefault="008C525D" w:rsidP="00F518B2">
      <w:pPr>
        <w:pStyle w:val="figcaption"/>
        <w:spacing w:line="240" w:lineRule="auto"/>
        <w:jc w:val="both"/>
        <w:rPr>
          <w:b w:val="0"/>
        </w:rPr>
      </w:pPr>
      <w:bookmarkStart w:id="2" w:name="_Ref65161342"/>
      <w:r>
        <w:t>Fig. S</w:t>
      </w:r>
      <w:fldSimple w:instr=" SEQ Fig._S \* ARABIC ">
        <w:r>
          <w:rPr>
            <w:noProof/>
          </w:rPr>
          <w:t>2</w:t>
        </w:r>
      </w:fldSimple>
      <w:bookmarkEnd w:id="2"/>
      <w:r>
        <w:t xml:space="preserve">. </w:t>
      </w:r>
      <w:r w:rsidR="00F518B2" w:rsidRPr="006112A0">
        <w:rPr>
          <w:b w:val="0"/>
        </w:rPr>
        <w:t xml:space="preserve">(A) Motivation for use of spike-in chromatin </w:t>
      </w:r>
      <w:r w:rsidR="00F518B2">
        <w:rPr>
          <w:b w:val="0"/>
        </w:rPr>
        <w:t>for</w:t>
      </w:r>
      <w:r w:rsidR="00F518B2" w:rsidRPr="006112A0">
        <w:rPr>
          <w:b w:val="0"/>
        </w:rPr>
        <w:t xml:space="preserve"> ChIP-seq data normalization in order to detect global changes to histone marks. </w:t>
      </w:r>
      <w:r w:rsidR="00F518B2">
        <w:rPr>
          <w:b w:val="0"/>
        </w:rPr>
        <w:t xml:space="preserve">Blue chromatin – primary samples (human), grey chromatin – spike-in (drosophila chromatin). </w:t>
      </w:r>
      <w:r w:rsidR="00F518B2" w:rsidRPr="006112A0">
        <w:rPr>
          <w:b w:val="0"/>
        </w:rPr>
        <w:t xml:space="preserve">(B) Illustration showing, how sequencing depth </w:t>
      </w:r>
      <w:r w:rsidR="00F518B2">
        <w:rPr>
          <w:b w:val="0"/>
        </w:rPr>
        <w:t xml:space="preserve">does </w:t>
      </w:r>
      <w:r w:rsidR="00F518B2" w:rsidRPr="006112A0">
        <w:rPr>
          <w:b w:val="0"/>
        </w:rPr>
        <w:t xml:space="preserve">not influence </w:t>
      </w:r>
      <w:r w:rsidR="00F518B2">
        <w:rPr>
          <w:b w:val="0"/>
        </w:rPr>
        <w:t xml:space="preserve">the </w:t>
      </w:r>
      <w:r w:rsidR="00F518B2" w:rsidRPr="006112A0">
        <w:rPr>
          <w:b w:val="0"/>
        </w:rPr>
        <w:t xml:space="preserve">percentage of spike-in reads. </w:t>
      </w:r>
      <w:r w:rsidR="00F518B2">
        <w:rPr>
          <w:b w:val="0"/>
        </w:rPr>
        <w:t>The p</w:t>
      </w:r>
      <w:r w:rsidR="00F518B2" w:rsidRPr="006112A0">
        <w:rPr>
          <w:b w:val="0"/>
        </w:rPr>
        <w:t xml:space="preserve">ercentage of spike-in reads </w:t>
      </w:r>
      <w:r w:rsidR="00F518B2">
        <w:rPr>
          <w:b w:val="0"/>
        </w:rPr>
        <w:t>is</w:t>
      </w:r>
      <w:r w:rsidR="00F518B2" w:rsidRPr="006112A0">
        <w:rPr>
          <w:b w:val="0"/>
        </w:rPr>
        <w:t xml:space="preserve"> influenced purely by global loss or gain of a histone mark. (C) </w:t>
      </w:r>
      <w:r w:rsidR="00F518B2">
        <w:rPr>
          <w:b w:val="0"/>
        </w:rPr>
        <w:t>Hypothetical</w:t>
      </w:r>
      <w:r w:rsidR="00F518B2" w:rsidRPr="006112A0">
        <w:rPr>
          <w:b w:val="0"/>
        </w:rPr>
        <w:t xml:space="preserve"> example</w:t>
      </w:r>
      <w:r w:rsidR="00F518B2">
        <w:rPr>
          <w:b w:val="0"/>
        </w:rPr>
        <w:t>s</w:t>
      </w:r>
      <w:r w:rsidR="00F518B2" w:rsidRPr="006112A0">
        <w:rPr>
          <w:b w:val="0"/>
        </w:rPr>
        <w:t xml:space="preserve"> where data from stunted children </w:t>
      </w:r>
      <w:r w:rsidR="00F518B2">
        <w:rPr>
          <w:b w:val="0"/>
        </w:rPr>
        <w:t>indicate</w:t>
      </w:r>
      <w:r w:rsidR="00F518B2" w:rsidRPr="006112A0">
        <w:rPr>
          <w:b w:val="0"/>
        </w:rPr>
        <w:t xml:space="preserve"> global loss of </w:t>
      </w:r>
      <w:r w:rsidR="00F518B2">
        <w:rPr>
          <w:b w:val="0"/>
        </w:rPr>
        <w:t xml:space="preserve">a </w:t>
      </w:r>
      <w:r w:rsidR="00F518B2" w:rsidRPr="006112A0">
        <w:rPr>
          <w:b w:val="0"/>
        </w:rPr>
        <w:t>histone mark (left), or</w:t>
      </w:r>
      <w:r w:rsidR="00F518B2">
        <w:rPr>
          <w:b w:val="0"/>
        </w:rPr>
        <w:t xml:space="preserve"> </w:t>
      </w:r>
      <w:r w:rsidR="00F518B2" w:rsidRPr="006112A0">
        <w:rPr>
          <w:b w:val="0"/>
        </w:rPr>
        <w:t xml:space="preserve">no difference in histone mark levels globally across </w:t>
      </w:r>
      <w:r w:rsidR="00F518B2">
        <w:rPr>
          <w:b w:val="0"/>
        </w:rPr>
        <w:t xml:space="preserve">the </w:t>
      </w:r>
      <w:r w:rsidR="00F518B2" w:rsidRPr="006112A0">
        <w:rPr>
          <w:b w:val="0"/>
        </w:rPr>
        <w:t>genome (right). In either case</w:t>
      </w:r>
      <w:r w:rsidR="00F518B2">
        <w:rPr>
          <w:b w:val="0"/>
        </w:rPr>
        <w:t>, the</w:t>
      </w:r>
      <w:r w:rsidR="00F518B2" w:rsidRPr="006112A0">
        <w:rPr>
          <w:b w:val="0"/>
        </w:rPr>
        <w:t xml:space="preserve"> percentage of spike-in reads is not correlated with </w:t>
      </w:r>
      <w:r w:rsidR="00F518B2">
        <w:rPr>
          <w:b w:val="0"/>
        </w:rPr>
        <w:t xml:space="preserve">the </w:t>
      </w:r>
      <w:r w:rsidR="00F518B2" w:rsidRPr="006112A0">
        <w:rPr>
          <w:b w:val="0"/>
        </w:rPr>
        <w:t xml:space="preserve">total number or reads </w:t>
      </w:r>
      <w:r w:rsidR="00F518B2">
        <w:rPr>
          <w:b w:val="0"/>
        </w:rPr>
        <w:t xml:space="preserve">obtained </w:t>
      </w:r>
      <w:r w:rsidR="00F518B2" w:rsidRPr="006112A0">
        <w:rPr>
          <w:b w:val="0"/>
        </w:rPr>
        <w:t xml:space="preserve">from sequencing. (D) </w:t>
      </w:r>
      <w:r w:rsidR="00F518B2">
        <w:rPr>
          <w:b w:val="0"/>
        </w:rPr>
        <w:t>D</w:t>
      </w:r>
      <w:r w:rsidR="00F518B2" w:rsidRPr="006112A0">
        <w:rPr>
          <w:b w:val="0"/>
        </w:rPr>
        <w:t xml:space="preserve">ata from this study showing that </w:t>
      </w:r>
      <w:r w:rsidR="00F518B2">
        <w:rPr>
          <w:b w:val="0"/>
        </w:rPr>
        <w:t xml:space="preserve">the </w:t>
      </w:r>
      <w:r w:rsidR="00F518B2" w:rsidRPr="006112A0">
        <w:rPr>
          <w:b w:val="0"/>
        </w:rPr>
        <w:t xml:space="preserve">percentage of spike-in reads is dependent on </w:t>
      </w:r>
      <w:r w:rsidR="00F518B2">
        <w:rPr>
          <w:b w:val="0"/>
        </w:rPr>
        <w:t xml:space="preserve">the </w:t>
      </w:r>
      <w:r w:rsidR="00F518B2" w:rsidRPr="006112A0">
        <w:rPr>
          <w:b w:val="0"/>
        </w:rPr>
        <w:t xml:space="preserve">yield of reads from sequencing. </w:t>
      </w:r>
      <w:r w:rsidR="00F518B2">
        <w:rPr>
          <w:b w:val="0"/>
        </w:rPr>
        <w:t xml:space="preserve">(R indicates Pearson’s correlation coefficient, p is p-value associated with the coefficient). Linear model summary: p = </w:t>
      </w:r>
      <w:r w:rsidR="00F518B2" w:rsidRPr="002C34DA">
        <w:rPr>
          <w:b w:val="0"/>
        </w:rPr>
        <w:t>1.20e-05</w:t>
      </w:r>
      <w:r w:rsidR="00F518B2">
        <w:rPr>
          <w:b w:val="0"/>
        </w:rPr>
        <w:t>, m</w:t>
      </w:r>
      <w:r w:rsidR="00F518B2" w:rsidRPr="002C34DA">
        <w:rPr>
          <w:b w:val="0"/>
        </w:rPr>
        <w:t>ultiple R</w:t>
      </w:r>
      <w:r w:rsidR="00F518B2" w:rsidRPr="002C34DA">
        <w:rPr>
          <w:b w:val="0"/>
          <w:vertAlign w:val="superscript"/>
        </w:rPr>
        <w:t>2</w:t>
      </w:r>
      <w:r w:rsidR="00F518B2" w:rsidRPr="002C34DA">
        <w:rPr>
          <w:b w:val="0"/>
        </w:rPr>
        <w:t>:  0.4</w:t>
      </w:r>
      <w:r w:rsidR="00F518B2">
        <w:rPr>
          <w:b w:val="0"/>
        </w:rPr>
        <w:t>1</w:t>
      </w:r>
      <w:r w:rsidR="00F518B2" w:rsidRPr="002C34DA">
        <w:rPr>
          <w:b w:val="0"/>
        </w:rPr>
        <w:t>,</w:t>
      </w:r>
      <w:r w:rsidR="00F518B2">
        <w:rPr>
          <w:b w:val="0"/>
        </w:rPr>
        <w:t xml:space="preserve"> a</w:t>
      </w:r>
      <w:r w:rsidR="00F518B2" w:rsidRPr="002C34DA">
        <w:rPr>
          <w:b w:val="0"/>
        </w:rPr>
        <w:t>djusted R</w:t>
      </w:r>
      <w:r w:rsidR="00F518B2" w:rsidRPr="002C34DA">
        <w:rPr>
          <w:b w:val="0"/>
          <w:vertAlign w:val="superscript"/>
        </w:rPr>
        <w:t>2</w:t>
      </w:r>
      <w:r w:rsidR="00F518B2" w:rsidRPr="002C34DA">
        <w:rPr>
          <w:b w:val="0"/>
        </w:rPr>
        <w:t>: 0.39</w:t>
      </w:r>
      <w:r w:rsidR="00F518B2">
        <w:rPr>
          <w:b w:val="0"/>
        </w:rPr>
        <w:t xml:space="preserve">. </w:t>
      </w:r>
      <w:r w:rsidR="00F518B2" w:rsidRPr="006112A0">
        <w:rPr>
          <w:b w:val="0"/>
        </w:rPr>
        <w:t xml:space="preserve">(E) Percentage of spike-in reads </w:t>
      </w:r>
      <w:r w:rsidR="00F518B2">
        <w:rPr>
          <w:b w:val="0"/>
        </w:rPr>
        <w:t>wa</w:t>
      </w:r>
      <w:r w:rsidR="00F518B2" w:rsidRPr="006112A0">
        <w:rPr>
          <w:b w:val="0"/>
        </w:rPr>
        <w:t xml:space="preserve">s corrected by regressing out the linear relationship between </w:t>
      </w:r>
      <w:r w:rsidR="00F518B2">
        <w:rPr>
          <w:b w:val="0"/>
        </w:rPr>
        <w:t xml:space="preserve">the </w:t>
      </w:r>
      <w:r w:rsidR="00F518B2" w:rsidRPr="006112A0">
        <w:rPr>
          <w:b w:val="0"/>
        </w:rPr>
        <w:t xml:space="preserve">total number of reads and </w:t>
      </w:r>
      <w:r w:rsidR="00F518B2">
        <w:rPr>
          <w:b w:val="0"/>
        </w:rPr>
        <w:t xml:space="preserve">the </w:t>
      </w:r>
      <w:r w:rsidR="00F518B2" w:rsidRPr="006112A0">
        <w:rPr>
          <w:b w:val="0"/>
        </w:rPr>
        <w:t>percentage of spike-in reads</w:t>
      </w:r>
      <w:r w:rsidR="00F518B2">
        <w:rPr>
          <w:b w:val="0"/>
        </w:rPr>
        <w:t xml:space="preserve"> (see Methods)</w:t>
      </w:r>
      <w:r w:rsidR="00F518B2" w:rsidRPr="006112A0">
        <w:rPr>
          <w:b w:val="0"/>
        </w:rPr>
        <w:t xml:space="preserve">. Linear model residuals (+1 to eliminate negative numbers) </w:t>
      </w:r>
      <w:r w:rsidR="00F518B2">
        <w:rPr>
          <w:b w:val="0"/>
        </w:rPr>
        <w:t>we</w:t>
      </w:r>
      <w:r w:rsidR="00F518B2" w:rsidRPr="006112A0">
        <w:rPr>
          <w:b w:val="0"/>
        </w:rPr>
        <w:t>re</w:t>
      </w:r>
      <w:r w:rsidR="00F518B2">
        <w:rPr>
          <w:b w:val="0"/>
        </w:rPr>
        <w:t xml:space="preserve"> then</w:t>
      </w:r>
      <w:r w:rsidR="00F518B2" w:rsidRPr="006112A0">
        <w:rPr>
          <w:b w:val="0"/>
        </w:rPr>
        <w:t xml:space="preserve"> used as corrected spike-in percentages.</w:t>
      </w:r>
    </w:p>
    <w:p w14:paraId="3B15A043" w14:textId="77777777" w:rsidR="008C525D" w:rsidRDefault="008C525D" w:rsidP="00F955D9">
      <w:pPr>
        <w:keepNext/>
        <w:widowControl w:val="0"/>
        <w:autoSpaceDE w:val="0"/>
        <w:autoSpaceDN w:val="0"/>
        <w:adjustRightInd w:val="0"/>
        <w:ind w:left="640" w:hanging="640"/>
        <w:jc w:val="center"/>
      </w:pPr>
      <w:r>
        <w:rPr>
          <w:noProof/>
        </w:rPr>
        <w:lastRenderedPageBreak/>
        <w:drawing>
          <wp:inline distT="0" distB="0" distL="0" distR="0" wp14:anchorId="073AAB61" wp14:editId="49EC58B1">
            <wp:extent cx="4717022" cy="5777345"/>
            <wp:effectExtent l="0" t="0" r="0" b="1270"/>
            <wp:docPr id="9" name="Picture 9" descr="Diagram,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calenda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0352" cy="5830415"/>
                    </a:xfrm>
                    <a:prstGeom prst="rect">
                      <a:avLst/>
                    </a:prstGeom>
                  </pic:spPr>
                </pic:pic>
              </a:graphicData>
            </a:graphic>
          </wp:inline>
        </w:drawing>
      </w:r>
    </w:p>
    <w:p w14:paraId="47B20F58" w14:textId="594B8410" w:rsidR="008C525D" w:rsidRDefault="008C525D" w:rsidP="000F6DE4">
      <w:pPr>
        <w:pStyle w:val="figcaption"/>
        <w:spacing w:line="240" w:lineRule="auto"/>
        <w:jc w:val="both"/>
        <w:rPr>
          <w:b w:val="0"/>
        </w:rPr>
      </w:pPr>
      <w:bookmarkStart w:id="3" w:name="_Ref65331957"/>
      <w:r>
        <w:t>Fig. S</w:t>
      </w:r>
      <w:fldSimple w:instr=" SEQ Fig._S \* ARABIC ">
        <w:r>
          <w:rPr>
            <w:noProof/>
          </w:rPr>
          <w:t>3</w:t>
        </w:r>
      </w:fldSimple>
      <w:bookmarkEnd w:id="3"/>
      <w:r>
        <w:t xml:space="preserve">. </w:t>
      </w:r>
      <w:r w:rsidRPr="006112A0">
        <w:rPr>
          <w:b w:val="0"/>
        </w:rPr>
        <w:t>(A, B) Principal component analysis (PCA) plot of H3K27ac datasets from 18-week-old and 1-year-old children</w:t>
      </w:r>
      <w:r>
        <w:rPr>
          <w:b w:val="0"/>
        </w:rPr>
        <w:t>,</w:t>
      </w:r>
      <w:r w:rsidRPr="006112A0">
        <w:rPr>
          <w:b w:val="0"/>
        </w:rPr>
        <w:t xml:space="preserve"> respectively. PCA was performed on count tables in identified</w:t>
      </w:r>
      <w:r>
        <w:rPr>
          <w:b w:val="0"/>
        </w:rPr>
        <w:t xml:space="preserve"> </w:t>
      </w:r>
      <w:r w:rsidRPr="006112A0">
        <w:rPr>
          <w:b w:val="0"/>
        </w:rPr>
        <w:t xml:space="preserve">enhancer regions. Each dot </w:t>
      </w:r>
      <w:r>
        <w:rPr>
          <w:b w:val="0"/>
        </w:rPr>
        <w:t>represents a child’s sample and is</w:t>
      </w:r>
      <w:r w:rsidRPr="006112A0">
        <w:rPr>
          <w:b w:val="0"/>
        </w:rPr>
        <w:t xml:space="preserve"> colored based on</w:t>
      </w:r>
      <w:r>
        <w:rPr>
          <w:b w:val="0"/>
        </w:rPr>
        <w:t xml:space="preserve"> the</w:t>
      </w:r>
      <w:r w:rsidRPr="006112A0">
        <w:rPr>
          <w:b w:val="0"/>
        </w:rPr>
        <w:t xml:space="preserve"> ΔHAZ score at a given age. Variance explained by each PC is indicated in parenthesis. (C, D) </w:t>
      </w:r>
      <w:proofErr w:type="gramStart"/>
      <w:r w:rsidRPr="006112A0">
        <w:rPr>
          <w:b w:val="0"/>
        </w:rPr>
        <w:t>Box-plots</w:t>
      </w:r>
      <w:proofErr w:type="gramEnd"/>
      <w:r w:rsidRPr="006112A0">
        <w:rPr>
          <w:b w:val="0"/>
        </w:rPr>
        <w:t xml:space="preserve"> showing, how H3K27ac </w:t>
      </w:r>
      <w:r>
        <w:rPr>
          <w:b w:val="0"/>
        </w:rPr>
        <w:t>wa</w:t>
      </w:r>
      <w:r w:rsidRPr="006112A0">
        <w:rPr>
          <w:b w:val="0"/>
        </w:rPr>
        <w:t>s globally upregulated in 18-week-old stunted children, and globally downregulated in 1-year-old children</w:t>
      </w:r>
      <w:r>
        <w:rPr>
          <w:b w:val="0"/>
        </w:rPr>
        <w:t>,</w:t>
      </w:r>
      <w:r w:rsidRPr="006112A0">
        <w:rPr>
          <w:b w:val="0"/>
        </w:rPr>
        <w:t xml:space="preserve"> respectively. Each dot is a H3K27ac region with log</w:t>
      </w:r>
      <w:r w:rsidRPr="006112A0">
        <w:rPr>
          <w:b w:val="0"/>
          <w:vertAlign w:val="subscript"/>
        </w:rPr>
        <w:t>2</w:t>
      </w:r>
      <w:r w:rsidRPr="006112A0">
        <w:rPr>
          <w:b w:val="0"/>
        </w:rPr>
        <w:t>(fold-change) per unit increase of ΔHAZ score at a given age</w:t>
      </w:r>
      <w:r>
        <w:rPr>
          <w:b w:val="0"/>
        </w:rPr>
        <w:t xml:space="preserve">, </w:t>
      </w:r>
      <w:proofErr w:type="gramStart"/>
      <w:r>
        <w:rPr>
          <w:b w:val="0"/>
        </w:rPr>
        <w:t>i</w:t>
      </w:r>
      <w:r w:rsidRPr="006112A0">
        <w:rPr>
          <w:b w:val="0"/>
        </w:rPr>
        <w:t>.e.</w:t>
      </w:r>
      <w:proofErr w:type="gramEnd"/>
      <w:r w:rsidRPr="006112A0">
        <w:rPr>
          <w:b w:val="0"/>
        </w:rPr>
        <w:t xml:space="preserve"> positive log</w:t>
      </w:r>
      <w:r w:rsidRPr="006112A0">
        <w:rPr>
          <w:b w:val="0"/>
          <w:vertAlign w:val="subscript"/>
        </w:rPr>
        <w:t>2</w:t>
      </w:r>
      <w:r w:rsidRPr="006112A0">
        <w:rPr>
          <w:b w:val="0"/>
        </w:rPr>
        <w:t xml:space="preserve">(fold-change) corresponds to a downregulated region in </w:t>
      </w:r>
      <w:r>
        <w:rPr>
          <w:b w:val="0"/>
        </w:rPr>
        <w:t>children destined to become stunted</w:t>
      </w:r>
      <w:r w:rsidRPr="006112A0">
        <w:rPr>
          <w:b w:val="0"/>
        </w:rPr>
        <w:t xml:space="preserve"> and vice versa. Boxes are color</w:t>
      </w:r>
      <w:r>
        <w:rPr>
          <w:b w:val="0"/>
        </w:rPr>
        <w:t>-</w:t>
      </w:r>
      <w:r w:rsidRPr="006112A0">
        <w:rPr>
          <w:b w:val="0"/>
        </w:rPr>
        <w:t>coded in accordance with</w:t>
      </w:r>
      <w:r>
        <w:rPr>
          <w:b w:val="0"/>
          <w:color w:val="FF0000"/>
        </w:rPr>
        <w:t xml:space="preserve"> </w:t>
      </w:r>
      <w:r w:rsidRPr="00393B37">
        <w:rPr>
          <w:b w:val="0"/>
          <w:color w:val="FF0000"/>
        </w:rPr>
        <w:fldChar w:fldCharType="begin"/>
      </w:r>
      <w:r w:rsidRPr="00393B37">
        <w:rPr>
          <w:b w:val="0"/>
          <w:color w:val="FF0000"/>
        </w:rPr>
        <w:instrText xml:space="preserve"> REF _Ref65161240 \h  \* MERGEFORMAT </w:instrText>
      </w:r>
      <w:r w:rsidRPr="00393B37">
        <w:rPr>
          <w:b w:val="0"/>
          <w:color w:val="FF0000"/>
        </w:rPr>
      </w:r>
      <w:r w:rsidRPr="00393B37">
        <w:rPr>
          <w:b w:val="0"/>
          <w:color w:val="FF0000"/>
        </w:rPr>
        <w:fldChar w:fldCharType="separate"/>
      </w:r>
      <w:r w:rsidRPr="008460AD">
        <w:rPr>
          <w:b w:val="0"/>
        </w:rPr>
        <w:t xml:space="preserve">Fig. </w:t>
      </w:r>
      <w:r w:rsidRPr="008460AD">
        <w:rPr>
          <w:b w:val="0"/>
          <w:noProof/>
        </w:rPr>
        <w:t>2</w:t>
      </w:r>
      <w:r w:rsidRPr="00393B37">
        <w:rPr>
          <w:b w:val="0"/>
          <w:color w:val="FF0000"/>
        </w:rPr>
        <w:fldChar w:fldCharType="end"/>
      </w:r>
      <w:r w:rsidRPr="00393B37">
        <w:rPr>
          <w:b w:val="0"/>
        </w:rPr>
        <w:t xml:space="preserve">, </w:t>
      </w:r>
      <w:r w:rsidRPr="006112A0">
        <w:rPr>
          <w:b w:val="0"/>
        </w:rPr>
        <w:t xml:space="preserve">where red corresponds to upregulation and blue </w:t>
      </w:r>
      <w:r>
        <w:rPr>
          <w:b w:val="0"/>
        </w:rPr>
        <w:t xml:space="preserve">to </w:t>
      </w:r>
      <w:r w:rsidRPr="006112A0">
        <w:rPr>
          <w:b w:val="0"/>
        </w:rPr>
        <w:t>downregulation in stunted children. (E, F) MA-plots, as in</w:t>
      </w:r>
      <w:r>
        <w:rPr>
          <w:b w:val="0"/>
          <w:color w:val="FF0000"/>
        </w:rPr>
        <w:t xml:space="preserve"> </w:t>
      </w:r>
      <w:r w:rsidRPr="00D1409D">
        <w:rPr>
          <w:b w:val="0"/>
        </w:rPr>
        <w:fldChar w:fldCharType="begin"/>
      </w:r>
      <w:r w:rsidRPr="00D1409D">
        <w:rPr>
          <w:b w:val="0"/>
        </w:rPr>
        <w:instrText xml:space="preserve"> REF _Ref65161240 \h  \* MERGEFORMAT </w:instrText>
      </w:r>
      <w:r w:rsidRPr="00D1409D">
        <w:rPr>
          <w:b w:val="0"/>
        </w:rPr>
      </w:r>
      <w:r w:rsidRPr="00D1409D">
        <w:rPr>
          <w:b w:val="0"/>
        </w:rPr>
        <w:fldChar w:fldCharType="separate"/>
      </w:r>
      <w:r w:rsidRPr="008460AD">
        <w:rPr>
          <w:b w:val="0"/>
        </w:rPr>
        <w:t xml:space="preserve">Fig. </w:t>
      </w:r>
      <w:r w:rsidRPr="008460AD">
        <w:rPr>
          <w:b w:val="0"/>
          <w:noProof/>
        </w:rPr>
        <w:t>2</w:t>
      </w:r>
      <w:r w:rsidRPr="00D1409D">
        <w:rPr>
          <w:b w:val="0"/>
        </w:rPr>
        <w:fldChar w:fldCharType="end"/>
      </w:r>
      <w:proofErr w:type="spellStart"/>
      <w:proofErr w:type="gramStart"/>
      <w:r w:rsidRPr="00D1409D">
        <w:rPr>
          <w:b w:val="0"/>
        </w:rPr>
        <w:t>c,d</w:t>
      </w:r>
      <w:proofErr w:type="spellEnd"/>
      <w:proofErr w:type="gramEnd"/>
      <w:r w:rsidRPr="006112A0">
        <w:rPr>
          <w:b w:val="0"/>
        </w:rPr>
        <w:t>, but showing changes in identified superenhancer regions in 18-week-old and 1-year-old children. Lack of colored dots indicate</w:t>
      </w:r>
      <w:r>
        <w:rPr>
          <w:b w:val="0"/>
        </w:rPr>
        <w:t>s</w:t>
      </w:r>
      <w:r w:rsidRPr="006112A0">
        <w:rPr>
          <w:b w:val="0"/>
        </w:rPr>
        <w:t xml:space="preserve"> that </w:t>
      </w:r>
      <w:proofErr w:type="gramStart"/>
      <w:r w:rsidRPr="006112A0">
        <w:rPr>
          <w:b w:val="0"/>
        </w:rPr>
        <w:t>none significant</w:t>
      </w:r>
      <w:proofErr w:type="gramEnd"/>
      <w:r w:rsidRPr="006112A0">
        <w:rPr>
          <w:b w:val="0"/>
        </w:rPr>
        <w:t xml:space="preserve"> changes were detected.</w:t>
      </w:r>
      <w:r w:rsidR="00F518B2">
        <w:rPr>
          <w:b w:val="0"/>
        </w:rPr>
        <w:t xml:space="preserve"> </w:t>
      </w:r>
      <w:r w:rsidR="00F518B2" w:rsidRPr="00F518B2">
        <w:rPr>
          <w:b w:val="0"/>
        </w:rPr>
        <w:t>Boxplots show median, first and third quartile and 95% confidence interval of median.</w:t>
      </w:r>
    </w:p>
    <w:p w14:paraId="1503771E" w14:textId="77777777" w:rsidR="008C525D" w:rsidRDefault="008C525D" w:rsidP="00F955D9">
      <w:pPr>
        <w:keepNext/>
        <w:widowControl w:val="0"/>
        <w:autoSpaceDE w:val="0"/>
        <w:autoSpaceDN w:val="0"/>
        <w:adjustRightInd w:val="0"/>
        <w:ind w:left="640" w:hanging="640"/>
        <w:jc w:val="center"/>
      </w:pPr>
      <w:r>
        <w:rPr>
          <w:noProof/>
        </w:rPr>
        <w:lastRenderedPageBreak/>
        <w:drawing>
          <wp:inline distT="0" distB="0" distL="0" distR="0" wp14:anchorId="11BA27DA" wp14:editId="2D97A027">
            <wp:extent cx="5943600" cy="5427980"/>
            <wp:effectExtent l="0" t="0" r="0" b="0"/>
            <wp:docPr id="11" name="Picture 11"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websi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427980"/>
                    </a:xfrm>
                    <a:prstGeom prst="rect">
                      <a:avLst/>
                    </a:prstGeom>
                  </pic:spPr>
                </pic:pic>
              </a:graphicData>
            </a:graphic>
          </wp:inline>
        </w:drawing>
      </w:r>
    </w:p>
    <w:p w14:paraId="40FD6CB3" w14:textId="77777777" w:rsidR="008C525D" w:rsidRPr="002072E0" w:rsidRDefault="008C525D" w:rsidP="000F6DE4">
      <w:pPr>
        <w:pStyle w:val="figcaption"/>
        <w:spacing w:line="240" w:lineRule="auto"/>
        <w:jc w:val="both"/>
      </w:pPr>
      <w:bookmarkStart w:id="4" w:name="_Ref65161496"/>
      <w:r>
        <w:t>Fig. S</w:t>
      </w:r>
      <w:fldSimple w:instr=" SEQ Fig._S \* ARABIC ">
        <w:r>
          <w:rPr>
            <w:noProof/>
          </w:rPr>
          <w:t>4</w:t>
        </w:r>
      </w:fldSimple>
      <w:bookmarkEnd w:id="4"/>
      <w:r>
        <w:t xml:space="preserve">. </w:t>
      </w:r>
      <w:r w:rsidRPr="000F6DE4">
        <w:rPr>
          <w:b w:val="0"/>
          <w:bCs/>
        </w:rPr>
        <w:t xml:space="preserve">(A) </w:t>
      </w:r>
      <w:r w:rsidRPr="006112A0">
        <w:rPr>
          <w:b w:val="0"/>
        </w:rPr>
        <w:t xml:space="preserve">Workflow </w:t>
      </w:r>
      <w:r>
        <w:rPr>
          <w:b w:val="0"/>
        </w:rPr>
        <w:t>for</w:t>
      </w:r>
      <w:r w:rsidRPr="006112A0">
        <w:rPr>
          <w:b w:val="0"/>
        </w:rPr>
        <w:t xml:space="preserve"> obtaining normalized average ChIP-seq profiles across cell-specific enhancers</w:t>
      </w:r>
      <w:r>
        <w:rPr>
          <w:b w:val="0"/>
        </w:rPr>
        <w:t xml:space="preserve"> defined by </w:t>
      </w:r>
      <w:r w:rsidRPr="005219C6">
        <w:rPr>
          <w:b w:val="0"/>
        </w:rPr>
        <w:t xml:space="preserve">Andersson et al. (2014) </w:t>
      </w:r>
      <w:r w:rsidRPr="005219C6">
        <w:rPr>
          <w:b w:val="0"/>
        </w:rPr>
        <w:fldChar w:fldCharType="begin" w:fldLock="1"/>
      </w:r>
      <w:r>
        <w:rPr>
          <w:b w:val="0"/>
        </w:rPr>
        <w:instrText>ADDIN CSL_CITATION {"citationItems":[{"id":"ITEM-1","itemData":{"DOI":"10.1038/nature12787","ISSN":"14764687","PMID":"24670763","abstract":"Enhancers control the correct temporal and cell-type-specific activation of gene expression in multicellular eukaryotes. Knowing their properties, regulatory activity and targets is crucial to understand the regulation of differentiation and homeostasis. Here we use the FANTOM5 panel of samples, covering the majority of human tissues and cell types, to produce an atlas of active, in vivo-transcribed enhancers. We show that enhancers share properties with CpG-poor messenger RNA promoters but produce bidirectional, exosome-sensitive, relatively short unspliced RNAs, the generation of which is strongly related to enhancer activity. The atlas is used to compare regulatory programs between different cells at unprecedented depth, to identify disease-associated regulatory single nucleotide polymorphisms, and to classify cell-type-specific and ubiquitous enhancers. We further explore the utility of enhancer redundancy, which explains gene expression strength rather than expression patterns. The online FANTOM5 enhancer atlas represents a unique resource for studies on cell-type-specific enhancers and gene regulation. © 2014 Macmillan Publishers Limited.","author":[{"dropping-particle":"","family":"Andersson","given":"Robin","non-dropping-particle":"","parse-names":false,"suffix":""},{"dropping-particle":"","family":"Gebhard","given":"Claudia","non-dropping-particle":"","parse-names":false,"suffix":""},{"dropping-particle":"","family":"Miguel-Escalada","given":"Irene","non-dropping-particle":"","parse-names":false,"suffix":""},{"dropping-particle":"","family":"Hoof","given":"Ilka","non-dropping-particle":"","parse-names":false,"suffix":""},{"dropping-particle":"","family":"Bornholdt","given":"Jette","non-dropping-particle":"","parse-names":false,"suffix":""},{"dropping-particle":"","family":"Boyd","given":"Mette","non-dropping-particle":"","parse-names":false,"suffix":""},{"dropping-particle":"","family":"Chen","given":"Yun","non-dropping-particle":"","parse-names":false,"suffix":""},{"dropping-particle":"","family":"Zhao","given":"Xiaobei","non-dropping-particle":"","parse-names":false,"suffix":""},{"dropping-particle":"","family":"Schmidl","given":"Christian","non-dropping-particle":"","parse-names":false,"suffix":""},{"dropping-particle":"","family":"Suzuki","given":"Takahiro","non-dropping-particle":"","parse-names":false,"suffix":""},{"dropping-particle":"","family":"Ntini","given":"Evgenia","non-dropping-particle":"","parse-names":false,"suffix":""},{"dropping-particle":"","family":"Arner","given":"Erik","non-dropping-particle":"","parse-names":false,"suffix":""},{"dropping-particle":"","family":"Valen","given":"Eivind","non-dropping-particle":"","parse-names":false,"suffix":""},{"dropping-particle":"","family":"Li","given":"Kang","non-dropping-particle":"","parse-names":false,"suffix":""},{"dropping-particle":"","family":"Schwarzfischer","given":"Lucia","non-dropping-particle":"","parse-names":false,"suffix":""},{"dropping-particle":"","family":"Glatz","given":"Dagmar","non-dropping-particle":"","parse-names":false,"suffix":""},{"dropping-particle":"","family":"Raithel","given":"Johanna","non-dropping-particle":"","parse-names":false,"suffix":""},{"dropping-particle":"","family":"Lilje","given":"Berit","non-dropping-particle":"","parse-names":false,"suffix":""},{"dropping-particle":"","family":"Rapin","given":"Nicolas","non-dropping-particle":"","parse-names":false,"suffix":""},{"dropping-particle":"","family":"Bagger","given":"Frederik Otzen","non-dropping-particle":"","parse-names":false,"suffix":""},{"dropping-particle":"","family":"Jørgensen","given":"Mette","non-dropping-particle":"","parse-names":false,"suffix":""},{"dropping-particle":"","family":"Andersen","given":"Peter Refsing","non-dropping-particle":"","parse-names":false,"suffix":""},{"dropping-particle":"","family":"Bertin","given":"Nicolas","non-dropping-particle":"","parse-names":false,"suffix":""},{"dropping-particle":"","family":"Rackham","given":"Owen","non-dropping-particle":"","parse-names":false,"suffix":""},{"dropping-particle":"","family":"Burroughs","given":"A. Maxwell","non-dropping-particle":"","parse-names":false,"suffix":""},{"dropping-particle":"","family":"Baillie","given":"J. Kenneth","non-dropping-particle":"","parse-names":false,"suffix":""},{"dropping-particle":"","family":"Ishizu","given":"Yuri","non-dropping-particle":"","parse-names":false,"suffix":""},{"dropping-particle":"","family":"Shimizu","given":"Yuri","non-dropping-particle":"","parse-names":false,"suffix":""},{"dropping-particle":"","family":"Furuhata","given":"Erina","non-dropping-particle":"","parse-names":false,"suffix":""},{"dropping-particle":"","family":"Maeda","given":"Shiori","non-dropping-particle":"","parse-names":false,"suffix":""},{"dropping-particle":"","family":"Negishi","given":"Yutaka","non-dropping-particle":"","parse-names":false,"suffix":""},{"dropping-particle":"","family":"Mungall","given":"Christopher J.","non-dropping-particle":"","parse-names":false,"suffix":""},{"dropping-particle":"","family":"Meehan","given":"Terrence F.","non-dropping-particle":"","parse-names":false,"suffix":""},{"dropping-particle":"","family":"Lassmann","given":"Timo","non-dropping-particle":"","parse-names":false,"suffix":""},{"dropping-particle":"","family":"Itoh","given":"Masayoshi","non-dropping-particle":"","parse-names":false,"suffix":""},{"dropping-particle":"","family":"Kawaji","given":"Hideya","non-dropping-particle":"","parse-names":false,"suffix":""},{"dropping-particle":"","family":"Kondo","given":"Naoto","non-dropping-particle":"","parse-names":false,"suffix":""},{"dropping-particle":"","family":"Kawai","given":"Jun","non-dropping-particle":"","parse-names":false,"suffix":""},{"dropping-particle":"","family":"Lennartsson","given":"Andreas","non-dropping-particle":"","parse-names":false,"suffix":""},{"dropping-particle":"","family":"Daub","given":"Carsten O.","non-dropping-particle":"","parse-names":false,"suffix":""},{"dropping-particle":"","family":"Heutink","given":"Peter","non-dropping-particle":"","parse-names":false,"suffix":""},{"dropping-particle":"","family":"Hume","given":"David A.","non-dropping-particle":"","parse-names":false,"suffix":""},{"dropping-particle":"","family":"Jensen","given":"Torben Heick","non-dropping-particle":"","parse-names":false,"suffix":""},{"dropping-particle":"","family":"Suzuki","given":"Harukazu","non-dropping-particle":"","parse-names":false,"suffix":""},{"dropping-particle":"","family":"Hayashizaki","given":"Yoshihide","non-dropping-particle":"","parse-names":false,"suffix":""},{"dropping-particle":"","family":"Müller","given":"Ferenc","non-dropping-particle":"","parse-names":false,"suffix":""},{"dropping-particle":"","family":"Forrest","given":"Alistair R.R.","non-dropping-particle":"","parse-names":false,"suffix":""},{"dropping-particle":"","family":"Carninci","given":"Piero","non-dropping-particle":"","parse-names":false,"suffix":""},{"dropping-particle":"","family":"Rehli","given":"Michael","non-dropping-particle":"","parse-names":false,"suffix":""},{"dropping-particle":"","family":"Sandelin","given":"Albin","non-dropping-particle":"","parse-names":false,"suffix":""}],"container-title":"Nature","id":"ITEM-1","issue":"7493","issued":{"date-parts":[["2014","3","26"]]},"page":"455-461","publisher":"Nature Publishing Group","title":"An atlas of active enhancers across human cell types and tissues","type":"article-journal","volume":"507"},"uris":["http://www.mendeley.com/documents/?uuid=ab3d5aa7-1627-37bc-bd6b-8037f5f7646a"]}],"mendeley":{"formattedCitation":"(21)","plainTextFormattedCitation":"(21)","previouslyFormattedCitation":"(21)"},"properties":{"noteIndex":0},"schema":"https://github.com/citation-style-language/schema/raw/master/csl-citation.json"}</w:instrText>
      </w:r>
      <w:r w:rsidRPr="005219C6">
        <w:rPr>
          <w:b w:val="0"/>
        </w:rPr>
        <w:fldChar w:fldCharType="separate"/>
      </w:r>
      <w:r w:rsidRPr="00153236">
        <w:rPr>
          <w:b w:val="0"/>
          <w:noProof/>
        </w:rPr>
        <w:t>(21)</w:t>
      </w:r>
      <w:r w:rsidRPr="005219C6">
        <w:rPr>
          <w:b w:val="0"/>
        </w:rPr>
        <w:fldChar w:fldCharType="end"/>
      </w:r>
      <w:r w:rsidRPr="006112A0">
        <w:rPr>
          <w:b w:val="0"/>
        </w:rPr>
        <w:t xml:space="preserve">. Only unique regions that do not overlap among different cell types </w:t>
      </w:r>
      <w:r>
        <w:rPr>
          <w:b w:val="0"/>
        </w:rPr>
        <w:t>we</w:t>
      </w:r>
      <w:r w:rsidRPr="006112A0">
        <w:rPr>
          <w:b w:val="0"/>
        </w:rPr>
        <w:t>re considered in the analysis. (B, C) Normalized average profiles across PBMC</w:t>
      </w:r>
      <w:r>
        <w:rPr>
          <w:b w:val="0"/>
        </w:rPr>
        <w:t>-</w:t>
      </w:r>
      <w:r w:rsidRPr="006112A0">
        <w:rPr>
          <w:b w:val="0"/>
        </w:rPr>
        <w:t xml:space="preserve">relevant cell types for 18-week-old (B) and 1-year-old children (C). Each line corresponds to a normalized average profile of </w:t>
      </w:r>
      <w:r>
        <w:rPr>
          <w:b w:val="0"/>
        </w:rPr>
        <w:t>a</w:t>
      </w:r>
      <w:r w:rsidRPr="006112A0">
        <w:rPr>
          <w:b w:val="0"/>
        </w:rPr>
        <w:t xml:space="preserve"> child with ΔHAZ score corresponding to </w:t>
      </w:r>
      <w:r>
        <w:rPr>
          <w:b w:val="0"/>
        </w:rPr>
        <w:t>the</w:t>
      </w:r>
      <w:r w:rsidRPr="006112A0">
        <w:rPr>
          <w:b w:val="0"/>
        </w:rPr>
        <w:t xml:space="preserve"> color code in the legend.</w:t>
      </w:r>
    </w:p>
    <w:p w14:paraId="553FEEB6" w14:textId="77777777" w:rsidR="008C525D" w:rsidRDefault="008C525D" w:rsidP="00F955D9">
      <w:pPr>
        <w:keepNext/>
        <w:widowControl w:val="0"/>
        <w:autoSpaceDE w:val="0"/>
        <w:autoSpaceDN w:val="0"/>
        <w:adjustRightInd w:val="0"/>
        <w:ind w:left="640" w:hanging="640"/>
        <w:jc w:val="center"/>
      </w:pPr>
      <w:r>
        <w:rPr>
          <w:noProof/>
        </w:rPr>
        <w:lastRenderedPageBreak/>
        <w:drawing>
          <wp:inline distT="0" distB="0" distL="0" distR="0" wp14:anchorId="2CE7B65C" wp14:editId="28BD7375">
            <wp:extent cx="5828665" cy="8229600"/>
            <wp:effectExtent l="0" t="0" r="0" b="5715"/>
            <wp:docPr id="17" name="Picture 1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8665" cy="8229600"/>
                    </a:xfrm>
                    <a:prstGeom prst="rect">
                      <a:avLst/>
                    </a:prstGeom>
                  </pic:spPr>
                </pic:pic>
              </a:graphicData>
            </a:graphic>
          </wp:inline>
        </w:drawing>
      </w:r>
    </w:p>
    <w:p w14:paraId="10B5943C" w14:textId="77777777" w:rsidR="008C525D" w:rsidRPr="0009715F" w:rsidRDefault="008C525D" w:rsidP="000F6DE4">
      <w:pPr>
        <w:pStyle w:val="figcaption"/>
        <w:spacing w:line="240" w:lineRule="auto"/>
        <w:jc w:val="both"/>
        <w:rPr>
          <w:b w:val="0"/>
        </w:rPr>
      </w:pPr>
      <w:bookmarkStart w:id="5" w:name="_Ref65340372"/>
      <w:r>
        <w:lastRenderedPageBreak/>
        <w:t>Fig. S</w:t>
      </w:r>
      <w:fldSimple w:instr=" SEQ Fig._S \* ARABIC ">
        <w:r>
          <w:rPr>
            <w:noProof/>
          </w:rPr>
          <w:t>5</w:t>
        </w:r>
      </w:fldSimple>
      <w:bookmarkEnd w:id="5"/>
      <w:r>
        <w:t xml:space="preserve">.  </w:t>
      </w:r>
      <w:r w:rsidRPr="006112A0">
        <w:rPr>
          <w:b w:val="0"/>
        </w:rPr>
        <w:t>(A) Scatter plot showing comparison of log</w:t>
      </w:r>
      <w:r w:rsidRPr="006112A0">
        <w:rPr>
          <w:b w:val="0"/>
          <w:vertAlign w:val="subscript"/>
        </w:rPr>
        <w:t>2</w:t>
      </w:r>
      <w:r w:rsidRPr="006112A0">
        <w:rPr>
          <w:b w:val="0"/>
        </w:rPr>
        <w:t>(fold-changes) per unit increase of ΔHAZ score at a given age in 1-year-old children vs. 18-week-old children. Compared here are regions that overlap in the two datasets (regions that appear</w:t>
      </w:r>
      <w:r>
        <w:rPr>
          <w:b w:val="0"/>
        </w:rPr>
        <w:t>ed</w:t>
      </w:r>
      <w:r w:rsidRPr="006112A0">
        <w:rPr>
          <w:b w:val="0"/>
        </w:rPr>
        <w:t xml:space="preserve"> or disappear</w:t>
      </w:r>
      <w:r>
        <w:rPr>
          <w:b w:val="0"/>
        </w:rPr>
        <w:t>ed</w:t>
      </w:r>
      <w:r w:rsidRPr="006112A0">
        <w:rPr>
          <w:b w:val="0"/>
        </w:rPr>
        <w:t xml:space="preserve"> between 18 weeks and 1 year have log</w:t>
      </w:r>
      <w:r w:rsidRPr="006112A0">
        <w:rPr>
          <w:b w:val="0"/>
          <w:vertAlign w:val="subscript"/>
        </w:rPr>
        <w:t>2</w:t>
      </w:r>
      <w:r w:rsidRPr="006112A0">
        <w:rPr>
          <w:b w:val="0"/>
        </w:rPr>
        <w:t xml:space="preserve">(fold-change) value only for 1 age category). </w:t>
      </w:r>
      <w:proofErr w:type="gramStart"/>
      <w:r w:rsidRPr="006112A0">
        <w:rPr>
          <w:b w:val="0"/>
        </w:rPr>
        <w:t>Colored</w:t>
      </w:r>
      <w:proofErr w:type="gramEnd"/>
      <w:r w:rsidRPr="006112A0">
        <w:rPr>
          <w:b w:val="0"/>
        </w:rPr>
        <w:t xml:space="preserve"> are regions that were significantly affected at a given age (none of the regions were found to be significant in both ages). </w:t>
      </w:r>
      <w:r>
        <w:rPr>
          <w:b w:val="0"/>
        </w:rPr>
        <w:t>The p</w:t>
      </w:r>
      <w:r w:rsidRPr="006112A0">
        <w:rPr>
          <w:b w:val="0"/>
        </w:rPr>
        <w:t xml:space="preserve">ercentage in each corner indicates </w:t>
      </w:r>
      <w:r>
        <w:rPr>
          <w:b w:val="0"/>
        </w:rPr>
        <w:t xml:space="preserve">the </w:t>
      </w:r>
      <w:r w:rsidRPr="006112A0">
        <w:rPr>
          <w:b w:val="0"/>
        </w:rPr>
        <w:t xml:space="preserve">percentage of points (regions) that fall into a give quadrant. Pearson correlation coefficient is </w:t>
      </w:r>
      <w:r>
        <w:rPr>
          <w:b w:val="0"/>
        </w:rPr>
        <w:t xml:space="preserve">indicated </w:t>
      </w:r>
      <w:r w:rsidRPr="006112A0">
        <w:rPr>
          <w:b w:val="0"/>
        </w:rPr>
        <w:t>on top of the plot. (B)  Illustration of</w:t>
      </w:r>
      <w:r>
        <w:rPr>
          <w:b w:val="0"/>
        </w:rPr>
        <w:t xml:space="preserve"> the</w:t>
      </w:r>
      <w:r w:rsidRPr="006112A0">
        <w:rPr>
          <w:b w:val="0"/>
        </w:rPr>
        <w:t xml:space="preserve"> two </w:t>
      </w:r>
      <w:r>
        <w:rPr>
          <w:b w:val="0"/>
        </w:rPr>
        <w:t>largest</w:t>
      </w:r>
      <w:r w:rsidRPr="006112A0">
        <w:rPr>
          <w:b w:val="0"/>
        </w:rPr>
        <w:t xml:space="preserve"> categories of regions in </w:t>
      </w:r>
      <w:r>
        <w:rPr>
          <w:b w:val="0"/>
        </w:rPr>
        <w:t xml:space="preserve">the </w:t>
      </w:r>
      <w:r w:rsidRPr="006112A0">
        <w:rPr>
          <w:b w:val="0"/>
        </w:rPr>
        <w:t>alluvial plot from</w:t>
      </w:r>
      <w:r>
        <w:rPr>
          <w:b w:val="0"/>
        </w:rPr>
        <w:t xml:space="preserve"> </w:t>
      </w:r>
      <w:r w:rsidRPr="00D1409D">
        <w:rPr>
          <w:b w:val="0"/>
        </w:rPr>
        <w:fldChar w:fldCharType="begin"/>
      </w:r>
      <w:r w:rsidRPr="00D1409D">
        <w:rPr>
          <w:b w:val="0"/>
        </w:rPr>
        <w:instrText xml:space="preserve"> REF _Ref65161240 \h  \* MERGEFORMAT </w:instrText>
      </w:r>
      <w:r w:rsidRPr="00D1409D">
        <w:rPr>
          <w:b w:val="0"/>
        </w:rPr>
      </w:r>
      <w:r w:rsidRPr="00D1409D">
        <w:rPr>
          <w:b w:val="0"/>
        </w:rPr>
        <w:fldChar w:fldCharType="separate"/>
      </w:r>
      <w:r w:rsidRPr="008460AD">
        <w:rPr>
          <w:b w:val="0"/>
        </w:rPr>
        <w:t xml:space="preserve">Fig. </w:t>
      </w:r>
      <w:r w:rsidRPr="008460AD">
        <w:rPr>
          <w:b w:val="0"/>
          <w:noProof/>
        </w:rPr>
        <w:t>2</w:t>
      </w:r>
      <w:r w:rsidRPr="00D1409D">
        <w:rPr>
          <w:b w:val="0"/>
        </w:rPr>
        <w:fldChar w:fldCharType="end"/>
      </w:r>
      <w:r w:rsidRPr="00D1409D">
        <w:rPr>
          <w:b w:val="0"/>
        </w:rPr>
        <w:t>d</w:t>
      </w:r>
      <w:r>
        <w:rPr>
          <w:b w:val="0"/>
        </w:rPr>
        <w:t xml:space="preserve"> </w:t>
      </w:r>
      <w:r w:rsidRPr="006112A0">
        <w:rPr>
          <w:b w:val="0"/>
        </w:rPr>
        <w:t xml:space="preserve">– </w:t>
      </w:r>
      <w:r>
        <w:rPr>
          <w:b w:val="0"/>
        </w:rPr>
        <w:t>blue:</w:t>
      </w:r>
      <w:r w:rsidRPr="006112A0">
        <w:rPr>
          <w:b w:val="0"/>
        </w:rPr>
        <w:t xml:space="preserve"> H3K27ac </w:t>
      </w:r>
      <w:r>
        <w:rPr>
          <w:b w:val="0"/>
        </w:rPr>
        <w:t>wa</w:t>
      </w:r>
      <w:r w:rsidRPr="006112A0">
        <w:rPr>
          <w:b w:val="0"/>
        </w:rPr>
        <w:t>s upregulated in these regions in stunted children at 18 weeks, then bec</w:t>
      </w:r>
      <w:r>
        <w:rPr>
          <w:b w:val="0"/>
        </w:rPr>
        <w:t>a</w:t>
      </w:r>
      <w:r w:rsidRPr="006112A0">
        <w:rPr>
          <w:b w:val="0"/>
        </w:rPr>
        <w:t>me downregulated in the same regions in stunted children at 1 year</w:t>
      </w:r>
      <w:r>
        <w:rPr>
          <w:b w:val="0"/>
        </w:rPr>
        <w:t>, grey:</w:t>
      </w:r>
      <w:r w:rsidRPr="006112A0">
        <w:rPr>
          <w:b w:val="0"/>
        </w:rPr>
        <w:t xml:space="preserve"> H3K27ac enriched regions </w:t>
      </w:r>
      <w:r>
        <w:rPr>
          <w:b w:val="0"/>
        </w:rPr>
        <w:t>we</w:t>
      </w:r>
      <w:r w:rsidRPr="006112A0">
        <w:rPr>
          <w:b w:val="0"/>
        </w:rPr>
        <w:t xml:space="preserve">re not detected in 18-week old children, </w:t>
      </w:r>
      <w:r>
        <w:rPr>
          <w:b w:val="0"/>
        </w:rPr>
        <w:t>and were downregulated in 1-year-old children with higher risk of stunting</w:t>
      </w:r>
      <w:r w:rsidRPr="006112A0">
        <w:rPr>
          <w:b w:val="0"/>
        </w:rPr>
        <w:t>. (C) Top 10% of regions from the two categories illustrated in (B) were selected based on</w:t>
      </w:r>
      <w:r>
        <w:rPr>
          <w:b w:val="0"/>
        </w:rPr>
        <w:t>:</w:t>
      </w:r>
      <w:r w:rsidRPr="006112A0">
        <w:rPr>
          <w:b w:val="0"/>
        </w:rPr>
        <w:t xml:space="preserve"> </w:t>
      </w:r>
      <w:proofErr w:type="spellStart"/>
      <w:r>
        <w:rPr>
          <w:b w:val="0"/>
        </w:rPr>
        <w:t>i</w:t>
      </w:r>
      <w:proofErr w:type="spellEnd"/>
      <w:r>
        <w:rPr>
          <w:b w:val="0"/>
        </w:rPr>
        <w:t xml:space="preserve">) </w:t>
      </w:r>
      <w:r w:rsidRPr="006112A0">
        <w:rPr>
          <w:b w:val="0"/>
        </w:rPr>
        <w:t>blue</w:t>
      </w:r>
      <w:r>
        <w:rPr>
          <w:b w:val="0"/>
        </w:rPr>
        <w:t xml:space="preserve"> regions - </w:t>
      </w:r>
      <w:r w:rsidRPr="006112A0">
        <w:rPr>
          <w:b w:val="0"/>
        </w:rPr>
        <w:t>highest</w:t>
      </w:r>
      <w:r>
        <w:rPr>
          <w:b w:val="0"/>
        </w:rPr>
        <w:t xml:space="preserve"> value of differences in log</w:t>
      </w:r>
      <w:r w:rsidRPr="003D0E1F">
        <w:rPr>
          <w:b w:val="0"/>
          <w:vertAlign w:val="subscript"/>
        </w:rPr>
        <w:t>2</w:t>
      </w:r>
      <w:r>
        <w:rPr>
          <w:b w:val="0"/>
        </w:rPr>
        <w:t>(fold-changes) between the two ages weighted by the sum of their associated negative log10(</w:t>
      </w:r>
      <w:proofErr w:type="spellStart"/>
      <w:r>
        <w:rPr>
          <w:b w:val="0"/>
        </w:rPr>
        <w:t>p</w:t>
      </w:r>
      <w:r w:rsidRPr="003D0E1F">
        <w:rPr>
          <w:b w:val="0"/>
          <w:vertAlign w:val="subscript"/>
        </w:rPr>
        <w:t>adj</w:t>
      </w:r>
      <w:proofErr w:type="spellEnd"/>
      <w:r>
        <w:rPr>
          <w:b w:val="0"/>
        </w:rPr>
        <w:t>);</w:t>
      </w:r>
      <w:r w:rsidRPr="006112A0">
        <w:rPr>
          <w:b w:val="0"/>
        </w:rPr>
        <w:t xml:space="preserve"> </w:t>
      </w:r>
      <w:r>
        <w:rPr>
          <w:b w:val="0"/>
        </w:rPr>
        <w:t xml:space="preserve">ii) </w:t>
      </w:r>
      <w:r w:rsidRPr="006112A0">
        <w:rPr>
          <w:b w:val="0"/>
        </w:rPr>
        <w:t>grey</w:t>
      </w:r>
      <w:r>
        <w:rPr>
          <w:b w:val="0"/>
        </w:rPr>
        <w:t xml:space="preserve"> regions -</w:t>
      </w:r>
      <w:r w:rsidRPr="006112A0">
        <w:rPr>
          <w:b w:val="0"/>
        </w:rPr>
        <w:t xml:space="preserve"> lowest </w:t>
      </w:r>
      <w:proofErr w:type="spellStart"/>
      <w:r w:rsidRPr="006112A0">
        <w:rPr>
          <w:b w:val="0"/>
        </w:rPr>
        <w:t>padj</w:t>
      </w:r>
      <w:proofErr w:type="spellEnd"/>
      <w:r w:rsidRPr="006112A0">
        <w:rPr>
          <w:b w:val="0"/>
        </w:rPr>
        <w:t xml:space="preserve"> value at 1 year. </w:t>
      </w:r>
      <w:r>
        <w:rPr>
          <w:b w:val="0"/>
        </w:rPr>
        <w:t>The n</w:t>
      </w:r>
      <w:r w:rsidRPr="006112A0">
        <w:rPr>
          <w:b w:val="0"/>
        </w:rPr>
        <w:t>etwork shows functional annotation of both sets of regions</w:t>
      </w:r>
      <w:r>
        <w:rPr>
          <w:b w:val="0"/>
        </w:rPr>
        <w:t xml:space="preserve"> (databases: KEGG, </w:t>
      </w:r>
      <w:proofErr w:type="spellStart"/>
      <w:r>
        <w:rPr>
          <w:b w:val="0"/>
        </w:rPr>
        <w:t>Reactome</w:t>
      </w:r>
      <w:proofErr w:type="spellEnd"/>
      <w:r>
        <w:rPr>
          <w:b w:val="0"/>
        </w:rPr>
        <w:t xml:space="preserve">, </w:t>
      </w:r>
      <w:proofErr w:type="spellStart"/>
      <w:r>
        <w:rPr>
          <w:b w:val="0"/>
        </w:rPr>
        <w:t>WikiPathways</w:t>
      </w:r>
      <w:proofErr w:type="spellEnd"/>
      <w:r>
        <w:rPr>
          <w:b w:val="0"/>
        </w:rPr>
        <w:t>)</w:t>
      </w:r>
      <w:r w:rsidRPr="006112A0">
        <w:rPr>
          <w:b w:val="0"/>
        </w:rPr>
        <w:t xml:space="preserve">. Blue edges show relationships between biological terms associated with blue regions, grey edges with grey regions.  </w:t>
      </w:r>
    </w:p>
    <w:p w14:paraId="21048CA7" w14:textId="77777777" w:rsidR="008C525D" w:rsidRDefault="008C525D" w:rsidP="00F955D9">
      <w:pPr>
        <w:keepNext/>
        <w:widowControl w:val="0"/>
        <w:autoSpaceDE w:val="0"/>
        <w:autoSpaceDN w:val="0"/>
        <w:adjustRightInd w:val="0"/>
        <w:ind w:left="640" w:hanging="640"/>
        <w:jc w:val="center"/>
      </w:pPr>
      <w:r>
        <w:rPr>
          <w:noProof/>
        </w:rPr>
        <w:lastRenderedPageBreak/>
        <w:drawing>
          <wp:inline distT="0" distB="0" distL="0" distR="0" wp14:anchorId="03E348CB" wp14:editId="416C4AD2">
            <wp:extent cx="5943600" cy="6861175"/>
            <wp:effectExtent l="0" t="0" r="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861175"/>
                    </a:xfrm>
                    <a:prstGeom prst="rect">
                      <a:avLst/>
                    </a:prstGeom>
                  </pic:spPr>
                </pic:pic>
              </a:graphicData>
            </a:graphic>
          </wp:inline>
        </w:drawing>
      </w:r>
    </w:p>
    <w:p w14:paraId="4694A7C0" w14:textId="77777777" w:rsidR="008C525D" w:rsidRDefault="008C525D" w:rsidP="000F6DE4">
      <w:pPr>
        <w:pStyle w:val="figcaption"/>
        <w:spacing w:line="240" w:lineRule="auto"/>
        <w:jc w:val="both"/>
        <w:rPr>
          <w:b w:val="0"/>
        </w:rPr>
      </w:pPr>
      <w:bookmarkStart w:id="6" w:name="_Ref65933801"/>
      <w:r>
        <w:t>Fig. S</w:t>
      </w:r>
      <w:fldSimple w:instr=" SEQ Fig._S \* ARABIC ">
        <w:r>
          <w:rPr>
            <w:noProof/>
          </w:rPr>
          <w:t>6</w:t>
        </w:r>
      </w:fldSimple>
      <w:bookmarkEnd w:id="6"/>
      <w:r>
        <w:t xml:space="preserve">. </w:t>
      </w:r>
      <w:r w:rsidRPr="006112A0">
        <w:rPr>
          <w:b w:val="0"/>
        </w:rPr>
        <w:t xml:space="preserve">(A) GenomicDistributions package contains pre-calculated normalized chromatin accessibility values across different cell types in pre-defined regions. These pre-calculated values </w:t>
      </w:r>
      <w:r>
        <w:rPr>
          <w:b w:val="0"/>
        </w:rPr>
        <w:t>we</w:t>
      </w:r>
      <w:r w:rsidRPr="006112A0">
        <w:rPr>
          <w:b w:val="0"/>
        </w:rPr>
        <w:t>re projected onto regions of interest. High values for a given cell type indicate that the regions of interest are particularly active in/ important for that cell type, compared to other cell types. (B) Violin plots show distribution of normalized chromatin accessibility values across different cell types in differential regions identified in 18-week-old children (top) or 1-year-old children (bottom). Black dots on top of violin plots represent medians.</w:t>
      </w:r>
    </w:p>
    <w:p w14:paraId="4FF45CB9" w14:textId="77777777" w:rsidR="008C525D" w:rsidRDefault="008C525D" w:rsidP="00F955D9">
      <w:pPr>
        <w:keepNext/>
        <w:widowControl w:val="0"/>
        <w:autoSpaceDE w:val="0"/>
        <w:autoSpaceDN w:val="0"/>
        <w:adjustRightInd w:val="0"/>
        <w:ind w:left="640" w:hanging="640"/>
        <w:jc w:val="center"/>
      </w:pPr>
      <w:r>
        <w:rPr>
          <w:noProof/>
        </w:rPr>
        <w:lastRenderedPageBreak/>
        <w:drawing>
          <wp:inline distT="0" distB="0" distL="0" distR="0" wp14:anchorId="727F212B" wp14:editId="64E91B16">
            <wp:extent cx="5435588" cy="7471611"/>
            <wp:effectExtent l="0" t="0" r="635" b="0"/>
            <wp:docPr id="12" name="Picture 12" descr="Graphical user interfac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calenda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9310" cy="7545456"/>
                    </a:xfrm>
                    <a:prstGeom prst="rect">
                      <a:avLst/>
                    </a:prstGeom>
                  </pic:spPr>
                </pic:pic>
              </a:graphicData>
            </a:graphic>
          </wp:inline>
        </w:drawing>
      </w:r>
    </w:p>
    <w:p w14:paraId="6C95F53A" w14:textId="77777777" w:rsidR="008C525D" w:rsidRDefault="008C525D" w:rsidP="000F6DE4">
      <w:pPr>
        <w:pStyle w:val="figcaption"/>
        <w:spacing w:line="240" w:lineRule="auto"/>
        <w:jc w:val="both"/>
      </w:pPr>
      <w:bookmarkStart w:id="7" w:name="_Ref65934889"/>
      <w:r>
        <w:t>Fig. S</w:t>
      </w:r>
      <w:fldSimple w:instr=" SEQ Fig._S \* ARABIC ">
        <w:r>
          <w:rPr>
            <w:noProof/>
          </w:rPr>
          <w:t>7</w:t>
        </w:r>
      </w:fldSimple>
      <w:bookmarkEnd w:id="7"/>
      <w:r>
        <w:t xml:space="preserve">. </w:t>
      </w:r>
      <w:r w:rsidRPr="006112A0">
        <w:rPr>
          <w:b w:val="0"/>
        </w:rPr>
        <w:t xml:space="preserve">(A) Histone marks or (B) the top quartile of </w:t>
      </w:r>
      <w:r>
        <w:rPr>
          <w:b w:val="0"/>
        </w:rPr>
        <w:t>DNA-binding factors</w:t>
      </w:r>
      <w:r w:rsidRPr="006112A0">
        <w:rPr>
          <w:b w:val="0"/>
        </w:rPr>
        <w:t xml:space="preserve"> enriched in differential H3K27ac regions of 18-week-old children. Each dot represents the most significant adjusted p-value</w:t>
      </w:r>
      <w:r>
        <w:rPr>
          <w:b w:val="0"/>
        </w:rPr>
        <w:t xml:space="preserve"> result</w:t>
      </w:r>
      <w:r w:rsidRPr="006112A0">
        <w:rPr>
          <w:b w:val="0"/>
        </w:rPr>
        <w:t xml:space="preserve"> for a histone mark (</w:t>
      </w:r>
      <w:r>
        <w:rPr>
          <w:b w:val="0"/>
        </w:rPr>
        <w:t>DNA-binding factor</w:t>
      </w:r>
      <w:r w:rsidRPr="006112A0">
        <w:rPr>
          <w:b w:val="0"/>
        </w:rPr>
        <w:t>) – cell type combination. (C, D) Same as (</w:t>
      </w:r>
      <w:proofErr w:type="gramStart"/>
      <w:r w:rsidRPr="006112A0">
        <w:rPr>
          <w:b w:val="0"/>
        </w:rPr>
        <w:t>A,B</w:t>
      </w:r>
      <w:proofErr w:type="gramEnd"/>
      <w:r w:rsidRPr="006112A0">
        <w:rPr>
          <w:b w:val="0"/>
        </w:rPr>
        <w:t xml:space="preserve">) </w:t>
      </w:r>
      <w:r>
        <w:rPr>
          <w:b w:val="0"/>
        </w:rPr>
        <w:t>but</w:t>
      </w:r>
      <w:r w:rsidRPr="006112A0">
        <w:rPr>
          <w:b w:val="0"/>
        </w:rPr>
        <w:t xml:space="preserve"> for 1-year old children.</w:t>
      </w:r>
    </w:p>
    <w:p w14:paraId="4FEDB1F9" w14:textId="77777777" w:rsidR="008C525D" w:rsidRDefault="008C525D" w:rsidP="003C04F4">
      <w:pPr>
        <w:keepNext/>
        <w:widowControl w:val="0"/>
        <w:autoSpaceDE w:val="0"/>
        <w:autoSpaceDN w:val="0"/>
        <w:adjustRightInd w:val="0"/>
        <w:ind w:left="640" w:hanging="640"/>
      </w:pPr>
      <w:r>
        <w:rPr>
          <w:noProof/>
        </w:rPr>
        <w:lastRenderedPageBreak/>
        <w:drawing>
          <wp:inline distT="0" distB="0" distL="0" distR="0" wp14:anchorId="33393186" wp14:editId="342DA4D1">
            <wp:extent cx="5943600" cy="3116580"/>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116580"/>
                    </a:xfrm>
                    <a:prstGeom prst="rect">
                      <a:avLst/>
                    </a:prstGeom>
                  </pic:spPr>
                </pic:pic>
              </a:graphicData>
            </a:graphic>
          </wp:inline>
        </w:drawing>
      </w:r>
    </w:p>
    <w:p w14:paraId="3DEC03DC" w14:textId="400355C8" w:rsidR="008C525D" w:rsidRPr="00252B8D" w:rsidRDefault="008C525D" w:rsidP="000F6DE4">
      <w:pPr>
        <w:pStyle w:val="figcaption"/>
        <w:spacing w:line="240" w:lineRule="auto"/>
        <w:jc w:val="both"/>
        <w:rPr>
          <w:b w:val="0"/>
        </w:rPr>
      </w:pPr>
      <w:bookmarkStart w:id="8" w:name="_Ref66450030"/>
      <w:r>
        <w:t>Fig. S</w:t>
      </w:r>
      <w:fldSimple w:instr=" SEQ Fig._S \* ARABIC ">
        <w:r>
          <w:rPr>
            <w:noProof/>
          </w:rPr>
          <w:t>8</w:t>
        </w:r>
      </w:fldSimple>
      <w:bookmarkEnd w:id="8"/>
      <w:r>
        <w:t xml:space="preserve">. </w:t>
      </w:r>
      <w:r w:rsidRPr="006112A0">
        <w:rPr>
          <w:b w:val="0"/>
        </w:rPr>
        <w:t>(A) MA-plot</w:t>
      </w:r>
      <w:r>
        <w:rPr>
          <w:b w:val="0"/>
        </w:rPr>
        <w:t xml:space="preserve"> shows</w:t>
      </w:r>
      <w:r w:rsidRPr="006112A0">
        <w:rPr>
          <w:b w:val="0"/>
        </w:rPr>
        <w:t xml:space="preserve"> H3K4me3 mean coverage of predefined regions and log</w:t>
      </w:r>
      <w:r w:rsidRPr="006112A0">
        <w:rPr>
          <w:b w:val="0"/>
          <w:vertAlign w:val="subscript"/>
        </w:rPr>
        <w:t>2</w:t>
      </w:r>
      <w:r w:rsidRPr="006112A0">
        <w:rPr>
          <w:b w:val="0"/>
        </w:rPr>
        <w:t xml:space="preserve">(fold-change) of coverage with a unit increment of ΔHAZ (1 </w:t>
      </w:r>
      <w:proofErr w:type="spellStart"/>
      <w:r w:rsidRPr="006112A0">
        <w:rPr>
          <w:b w:val="0"/>
        </w:rPr>
        <w:t>yr</w:t>
      </w:r>
      <w:proofErr w:type="spellEnd"/>
      <w:r w:rsidRPr="006112A0">
        <w:rPr>
          <w:b w:val="0"/>
        </w:rPr>
        <w:t>). Colored dots show differential regions with FDR-corrected p-value &lt; 0.</w:t>
      </w:r>
      <w:r>
        <w:rPr>
          <w:b w:val="0"/>
        </w:rPr>
        <w:t>0</w:t>
      </w:r>
      <w:r w:rsidRPr="006112A0">
        <w:rPr>
          <w:b w:val="0"/>
        </w:rPr>
        <w:t xml:space="preserve">5. (B) Scatter plot shows relationship between </w:t>
      </w:r>
      <w:r>
        <w:rPr>
          <w:b w:val="0"/>
        </w:rPr>
        <w:t>log</w:t>
      </w:r>
      <w:r w:rsidRPr="003A7023">
        <w:rPr>
          <w:b w:val="0"/>
          <w:vertAlign w:val="subscript"/>
        </w:rPr>
        <w:t>2</w:t>
      </w:r>
      <w:r>
        <w:rPr>
          <w:b w:val="0"/>
        </w:rPr>
        <w:t>(fold-changes) in</w:t>
      </w:r>
      <w:r w:rsidRPr="006112A0">
        <w:rPr>
          <w:b w:val="0"/>
        </w:rPr>
        <w:t xml:space="preserve"> H3K4me3 vs. H3K27ac</w:t>
      </w:r>
      <w:r>
        <w:rPr>
          <w:b w:val="0"/>
        </w:rPr>
        <w:t xml:space="preserve"> </w:t>
      </w:r>
      <w:r w:rsidRPr="006112A0">
        <w:rPr>
          <w:b w:val="0"/>
        </w:rPr>
        <w:t xml:space="preserve">with a unit increment of ΔHAZ (1 </w:t>
      </w:r>
      <w:proofErr w:type="spellStart"/>
      <w:r w:rsidRPr="006112A0">
        <w:rPr>
          <w:b w:val="0"/>
        </w:rPr>
        <w:t>yr</w:t>
      </w:r>
      <w:proofErr w:type="spellEnd"/>
      <w:r w:rsidRPr="006112A0">
        <w:rPr>
          <w:b w:val="0"/>
        </w:rPr>
        <w:t xml:space="preserve">) in 1-year-old </w:t>
      </w:r>
      <w:r>
        <w:rPr>
          <w:b w:val="0"/>
        </w:rPr>
        <w:t>children</w:t>
      </w:r>
      <w:r w:rsidRPr="006112A0">
        <w:rPr>
          <w:b w:val="0"/>
        </w:rPr>
        <w:t>. Each dot represents a region where H3K27ac and H3K4me3 overlap. Grey / light blue / dark blue / red – none / only H3K4me3 / only H3K27ac / both H3K4me3 and H3K27ac were found significantly affected in stunted children. Pearson’s correlation coefficient is mentioned above the plot. (C)  Enumeration of regions from (B) with matching color coding. (D) Overview of “high</w:t>
      </w:r>
      <w:r>
        <w:rPr>
          <w:b w:val="0"/>
        </w:rPr>
        <w:t>-</w:t>
      </w:r>
      <w:r w:rsidRPr="006112A0">
        <w:rPr>
          <w:b w:val="0"/>
        </w:rPr>
        <w:t>precision region</w:t>
      </w:r>
      <w:r>
        <w:rPr>
          <w:b w:val="0"/>
        </w:rPr>
        <w:t>-</w:t>
      </w:r>
      <w:r w:rsidRPr="006112A0">
        <w:rPr>
          <w:b w:val="0"/>
        </w:rPr>
        <w:t>centric approach,” where true intersection of H3K27ac and H3K4me3 differential regions are annotated with genes. Compared to</w:t>
      </w:r>
      <w:r>
        <w:rPr>
          <w:b w:val="0"/>
          <w:color w:val="FF0000"/>
        </w:rPr>
        <w:t xml:space="preserve"> </w:t>
      </w:r>
      <w:r w:rsidRPr="00D1409D">
        <w:rPr>
          <w:b w:val="0"/>
        </w:rPr>
        <w:fldChar w:fldCharType="begin"/>
      </w:r>
      <w:r w:rsidRPr="00D1409D">
        <w:rPr>
          <w:b w:val="0"/>
        </w:rPr>
        <w:instrText xml:space="preserve"> REF _Ref65161825 \h  \* MERGEFORMAT </w:instrText>
      </w:r>
      <w:r w:rsidRPr="00D1409D">
        <w:rPr>
          <w:b w:val="0"/>
        </w:rPr>
      </w:r>
      <w:r w:rsidRPr="00D1409D">
        <w:rPr>
          <w:b w:val="0"/>
        </w:rPr>
        <w:fldChar w:fldCharType="separate"/>
      </w:r>
      <w:r w:rsidRPr="008460AD">
        <w:rPr>
          <w:b w:val="0"/>
        </w:rPr>
        <w:t xml:space="preserve">Fig. </w:t>
      </w:r>
      <w:r w:rsidRPr="008460AD">
        <w:rPr>
          <w:b w:val="0"/>
          <w:noProof/>
        </w:rPr>
        <w:t>5</w:t>
      </w:r>
      <w:r w:rsidRPr="00D1409D">
        <w:rPr>
          <w:b w:val="0"/>
        </w:rPr>
        <w:fldChar w:fldCharType="end"/>
      </w:r>
      <w:r w:rsidRPr="00D1409D">
        <w:rPr>
          <w:b w:val="0"/>
        </w:rPr>
        <w:t>f</w:t>
      </w:r>
      <w:r w:rsidRPr="006112A0">
        <w:rPr>
          <w:b w:val="0"/>
        </w:rPr>
        <w:t>, where</w:t>
      </w:r>
      <w:r>
        <w:rPr>
          <w:b w:val="0"/>
        </w:rPr>
        <w:t xml:space="preserve"> the</w:t>
      </w:r>
      <w:r w:rsidRPr="006112A0">
        <w:rPr>
          <w:b w:val="0"/>
        </w:rPr>
        <w:t xml:space="preserve"> </w:t>
      </w:r>
      <w:r w:rsidRPr="006112A0">
        <w:rPr>
          <w:b w:val="0"/>
          <w:i/>
        </w:rPr>
        <w:t>whole</w:t>
      </w:r>
      <w:r w:rsidRPr="006112A0">
        <w:rPr>
          <w:b w:val="0"/>
        </w:rPr>
        <w:t xml:space="preserve"> H3K27ac region is annotated, if it overlaps with H3K4me3. (E) Pathway enrichment </w:t>
      </w:r>
      <w:r>
        <w:rPr>
          <w:b w:val="0"/>
        </w:rPr>
        <w:t>of</w:t>
      </w:r>
      <w:r w:rsidRPr="006112A0">
        <w:rPr>
          <w:b w:val="0"/>
        </w:rPr>
        <w:t xml:space="preserve"> genes associated with intersecting H3K27ac and H3K4me3 regions. Light blue bars show pathways where both H3K2ac and H3K4me3 are downregulated in 1-year old stunted children, dark blue bars pathways in which H3K27ac is downregulated, but H3K4me3 upregulated in stunting.</w:t>
      </w:r>
    </w:p>
    <w:sectPr w:rsidR="008C525D" w:rsidRPr="00252B8D" w:rsidSect="003C04F4">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4AB42D" w14:textId="77777777" w:rsidR="00A15523" w:rsidRDefault="00A15523" w:rsidP="00E47770">
      <w:r>
        <w:separator/>
      </w:r>
    </w:p>
  </w:endnote>
  <w:endnote w:type="continuationSeparator" w:id="0">
    <w:p w14:paraId="6BDF4EF6" w14:textId="77777777" w:rsidR="00A15523" w:rsidRDefault="00A15523" w:rsidP="00E47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panose1 w:val="02020603050405020304"/>
    <w:charset w:val="00"/>
    <w:family w:val="roman"/>
    <w:pitch w:val="variable"/>
    <w:sig w:usb0="E0002AEF" w:usb1="C0007841" w:usb2="00000009" w:usb3="00000000" w:csb0="000001FF" w:csb1="00000000"/>
  </w:font>
  <w:font w:name="Times New Roman (Body CS)">
    <w:altName w:val="Times New Roman"/>
    <w:panose1 w:val="020206030504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44656253"/>
      <w:docPartObj>
        <w:docPartGallery w:val="Page Numbers (Bottom of Page)"/>
        <w:docPartUnique/>
      </w:docPartObj>
    </w:sdtPr>
    <w:sdtEndPr>
      <w:rPr>
        <w:rStyle w:val="PageNumber"/>
      </w:rPr>
    </w:sdtEndPr>
    <w:sdtContent>
      <w:p w14:paraId="74BD74C5" w14:textId="59AB1FBF" w:rsidR="00F6042E" w:rsidRDefault="00F6042E" w:rsidP="007172F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1516C2" w14:textId="77777777" w:rsidR="00F6042E" w:rsidRDefault="00F604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34459387"/>
      <w:docPartObj>
        <w:docPartGallery w:val="Page Numbers (Bottom of Page)"/>
        <w:docPartUnique/>
      </w:docPartObj>
    </w:sdtPr>
    <w:sdtEndPr>
      <w:rPr>
        <w:rStyle w:val="PageNumber"/>
      </w:rPr>
    </w:sdtEndPr>
    <w:sdtContent>
      <w:p w14:paraId="59873692" w14:textId="63A175D1" w:rsidR="00F6042E" w:rsidRDefault="00F6042E" w:rsidP="007172F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9CE8415" w14:textId="77777777" w:rsidR="00F6042E" w:rsidRDefault="00F60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8BEFD7" w14:textId="77777777" w:rsidR="00A15523" w:rsidRDefault="00A15523" w:rsidP="00E47770">
      <w:r>
        <w:separator/>
      </w:r>
    </w:p>
  </w:footnote>
  <w:footnote w:type="continuationSeparator" w:id="0">
    <w:p w14:paraId="0B0E4B12" w14:textId="77777777" w:rsidR="00A15523" w:rsidRDefault="00A15523" w:rsidP="00E477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377A7F"/>
    <w:multiLevelType w:val="hybridMultilevel"/>
    <w:tmpl w:val="561619C0"/>
    <w:lvl w:ilvl="0" w:tplc="6A8AB5A0">
      <w:start w:val="1"/>
      <w:numFmt w:val="decimal"/>
      <w:lvlText w:val="S%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0817F8"/>
    <w:multiLevelType w:val="multilevel"/>
    <w:tmpl w:val="59A0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070685"/>
    <w:multiLevelType w:val="multilevel"/>
    <w:tmpl w:val="B0CC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E40"/>
    <w:rsid w:val="00001FD2"/>
    <w:rsid w:val="00002D3A"/>
    <w:rsid w:val="00003A8A"/>
    <w:rsid w:val="00014555"/>
    <w:rsid w:val="00026D84"/>
    <w:rsid w:val="00027BDC"/>
    <w:rsid w:val="0003032C"/>
    <w:rsid w:val="00040ACD"/>
    <w:rsid w:val="000445F3"/>
    <w:rsid w:val="0004789F"/>
    <w:rsid w:val="00050BB6"/>
    <w:rsid w:val="00051645"/>
    <w:rsid w:val="00065BA7"/>
    <w:rsid w:val="00066D56"/>
    <w:rsid w:val="00073246"/>
    <w:rsid w:val="000742F5"/>
    <w:rsid w:val="000800E9"/>
    <w:rsid w:val="00083569"/>
    <w:rsid w:val="00087F7D"/>
    <w:rsid w:val="000935A5"/>
    <w:rsid w:val="0009715F"/>
    <w:rsid w:val="000A177C"/>
    <w:rsid w:val="000A1B35"/>
    <w:rsid w:val="000A3BEC"/>
    <w:rsid w:val="000A67DF"/>
    <w:rsid w:val="000B022C"/>
    <w:rsid w:val="000B1540"/>
    <w:rsid w:val="000B317F"/>
    <w:rsid w:val="000B7535"/>
    <w:rsid w:val="000C773E"/>
    <w:rsid w:val="000D05C7"/>
    <w:rsid w:val="000D0A46"/>
    <w:rsid w:val="000D1953"/>
    <w:rsid w:val="000E0AE5"/>
    <w:rsid w:val="000F05AC"/>
    <w:rsid w:val="000F2354"/>
    <w:rsid w:val="000F63AA"/>
    <w:rsid w:val="000F6DE4"/>
    <w:rsid w:val="0010130B"/>
    <w:rsid w:val="00104961"/>
    <w:rsid w:val="00107DC1"/>
    <w:rsid w:val="001102CC"/>
    <w:rsid w:val="00110D3A"/>
    <w:rsid w:val="00110E7A"/>
    <w:rsid w:val="00123979"/>
    <w:rsid w:val="001257CB"/>
    <w:rsid w:val="00130E75"/>
    <w:rsid w:val="00131EFB"/>
    <w:rsid w:val="00132ABB"/>
    <w:rsid w:val="00133F8E"/>
    <w:rsid w:val="00156F68"/>
    <w:rsid w:val="00157893"/>
    <w:rsid w:val="00165C2F"/>
    <w:rsid w:val="00170985"/>
    <w:rsid w:val="00176A82"/>
    <w:rsid w:val="00177BCA"/>
    <w:rsid w:val="0018726F"/>
    <w:rsid w:val="00191296"/>
    <w:rsid w:val="001A45B0"/>
    <w:rsid w:val="001A4623"/>
    <w:rsid w:val="001A5D11"/>
    <w:rsid w:val="001A7565"/>
    <w:rsid w:val="001B1300"/>
    <w:rsid w:val="001B29D9"/>
    <w:rsid w:val="001C4AA6"/>
    <w:rsid w:val="001C5AD5"/>
    <w:rsid w:val="001D0CB7"/>
    <w:rsid w:val="001D7390"/>
    <w:rsid w:val="001E19ED"/>
    <w:rsid w:val="001E1DBC"/>
    <w:rsid w:val="001E215D"/>
    <w:rsid w:val="001E7AD3"/>
    <w:rsid w:val="001F3327"/>
    <w:rsid w:val="001F41EF"/>
    <w:rsid w:val="001F5990"/>
    <w:rsid w:val="001F65CC"/>
    <w:rsid w:val="00204D76"/>
    <w:rsid w:val="002072E0"/>
    <w:rsid w:val="002075E3"/>
    <w:rsid w:val="002118BC"/>
    <w:rsid w:val="002139C6"/>
    <w:rsid w:val="00213B78"/>
    <w:rsid w:val="00230642"/>
    <w:rsid w:val="00232D85"/>
    <w:rsid w:val="00233B20"/>
    <w:rsid w:val="002406B3"/>
    <w:rsid w:val="00241AA0"/>
    <w:rsid w:val="00243D1A"/>
    <w:rsid w:val="002455D4"/>
    <w:rsid w:val="00252331"/>
    <w:rsid w:val="00252B8D"/>
    <w:rsid w:val="00257FA3"/>
    <w:rsid w:val="002602D5"/>
    <w:rsid w:val="0028007A"/>
    <w:rsid w:val="0028213A"/>
    <w:rsid w:val="002912CB"/>
    <w:rsid w:val="00297AF5"/>
    <w:rsid w:val="00297C11"/>
    <w:rsid w:val="002A256B"/>
    <w:rsid w:val="002A2840"/>
    <w:rsid w:val="002A3CDF"/>
    <w:rsid w:val="002B4111"/>
    <w:rsid w:val="002C4171"/>
    <w:rsid w:val="002D1479"/>
    <w:rsid w:val="002D730E"/>
    <w:rsid w:val="002D7472"/>
    <w:rsid w:val="002E0556"/>
    <w:rsid w:val="002E05E0"/>
    <w:rsid w:val="002E2FDB"/>
    <w:rsid w:val="003006E6"/>
    <w:rsid w:val="0030146C"/>
    <w:rsid w:val="00306FF5"/>
    <w:rsid w:val="00311997"/>
    <w:rsid w:val="0031292B"/>
    <w:rsid w:val="003146F8"/>
    <w:rsid w:val="00321EF5"/>
    <w:rsid w:val="00322EB7"/>
    <w:rsid w:val="00326B8B"/>
    <w:rsid w:val="003328C4"/>
    <w:rsid w:val="0033566D"/>
    <w:rsid w:val="00343C5C"/>
    <w:rsid w:val="00345769"/>
    <w:rsid w:val="00347114"/>
    <w:rsid w:val="00351FC8"/>
    <w:rsid w:val="00370F8F"/>
    <w:rsid w:val="00371651"/>
    <w:rsid w:val="00373284"/>
    <w:rsid w:val="00377A92"/>
    <w:rsid w:val="00380260"/>
    <w:rsid w:val="00386536"/>
    <w:rsid w:val="003922D3"/>
    <w:rsid w:val="00393B37"/>
    <w:rsid w:val="003979BC"/>
    <w:rsid w:val="003A1E29"/>
    <w:rsid w:val="003A7023"/>
    <w:rsid w:val="003B0964"/>
    <w:rsid w:val="003B3BB0"/>
    <w:rsid w:val="003B69A9"/>
    <w:rsid w:val="003C04F4"/>
    <w:rsid w:val="003C341D"/>
    <w:rsid w:val="003D021B"/>
    <w:rsid w:val="003D0E1F"/>
    <w:rsid w:val="003E20CF"/>
    <w:rsid w:val="003E4D6E"/>
    <w:rsid w:val="003E5A75"/>
    <w:rsid w:val="003E7014"/>
    <w:rsid w:val="003F1DCE"/>
    <w:rsid w:val="003F5C3A"/>
    <w:rsid w:val="0040132D"/>
    <w:rsid w:val="004054F1"/>
    <w:rsid w:val="00413E3B"/>
    <w:rsid w:val="004324F3"/>
    <w:rsid w:val="00436A41"/>
    <w:rsid w:val="00442774"/>
    <w:rsid w:val="00444AEF"/>
    <w:rsid w:val="0044529F"/>
    <w:rsid w:val="00446D1C"/>
    <w:rsid w:val="004527E3"/>
    <w:rsid w:val="00456A4D"/>
    <w:rsid w:val="00457B1B"/>
    <w:rsid w:val="004669DA"/>
    <w:rsid w:val="00472EF2"/>
    <w:rsid w:val="00474BE1"/>
    <w:rsid w:val="00474D8F"/>
    <w:rsid w:val="00477F15"/>
    <w:rsid w:val="004828AE"/>
    <w:rsid w:val="00482CB5"/>
    <w:rsid w:val="0048610B"/>
    <w:rsid w:val="00486997"/>
    <w:rsid w:val="00490E4C"/>
    <w:rsid w:val="004B0CDC"/>
    <w:rsid w:val="004B2FEE"/>
    <w:rsid w:val="004B7D99"/>
    <w:rsid w:val="004C5E40"/>
    <w:rsid w:val="004D106A"/>
    <w:rsid w:val="004D1978"/>
    <w:rsid w:val="004D75DA"/>
    <w:rsid w:val="004E3AF3"/>
    <w:rsid w:val="004E3D27"/>
    <w:rsid w:val="004F3592"/>
    <w:rsid w:val="00501B64"/>
    <w:rsid w:val="005031AB"/>
    <w:rsid w:val="0051426C"/>
    <w:rsid w:val="00515700"/>
    <w:rsid w:val="005219C6"/>
    <w:rsid w:val="00521EB1"/>
    <w:rsid w:val="0052416D"/>
    <w:rsid w:val="00524AF2"/>
    <w:rsid w:val="00526FB4"/>
    <w:rsid w:val="00537D5C"/>
    <w:rsid w:val="00541977"/>
    <w:rsid w:val="00541C6D"/>
    <w:rsid w:val="0054676C"/>
    <w:rsid w:val="00551FBE"/>
    <w:rsid w:val="00553291"/>
    <w:rsid w:val="005609C0"/>
    <w:rsid w:val="00563073"/>
    <w:rsid w:val="00563B84"/>
    <w:rsid w:val="00563D46"/>
    <w:rsid w:val="00563EFA"/>
    <w:rsid w:val="00570329"/>
    <w:rsid w:val="00571FD8"/>
    <w:rsid w:val="00572620"/>
    <w:rsid w:val="00575672"/>
    <w:rsid w:val="0058175D"/>
    <w:rsid w:val="005859F8"/>
    <w:rsid w:val="00591EE9"/>
    <w:rsid w:val="00595805"/>
    <w:rsid w:val="005A737C"/>
    <w:rsid w:val="005B4B75"/>
    <w:rsid w:val="005C113C"/>
    <w:rsid w:val="005C7F05"/>
    <w:rsid w:val="005D10FE"/>
    <w:rsid w:val="005D7B62"/>
    <w:rsid w:val="005E1514"/>
    <w:rsid w:val="005E32C4"/>
    <w:rsid w:val="005F254A"/>
    <w:rsid w:val="005F4D3C"/>
    <w:rsid w:val="00600FAF"/>
    <w:rsid w:val="0060216A"/>
    <w:rsid w:val="00604EFA"/>
    <w:rsid w:val="006112A0"/>
    <w:rsid w:val="006149D7"/>
    <w:rsid w:val="00616735"/>
    <w:rsid w:val="0062187D"/>
    <w:rsid w:val="00621EA6"/>
    <w:rsid w:val="006243C9"/>
    <w:rsid w:val="006275C0"/>
    <w:rsid w:val="00627A78"/>
    <w:rsid w:val="00632C92"/>
    <w:rsid w:val="00637A56"/>
    <w:rsid w:val="00640AAC"/>
    <w:rsid w:val="00652999"/>
    <w:rsid w:val="006548C5"/>
    <w:rsid w:val="006557A0"/>
    <w:rsid w:val="006571F6"/>
    <w:rsid w:val="0066085F"/>
    <w:rsid w:val="00675F88"/>
    <w:rsid w:val="00677980"/>
    <w:rsid w:val="0069302C"/>
    <w:rsid w:val="00694D64"/>
    <w:rsid w:val="00695622"/>
    <w:rsid w:val="0069575D"/>
    <w:rsid w:val="006A4A9B"/>
    <w:rsid w:val="006B02A9"/>
    <w:rsid w:val="006B29F1"/>
    <w:rsid w:val="006C5D24"/>
    <w:rsid w:val="006E5A6E"/>
    <w:rsid w:val="006E66D8"/>
    <w:rsid w:val="006E6D97"/>
    <w:rsid w:val="006E78DD"/>
    <w:rsid w:val="006F4AEC"/>
    <w:rsid w:val="00705ED5"/>
    <w:rsid w:val="007061D4"/>
    <w:rsid w:val="00712B13"/>
    <w:rsid w:val="007172F3"/>
    <w:rsid w:val="0072064E"/>
    <w:rsid w:val="00733EC0"/>
    <w:rsid w:val="00736A06"/>
    <w:rsid w:val="00736E87"/>
    <w:rsid w:val="0074237B"/>
    <w:rsid w:val="00745647"/>
    <w:rsid w:val="007504BE"/>
    <w:rsid w:val="00760687"/>
    <w:rsid w:val="007612E9"/>
    <w:rsid w:val="00765B24"/>
    <w:rsid w:val="00766E46"/>
    <w:rsid w:val="007740E1"/>
    <w:rsid w:val="00777899"/>
    <w:rsid w:val="00781FC5"/>
    <w:rsid w:val="00784999"/>
    <w:rsid w:val="00792E6E"/>
    <w:rsid w:val="00794F5C"/>
    <w:rsid w:val="00796B50"/>
    <w:rsid w:val="007A0C93"/>
    <w:rsid w:val="007A2168"/>
    <w:rsid w:val="007A786E"/>
    <w:rsid w:val="007B0A13"/>
    <w:rsid w:val="007B6346"/>
    <w:rsid w:val="007D44BD"/>
    <w:rsid w:val="007D692D"/>
    <w:rsid w:val="007E1F42"/>
    <w:rsid w:val="007F242C"/>
    <w:rsid w:val="007F2591"/>
    <w:rsid w:val="00804045"/>
    <w:rsid w:val="008068BD"/>
    <w:rsid w:val="00810210"/>
    <w:rsid w:val="00810468"/>
    <w:rsid w:val="0081208F"/>
    <w:rsid w:val="0081633A"/>
    <w:rsid w:val="00817B46"/>
    <w:rsid w:val="0082230E"/>
    <w:rsid w:val="00823FD9"/>
    <w:rsid w:val="00832986"/>
    <w:rsid w:val="00834AEB"/>
    <w:rsid w:val="00842B9D"/>
    <w:rsid w:val="008460AD"/>
    <w:rsid w:val="00850B6B"/>
    <w:rsid w:val="008549B7"/>
    <w:rsid w:val="00872216"/>
    <w:rsid w:val="008729EB"/>
    <w:rsid w:val="00875891"/>
    <w:rsid w:val="0088630E"/>
    <w:rsid w:val="00890716"/>
    <w:rsid w:val="00893090"/>
    <w:rsid w:val="00893C1F"/>
    <w:rsid w:val="008947B1"/>
    <w:rsid w:val="00894969"/>
    <w:rsid w:val="00895DFA"/>
    <w:rsid w:val="00896F94"/>
    <w:rsid w:val="008A7E8B"/>
    <w:rsid w:val="008B2868"/>
    <w:rsid w:val="008B3343"/>
    <w:rsid w:val="008C525D"/>
    <w:rsid w:val="008D1D77"/>
    <w:rsid w:val="008D1D88"/>
    <w:rsid w:val="008E06D7"/>
    <w:rsid w:val="008E1BB2"/>
    <w:rsid w:val="008F0CE3"/>
    <w:rsid w:val="008F3B7C"/>
    <w:rsid w:val="00902809"/>
    <w:rsid w:val="009109EC"/>
    <w:rsid w:val="00912662"/>
    <w:rsid w:val="00916102"/>
    <w:rsid w:val="00921401"/>
    <w:rsid w:val="00923BC3"/>
    <w:rsid w:val="00927679"/>
    <w:rsid w:val="00931AF9"/>
    <w:rsid w:val="00931FAE"/>
    <w:rsid w:val="00946202"/>
    <w:rsid w:val="00950E9A"/>
    <w:rsid w:val="00963003"/>
    <w:rsid w:val="0096416B"/>
    <w:rsid w:val="00976B73"/>
    <w:rsid w:val="009A05B7"/>
    <w:rsid w:val="009A061E"/>
    <w:rsid w:val="009A44DE"/>
    <w:rsid w:val="009B43BE"/>
    <w:rsid w:val="009C21B0"/>
    <w:rsid w:val="009C6A87"/>
    <w:rsid w:val="009D3817"/>
    <w:rsid w:val="009D39D3"/>
    <w:rsid w:val="009D739D"/>
    <w:rsid w:val="009E2644"/>
    <w:rsid w:val="009E6FF4"/>
    <w:rsid w:val="009E7C0D"/>
    <w:rsid w:val="009F22F7"/>
    <w:rsid w:val="00A02B33"/>
    <w:rsid w:val="00A03C3F"/>
    <w:rsid w:val="00A12A41"/>
    <w:rsid w:val="00A13A84"/>
    <w:rsid w:val="00A15523"/>
    <w:rsid w:val="00A17C60"/>
    <w:rsid w:val="00A20623"/>
    <w:rsid w:val="00A207DA"/>
    <w:rsid w:val="00A241BC"/>
    <w:rsid w:val="00A24675"/>
    <w:rsid w:val="00A40B5A"/>
    <w:rsid w:val="00A40C11"/>
    <w:rsid w:val="00A452CA"/>
    <w:rsid w:val="00A456D4"/>
    <w:rsid w:val="00A45751"/>
    <w:rsid w:val="00A466F7"/>
    <w:rsid w:val="00A479AA"/>
    <w:rsid w:val="00A5311D"/>
    <w:rsid w:val="00A5619D"/>
    <w:rsid w:val="00A61E30"/>
    <w:rsid w:val="00A65764"/>
    <w:rsid w:val="00A70C0B"/>
    <w:rsid w:val="00A7203C"/>
    <w:rsid w:val="00A7416A"/>
    <w:rsid w:val="00A776C2"/>
    <w:rsid w:val="00A84242"/>
    <w:rsid w:val="00A9551B"/>
    <w:rsid w:val="00AB5A7A"/>
    <w:rsid w:val="00AB6E25"/>
    <w:rsid w:val="00AC0ED9"/>
    <w:rsid w:val="00AC10CC"/>
    <w:rsid w:val="00AC585B"/>
    <w:rsid w:val="00AC7097"/>
    <w:rsid w:val="00AE0675"/>
    <w:rsid w:val="00AE2F34"/>
    <w:rsid w:val="00AF0780"/>
    <w:rsid w:val="00AF0BE4"/>
    <w:rsid w:val="00AF0EDD"/>
    <w:rsid w:val="00AF2DAF"/>
    <w:rsid w:val="00AF3A8F"/>
    <w:rsid w:val="00AF495F"/>
    <w:rsid w:val="00B00B72"/>
    <w:rsid w:val="00B01D56"/>
    <w:rsid w:val="00B07F5F"/>
    <w:rsid w:val="00B1168A"/>
    <w:rsid w:val="00B124BD"/>
    <w:rsid w:val="00B145E1"/>
    <w:rsid w:val="00B15336"/>
    <w:rsid w:val="00B15847"/>
    <w:rsid w:val="00B24054"/>
    <w:rsid w:val="00B27505"/>
    <w:rsid w:val="00B306E9"/>
    <w:rsid w:val="00B319E1"/>
    <w:rsid w:val="00B33B54"/>
    <w:rsid w:val="00B41654"/>
    <w:rsid w:val="00B44B2F"/>
    <w:rsid w:val="00B50636"/>
    <w:rsid w:val="00B54382"/>
    <w:rsid w:val="00B561A6"/>
    <w:rsid w:val="00B605BA"/>
    <w:rsid w:val="00B65D12"/>
    <w:rsid w:val="00B737B3"/>
    <w:rsid w:val="00BA178D"/>
    <w:rsid w:val="00BA5B49"/>
    <w:rsid w:val="00BA6A1D"/>
    <w:rsid w:val="00BA7326"/>
    <w:rsid w:val="00BB3C08"/>
    <w:rsid w:val="00BC055C"/>
    <w:rsid w:val="00BE1046"/>
    <w:rsid w:val="00BE4AD6"/>
    <w:rsid w:val="00BE53B4"/>
    <w:rsid w:val="00BE7193"/>
    <w:rsid w:val="00BF06D3"/>
    <w:rsid w:val="00BF4048"/>
    <w:rsid w:val="00C01998"/>
    <w:rsid w:val="00C02CCE"/>
    <w:rsid w:val="00C102D3"/>
    <w:rsid w:val="00C104E4"/>
    <w:rsid w:val="00C12552"/>
    <w:rsid w:val="00C12D4F"/>
    <w:rsid w:val="00C14628"/>
    <w:rsid w:val="00C15740"/>
    <w:rsid w:val="00C208CC"/>
    <w:rsid w:val="00C223AB"/>
    <w:rsid w:val="00C22FFA"/>
    <w:rsid w:val="00C2377F"/>
    <w:rsid w:val="00C24F2F"/>
    <w:rsid w:val="00C2579E"/>
    <w:rsid w:val="00C3183F"/>
    <w:rsid w:val="00C34046"/>
    <w:rsid w:val="00C42E48"/>
    <w:rsid w:val="00C46291"/>
    <w:rsid w:val="00C4758B"/>
    <w:rsid w:val="00C522DB"/>
    <w:rsid w:val="00C55DDF"/>
    <w:rsid w:val="00C57698"/>
    <w:rsid w:val="00C578A2"/>
    <w:rsid w:val="00C647D7"/>
    <w:rsid w:val="00C67058"/>
    <w:rsid w:val="00C711F0"/>
    <w:rsid w:val="00C75180"/>
    <w:rsid w:val="00C84239"/>
    <w:rsid w:val="00C84A48"/>
    <w:rsid w:val="00C85121"/>
    <w:rsid w:val="00C87589"/>
    <w:rsid w:val="00C905A0"/>
    <w:rsid w:val="00C9125C"/>
    <w:rsid w:val="00C96CCD"/>
    <w:rsid w:val="00C96E8C"/>
    <w:rsid w:val="00CA15A2"/>
    <w:rsid w:val="00CA2567"/>
    <w:rsid w:val="00CA302D"/>
    <w:rsid w:val="00CA43D2"/>
    <w:rsid w:val="00CA72AD"/>
    <w:rsid w:val="00CB4890"/>
    <w:rsid w:val="00CB7B11"/>
    <w:rsid w:val="00CC0CA9"/>
    <w:rsid w:val="00CD7910"/>
    <w:rsid w:val="00D00DB9"/>
    <w:rsid w:val="00D0200D"/>
    <w:rsid w:val="00D0472B"/>
    <w:rsid w:val="00D1409D"/>
    <w:rsid w:val="00D1625E"/>
    <w:rsid w:val="00D21426"/>
    <w:rsid w:val="00D25390"/>
    <w:rsid w:val="00D260C7"/>
    <w:rsid w:val="00D26803"/>
    <w:rsid w:val="00D33655"/>
    <w:rsid w:val="00D3435D"/>
    <w:rsid w:val="00D35117"/>
    <w:rsid w:val="00D35702"/>
    <w:rsid w:val="00D4516A"/>
    <w:rsid w:val="00D4621C"/>
    <w:rsid w:val="00D46523"/>
    <w:rsid w:val="00D53D37"/>
    <w:rsid w:val="00D60C16"/>
    <w:rsid w:val="00D63FDD"/>
    <w:rsid w:val="00D66350"/>
    <w:rsid w:val="00D6651C"/>
    <w:rsid w:val="00D66E85"/>
    <w:rsid w:val="00D716EB"/>
    <w:rsid w:val="00D72215"/>
    <w:rsid w:val="00D7231B"/>
    <w:rsid w:val="00D73EC5"/>
    <w:rsid w:val="00D8051C"/>
    <w:rsid w:val="00D8361F"/>
    <w:rsid w:val="00D83AA2"/>
    <w:rsid w:val="00D84712"/>
    <w:rsid w:val="00D8507C"/>
    <w:rsid w:val="00D9147D"/>
    <w:rsid w:val="00D93502"/>
    <w:rsid w:val="00D97BDC"/>
    <w:rsid w:val="00D97D36"/>
    <w:rsid w:val="00DA1305"/>
    <w:rsid w:val="00DA4C9F"/>
    <w:rsid w:val="00DA59FC"/>
    <w:rsid w:val="00DA6F49"/>
    <w:rsid w:val="00DB43CF"/>
    <w:rsid w:val="00DB4B34"/>
    <w:rsid w:val="00DB79CB"/>
    <w:rsid w:val="00DD78AC"/>
    <w:rsid w:val="00DD7CBD"/>
    <w:rsid w:val="00DE5A28"/>
    <w:rsid w:val="00DE627B"/>
    <w:rsid w:val="00DF13F6"/>
    <w:rsid w:val="00DF4083"/>
    <w:rsid w:val="00DF541B"/>
    <w:rsid w:val="00DF67C8"/>
    <w:rsid w:val="00DF6FD3"/>
    <w:rsid w:val="00E00D31"/>
    <w:rsid w:val="00E14838"/>
    <w:rsid w:val="00E1585A"/>
    <w:rsid w:val="00E17A3A"/>
    <w:rsid w:val="00E222EA"/>
    <w:rsid w:val="00E2666E"/>
    <w:rsid w:val="00E31EE8"/>
    <w:rsid w:val="00E335D4"/>
    <w:rsid w:val="00E3449F"/>
    <w:rsid w:val="00E47770"/>
    <w:rsid w:val="00E53C71"/>
    <w:rsid w:val="00E5490F"/>
    <w:rsid w:val="00E57124"/>
    <w:rsid w:val="00E573E0"/>
    <w:rsid w:val="00E749EB"/>
    <w:rsid w:val="00E76712"/>
    <w:rsid w:val="00E8664D"/>
    <w:rsid w:val="00E92E26"/>
    <w:rsid w:val="00E94919"/>
    <w:rsid w:val="00E956C2"/>
    <w:rsid w:val="00EA0A4F"/>
    <w:rsid w:val="00EA23E5"/>
    <w:rsid w:val="00EA4EA5"/>
    <w:rsid w:val="00EA5A91"/>
    <w:rsid w:val="00EA5DD5"/>
    <w:rsid w:val="00EA6761"/>
    <w:rsid w:val="00EB3F56"/>
    <w:rsid w:val="00EB64F5"/>
    <w:rsid w:val="00EC66D6"/>
    <w:rsid w:val="00EC7144"/>
    <w:rsid w:val="00ED1581"/>
    <w:rsid w:val="00ED2537"/>
    <w:rsid w:val="00ED2D6E"/>
    <w:rsid w:val="00EF28AE"/>
    <w:rsid w:val="00EF3ABC"/>
    <w:rsid w:val="00F02F04"/>
    <w:rsid w:val="00F037E2"/>
    <w:rsid w:val="00F12A2D"/>
    <w:rsid w:val="00F17EFF"/>
    <w:rsid w:val="00F34831"/>
    <w:rsid w:val="00F4089E"/>
    <w:rsid w:val="00F411EC"/>
    <w:rsid w:val="00F4162C"/>
    <w:rsid w:val="00F416A0"/>
    <w:rsid w:val="00F4704B"/>
    <w:rsid w:val="00F47578"/>
    <w:rsid w:val="00F476C6"/>
    <w:rsid w:val="00F518B2"/>
    <w:rsid w:val="00F523F4"/>
    <w:rsid w:val="00F526EA"/>
    <w:rsid w:val="00F54B63"/>
    <w:rsid w:val="00F6042E"/>
    <w:rsid w:val="00F63AE9"/>
    <w:rsid w:val="00F65D34"/>
    <w:rsid w:val="00F73F51"/>
    <w:rsid w:val="00F7669C"/>
    <w:rsid w:val="00F84B4D"/>
    <w:rsid w:val="00F86DC1"/>
    <w:rsid w:val="00F86EDE"/>
    <w:rsid w:val="00F871DD"/>
    <w:rsid w:val="00F9011F"/>
    <w:rsid w:val="00F928F7"/>
    <w:rsid w:val="00F94BCD"/>
    <w:rsid w:val="00F955D9"/>
    <w:rsid w:val="00FA3DDE"/>
    <w:rsid w:val="00FA58DD"/>
    <w:rsid w:val="00FA69E7"/>
    <w:rsid w:val="00FB4EF0"/>
    <w:rsid w:val="00FB56CE"/>
    <w:rsid w:val="00FC4D61"/>
    <w:rsid w:val="00FE0C3C"/>
    <w:rsid w:val="00FE4B35"/>
    <w:rsid w:val="00FE4D4B"/>
    <w:rsid w:val="00FE7E9C"/>
    <w:rsid w:val="00FF5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D9003"/>
  <w15:chartTrackingRefBased/>
  <w15:docId w15:val="{BBD7135D-0338-264F-B5ED-B58FBD2D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finishedtitle"/>
    <w:next w:val="Normal"/>
    <w:link w:val="Heading1Char"/>
    <w:uiPriority w:val="9"/>
    <w:qFormat/>
    <w:rsid w:val="0088630E"/>
    <w:pPr>
      <w:keepNext/>
      <w:keepLines/>
      <w:spacing w:before="240"/>
      <w:outlineLvl w:val="0"/>
    </w:pPr>
    <w:rPr>
      <w:rFonts w:asciiTheme="majorHAnsi" w:eastAsiaTheme="majorEastAsia" w:hAnsiTheme="majorHAnsi" w:cs="Times New Roman (Headings CS)"/>
      <w:caps/>
      <w:color w:val="000000" w:themeColor="text1"/>
      <w:szCs w:val="32"/>
    </w:rPr>
  </w:style>
  <w:style w:type="paragraph" w:styleId="Heading2">
    <w:name w:val="heading 2"/>
    <w:basedOn w:val="Subtitle1"/>
    <w:next w:val="text"/>
    <w:link w:val="Heading2Char"/>
    <w:uiPriority w:val="9"/>
    <w:unhideWhenUsed/>
    <w:qFormat/>
    <w:rsid w:val="00B24054"/>
    <w:pPr>
      <w:keepNext/>
      <w:keepLines/>
      <w:spacing w:before="40"/>
      <w:outlineLvl w:val="1"/>
    </w:pPr>
    <w:rPr>
      <w:rFonts w:eastAsiaTheme="majorEastAsia" w:cstheme="majorBidi"/>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finishedtitle">
    <w:name w:val="unfinished title"/>
    <w:basedOn w:val="Normal"/>
    <w:qFormat/>
    <w:rsid w:val="00E47770"/>
    <w:pPr>
      <w:spacing w:line="480" w:lineRule="auto"/>
    </w:pPr>
    <w:rPr>
      <w:b/>
      <w:color w:val="C00000"/>
      <w:sz w:val="28"/>
    </w:rPr>
  </w:style>
  <w:style w:type="paragraph" w:customStyle="1" w:styleId="unfinishedtext">
    <w:name w:val="unfinished text"/>
    <w:basedOn w:val="unfinishedtitle"/>
    <w:next w:val="text"/>
    <w:qFormat/>
    <w:rsid w:val="00E47770"/>
    <w:rPr>
      <w:b w:val="0"/>
      <w:sz w:val="24"/>
    </w:rPr>
  </w:style>
  <w:style w:type="character" w:styleId="LineNumber">
    <w:name w:val="line number"/>
    <w:basedOn w:val="DefaultParagraphFont"/>
    <w:uiPriority w:val="99"/>
    <w:semiHidden/>
    <w:unhideWhenUsed/>
    <w:rsid w:val="00E47770"/>
  </w:style>
  <w:style w:type="paragraph" w:styleId="Header">
    <w:name w:val="header"/>
    <w:basedOn w:val="Normal"/>
    <w:link w:val="HeaderChar"/>
    <w:uiPriority w:val="99"/>
    <w:unhideWhenUsed/>
    <w:rsid w:val="00E47770"/>
    <w:pPr>
      <w:tabs>
        <w:tab w:val="center" w:pos="4680"/>
        <w:tab w:val="right" w:pos="9360"/>
      </w:tabs>
    </w:pPr>
  </w:style>
  <w:style w:type="character" w:customStyle="1" w:styleId="HeaderChar">
    <w:name w:val="Header Char"/>
    <w:basedOn w:val="DefaultParagraphFont"/>
    <w:link w:val="Header"/>
    <w:uiPriority w:val="99"/>
    <w:rsid w:val="00E47770"/>
  </w:style>
  <w:style w:type="paragraph" w:styleId="Footer">
    <w:name w:val="footer"/>
    <w:basedOn w:val="Normal"/>
    <w:link w:val="FooterChar"/>
    <w:uiPriority w:val="99"/>
    <w:unhideWhenUsed/>
    <w:rsid w:val="00E47770"/>
    <w:pPr>
      <w:tabs>
        <w:tab w:val="center" w:pos="4680"/>
        <w:tab w:val="right" w:pos="9360"/>
      </w:tabs>
    </w:pPr>
  </w:style>
  <w:style w:type="character" w:customStyle="1" w:styleId="FooterChar">
    <w:name w:val="Footer Char"/>
    <w:basedOn w:val="DefaultParagraphFont"/>
    <w:link w:val="Footer"/>
    <w:uiPriority w:val="99"/>
    <w:rsid w:val="00E47770"/>
  </w:style>
  <w:style w:type="character" w:styleId="PageNumber">
    <w:name w:val="page number"/>
    <w:basedOn w:val="DefaultParagraphFont"/>
    <w:uiPriority w:val="99"/>
    <w:semiHidden/>
    <w:unhideWhenUsed/>
    <w:rsid w:val="00E47770"/>
  </w:style>
  <w:style w:type="paragraph" w:customStyle="1" w:styleId="unfinishedsubtitle">
    <w:name w:val="unfinished subtitle"/>
    <w:basedOn w:val="unfinishedtitle"/>
    <w:next w:val="text"/>
    <w:qFormat/>
    <w:rsid w:val="00E47770"/>
    <w:rPr>
      <w:b w:val="0"/>
      <w:u w:val="single"/>
    </w:rPr>
  </w:style>
  <w:style w:type="paragraph" w:customStyle="1" w:styleId="text">
    <w:name w:val="text"/>
    <w:basedOn w:val="unfinishedtext"/>
    <w:next w:val="text2nd"/>
    <w:qFormat/>
    <w:rsid w:val="00E47770"/>
    <w:rPr>
      <w:color w:val="auto"/>
    </w:rPr>
  </w:style>
  <w:style w:type="paragraph" w:customStyle="1" w:styleId="Subtitle1">
    <w:name w:val="Subtitle1"/>
    <w:basedOn w:val="unfinishedsubtitle"/>
    <w:next w:val="text"/>
    <w:qFormat/>
    <w:rsid w:val="00213B78"/>
    <w:rPr>
      <w:color w:val="auto"/>
    </w:rPr>
  </w:style>
  <w:style w:type="character" w:styleId="CommentReference">
    <w:name w:val="annotation reference"/>
    <w:basedOn w:val="DefaultParagraphFont"/>
    <w:uiPriority w:val="99"/>
    <w:semiHidden/>
    <w:unhideWhenUsed/>
    <w:rsid w:val="00213B78"/>
    <w:rPr>
      <w:sz w:val="16"/>
      <w:szCs w:val="16"/>
    </w:rPr>
  </w:style>
  <w:style w:type="paragraph" w:styleId="CommentText">
    <w:name w:val="annotation text"/>
    <w:basedOn w:val="Normal"/>
    <w:link w:val="CommentTextChar"/>
    <w:uiPriority w:val="99"/>
    <w:semiHidden/>
    <w:unhideWhenUsed/>
    <w:rsid w:val="00213B78"/>
    <w:rPr>
      <w:sz w:val="20"/>
      <w:szCs w:val="20"/>
    </w:rPr>
  </w:style>
  <w:style w:type="character" w:customStyle="1" w:styleId="CommentTextChar">
    <w:name w:val="Comment Text Char"/>
    <w:basedOn w:val="DefaultParagraphFont"/>
    <w:link w:val="CommentText"/>
    <w:uiPriority w:val="99"/>
    <w:semiHidden/>
    <w:rsid w:val="00213B78"/>
    <w:rPr>
      <w:sz w:val="20"/>
      <w:szCs w:val="20"/>
    </w:rPr>
  </w:style>
  <w:style w:type="paragraph" w:styleId="CommentSubject">
    <w:name w:val="annotation subject"/>
    <w:basedOn w:val="CommentText"/>
    <w:next w:val="CommentText"/>
    <w:link w:val="CommentSubjectChar"/>
    <w:uiPriority w:val="99"/>
    <w:semiHidden/>
    <w:unhideWhenUsed/>
    <w:rsid w:val="00213B78"/>
    <w:rPr>
      <w:b/>
      <w:bCs/>
    </w:rPr>
  </w:style>
  <w:style w:type="character" w:customStyle="1" w:styleId="CommentSubjectChar">
    <w:name w:val="Comment Subject Char"/>
    <w:basedOn w:val="CommentTextChar"/>
    <w:link w:val="CommentSubject"/>
    <w:uiPriority w:val="99"/>
    <w:semiHidden/>
    <w:rsid w:val="00213B78"/>
    <w:rPr>
      <w:b/>
      <w:bCs/>
      <w:sz w:val="20"/>
      <w:szCs w:val="20"/>
    </w:rPr>
  </w:style>
  <w:style w:type="paragraph" w:styleId="BalloonText">
    <w:name w:val="Balloon Text"/>
    <w:basedOn w:val="Normal"/>
    <w:link w:val="BalloonTextChar"/>
    <w:uiPriority w:val="99"/>
    <w:semiHidden/>
    <w:unhideWhenUsed/>
    <w:rsid w:val="00213B7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3B78"/>
    <w:rPr>
      <w:rFonts w:ascii="Times New Roman" w:hAnsi="Times New Roman" w:cs="Times New Roman"/>
      <w:sz w:val="18"/>
      <w:szCs w:val="18"/>
    </w:rPr>
  </w:style>
  <w:style w:type="paragraph" w:customStyle="1" w:styleId="supplements">
    <w:name w:val="supplements?"/>
    <w:basedOn w:val="Subtitle1"/>
    <w:qFormat/>
    <w:rsid w:val="005F254A"/>
    <w:rPr>
      <w:color w:val="1F3864" w:themeColor="accent1" w:themeShade="80"/>
    </w:rPr>
  </w:style>
  <w:style w:type="paragraph" w:customStyle="1" w:styleId="supplementtext">
    <w:name w:val="supplement text?"/>
    <w:basedOn w:val="text"/>
    <w:qFormat/>
    <w:rsid w:val="005F254A"/>
    <w:rPr>
      <w:color w:val="1F3864" w:themeColor="accent1" w:themeShade="80"/>
    </w:rPr>
  </w:style>
  <w:style w:type="paragraph" w:styleId="Revision">
    <w:name w:val="Revision"/>
    <w:hidden/>
    <w:uiPriority w:val="99"/>
    <w:semiHidden/>
    <w:rsid w:val="005F254A"/>
  </w:style>
  <w:style w:type="character" w:styleId="Hyperlink">
    <w:name w:val="Hyperlink"/>
    <w:basedOn w:val="DefaultParagraphFont"/>
    <w:uiPriority w:val="99"/>
    <w:unhideWhenUsed/>
    <w:rsid w:val="00026D84"/>
    <w:rPr>
      <w:color w:val="0563C1" w:themeColor="hyperlink"/>
      <w:u w:val="single"/>
    </w:rPr>
  </w:style>
  <w:style w:type="character" w:styleId="UnresolvedMention">
    <w:name w:val="Unresolved Mention"/>
    <w:basedOn w:val="DefaultParagraphFont"/>
    <w:uiPriority w:val="99"/>
    <w:rsid w:val="00026D84"/>
    <w:rPr>
      <w:color w:val="605E5C"/>
      <w:shd w:val="clear" w:color="auto" w:fill="E1DFDD"/>
    </w:rPr>
  </w:style>
  <w:style w:type="character" w:styleId="PlaceholderText">
    <w:name w:val="Placeholder Text"/>
    <w:basedOn w:val="DefaultParagraphFont"/>
    <w:uiPriority w:val="99"/>
    <w:semiHidden/>
    <w:rsid w:val="004054F1"/>
    <w:rPr>
      <w:color w:val="808080"/>
    </w:rPr>
  </w:style>
  <w:style w:type="character" w:styleId="FollowedHyperlink">
    <w:name w:val="FollowedHyperlink"/>
    <w:basedOn w:val="DefaultParagraphFont"/>
    <w:uiPriority w:val="99"/>
    <w:semiHidden/>
    <w:unhideWhenUsed/>
    <w:rsid w:val="00893090"/>
    <w:rPr>
      <w:color w:val="954F72" w:themeColor="followedHyperlink"/>
      <w:u w:val="single"/>
    </w:rPr>
  </w:style>
  <w:style w:type="paragraph" w:customStyle="1" w:styleId="finishedtitle">
    <w:name w:val="finished title"/>
    <w:basedOn w:val="unfinishedtitle"/>
    <w:next w:val="text"/>
    <w:qFormat/>
    <w:rsid w:val="00694D64"/>
    <w:rPr>
      <w:color w:val="auto"/>
    </w:rPr>
  </w:style>
  <w:style w:type="paragraph" w:styleId="Caption">
    <w:name w:val="caption"/>
    <w:basedOn w:val="Normal"/>
    <w:next w:val="Normal"/>
    <w:uiPriority w:val="35"/>
    <w:unhideWhenUsed/>
    <w:qFormat/>
    <w:rsid w:val="00A12A41"/>
    <w:pPr>
      <w:spacing w:after="200"/>
    </w:pPr>
    <w:rPr>
      <w:i/>
      <w:iCs/>
      <w:color w:val="44546A" w:themeColor="text2"/>
      <w:sz w:val="18"/>
      <w:szCs w:val="18"/>
    </w:rPr>
  </w:style>
  <w:style w:type="paragraph" w:customStyle="1" w:styleId="figcaption">
    <w:name w:val="fig caption"/>
    <w:basedOn w:val="text"/>
    <w:qFormat/>
    <w:rsid w:val="00A12A41"/>
    <w:rPr>
      <w:b/>
    </w:rPr>
  </w:style>
  <w:style w:type="paragraph" w:styleId="ListParagraph">
    <w:name w:val="List Paragraph"/>
    <w:basedOn w:val="Normal"/>
    <w:uiPriority w:val="34"/>
    <w:qFormat/>
    <w:rsid w:val="00A12A41"/>
    <w:pPr>
      <w:ind w:left="720"/>
      <w:contextualSpacing/>
    </w:pPr>
  </w:style>
  <w:style w:type="paragraph" w:customStyle="1" w:styleId="notes-towrite">
    <w:name w:val="notes- to write"/>
    <w:basedOn w:val="text"/>
    <w:qFormat/>
    <w:rsid w:val="00306FF5"/>
    <w:rPr>
      <w:i/>
    </w:rPr>
  </w:style>
  <w:style w:type="paragraph" w:customStyle="1" w:styleId="text2nd">
    <w:name w:val="text_2nd"/>
    <w:basedOn w:val="text"/>
    <w:qFormat/>
    <w:rsid w:val="00C42E48"/>
    <w:pPr>
      <w:ind w:firstLine="720"/>
    </w:pPr>
  </w:style>
  <w:style w:type="paragraph" w:customStyle="1" w:styleId="notes">
    <w:name w:val="notes"/>
    <w:basedOn w:val="text"/>
    <w:qFormat/>
    <w:rsid w:val="0062187D"/>
    <w:rPr>
      <w:i/>
      <w:color w:val="2F5496" w:themeColor="accent1" w:themeShade="BF"/>
    </w:rPr>
  </w:style>
  <w:style w:type="paragraph" w:customStyle="1" w:styleId="manuscripttitle">
    <w:name w:val="manuscript_title"/>
    <w:basedOn w:val="unfinishedtext"/>
    <w:qFormat/>
    <w:rsid w:val="00595805"/>
    <w:rPr>
      <w:b/>
      <w:color w:val="auto"/>
      <w:sz w:val="30"/>
    </w:rPr>
  </w:style>
  <w:style w:type="character" w:customStyle="1" w:styleId="Heading1Char">
    <w:name w:val="Heading 1 Char"/>
    <w:basedOn w:val="DefaultParagraphFont"/>
    <w:link w:val="Heading1"/>
    <w:uiPriority w:val="9"/>
    <w:rsid w:val="0088630E"/>
    <w:rPr>
      <w:rFonts w:asciiTheme="majorHAnsi" w:eastAsiaTheme="majorEastAsia" w:hAnsiTheme="majorHAnsi" w:cs="Times New Roman (Headings CS)"/>
      <w:b/>
      <w:caps/>
      <w:color w:val="000000" w:themeColor="text1"/>
      <w:sz w:val="28"/>
      <w:szCs w:val="32"/>
    </w:rPr>
  </w:style>
  <w:style w:type="paragraph" w:styleId="TOCHeading">
    <w:name w:val="TOC Heading"/>
    <w:basedOn w:val="Heading1"/>
    <w:next w:val="Normal"/>
    <w:uiPriority w:val="39"/>
    <w:unhideWhenUsed/>
    <w:qFormat/>
    <w:rsid w:val="00595805"/>
    <w:pPr>
      <w:spacing w:before="480" w:line="276" w:lineRule="auto"/>
      <w:outlineLvl w:val="9"/>
    </w:pPr>
    <w:rPr>
      <w:b w:val="0"/>
      <w:bCs/>
      <w:szCs w:val="28"/>
    </w:rPr>
  </w:style>
  <w:style w:type="paragraph" w:styleId="TOC1">
    <w:name w:val="toc 1"/>
    <w:basedOn w:val="Normal"/>
    <w:next w:val="Normal"/>
    <w:autoRedefine/>
    <w:uiPriority w:val="39"/>
    <w:unhideWhenUsed/>
    <w:rsid w:val="00595805"/>
    <w:pPr>
      <w:spacing w:before="120"/>
    </w:pPr>
    <w:rPr>
      <w:rFonts w:cstheme="minorHAnsi"/>
      <w:b/>
      <w:bCs/>
      <w:i/>
      <w:iCs/>
    </w:rPr>
  </w:style>
  <w:style w:type="paragraph" w:styleId="TOC2">
    <w:name w:val="toc 2"/>
    <w:basedOn w:val="Normal"/>
    <w:next w:val="Normal"/>
    <w:autoRedefine/>
    <w:uiPriority w:val="39"/>
    <w:unhideWhenUsed/>
    <w:rsid w:val="00595805"/>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595805"/>
    <w:pPr>
      <w:ind w:left="480"/>
    </w:pPr>
    <w:rPr>
      <w:rFonts w:cstheme="minorHAnsi"/>
      <w:sz w:val="20"/>
      <w:szCs w:val="20"/>
    </w:rPr>
  </w:style>
  <w:style w:type="paragraph" w:styleId="TOC4">
    <w:name w:val="toc 4"/>
    <w:basedOn w:val="Normal"/>
    <w:next w:val="Normal"/>
    <w:autoRedefine/>
    <w:uiPriority w:val="39"/>
    <w:semiHidden/>
    <w:unhideWhenUsed/>
    <w:rsid w:val="00595805"/>
    <w:pPr>
      <w:ind w:left="720"/>
    </w:pPr>
    <w:rPr>
      <w:rFonts w:cstheme="minorHAnsi"/>
      <w:sz w:val="20"/>
      <w:szCs w:val="20"/>
    </w:rPr>
  </w:style>
  <w:style w:type="paragraph" w:styleId="TOC5">
    <w:name w:val="toc 5"/>
    <w:basedOn w:val="Normal"/>
    <w:next w:val="Normal"/>
    <w:autoRedefine/>
    <w:uiPriority w:val="39"/>
    <w:semiHidden/>
    <w:unhideWhenUsed/>
    <w:rsid w:val="00595805"/>
    <w:pPr>
      <w:ind w:left="960"/>
    </w:pPr>
    <w:rPr>
      <w:rFonts w:cstheme="minorHAnsi"/>
      <w:sz w:val="20"/>
      <w:szCs w:val="20"/>
    </w:rPr>
  </w:style>
  <w:style w:type="paragraph" w:styleId="TOC6">
    <w:name w:val="toc 6"/>
    <w:basedOn w:val="Normal"/>
    <w:next w:val="Normal"/>
    <w:autoRedefine/>
    <w:uiPriority w:val="39"/>
    <w:semiHidden/>
    <w:unhideWhenUsed/>
    <w:rsid w:val="00595805"/>
    <w:pPr>
      <w:ind w:left="1200"/>
    </w:pPr>
    <w:rPr>
      <w:rFonts w:cstheme="minorHAnsi"/>
      <w:sz w:val="20"/>
      <w:szCs w:val="20"/>
    </w:rPr>
  </w:style>
  <w:style w:type="paragraph" w:styleId="TOC7">
    <w:name w:val="toc 7"/>
    <w:basedOn w:val="Normal"/>
    <w:next w:val="Normal"/>
    <w:autoRedefine/>
    <w:uiPriority w:val="39"/>
    <w:semiHidden/>
    <w:unhideWhenUsed/>
    <w:rsid w:val="00595805"/>
    <w:pPr>
      <w:ind w:left="1440"/>
    </w:pPr>
    <w:rPr>
      <w:rFonts w:cstheme="minorHAnsi"/>
      <w:sz w:val="20"/>
      <w:szCs w:val="20"/>
    </w:rPr>
  </w:style>
  <w:style w:type="paragraph" w:styleId="TOC8">
    <w:name w:val="toc 8"/>
    <w:basedOn w:val="Normal"/>
    <w:next w:val="Normal"/>
    <w:autoRedefine/>
    <w:uiPriority w:val="39"/>
    <w:semiHidden/>
    <w:unhideWhenUsed/>
    <w:rsid w:val="00595805"/>
    <w:pPr>
      <w:ind w:left="1680"/>
    </w:pPr>
    <w:rPr>
      <w:rFonts w:cstheme="minorHAnsi"/>
      <w:sz w:val="20"/>
      <w:szCs w:val="20"/>
    </w:rPr>
  </w:style>
  <w:style w:type="paragraph" w:styleId="TOC9">
    <w:name w:val="toc 9"/>
    <w:basedOn w:val="Normal"/>
    <w:next w:val="Normal"/>
    <w:autoRedefine/>
    <w:uiPriority w:val="39"/>
    <w:semiHidden/>
    <w:unhideWhenUsed/>
    <w:rsid w:val="00595805"/>
    <w:pPr>
      <w:ind w:left="1920"/>
    </w:pPr>
    <w:rPr>
      <w:rFonts w:cstheme="minorHAnsi"/>
      <w:sz w:val="20"/>
      <w:szCs w:val="20"/>
    </w:rPr>
  </w:style>
  <w:style w:type="character" w:customStyle="1" w:styleId="Heading2Char">
    <w:name w:val="Heading 2 Char"/>
    <w:basedOn w:val="DefaultParagraphFont"/>
    <w:link w:val="Heading2"/>
    <w:uiPriority w:val="9"/>
    <w:rsid w:val="00B24054"/>
    <w:rPr>
      <w:rFonts w:eastAsiaTheme="majorEastAsia" w:cstheme="majorBidi"/>
      <w:color w:val="000000" w:themeColor="text1"/>
      <w:sz w:val="28"/>
      <w:szCs w:val="2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33527">
      <w:bodyDiv w:val="1"/>
      <w:marLeft w:val="0"/>
      <w:marRight w:val="0"/>
      <w:marTop w:val="0"/>
      <w:marBottom w:val="0"/>
      <w:divBdr>
        <w:top w:val="none" w:sz="0" w:space="0" w:color="auto"/>
        <w:left w:val="none" w:sz="0" w:space="0" w:color="auto"/>
        <w:bottom w:val="none" w:sz="0" w:space="0" w:color="auto"/>
        <w:right w:val="none" w:sz="0" w:space="0" w:color="auto"/>
      </w:divBdr>
    </w:div>
    <w:div w:id="37359177">
      <w:bodyDiv w:val="1"/>
      <w:marLeft w:val="0"/>
      <w:marRight w:val="0"/>
      <w:marTop w:val="0"/>
      <w:marBottom w:val="0"/>
      <w:divBdr>
        <w:top w:val="none" w:sz="0" w:space="0" w:color="auto"/>
        <w:left w:val="none" w:sz="0" w:space="0" w:color="auto"/>
        <w:bottom w:val="none" w:sz="0" w:space="0" w:color="auto"/>
        <w:right w:val="none" w:sz="0" w:space="0" w:color="auto"/>
      </w:divBdr>
    </w:div>
    <w:div w:id="136848839">
      <w:bodyDiv w:val="1"/>
      <w:marLeft w:val="0"/>
      <w:marRight w:val="0"/>
      <w:marTop w:val="0"/>
      <w:marBottom w:val="0"/>
      <w:divBdr>
        <w:top w:val="none" w:sz="0" w:space="0" w:color="auto"/>
        <w:left w:val="none" w:sz="0" w:space="0" w:color="auto"/>
        <w:bottom w:val="none" w:sz="0" w:space="0" w:color="auto"/>
        <w:right w:val="none" w:sz="0" w:space="0" w:color="auto"/>
      </w:divBdr>
    </w:div>
    <w:div w:id="204414987">
      <w:bodyDiv w:val="1"/>
      <w:marLeft w:val="0"/>
      <w:marRight w:val="0"/>
      <w:marTop w:val="0"/>
      <w:marBottom w:val="0"/>
      <w:divBdr>
        <w:top w:val="none" w:sz="0" w:space="0" w:color="auto"/>
        <w:left w:val="none" w:sz="0" w:space="0" w:color="auto"/>
        <w:bottom w:val="none" w:sz="0" w:space="0" w:color="auto"/>
        <w:right w:val="none" w:sz="0" w:space="0" w:color="auto"/>
      </w:divBdr>
    </w:div>
    <w:div w:id="222566185">
      <w:bodyDiv w:val="1"/>
      <w:marLeft w:val="0"/>
      <w:marRight w:val="0"/>
      <w:marTop w:val="0"/>
      <w:marBottom w:val="0"/>
      <w:divBdr>
        <w:top w:val="none" w:sz="0" w:space="0" w:color="auto"/>
        <w:left w:val="none" w:sz="0" w:space="0" w:color="auto"/>
        <w:bottom w:val="none" w:sz="0" w:space="0" w:color="auto"/>
        <w:right w:val="none" w:sz="0" w:space="0" w:color="auto"/>
      </w:divBdr>
    </w:div>
    <w:div w:id="240917900">
      <w:bodyDiv w:val="1"/>
      <w:marLeft w:val="0"/>
      <w:marRight w:val="0"/>
      <w:marTop w:val="0"/>
      <w:marBottom w:val="0"/>
      <w:divBdr>
        <w:top w:val="none" w:sz="0" w:space="0" w:color="auto"/>
        <w:left w:val="none" w:sz="0" w:space="0" w:color="auto"/>
        <w:bottom w:val="none" w:sz="0" w:space="0" w:color="auto"/>
        <w:right w:val="none" w:sz="0" w:space="0" w:color="auto"/>
      </w:divBdr>
    </w:div>
    <w:div w:id="241062241">
      <w:bodyDiv w:val="1"/>
      <w:marLeft w:val="0"/>
      <w:marRight w:val="0"/>
      <w:marTop w:val="0"/>
      <w:marBottom w:val="0"/>
      <w:divBdr>
        <w:top w:val="none" w:sz="0" w:space="0" w:color="auto"/>
        <w:left w:val="none" w:sz="0" w:space="0" w:color="auto"/>
        <w:bottom w:val="none" w:sz="0" w:space="0" w:color="auto"/>
        <w:right w:val="none" w:sz="0" w:space="0" w:color="auto"/>
      </w:divBdr>
    </w:div>
    <w:div w:id="244416051">
      <w:bodyDiv w:val="1"/>
      <w:marLeft w:val="0"/>
      <w:marRight w:val="0"/>
      <w:marTop w:val="0"/>
      <w:marBottom w:val="0"/>
      <w:divBdr>
        <w:top w:val="none" w:sz="0" w:space="0" w:color="auto"/>
        <w:left w:val="none" w:sz="0" w:space="0" w:color="auto"/>
        <w:bottom w:val="none" w:sz="0" w:space="0" w:color="auto"/>
        <w:right w:val="none" w:sz="0" w:space="0" w:color="auto"/>
      </w:divBdr>
    </w:div>
    <w:div w:id="245655323">
      <w:bodyDiv w:val="1"/>
      <w:marLeft w:val="0"/>
      <w:marRight w:val="0"/>
      <w:marTop w:val="0"/>
      <w:marBottom w:val="0"/>
      <w:divBdr>
        <w:top w:val="none" w:sz="0" w:space="0" w:color="auto"/>
        <w:left w:val="none" w:sz="0" w:space="0" w:color="auto"/>
        <w:bottom w:val="none" w:sz="0" w:space="0" w:color="auto"/>
        <w:right w:val="none" w:sz="0" w:space="0" w:color="auto"/>
      </w:divBdr>
    </w:div>
    <w:div w:id="317810511">
      <w:bodyDiv w:val="1"/>
      <w:marLeft w:val="0"/>
      <w:marRight w:val="0"/>
      <w:marTop w:val="0"/>
      <w:marBottom w:val="0"/>
      <w:divBdr>
        <w:top w:val="none" w:sz="0" w:space="0" w:color="auto"/>
        <w:left w:val="none" w:sz="0" w:space="0" w:color="auto"/>
        <w:bottom w:val="none" w:sz="0" w:space="0" w:color="auto"/>
        <w:right w:val="none" w:sz="0" w:space="0" w:color="auto"/>
      </w:divBdr>
    </w:div>
    <w:div w:id="346710972">
      <w:bodyDiv w:val="1"/>
      <w:marLeft w:val="0"/>
      <w:marRight w:val="0"/>
      <w:marTop w:val="0"/>
      <w:marBottom w:val="0"/>
      <w:divBdr>
        <w:top w:val="none" w:sz="0" w:space="0" w:color="auto"/>
        <w:left w:val="none" w:sz="0" w:space="0" w:color="auto"/>
        <w:bottom w:val="none" w:sz="0" w:space="0" w:color="auto"/>
        <w:right w:val="none" w:sz="0" w:space="0" w:color="auto"/>
      </w:divBdr>
    </w:div>
    <w:div w:id="359431806">
      <w:bodyDiv w:val="1"/>
      <w:marLeft w:val="0"/>
      <w:marRight w:val="0"/>
      <w:marTop w:val="0"/>
      <w:marBottom w:val="0"/>
      <w:divBdr>
        <w:top w:val="none" w:sz="0" w:space="0" w:color="auto"/>
        <w:left w:val="none" w:sz="0" w:space="0" w:color="auto"/>
        <w:bottom w:val="none" w:sz="0" w:space="0" w:color="auto"/>
        <w:right w:val="none" w:sz="0" w:space="0" w:color="auto"/>
      </w:divBdr>
    </w:div>
    <w:div w:id="369653780">
      <w:bodyDiv w:val="1"/>
      <w:marLeft w:val="0"/>
      <w:marRight w:val="0"/>
      <w:marTop w:val="0"/>
      <w:marBottom w:val="0"/>
      <w:divBdr>
        <w:top w:val="none" w:sz="0" w:space="0" w:color="auto"/>
        <w:left w:val="none" w:sz="0" w:space="0" w:color="auto"/>
        <w:bottom w:val="none" w:sz="0" w:space="0" w:color="auto"/>
        <w:right w:val="none" w:sz="0" w:space="0" w:color="auto"/>
      </w:divBdr>
    </w:div>
    <w:div w:id="373963583">
      <w:bodyDiv w:val="1"/>
      <w:marLeft w:val="0"/>
      <w:marRight w:val="0"/>
      <w:marTop w:val="0"/>
      <w:marBottom w:val="0"/>
      <w:divBdr>
        <w:top w:val="none" w:sz="0" w:space="0" w:color="auto"/>
        <w:left w:val="none" w:sz="0" w:space="0" w:color="auto"/>
        <w:bottom w:val="none" w:sz="0" w:space="0" w:color="auto"/>
        <w:right w:val="none" w:sz="0" w:space="0" w:color="auto"/>
      </w:divBdr>
    </w:div>
    <w:div w:id="380597943">
      <w:bodyDiv w:val="1"/>
      <w:marLeft w:val="0"/>
      <w:marRight w:val="0"/>
      <w:marTop w:val="0"/>
      <w:marBottom w:val="0"/>
      <w:divBdr>
        <w:top w:val="none" w:sz="0" w:space="0" w:color="auto"/>
        <w:left w:val="none" w:sz="0" w:space="0" w:color="auto"/>
        <w:bottom w:val="none" w:sz="0" w:space="0" w:color="auto"/>
        <w:right w:val="none" w:sz="0" w:space="0" w:color="auto"/>
      </w:divBdr>
    </w:div>
    <w:div w:id="472219481">
      <w:bodyDiv w:val="1"/>
      <w:marLeft w:val="0"/>
      <w:marRight w:val="0"/>
      <w:marTop w:val="0"/>
      <w:marBottom w:val="0"/>
      <w:divBdr>
        <w:top w:val="none" w:sz="0" w:space="0" w:color="auto"/>
        <w:left w:val="none" w:sz="0" w:space="0" w:color="auto"/>
        <w:bottom w:val="none" w:sz="0" w:space="0" w:color="auto"/>
        <w:right w:val="none" w:sz="0" w:space="0" w:color="auto"/>
      </w:divBdr>
    </w:div>
    <w:div w:id="486557713">
      <w:bodyDiv w:val="1"/>
      <w:marLeft w:val="0"/>
      <w:marRight w:val="0"/>
      <w:marTop w:val="0"/>
      <w:marBottom w:val="0"/>
      <w:divBdr>
        <w:top w:val="none" w:sz="0" w:space="0" w:color="auto"/>
        <w:left w:val="none" w:sz="0" w:space="0" w:color="auto"/>
        <w:bottom w:val="none" w:sz="0" w:space="0" w:color="auto"/>
        <w:right w:val="none" w:sz="0" w:space="0" w:color="auto"/>
      </w:divBdr>
    </w:div>
    <w:div w:id="507911713">
      <w:bodyDiv w:val="1"/>
      <w:marLeft w:val="0"/>
      <w:marRight w:val="0"/>
      <w:marTop w:val="0"/>
      <w:marBottom w:val="0"/>
      <w:divBdr>
        <w:top w:val="none" w:sz="0" w:space="0" w:color="auto"/>
        <w:left w:val="none" w:sz="0" w:space="0" w:color="auto"/>
        <w:bottom w:val="none" w:sz="0" w:space="0" w:color="auto"/>
        <w:right w:val="none" w:sz="0" w:space="0" w:color="auto"/>
      </w:divBdr>
    </w:div>
    <w:div w:id="561795845">
      <w:bodyDiv w:val="1"/>
      <w:marLeft w:val="0"/>
      <w:marRight w:val="0"/>
      <w:marTop w:val="0"/>
      <w:marBottom w:val="0"/>
      <w:divBdr>
        <w:top w:val="none" w:sz="0" w:space="0" w:color="auto"/>
        <w:left w:val="none" w:sz="0" w:space="0" w:color="auto"/>
        <w:bottom w:val="none" w:sz="0" w:space="0" w:color="auto"/>
        <w:right w:val="none" w:sz="0" w:space="0" w:color="auto"/>
      </w:divBdr>
    </w:div>
    <w:div w:id="619841810">
      <w:bodyDiv w:val="1"/>
      <w:marLeft w:val="0"/>
      <w:marRight w:val="0"/>
      <w:marTop w:val="0"/>
      <w:marBottom w:val="0"/>
      <w:divBdr>
        <w:top w:val="none" w:sz="0" w:space="0" w:color="auto"/>
        <w:left w:val="none" w:sz="0" w:space="0" w:color="auto"/>
        <w:bottom w:val="none" w:sz="0" w:space="0" w:color="auto"/>
        <w:right w:val="none" w:sz="0" w:space="0" w:color="auto"/>
      </w:divBdr>
    </w:div>
    <w:div w:id="669061267">
      <w:bodyDiv w:val="1"/>
      <w:marLeft w:val="0"/>
      <w:marRight w:val="0"/>
      <w:marTop w:val="0"/>
      <w:marBottom w:val="0"/>
      <w:divBdr>
        <w:top w:val="none" w:sz="0" w:space="0" w:color="auto"/>
        <w:left w:val="none" w:sz="0" w:space="0" w:color="auto"/>
        <w:bottom w:val="none" w:sz="0" w:space="0" w:color="auto"/>
        <w:right w:val="none" w:sz="0" w:space="0" w:color="auto"/>
      </w:divBdr>
    </w:div>
    <w:div w:id="746920509">
      <w:bodyDiv w:val="1"/>
      <w:marLeft w:val="0"/>
      <w:marRight w:val="0"/>
      <w:marTop w:val="0"/>
      <w:marBottom w:val="0"/>
      <w:divBdr>
        <w:top w:val="none" w:sz="0" w:space="0" w:color="auto"/>
        <w:left w:val="none" w:sz="0" w:space="0" w:color="auto"/>
        <w:bottom w:val="none" w:sz="0" w:space="0" w:color="auto"/>
        <w:right w:val="none" w:sz="0" w:space="0" w:color="auto"/>
      </w:divBdr>
    </w:div>
    <w:div w:id="806975612">
      <w:bodyDiv w:val="1"/>
      <w:marLeft w:val="0"/>
      <w:marRight w:val="0"/>
      <w:marTop w:val="0"/>
      <w:marBottom w:val="0"/>
      <w:divBdr>
        <w:top w:val="none" w:sz="0" w:space="0" w:color="auto"/>
        <w:left w:val="none" w:sz="0" w:space="0" w:color="auto"/>
        <w:bottom w:val="none" w:sz="0" w:space="0" w:color="auto"/>
        <w:right w:val="none" w:sz="0" w:space="0" w:color="auto"/>
      </w:divBdr>
    </w:div>
    <w:div w:id="869994875">
      <w:bodyDiv w:val="1"/>
      <w:marLeft w:val="0"/>
      <w:marRight w:val="0"/>
      <w:marTop w:val="0"/>
      <w:marBottom w:val="0"/>
      <w:divBdr>
        <w:top w:val="none" w:sz="0" w:space="0" w:color="auto"/>
        <w:left w:val="none" w:sz="0" w:space="0" w:color="auto"/>
        <w:bottom w:val="none" w:sz="0" w:space="0" w:color="auto"/>
        <w:right w:val="none" w:sz="0" w:space="0" w:color="auto"/>
      </w:divBdr>
    </w:div>
    <w:div w:id="887454746">
      <w:bodyDiv w:val="1"/>
      <w:marLeft w:val="0"/>
      <w:marRight w:val="0"/>
      <w:marTop w:val="0"/>
      <w:marBottom w:val="0"/>
      <w:divBdr>
        <w:top w:val="none" w:sz="0" w:space="0" w:color="auto"/>
        <w:left w:val="none" w:sz="0" w:space="0" w:color="auto"/>
        <w:bottom w:val="none" w:sz="0" w:space="0" w:color="auto"/>
        <w:right w:val="none" w:sz="0" w:space="0" w:color="auto"/>
      </w:divBdr>
    </w:div>
    <w:div w:id="895630078">
      <w:bodyDiv w:val="1"/>
      <w:marLeft w:val="0"/>
      <w:marRight w:val="0"/>
      <w:marTop w:val="0"/>
      <w:marBottom w:val="0"/>
      <w:divBdr>
        <w:top w:val="none" w:sz="0" w:space="0" w:color="auto"/>
        <w:left w:val="none" w:sz="0" w:space="0" w:color="auto"/>
        <w:bottom w:val="none" w:sz="0" w:space="0" w:color="auto"/>
        <w:right w:val="none" w:sz="0" w:space="0" w:color="auto"/>
      </w:divBdr>
    </w:div>
    <w:div w:id="925310590">
      <w:bodyDiv w:val="1"/>
      <w:marLeft w:val="0"/>
      <w:marRight w:val="0"/>
      <w:marTop w:val="0"/>
      <w:marBottom w:val="0"/>
      <w:divBdr>
        <w:top w:val="none" w:sz="0" w:space="0" w:color="auto"/>
        <w:left w:val="none" w:sz="0" w:space="0" w:color="auto"/>
        <w:bottom w:val="none" w:sz="0" w:space="0" w:color="auto"/>
        <w:right w:val="none" w:sz="0" w:space="0" w:color="auto"/>
      </w:divBdr>
    </w:div>
    <w:div w:id="974530963">
      <w:bodyDiv w:val="1"/>
      <w:marLeft w:val="0"/>
      <w:marRight w:val="0"/>
      <w:marTop w:val="0"/>
      <w:marBottom w:val="0"/>
      <w:divBdr>
        <w:top w:val="none" w:sz="0" w:space="0" w:color="auto"/>
        <w:left w:val="none" w:sz="0" w:space="0" w:color="auto"/>
        <w:bottom w:val="none" w:sz="0" w:space="0" w:color="auto"/>
        <w:right w:val="none" w:sz="0" w:space="0" w:color="auto"/>
      </w:divBdr>
    </w:div>
    <w:div w:id="1052117376">
      <w:bodyDiv w:val="1"/>
      <w:marLeft w:val="0"/>
      <w:marRight w:val="0"/>
      <w:marTop w:val="0"/>
      <w:marBottom w:val="0"/>
      <w:divBdr>
        <w:top w:val="none" w:sz="0" w:space="0" w:color="auto"/>
        <w:left w:val="none" w:sz="0" w:space="0" w:color="auto"/>
        <w:bottom w:val="none" w:sz="0" w:space="0" w:color="auto"/>
        <w:right w:val="none" w:sz="0" w:space="0" w:color="auto"/>
      </w:divBdr>
    </w:div>
    <w:div w:id="1128087589">
      <w:bodyDiv w:val="1"/>
      <w:marLeft w:val="0"/>
      <w:marRight w:val="0"/>
      <w:marTop w:val="0"/>
      <w:marBottom w:val="0"/>
      <w:divBdr>
        <w:top w:val="none" w:sz="0" w:space="0" w:color="auto"/>
        <w:left w:val="none" w:sz="0" w:space="0" w:color="auto"/>
        <w:bottom w:val="none" w:sz="0" w:space="0" w:color="auto"/>
        <w:right w:val="none" w:sz="0" w:space="0" w:color="auto"/>
      </w:divBdr>
    </w:div>
    <w:div w:id="1224948240">
      <w:bodyDiv w:val="1"/>
      <w:marLeft w:val="0"/>
      <w:marRight w:val="0"/>
      <w:marTop w:val="0"/>
      <w:marBottom w:val="0"/>
      <w:divBdr>
        <w:top w:val="none" w:sz="0" w:space="0" w:color="auto"/>
        <w:left w:val="none" w:sz="0" w:space="0" w:color="auto"/>
        <w:bottom w:val="none" w:sz="0" w:space="0" w:color="auto"/>
        <w:right w:val="none" w:sz="0" w:space="0" w:color="auto"/>
      </w:divBdr>
    </w:div>
    <w:div w:id="1255473200">
      <w:bodyDiv w:val="1"/>
      <w:marLeft w:val="0"/>
      <w:marRight w:val="0"/>
      <w:marTop w:val="0"/>
      <w:marBottom w:val="0"/>
      <w:divBdr>
        <w:top w:val="none" w:sz="0" w:space="0" w:color="auto"/>
        <w:left w:val="none" w:sz="0" w:space="0" w:color="auto"/>
        <w:bottom w:val="none" w:sz="0" w:space="0" w:color="auto"/>
        <w:right w:val="none" w:sz="0" w:space="0" w:color="auto"/>
      </w:divBdr>
    </w:div>
    <w:div w:id="1297102660">
      <w:bodyDiv w:val="1"/>
      <w:marLeft w:val="0"/>
      <w:marRight w:val="0"/>
      <w:marTop w:val="0"/>
      <w:marBottom w:val="0"/>
      <w:divBdr>
        <w:top w:val="none" w:sz="0" w:space="0" w:color="auto"/>
        <w:left w:val="none" w:sz="0" w:space="0" w:color="auto"/>
        <w:bottom w:val="none" w:sz="0" w:space="0" w:color="auto"/>
        <w:right w:val="none" w:sz="0" w:space="0" w:color="auto"/>
      </w:divBdr>
    </w:div>
    <w:div w:id="1309243310">
      <w:bodyDiv w:val="1"/>
      <w:marLeft w:val="0"/>
      <w:marRight w:val="0"/>
      <w:marTop w:val="0"/>
      <w:marBottom w:val="0"/>
      <w:divBdr>
        <w:top w:val="none" w:sz="0" w:space="0" w:color="auto"/>
        <w:left w:val="none" w:sz="0" w:space="0" w:color="auto"/>
        <w:bottom w:val="none" w:sz="0" w:space="0" w:color="auto"/>
        <w:right w:val="none" w:sz="0" w:space="0" w:color="auto"/>
      </w:divBdr>
    </w:div>
    <w:div w:id="1363629359">
      <w:bodyDiv w:val="1"/>
      <w:marLeft w:val="0"/>
      <w:marRight w:val="0"/>
      <w:marTop w:val="0"/>
      <w:marBottom w:val="0"/>
      <w:divBdr>
        <w:top w:val="none" w:sz="0" w:space="0" w:color="auto"/>
        <w:left w:val="none" w:sz="0" w:space="0" w:color="auto"/>
        <w:bottom w:val="none" w:sz="0" w:space="0" w:color="auto"/>
        <w:right w:val="none" w:sz="0" w:space="0" w:color="auto"/>
      </w:divBdr>
    </w:div>
    <w:div w:id="1376658784">
      <w:bodyDiv w:val="1"/>
      <w:marLeft w:val="0"/>
      <w:marRight w:val="0"/>
      <w:marTop w:val="0"/>
      <w:marBottom w:val="0"/>
      <w:divBdr>
        <w:top w:val="none" w:sz="0" w:space="0" w:color="auto"/>
        <w:left w:val="none" w:sz="0" w:space="0" w:color="auto"/>
        <w:bottom w:val="none" w:sz="0" w:space="0" w:color="auto"/>
        <w:right w:val="none" w:sz="0" w:space="0" w:color="auto"/>
      </w:divBdr>
    </w:div>
    <w:div w:id="1422990386">
      <w:bodyDiv w:val="1"/>
      <w:marLeft w:val="0"/>
      <w:marRight w:val="0"/>
      <w:marTop w:val="0"/>
      <w:marBottom w:val="0"/>
      <w:divBdr>
        <w:top w:val="none" w:sz="0" w:space="0" w:color="auto"/>
        <w:left w:val="none" w:sz="0" w:space="0" w:color="auto"/>
        <w:bottom w:val="none" w:sz="0" w:space="0" w:color="auto"/>
        <w:right w:val="none" w:sz="0" w:space="0" w:color="auto"/>
      </w:divBdr>
    </w:div>
    <w:div w:id="1466004104">
      <w:bodyDiv w:val="1"/>
      <w:marLeft w:val="0"/>
      <w:marRight w:val="0"/>
      <w:marTop w:val="0"/>
      <w:marBottom w:val="0"/>
      <w:divBdr>
        <w:top w:val="none" w:sz="0" w:space="0" w:color="auto"/>
        <w:left w:val="none" w:sz="0" w:space="0" w:color="auto"/>
        <w:bottom w:val="none" w:sz="0" w:space="0" w:color="auto"/>
        <w:right w:val="none" w:sz="0" w:space="0" w:color="auto"/>
      </w:divBdr>
    </w:div>
    <w:div w:id="1518076979">
      <w:bodyDiv w:val="1"/>
      <w:marLeft w:val="0"/>
      <w:marRight w:val="0"/>
      <w:marTop w:val="0"/>
      <w:marBottom w:val="0"/>
      <w:divBdr>
        <w:top w:val="none" w:sz="0" w:space="0" w:color="auto"/>
        <w:left w:val="none" w:sz="0" w:space="0" w:color="auto"/>
        <w:bottom w:val="none" w:sz="0" w:space="0" w:color="auto"/>
        <w:right w:val="none" w:sz="0" w:space="0" w:color="auto"/>
      </w:divBdr>
    </w:div>
    <w:div w:id="1525437210">
      <w:bodyDiv w:val="1"/>
      <w:marLeft w:val="0"/>
      <w:marRight w:val="0"/>
      <w:marTop w:val="0"/>
      <w:marBottom w:val="0"/>
      <w:divBdr>
        <w:top w:val="none" w:sz="0" w:space="0" w:color="auto"/>
        <w:left w:val="none" w:sz="0" w:space="0" w:color="auto"/>
        <w:bottom w:val="none" w:sz="0" w:space="0" w:color="auto"/>
        <w:right w:val="none" w:sz="0" w:space="0" w:color="auto"/>
      </w:divBdr>
    </w:div>
    <w:div w:id="1538421415">
      <w:bodyDiv w:val="1"/>
      <w:marLeft w:val="0"/>
      <w:marRight w:val="0"/>
      <w:marTop w:val="0"/>
      <w:marBottom w:val="0"/>
      <w:divBdr>
        <w:top w:val="none" w:sz="0" w:space="0" w:color="auto"/>
        <w:left w:val="none" w:sz="0" w:space="0" w:color="auto"/>
        <w:bottom w:val="none" w:sz="0" w:space="0" w:color="auto"/>
        <w:right w:val="none" w:sz="0" w:space="0" w:color="auto"/>
      </w:divBdr>
    </w:div>
    <w:div w:id="1562131405">
      <w:bodyDiv w:val="1"/>
      <w:marLeft w:val="0"/>
      <w:marRight w:val="0"/>
      <w:marTop w:val="0"/>
      <w:marBottom w:val="0"/>
      <w:divBdr>
        <w:top w:val="none" w:sz="0" w:space="0" w:color="auto"/>
        <w:left w:val="none" w:sz="0" w:space="0" w:color="auto"/>
        <w:bottom w:val="none" w:sz="0" w:space="0" w:color="auto"/>
        <w:right w:val="none" w:sz="0" w:space="0" w:color="auto"/>
      </w:divBdr>
    </w:div>
    <w:div w:id="1588344658">
      <w:bodyDiv w:val="1"/>
      <w:marLeft w:val="0"/>
      <w:marRight w:val="0"/>
      <w:marTop w:val="0"/>
      <w:marBottom w:val="0"/>
      <w:divBdr>
        <w:top w:val="none" w:sz="0" w:space="0" w:color="auto"/>
        <w:left w:val="none" w:sz="0" w:space="0" w:color="auto"/>
        <w:bottom w:val="none" w:sz="0" w:space="0" w:color="auto"/>
        <w:right w:val="none" w:sz="0" w:space="0" w:color="auto"/>
      </w:divBdr>
    </w:div>
    <w:div w:id="1598248522">
      <w:bodyDiv w:val="1"/>
      <w:marLeft w:val="0"/>
      <w:marRight w:val="0"/>
      <w:marTop w:val="0"/>
      <w:marBottom w:val="0"/>
      <w:divBdr>
        <w:top w:val="none" w:sz="0" w:space="0" w:color="auto"/>
        <w:left w:val="none" w:sz="0" w:space="0" w:color="auto"/>
        <w:bottom w:val="none" w:sz="0" w:space="0" w:color="auto"/>
        <w:right w:val="none" w:sz="0" w:space="0" w:color="auto"/>
      </w:divBdr>
    </w:div>
    <w:div w:id="1727341751">
      <w:bodyDiv w:val="1"/>
      <w:marLeft w:val="0"/>
      <w:marRight w:val="0"/>
      <w:marTop w:val="0"/>
      <w:marBottom w:val="0"/>
      <w:divBdr>
        <w:top w:val="none" w:sz="0" w:space="0" w:color="auto"/>
        <w:left w:val="none" w:sz="0" w:space="0" w:color="auto"/>
        <w:bottom w:val="none" w:sz="0" w:space="0" w:color="auto"/>
        <w:right w:val="none" w:sz="0" w:space="0" w:color="auto"/>
      </w:divBdr>
    </w:div>
    <w:div w:id="1858808508">
      <w:bodyDiv w:val="1"/>
      <w:marLeft w:val="0"/>
      <w:marRight w:val="0"/>
      <w:marTop w:val="0"/>
      <w:marBottom w:val="0"/>
      <w:divBdr>
        <w:top w:val="none" w:sz="0" w:space="0" w:color="auto"/>
        <w:left w:val="none" w:sz="0" w:space="0" w:color="auto"/>
        <w:bottom w:val="none" w:sz="0" w:space="0" w:color="auto"/>
        <w:right w:val="none" w:sz="0" w:space="0" w:color="auto"/>
      </w:divBdr>
    </w:div>
    <w:div w:id="1909878574">
      <w:bodyDiv w:val="1"/>
      <w:marLeft w:val="0"/>
      <w:marRight w:val="0"/>
      <w:marTop w:val="0"/>
      <w:marBottom w:val="0"/>
      <w:divBdr>
        <w:top w:val="none" w:sz="0" w:space="0" w:color="auto"/>
        <w:left w:val="none" w:sz="0" w:space="0" w:color="auto"/>
        <w:bottom w:val="none" w:sz="0" w:space="0" w:color="auto"/>
        <w:right w:val="none" w:sz="0" w:space="0" w:color="auto"/>
      </w:divBdr>
    </w:div>
    <w:div w:id="1928921223">
      <w:bodyDiv w:val="1"/>
      <w:marLeft w:val="0"/>
      <w:marRight w:val="0"/>
      <w:marTop w:val="0"/>
      <w:marBottom w:val="0"/>
      <w:divBdr>
        <w:top w:val="none" w:sz="0" w:space="0" w:color="auto"/>
        <w:left w:val="none" w:sz="0" w:space="0" w:color="auto"/>
        <w:bottom w:val="none" w:sz="0" w:space="0" w:color="auto"/>
        <w:right w:val="none" w:sz="0" w:space="0" w:color="auto"/>
      </w:divBdr>
    </w:div>
    <w:div w:id="1948074226">
      <w:bodyDiv w:val="1"/>
      <w:marLeft w:val="0"/>
      <w:marRight w:val="0"/>
      <w:marTop w:val="0"/>
      <w:marBottom w:val="0"/>
      <w:divBdr>
        <w:top w:val="none" w:sz="0" w:space="0" w:color="auto"/>
        <w:left w:val="none" w:sz="0" w:space="0" w:color="auto"/>
        <w:bottom w:val="none" w:sz="0" w:space="0" w:color="auto"/>
        <w:right w:val="none" w:sz="0" w:space="0" w:color="auto"/>
      </w:divBdr>
    </w:div>
    <w:div w:id="199499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ble@virginia.edu"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6751E-DE53-E74D-947A-151DC6D64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10</Pages>
  <Words>2432</Words>
  <Characters>13867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Kupkova, Kristyna (kk2wm)</dc:creator>
  <cp:keywords/>
  <dc:description/>
  <cp:lastModifiedBy>Kupkova, Kristyna (kk2wm)</cp:lastModifiedBy>
  <cp:revision>49</cp:revision>
  <dcterms:created xsi:type="dcterms:W3CDTF">2021-03-31T21:07:00Z</dcterms:created>
  <dcterms:modified xsi:type="dcterms:W3CDTF">2021-06-11T14:29:00Z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http://www.zotero.org/styles/pnas</vt:lpwstr>
  </property>
  <property fmtid="{D5CDD505-2E9C-101B-9397-08002B2CF9AE}" pid="19" name="Mendeley Recent Style Name 8_1">
    <vt:lpwstr>Proceedings of the National Academy of Sciences of the United States of America</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a30df9e3-d407-3909-9835-927dd4d0f580</vt:lpwstr>
  </property>
  <property fmtid="{D5CDD505-2E9C-101B-9397-08002B2CF9AE}" pid="24" name="Mendeley Citation Style_1">
    <vt:lpwstr>http://www.zotero.org/styles/vancouver</vt:lpwstr>
  </property>
</Properties>
</file>