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A9B" w:rsidRPr="00EB6D95" w:rsidRDefault="00052A9B" w:rsidP="00052A9B">
      <w:pPr>
        <w:spacing w:after="0"/>
        <w:rPr>
          <w:rFonts w:ascii="Arial" w:eastAsia="Times New Roman" w:hAnsi="Arial" w:cs="Arial"/>
          <w:b/>
          <w:sz w:val="28"/>
          <w:szCs w:val="28"/>
        </w:rPr>
      </w:pPr>
      <w:r w:rsidRPr="00EB6D95">
        <w:rPr>
          <w:rFonts w:ascii="Arial" w:eastAsia="Times New Roman" w:hAnsi="Arial" w:cs="Arial"/>
          <w:b/>
          <w:sz w:val="28"/>
          <w:szCs w:val="28"/>
        </w:rPr>
        <w:t>Supplementary Information for</w:t>
      </w:r>
    </w:p>
    <w:p w:rsidR="00052A9B" w:rsidRPr="00EB6D95" w:rsidRDefault="00052A9B" w:rsidP="00052A9B">
      <w:pPr>
        <w:spacing w:after="0"/>
        <w:rPr>
          <w:rFonts w:ascii="Arial" w:eastAsia="Times New Roman" w:hAnsi="Arial" w:cs="Arial"/>
          <w:sz w:val="28"/>
          <w:szCs w:val="28"/>
        </w:rPr>
      </w:pPr>
      <w:r w:rsidRPr="00EB6D95">
        <w:rPr>
          <w:rFonts w:ascii="Arial" w:eastAsia="Times New Roman" w:hAnsi="Arial" w:cs="Arial"/>
          <w:sz w:val="28"/>
          <w:szCs w:val="28"/>
        </w:rPr>
        <w:t>Multi-</w:t>
      </w:r>
      <w:proofErr w:type="spellStart"/>
      <w:r w:rsidRPr="00EB6D95">
        <w:rPr>
          <w:rFonts w:ascii="Arial" w:eastAsia="Times New Roman" w:hAnsi="Arial" w:cs="Arial"/>
          <w:sz w:val="28"/>
          <w:szCs w:val="28"/>
        </w:rPr>
        <w:t>omic</w:t>
      </w:r>
      <w:proofErr w:type="spellEnd"/>
      <w:r w:rsidRPr="00EB6D95">
        <w:rPr>
          <w:rFonts w:ascii="Arial" w:eastAsia="Times New Roman" w:hAnsi="Arial" w:cs="Arial"/>
          <w:sz w:val="28"/>
          <w:szCs w:val="28"/>
        </w:rPr>
        <w:t xml:space="preserve"> landscaping of human midbrains identifies neuroinflammation as major disease mechanism in advanced-stage Parkinson's disease</w:t>
      </w:r>
    </w:p>
    <w:p w:rsidR="00052A9B" w:rsidRPr="00EB6D95" w:rsidRDefault="00052A9B" w:rsidP="00052A9B">
      <w:pPr>
        <w:spacing w:after="0"/>
        <w:rPr>
          <w:rFonts w:ascii="Arial" w:eastAsia="Times New Roman" w:hAnsi="Arial" w:cs="Arial"/>
          <w:sz w:val="20"/>
          <w:szCs w:val="20"/>
        </w:rPr>
      </w:pPr>
    </w:p>
    <w:p w:rsidR="00052A9B" w:rsidRPr="00EB6D95" w:rsidRDefault="00052A9B" w:rsidP="00052A9B">
      <w:pPr>
        <w:spacing w:after="0"/>
        <w:rPr>
          <w:rFonts w:ascii="Arial" w:eastAsia="Times New Roman" w:hAnsi="Arial" w:cs="Arial"/>
          <w:sz w:val="20"/>
          <w:szCs w:val="20"/>
          <w:vertAlign w:val="superscript"/>
        </w:rPr>
      </w:pPr>
      <w:r w:rsidRPr="00EB6D95">
        <w:rPr>
          <w:rFonts w:ascii="Arial" w:eastAsia="Times New Roman" w:hAnsi="Arial" w:cs="Arial"/>
          <w:sz w:val="20"/>
          <w:szCs w:val="20"/>
        </w:rPr>
        <w:t>Lucas Caldi Gomes</w:t>
      </w:r>
      <w:r w:rsidRPr="00EB6D95">
        <w:rPr>
          <w:rFonts w:ascii="Arial" w:eastAsia="Times New Roman" w:hAnsi="Arial" w:cs="Arial"/>
          <w:sz w:val="20"/>
          <w:szCs w:val="20"/>
          <w:vertAlign w:val="superscript"/>
        </w:rPr>
        <w:t>1,</w:t>
      </w:r>
      <w:proofErr w:type="gramStart"/>
      <w:r w:rsidRPr="00EB6D95">
        <w:rPr>
          <w:rFonts w:ascii="Arial" w:eastAsia="Times New Roman" w:hAnsi="Arial" w:cs="Arial"/>
          <w:sz w:val="20"/>
          <w:szCs w:val="20"/>
          <w:vertAlign w:val="superscript"/>
        </w:rPr>
        <w:t>2,*</w:t>
      </w:r>
      <w:proofErr w:type="gramEnd"/>
      <w:r w:rsidRPr="00EB6D95">
        <w:rPr>
          <w:rFonts w:ascii="Arial" w:eastAsia="Times New Roman" w:hAnsi="Arial" w:cs="Arial"/>
          <w:sz w:val="20"/>
          <w:szCs w:val="20"/>
        </w:rPr>
        <w:t>, Ana Galhoz</w:t>
      </w:r>
      <w:r w:rsidRPr="00EB6D95">
        <w:rPr>
          <w:rFonts w:ascii="Arial" w:eastAsia="Times New Roman" w:hAnsi="Arial" w:cs="Arial"/>
          <w:sz w:val="20"/>
          <w:szCs w:val="20"/>
          <w:vertAlign w:val="superscript"/>
        </w:rPr>
        <w:t>3,4,*</w:t>
      </w:r>
      <w:r w:rsidRPr="00EB6D95">
        <w:rPr>
          <w:rFonts w:ascii="Arial" w:eastAsia="Times New Roman" w:hAnsi="Arial" w:cs="Arial"/>
          <w:sz w:val="20"/>
          <w:szCs w:val="20"/>
        </w:rPr>
        <w:t>, Gaurav Jain</w:t>
      </w:r>
      <w:r w:rsidRPr="00EB6D95">
        <w:rPr>
          <w:rFonts w:ascii="Arial" w:eastAsia="Times New Roman" w:hAnsi="Arial" w:cs="Arial"/>
          <w:sz w:val="20"/>
          <w:szCs w:val="20"/>
          <w:vertAlign w:val="superscript"/>
        </w:rPr>
        <w:t>5</w:t>
      </w:r>
      <w:r w:rsidRPr="00EB6D95">
        <w:rPr>
          <w:rFonts w:ascii="Arial" w:eastAsia="Times New Roman" w:hAnsi="Arial" w:cs="Arial"/>
          <w:sz w:val="20"/>
          <w:szCs w:val="20"/>
        </w:rPr>
        <w:t>, Anna-Elisa Roser</w:t>
      </w:r>
      <w:r w:rsidRPr="00EB6D95">
        <w:rPr>
          <w:rFonts w:ascii="Arial" w:eastAsia="Times New Roman" w:hAnsi="Arial" w:cs="Arial"/>
          <w:sz w:val="20"/>
          <w:szCs w:val="20"/>
          <w:vertAlign w:val="superscript"/>
        </w:rPr>
        <w:t>2</w:t>
      </w:r>
      <w:r w:rsidRPr="00EB6D95">
        <w:rPr>
          <w:rFonts w:ascii="Arial" w:eastAsia="Times New Roman" w:hAnsi="Arial" w:cs="Arial"/>
          <w:sz w:val="20"/>
          <w:szCs w:val="20"/>
        </w:rPr>
        <w:t>, Fabian Maass</w:t>
      </w:r>
      <w:r w:rsidRPr="00EB6D95">
        <w:rPr>
          <w:rFonts w:ascii="Arial" w:eastAsia="Times New Roman" w:hAnsi="Arial" w:cs="Arial"/>
          <w:sz w:val="20"/>
          <w:szCs w:val="20"/>
          <w:vertAlign w:val="superscript"/>
        </w:rPr>
        <w:t>2</w:t>
      </w:r>
      <w:r w:rsidRPr="00EB6D95">
        <w:rPr>
          <w:rFonts w:ascii="Arial" w:eastAsia="Times New Roman" w:hAnsi="Arial" w:cs="Arial"/>
          <w:sz w:val="20"/>
          <w:szCs w:val="20"/>
        </w:rPr>
        <w:t>, Eleonora Carboni</w:t>
      </w:r>
      <w:r w:rsidRPr="00EB6D95">
        <w:rPr>
          <w:rFonts w:ascii="Arial" w:eastAsia="Times New Roman" w:hAnsi="Arial" w:cs="Arial"/>
          <w:sz w:val="20"/>
          <w:szCs w:val="20"/>
          <w:vertAlign w:val="superscript"/>
        </w:rPr>
        <w:t>2</w:t>
      </w:r>
      <w:r w:rsidRPr="00EB6D95">
        <w:rPr>
          <w:rFonts w:ascii="Arial" w:eastAsia="Times New Roman" w:hAnsi="Arial" w:cs="Arial"/>
          <w:sz w:val="20"/>
          <w:szCs w:val="20"/>
        </w:rPr>
        <w:t>, Elisabeth Barski</w:t>
      </w:r>
      <w:r w:rsidRPr="00EB6D95">
        <w:rPr>
          <w:rFonts w:ascii="Arial" w:eastAsia="Times New Roman" w:hAnsi="Arial" w:cs="Arial"/>
          <w:sz w:val="20"/>
          <w:szCs w:val="20"/>
          <w:vertAlign w:val="superscript"/>
        </w:rPr>
        <w:t>2</w:t>
      </w:r>
      <w:r w:rsidRPr="00EB6D95">
        <w:rPr>
          <w:rFonts w:ascii="Arial" w:eastAsia="Times New Roman" w:hAnsi="Arial" w:cs="Arial"/>
          <w:sz w:val="20"/>
          <w:szCs w:val="20"/>
        </w:rPr>
        <w:t>, Christof Lenz</w:t>
      </w:r>
      <w:r w:rsidRPr="00EB6D95">
        <w:rPr>
          <w:rFonts w:ascii="Arial" w:eastAsia="Times New Roman" w:hAnsi="Arial" w:cs="Arial"/>
          <w:sz w:val="20"/>
          <w:szCs w:val="20"/>
          <w:vertAlign w:val="superscript"/>
        </w:rPr>
        <w:t>6,6a</w:t>
      </w:r>
      <w:r w:rsidRPr="00EB6D95">
        <w:rPr>
          <w:rFonts w:ascii="Arial" w:eastAsia="Times New Roman" w:hAnsi="Arial" w:cs="Arial"/>
          <w:sz w:val="20"/>
          <w:szCs w:val="20"/>
        </w:rPr>
        <w:t>, Katja Lohmann</w:t>
      </w:r>
      <w:r w:rsidRPr="00EB6D95">
        <w:rPr>
          <w:rFonts w:ascii="Arial" w:eastAsia="Times New Roman" w:hAnsi="Arial" w:cs="Arial"/>
          <w:sz w:val="20"/>
          <w:szCs w:val="20"/>
          <w:vertAlign w:val="superscript"/>
        </w:rPr>
        <w:t>7</w:t>
      </w:r>
      <w:r w:rsidRPr="00EB6D95">
        <w:rPr>
          <w:rFonts w:ascii="Arial" w:eastAsia="Times New Roman" w:hAnsi="Arial" w:cs="Arial"/>
          <w:sz w:val="20"/>
          <w:szCs w:val="20"/>
        </w:rPr>
        <w:t>, Christine Klein</w:t>
      </w:r>
      <w:r w:rsidRPr="00EB6D95">
        <w:rPr>
          <w:rFonts w:ascii="Arial" w:eastAsia="Times New Roman" w:hAnsi="Arial" w:cs="Arial"/>
          <w:sz w:val="20"/>
          <w:szCs w:val="20"/>
          <w:vertAlign w:val="superscript"/>
        </w:rPr>
        <w:t>7</w:t>
      </w:r>
      <w:r w:rsidRPr="00EB6D95">
        <w:rPr>
          <w:rFonts w:ascii="Arial" w:eastAsia="Times New Roman" w:hAnsi="Arial" w:cs="Arial"/>
          <w:sz w:val="20"/>
          <w:szCs w:val="20"/>
        </w:rPr>
        <w:t>, Mathias Bähr</w:t>
      </w:r>
      <w:r w:rsidRPr="00EB6D95">
        <w:rPr>
          <w:rFonts w:ascii="Arial" w:eastAsia="Times New Roman" w:hAnsi="Arial" w:cs="Arial"/>
          <w:sz w:val="20"/>
          <w:szCs w:val="20"/>
          <w:vertAlign w:val="superscript"/>
        </w:rPr>
        <w:t>2,5</w:t>
      </w:r>
      <w:r w:rsidRPr="00EB6D95">
        <w:rPr>
          <w:rFonts w:ascii="Arial" w:eastAsia="Times New Roman" w:hAnsi="Arial" w:cs="Arial"/>
          <w:sz w:val="20"/>
          <w:szCs w:val="20"/>
        </w:rPr>
        <w:t>, André Fischer</w:t>
      </w:r>
      <w:r w:rsidRPr="00EB6D95">
        <w:rPr>
          <w:rFonts w:ascii="Arial" w:eastAsia="Times New Roman" w:hAnsi="Arial" w:cs="Arial"/>
          <w:sz w:val="20"/>
          <w:szCs w:val="20"/>
          <w:vertAlign w:val="superscript"/>
        </w:rPr>
        <w:t>5,8</w:t>
      </w:r>
      <w:r w:rsidRPr="00EB6D95">
        <w:rPr>
          <w:rFonts w:ascii="Arial" w:eastAsia="Times New Roman" w:hAnsi="Arial" w:cs="Arial"/>
          <w:sz w:val="20"/>
          <w:szCs w:val="20"/>
        </w:rPr>
        <w:t>, Michael P. Menden</w:t>
      </w:r>
      <w:r w:rsidRPr="00EB6D95">
        <w:rPr>
          <w:rFonts w:ascii="Arial" w:eastAsia="Times New Roman" w:hAnsi="Arial" w:cs="Arial"/>
          <w:sz w:val="20"/>
          <w:szCs w:val="20"/>
          <w:vertAlign w:val="superscript"/>
        </w:rPr>
        <w:t>3,4,9,§</w:t>
      </w:r>
      <w:r w:rsidRPr="00EB6D95">
        <w:rPr>
          <w:rFonts w:ascii="Arial" w:eastAsia="Times New Roman" w:hAnsi="Arial" w:cs="Arial"/>
          <w:sz w:val="20"/>
          <w:szCs w:val="20"/>
        </w:rPr>
        <w:t>, Paul Lingor</w:t>
      </w:r>
      <w:r w:rsidRPr="00EB6D95">
        <w:rPr>
          <w:rFonts w:ascii="Arial" w:eastAsia="Times New Roman" w:hAnsi="Arial" w:cs="Arial"/>
          <w:sz w:val="20"/>
          <w:szCs w:val="20"/>
          <w:vertAlign w:val="superscript"/>
        </w:rPr>
        <w:t>1,10,§#</w:t>
      </w:r>
    </w:p>
    <w:p w:rsidR="00052A9B" w:rsidRPr="00EB6D95" w:rsidRDefault="00052A9B" w:rsidP="00052A9B">
      <w:pPr>
        <w:spacing w:after="0"/>
        <w:rPr>
          <w:rFonts w:ascii="Arial" w:eastAsia="Times New Roman" w:hAnsi="Arial" w:cs="Arial"/>
          <w:sz w:val="20"/>
          <w:szCs w:val="20"/>
          <w:vertAlign w:val="superscript"/>
        </w:rPr>
      </w:pPr>
    </w:p>
    <w:p w:rsidR="00052A9B" w:rsidRPr="00EB6D95" w:rsidRDefault="00052A9B" w:rsidP="00052A9B">
      <w:pPr>
        <w:spacing w:after="120"/>
        <w:rPr>
          <w:rFonts w:ascii="Arial" w:eastAsia="Times New Roman" w:hAnsi="Arial" w:cs="Arial"/>
          <w:sz w:val="20"/>
          <w:szCs w:val="20"/>
        </w:rPr>
      </w:pPr>
      <w:r w:rsidRPr="00EB6D95">
        <w:rPr>
          <w:rFonts w:ascii="Arial" w:eastAsia="Times New Roman" w:hAnsi="Arial" w:cs="Arial"/>
          <w:sz w:val="20"/>
          <w:szCs w:val="20"/>
          <w:vertAlign w:val="superscript"/>
        </w:rPr>
        <w:t>1</w:t>
      </w:r>
      <w:r w:rsidRPr="00EB6D95">
        <w:rPr>
          <w:rFonts w:ascii="Arial" w:eastAsia="Times New Roman" w:hAnsi="Arial" w:cs="Arial"/>
          <w:sz w:val="20"/>
          <w:szCs w:val="20"/>
        </w:rPr>
        <w:t xml:space="preserve"> Department of Neurology, </w:t>
      </w:r>
      <w:proofErr w:type="spellStart"/>
      <w:r w:rsidRPr="00EB6D95">
        <w:rPr>
          <w:rFonts w:ascii="Arial" w:eastAsia="Times New Roman" w:hAnsi="Arial" w:cs="Arial"/>
          <w:sz w:val="20"/>
          <w:szCs w:val="20"/>
        </w:rPr>
        <w:t>Rechts</w:t>
      </w:r>
      <w:proofErr w:type="spellEnd"/>
      <w:r w:rsidRPr="00EB6D95">
        <w:rPr>
          <w:rFonts w:ascii="Arial" w:eastAsia="Times New Roman" w:hAnsi="Arial" w:cs="Arial"/>
          <w:sz w:val="20"/>
          <w:szCs w:val="20"/>
        </w:rPr>
        <w:t xml:space="preserve"> der </w:t>
      </w:r>
      <w:proofErr w:type="spellStart"/>
      <w:r w:rsidRPr="00EB6D95">
        <w:rPr>
          <w:rFonts w:ascii="Arial" w:eastAsia="Times New Roman" w:hAnsi="Arial" w:cs="Arial"/>
          <w:sz w:val="20"/>
          <w:szCs w:val="20"/>
        </w:rPr>
        <w:t>Isar</w:t>
      </w:r>
      <w:proofErr w:type="spellEnd"/>
      <w:r w:rsidRPr="00EB6D95">
        <w:rPr>
          <w:rFonts w:ascii="Arial" w:eastAsia="Times New Roman" w:hAnsi="Arial" w:cs="Arial"/>
          <w:sz w:val="20"/>
          <w:szCs w:val="20"/>
        </w:rPr>
        <w:t xml:space="preserve"> Hospital, Technical University of Munich; </w:t>
      </w:r>
      <w:proofErr w:type="spellStart"/>
      <w:r w:rsidRPr="00EB6D95">
        <w:rPr>
          <w:rFonts w:ascii="Arial" w:eastAsia="Times New Roman" w:hAnsi="Arial" w:cs="Arial"/>
          <w:sz w:val="20"/>
          <w:szCs w:val="20"/>
        </w:rPr>
        <w:t>Ismaninger</w:t>
      </w:r>
      <w:proofErr w:type="spellEnd"/>
      <w:r w:rsidRPr="00EB6D95">
        <w:rPr>
          <w:rFonts w:ascii="Arial" w:eastAsia="Times New Roman" w:hAnsi="Arial" w:cs="Arial"/>
          <w:sz w:val="20"/>
          <w:szCs w:val="20"/>
        </w:rPr>
        <w:t xml:space="preserve"> Str. 22, 81675 München, Germany.</w:t>
      </w:r>
    </w:p>
    <w:p w:rsidR="00052A9B" w:rsidRPr="00EB6D95" w:rsidRDefault="00052A9B" w:rsidP="00052A9B">
      <w:pPr>
        <w:spacing w:after="120"/>
        <w:rPr>
          <w:rFonts w:ascii="Arial" w:eastAsia="Times New Roman" w:hAnsi="Arial" w:cs="Arial"/>
          <w:sz w:val="20"/>
          <w:szCs w:val="20"/>
        </w:rPr>
      </w:pPr>
      <w:r w:rsidRPr="00EB6D95">
        <w:rPr>
          <w:rFonts w:ascii="Arial" w:eastAsia="Times New Roman" w:hAnsi="Arial" w:cs="Arial"/>
          <w:sz w:val="20"/>
          <w:szCs w:val="20"/>
          <w:vertAlign w:val="superscript"/>
        </w:rPr>
        <w:t>2</w:t>
      </w:r>
      <w:r w:rsidRPr="00EB6D95">
        <w:rPr>
          <w:rFonts w:ascii="Arial" w:eastAsia="Times New Roman" w:hAnsi="Arial" w:cs="Arial"/>
          <w:sz w:val="20"/>
          <w:szCs w:val="20"/>
        </w:rPr>
        <w:t xml:space="preserve"> Department of Neurology, University Medical Center Göttingen, Robert-Koch-Str. 40, 37075 Göttingen Germany.</w:t>
      </w:r>
    </w:p>
    <w:p w:rsidR="00052A9B" w:rsidRPr="00EB6D95" w:rsidRDefault="00052A9B" w:rsidP="00052A9B">
      <w:pPr>
        <w:spacing w:after="120"/>
        <w:rPr>
          <w:rFonts w:ascii="Arial" w:eastAsia="Times New Roman" w:hAnsi="Arial" w:cs="Arial"/>
          <w:sz w:val="20"/>
          <w:szCs w:val="20"/>
        </w:rPr>
      </w:pPr>
      <w:r w:rsidRPr="00EB6D95">
        <w:rPr>
          <w:rFonts w:ascii="Arial" w:eastAsia="Times New Roman" w:hAnsi="Arial" w:cs="Arial"/>
          <w:sz w:val="20"/>
          <w:szCs w:val="20"/>
          <w:vertAlign w:val="superscript"/>
        </w:rPr>
        <w:t xml:space="preserve">3 </w:t>
      </w:r>
      <w:r w:rsidRPr="00EB6D95">
        <w:rPr>
          <w:rFonts w:ascii="Arial" w:eastAsia="Times New Roman" w:hAnsi="Arial" w:cs="Arial"/>
          <w:sz w:val="20"/>
          <w:szCs w:val="20"/>
        </w:rPr>
        <w:t xml:space="preserve">Institute of Computational Biology, Helmholtz </w:t>
      </w:r>
      <w:proofErr w:type="spellStart"/>
      <w:r w:rsidRPr="00EB6D95">
        <w:rPr>
          <w:rFonts w:ascii="Arial" w:eastAsia="Times New Roman" w:hAnsi="Arial" w:cs="Arial"/>
          <w:sz w:val="20"/>
          <w:szCs w:val="20"/>
        </w:rPr>
        <w:t>Zentrum</w:t>
      </w:r>
      <w:proofErr w:type="spellEnd"/>
      <w:r w:rsidRPr="00EB6D95">
        <w:rPr>
          <w:rFonts w:ascii="Arial" w:eastAsia="Times New Roman" w:hAnsi="Arial" w:cs="Arial"/>
          <w:sz w:val="20"/>
          <w:szCs w:val="20"/>
        </w:rPr>
        <w:t xml:space="preserve"> München GmbH - German Research Center for Environmental Health, </w:t>
      </w:r>
      <w:proofErr w:type="spellStart"/>
      <w:r w:rsidRPr="00EB6D95">
        <w:rPr>
          <w:rFonts w:ascii="Arial" w:eastAsia="Times New Roman" w:hAnsi="Arial" w:cs="Arial"/>
          <w:sz w:val="20"/>
          <w:szCs w:val="20"/>
        </w:rPr>
        <w:t>Ingolstädter</w:t>
      </w:r>
      <w:proofErr w:type="spellEnd"/>
      <w:r w:rsidRPr="00EB6D95">
        <w:rPr>
          <w:rFonts w:ascii="Arial" w:eastAsia="Times New Roman" w:hAnsi="Arial" w:cs="Arial"/>
          <w:sz w:val="20"/>
          <w:szCs w:val="20"/>
        </w:rPr>
        <w:t xml:space="preserve"> </w:t>
      </w:r>
      <w:proofErr w:type="spellStart"/>
      <w:r w:rsidRPr="00EB6D95">
        <w:rPr>
          <w:rFonts w:ascii="Arial" w:eastAsia="Times New Roman" w:hAnsi="Arial" w:cs="Arial"/>
          <w:sz w:val="20"/>
          <w:szCs w:val="20"/>
        </w:rPr>
        <w:t>Landstraße</w:t>
      </w:r>
      <w:proofErr w:type="spellEnd"/>
      <w:r w:rsidRPr="00EB6D95">
        <w:rPr>
          <w:rFonts w:ascii="Arial" w:eastAsia="Times New Roman" w:hAnsi="Arial" w:cs="Arial"/>
          <w:sz w:val="20"/>
          <w:szCs w:val="20"/>
        </w:rPr>
        <w:t xml:space="preserve"> 1, 85764 </w:t>
      </w:r>
      <w:proofErr w:type="spellStart"/>
      <w:r w:rsidRPr="00EB6D95">
        <w:rPr>
          <w:rFonts w:ascii="Arial" w:eastAsia="Times New Roman" w:hAnsi="Arial" w:cs="Arial"/>
          <w:sz w:val="20"/>
          <w:szCs w:val="20"/>
        </w:rPr>
        <w:t>Neuherberg</w:t>
      </w:r>
      <w:proofErr w:type="spellEnd"/>
      <w:r w:rsidRPr="00EB6D95">
        <w:rPr>
          <w:rFonts w:ascii="Arial" w:eastAsia="Times New Roman" w:hAnsi="Arial" w:cs="Arial"/>
          <w:sz w:val="20"/>
          <w:szCs w:val="20"/>
        </w:rPr>
        <w:t>, Germany</w:t>
      </w:r>
    </w:p>
    <w:p w:rsidR="00052A9B" w:rsidRPr="00EB6D95" w:rsidRDefault="00052A9B" w:rsidP="00052A9B">
      <w:pPr>
        <w:spacing w:after="120"/>
        <w:rPr>
          <w:rFonts w:ascii="Arial" w:eastAsia="Times New Roman" w:hAnsi="Arial" w:cs="Arial"/>
          <w:sz w:val="20"/>
          <w:szCs w:val="20"/>
        </w:rPr>
      </w:pPr>
      <w:r w:rsidRPr="00EB6D95">
        <w:rPr>
          <w:rFonts w:ascii="Arial" w:eastAsia="Times New Roman" w:hAnsi="Arial" w:cs="Arial"/>
          <w:sz w:val="20"/>
          <w:szCs w:val="20"/>
          <w:vertAlign w:val="superscript"/>
        </w:rPr>
        <w:t>4</w:t>
      </w:r>
      <w:r w:rsidRPr="00EB6D95">
        <w:rPr>
          <w:rFonts w:ascii="Arial" w:eastAsia="Times New Roman" w:hAnsi="Arial" w:cs="Arial"/>
          <w:sz w:val="20"/>
          <w:szCs w:val="20"/>
        </w:rPr>
        <w:t xml:space="preserve"> Department of Biology, Ludwig-</w:t>
      </w:r>
      <w:proofErr w:type="spellStart"/>
      <w:r w:rsidRPr="00EB6D95">
        <w:rPr>
          <w:rFonts w:ascii="Arial" w:eastAsia="Times New Roman" w:hAnsi="Arial" w:cs="Arial"/>
          <w:sz w:val="20"/>
          <w:szCs w:val="20"/>
        </w:rPr>
        <w:t>Maximilians</w:t>
      </w:r>
      <w:proofErr w:type="spellEnd"/>
      <w:r w:rsidRPr="00EB6D95">
        <w:rPr>
          <w:rFonts w:ascii="Arial" w:eastAsia="Times New Roman" w:hAnsi="Arial" w:cs="Arial"/>
          <w:sz w:val="20"/>
          <w:szCs w:val="20"/>
        </w:rPr>
        <w:t xml:space="preserve"> University Munich, </w:t>
      </w:r>
      <w:proofErr w:type="spellStart"/>
      <w:r w:rsidRPr="00EB6D95">
        <w:rPr>
          <w:rFonts w:ascii="Arial" w:eastAsia="Times New Roman" w:hAnsi="Arial" w:cs="Arial"/>
          <w:sz w:val="20"/>
          <w:szCs w:val="20"/>
        </w:rPr>
        <w:t>Großhaderner</w:t>
      </w:r>
      <w:proofErr w:type="spellEnd"/>
      <w:r w:rsidRPr="00EB6D95">
        <w:rPr>
          <w:rFonts w:ascii="Arial" w:eastAsia="Times New Roman" w:hAnsi="Arial" w:cs="Arial"/>
          <w:sz w:val="20"/>
          <w:szCs w:val="20"/>
        </w:rPr>
        <w:t xml:space="preserve"> </w:t>
      </w:r>
      <w:proofErr w:type="spellStart"/>
      <w:r w:rsidRPr="00EB6D95">
        <w:rPr>
          <w:rFonts w:ascii="Arial" w:eastAsia="Times New Roman" w:hAnsi="Arial" w:cs="Arial"/>
          <w:sz w:val="20"/>
          <w:szCs w:val="20"/>
        </w:rPr>
        <w:t>Straße</w:t>
      </w:r>
      <w:proofErr w:type="spellEnd"/>
      <w:r w:rsidRPr="00EB6D95">
        <w:rPr>
          <w:rFonts w:ascii="Arial" w:eastAsia="Times New Roman" w:hAnsi="Arial" w:cs="Arial"/>
          <w:sz w:val="20"/>
          <w:szCs w:val="20"/>
        </w:rPr>
        <w:t xml:space="preserve"> 2, 82152 </w:t>
      </w:r>
      <w:proofErr w:type="spellStart"/>
      <w:r w:rsidRPr="00EB6D95">
        <w:rPr>
          <w:rFonts w:ascii="Arial" w:eastAsia="Times New Roman" w:hAnsi="Arial" w:cs="Arial"/>
          <w:sz w:val="20"/>
          <w:szCs w:val="20"/>
        </w:rPr>
        <w:t>Martinsried</w:t>
      </w:r>
      <w:proofErr w:type="spellEnd"/>
      <w:r w:rsidRPr="00EB6D95">
        <w:rPr>
          <w:rFonts w:ascii="Arial" w:eastAsia="Times New Roman" w:hAnsi="Arial" w:cs="Arial"/>
          <w:sz w:val="20"/>
          <w:szCs w:val="20"/>
        </w:rPr>
        <w:t>, Germany</w:t>
      </w:r>
    </w:p>
    <w:p w:rsidR="00052A9B" w:rsidRPr="00EB6D95" w:rsidRDefault="00052A9B" w:rsidP="00052A9B">
      <w:pPr>
        <w:spacing w:after="120"/>
        <w:rPr>
          <w:rFonts w:ascii="Arial" w:eastAsia="Times New Roman" w:hAnsi="Arial" w:cs="Arial"/>
          <w:sz w:val="20"/>
          <w:szCs w:val="20"/>
        </w:rPr>
      </w:pPr>
      <w:r w:rsidRPr="00EB6D95">
        <w:rPr>
          <w:rFonts w:ascii="Arial" w:eastAsia="Times New Roman" w:hAnsi="Arial" w:cs="Arial"/>
          <w:sz w:val="20"/>
          <w:szCs w:val="20"/>
          <w:vertAlign w:val="superscript"/>
        </w:rPr>
        <w:t>5</w:t>
      </w:r>
      <w:r w:rsidRPr="00EB6D95">
        <w:rPr>
          <w:rFonts w:ascii="Arial" w:eastAsia="Times New Roman" w:hAnsi="Arial" w:cs="Arial"/>
          <w:sz w:val="20"/>
          <w:szCs w:val="20"/>
        </w:rPr>
        <w:t xml:space="preserve"> Department for Epigenetics and Systems Medicine in Neurodegenerative Diseases, German Center for Neurodegenerative Diseases (DZNE), </w:t>
      </w:r>
      <w:proofErr w:type="spellStart"/>
      <w:r w:rsidRPr="00EB6D95">
        <w:rPr>
          <w:rFonts w:ascii="Arial" w:eastAsia="Times New Roman" w:hAnsi="Arial" w:cs="Arial"/>
          <w:sz w:val="20"/>
          <w:szCs w:val="20"/>
        </w:rPr>
        <w:t>Grisebachstr</w:t>
      </w:r>
      <w:proofErr w:type="spellEnd"/>
      <w:r w:rsidRPr="00EB6D95">
        <w:rPr>
          <w:rFonts w:ascii="Arial" w:eastAsia="Times New Roman" w:hAnsi="Arial" w:cs="Arial"/>
          <w:sz w:val="20"/>
          <w:szCs w:val="20"/>
        </w:rPr>
        <w:t>. 5, 37075 Göttingen, Germany.</w:t>
      </w:r>
    </w:p>
    <w:p w:rsidR="00052A9B" w:rsidRPr="00EB6D95" w:rsidRDefault="00052A9B" w:rsidP="00052A9B">
      <w:pPr>
        <w:spacing w:after="120"/>
        <w:rPr>
          <w:rFonts w:ascii="Arial" w:eastAsia="Times New Roman" w:hAnsi="Arial" w:cs="Arial"/>
          <w:sz w:val="20"/>
          <w:szCs w:val="20"/>
        </w:rPr>
      </w:pPr>
      <w:r w:rsidRPr="00EB6D95">
        <w:rPr>
          <w:rFonts w:ascii="Arial" w:eastAsia="Times New Roman" w:hAnsi="Arial" w:cs="Arial"/>
          <w:sz w:val="20"/>
          <w:szCs w:val="20"/>
          <w:vertAlign w:val="superscript"/>
        </w:rPr>
        <w:t>6</w:t>
      </w:r>
      <w:r w:rsidRPr="00EB6D95">
        <w:rPr>
          <w:rFonts w:ascii="Arial" w:eastAsia="Times New Roman" w:hAnsi="Arial" w:cs="Arial"/>
          <w:sz w:val="20"/>
          <w:szCs w:val="20"/>
        </w:rPr>
        <w:t xml:space="preserve"> Institute of Clinical Chemistry, University Medical Center Göttingen, Robert-Koch-</w:t>
      </w:r>
      <w:proofErr w:type="spellStart"/>
      <w:r w:rsidRPr="00EB6D95">
        <w:rPr>
          <w:rFonts w:ascii="Arial" w:eastAsia="Times New Roman" w:hAnsi="Arial" w:cs="Arial"/>
          <w:sz w:val="20"/>
          <w:szCs w:val="20"/>
        </w:rPr>
        <w:t>Straße</w:t>
      </w:r>
      <w:proofErr w:type="spellEnd"/>
      <w:r w:rsidRPr="00EB6D95">
        <w:rPr>
          <w:rFonts w:ascii="Arial" w:eastAsia="Times New Roman" w:hAnsi="Arial" w:cs="Arial"/>
          <w:sz w:val="20"/>
          <w:szCs w:val="20"/>
        </w:rPr>
        <w:t xml:space="preserve"> 40, 37075 Göttingen, Germany</w:t>
      </w:r>
    </w:p>
    <w:p w:rsidR="00052A9B" w:rsidRPr="00EB6D95" w:rsidRDefault="00052A9B" w:rsidP="00052A9B">
      <w:pPr>
        <w:spacing w:after="120"/>
        <w:rPr>
          <w:rFonts w:ascii="Arial" w:eastAsia="Times New Roman" w:hAnsi="Arial" w:cs="Arial"/>
          <w:sz w:val="20"/>
          <w:szCs w:val="20"/>
        </w:rPr>
      </w:pPr>
      <w:r w:rsidRPr="00EB6D95">
        <w:rPr>
          <w:rFonts w:ascii="Arial" w:eastAsia="Times New Roman" w:hAnsi="Arial" w:cs="Arial"/>
          <w:sz w:val="20"/>
          <w:szCs w:val="20"/>
          <w:vertAlign w:val="superscript"/>
        </w:rPr>
        <w:t>6a</w:t>
      </w:r>
      <w:r w:rsidRPr="00EB6D95">
        <w:rPr>
          <w:rFonts w:ascii="Arial" w:eastAsia="Times New Roman" w:hAnsi="Arial" w:cs="Arial"/>
          <w:sz w:val="20"/>
          <w:szCs w:val="20"/>
        </w:rPr>
        <w:t xml:space="preserve"> Bioanalytical Mass Spectrometry Group, Max Planck Institute for Biophysical Chemistry, Am </w:t>
      </w:r>
      <w:proofErr w:type="spellStart"/>
      <w:r w:rsidRPr="00EB6D95">
        <w:rPr>
          <w:rFonts w:ascii="Arial" w:eastAsia="Times New Roman" w:hAnsi="Arial" w:cs="Arial"/>
          <w:sz w:val="20"/>
          <w:szCs w:val="20"/>
        </w:rPr>
        <w:t>Fassberg</w:t>
      </w:r>
      <w:proofErr w:type="spellEnd"/>
      <w:r w:rsidRPr="00EB6D95">
        <w:rPr>
          <w:rFonts w:ascii="Arial" w:eastAsia="Times New Roman" w:hAnsi="Arial" w:cs="Arial"/>
          <w:sz w:val="20"/>
          <w:szCs w:val="20"/>
        </w:rPr>
        <w:t xml:space="preserve"> 11, 37077 Göttingen, Germany</w:t>
      </w:r>
    </w:p>
    <w:p w:rsidR="00052A9B" w:rsidRPr="00EB6D95" w:rsidRDefault="00052A9B" w:rsidP="00052A9B">
      <w:pPr>
        <w:spacing w:after="120"/>
        <w:rPr>
          <w:rFonts w:ascii="Arial" w:eastAsia="Times New Roman" w:hAnsi="Arial" w:cs="Arial"/>
          <w:sz w:val="20"/>
          <w:szCs w:val="20"/>
        </w:rPr>
      </w:pPr>
      <w:r w:rsidRPr="00EB6D95">
        <w:rPr>
          <w:rFonts w:ascii="Arial" w:eastAsia="Times New Roman" w:hAnsi="Arial" w:cs="Arial"/>
          <w:sz w:val="20"/>
          <w:szCs w:val="20"/>
          <w:vertAlign w:val="superscript"/>
        </w:rPr>
        <w:t>7</w:t>
      </w:r>
      <w:r w:rsidRPr="00EB6D95">
        <w:rPr>
          <w:rFonts w:ascii="Arial" w:eastAsia="Times New Roman" w:hAnsi="Arial" w:cs="Arial"/>
          <w:sz w:val="20"/>
          <w:szCs w:val="20"/>
        </w:rPr>
        <w:t xml:space="preserve"> Institute of Neurogenetics, University of Lübeck, </w:t>
      </w:r>
      <w:proofErr w:type="spellStart"/>
      <w:r w:rsidRPr="00EB6D95">
        <w:rPr>
          <w:rFonts w:ascii="Arial" w:eastAsia="Times New Roman" w:hAnsi="Arial" w:cs="Arial"/>
          <w:sz w:val="20"/>
          <w:szCs w:val="20"/>
        </w:rPr>
        <w:t>Ratzeburger</w:t>
      </w:r>
      <w:proofErr w:type="spellEnd"/>
      <w:r w:rsidRPr="00EB6D95">
        <w:rPr>
          <w:rFonts w:ascii="Arial" w:eastAsia="Times New Roman" w:hAnsi="Arial" w:cs="Arial"/>
          <w:sz w:val="20"/>
          <w:szCs w:val="20"/>
        </w:rPr>
        <w:t xml:space="preserve"> Allee 160, 23562 Lübeck, Germany</w:t>
      </w:r>
    </w:p>
    <w:p w:rsidR="00052A9B" w:rsidRPr="00EB6D95" w:rsidRDefault="00052A9B" w:rsidP="00052A9B">
      <w:pPr>
        <w:spacing w:after="120"/>
        <w:rPr>
          <w:rFonts w:ascii="Arial" w:eastAsia="Times New Roman" w:hAnsi="Arial" w:cs="Arial"/>
          <w:sz w:val="20"/>
          <w:szCs w:val="20"/>
          <w:lang w:val="de-DE"/>
        </w:rPr>
      </w:pPr>
      <w:r w:rsidRPr="00EB6D95">
        <w:rPr>
          <w:rFonts w:ascii="Arial" w:eastAsia="Times New Roman" w:hAnsi="Arial" w:cs="Arial"/>
          <w:sz w:val="20"/>
          <w:szCs w:val="20"/>
          <w:vertAlign w:val="superscript"/>
        </w:rPr>
        <w:t>8</w:t>
      </w:r>
      <w:r w:rsidRPr="00EB6D95">
        <w:rPr>
          <w:rFonts w:ascii="Arial" w:eastAsia="Times New Roman" w:hAnsi="Arial" w:cs="Arial"/>
          <w:sz w:val="20"/>
          <w:szCs w:val="20"/>
        </w:rPr>
        <w:t xml:space="preserve"> Department of Psychiatry and Psychotherapy, University Medical Center Göttingen, </w:t>
      </w:r>
      <w:proofErr w:type="spellStart"/>
      <w:r w:rsidRPr="00EB6D95">
        <w:rPr>
          <w:rFonts w:ascii="Arial" w:eastAsia="Times New Roman" w:hAnsi="Arial" w:cs="Arial"/>
          <w:sz w:val="20"/>
          <w:szCs w:val="20"/>
        </w:rPr>
        <w:t>Grisebachstr</w:t>
      </w:r>
      <w:proofErr w:type="spellEnd"/>
      <w:r w:rsidRPr="00EB6D95">
        <w:rPr>
          <w:rFonts w:ascii="Arial" w:eastAsia="Times New Roman" w:hAnsi="Arial" w:cs="Arial"/>
          <w:sz w:val="20"/>
          <w:szCs w:val="20"/>
        </w:rPr>
        <w:t xml:space="preserve">. </w:t>
      </w:r>
      <w:r w:rsidRPr="00EB6D95">
        <w:rPr>
          <w:rFonts w:ascii="Arial" w:eastAsia="Times New Roman" w:hAnsi="Arial" w:cs="Arial"/>
          <w:sz w:val="20"/>
          <w:szCs w:val="20"/>
          <w:lang w:val="de-DE"/>
        </w:rPr>
        <w:t>5, 37075 Göttingen, Germany.</w:t>
      </w:r>
    </w:p>
    <w:p w:rsidR="00052A9B" w:rsidRPr="00EB6D95" w:rsidRDefault="00052A9B" w:rsidP="00052A9B">
      <w:pPr>
        <w:spacing w:after="120"/>
        <w:rPr>
          <w:rFonts w:ascii="Arial" w:eastAsia="Times New Roman" w:hAnsi="Arial" w:cs="Arial"/>
          <w:sz w:val="20"/>
          <w:szCs w:val="20"/>
          <w:lang w:val="de-DE"/>
        </w:rPr>
      </w:pPr>
      <w:r w:rsidRPr="00EB6D95">
        <w:rPr>
          <w:rFonts w:ascii="Arial" w:eastAsia="Times New Roman" w:hAnsi="Arial" w:cs="Arial"/>
          <w:sz w:val="20"/>
          <w:szCs w:val="20"/>
          <w:vertAlign w:val="superscript"/>
          <w:lang w:val="de-DE"/>
        </w:rPr>
        <w:t>9</w:t>
      </w:r>
      <w:r w:rsidRPr="00EB6D95">
        <w:rPr>
          <w:rFonts w:ascii="Arial" w:eastAsia="Times New Roman" w:hAnsi="Arial" w:cs="Arial"/>
          <w:sz w:val="20"/>
          <w:szCs w:val="20"/>
          <w:lang w:val="de-DE"/>
        </w:rPr>
        <w:t xml:space="preserve"> German </w:t>
      </w:r>
      <w:proofErr w:type="spellStart"/>
      <w:r w:rsidRPr="00EB6D95">
        <w:rPr>
          <w:rFonts w:ascii="Arial" w:eastAsia="Times New Roman" w:hAnsi="Arial" w:cs="Arial"/>
          <w:sz w:val="20"/>
          <w:szCs w:val="20"/>
          <w:lang w:val="de-DE"/>
        </w:rPr>
        <w:t>Centre</w:t>
      </w:r>
      <w:proofErr w:type="spellEnd"/>
      <w:r w:rsidRPr="00EB6D95">
        <w:rPr>
          <w:rFonts w:ascii="Arial" w:eastAsia="Times New Roman" w:hAnsi="Arial" w:cs="Arial"/>
          <w:sz w:val="20"/>
          <w:szCs w:val="20"/>
          <w:lang w:val="de-DE"/>
        </w:rPr>
        <w:t xml:space="preserve"> </w:t>
      </w:r>
      <w:proofErr w:type="spellStart"/>
      <w:r w:rsidRPr="00EB6D95">
        <w:rPr>
          <w:rFonts w:ascii="Arial" w:eastAsia="Times New Roman" w:hAnsi="Arial" w:cs="Arial"/>
          <w:sz w:val="20"/>
          <w:szCs w:val="20"/>
          <w:lang w:val="de-DE"/>
        </w:rPr>
        <w:t>for</w:t>
      </w:r>
      <w:proofErr w:type="spellEnd"/>
      <w:r w:rsidRPr="00EB6D95">
        <w:rPr>
          <w:rFonts w:ascii="Arial" w:eastAsia="Times New Roman" w:hAnsi="Arial" w:cs="Arial"/>
          <w:sz w:val="20"/>
          <w:szCs w:val="20"/>
          <w:lang w:val="de-DE"/>
        </w:rPr>
        <w:t xml:space="preserve"> Diabetes Research (DZD e.V.), Ingolstädter Landstraße 1, 85764 Neuherberg, Germany</w:t>
      </w:r>
    </w:p>
    <w:p w:rsidR="00052A9B" w:rsidRPr="00EB6D95" w:rsidRDefault="00052A9B" w:rsidP="00052A9B">
      <w:pPr>
        <w:spacing w:after="120"/>
        <w:rPr>
          <w:rFonts w:ascii="Arial" w:eastAsia="Times New Roman" w:hAnsi="Arial" w:cs="Arial"/>
          <w:sz w:val="20"/>
          <w:szCs w:val="20"/>
        </w:rPr>
      </w:pPr>
      <w:r w:rsidRPr="00EB6D95">
        <w:rPr>
          <w:rFonts w:ascii="Arial" w:eastAsia="Times New Roman" w:hAnsi="Arial" w:cs="Arial"/>
          <w:sz w:val="20"/>
          <w:szCs w:val="20"/>
          <w:vertAlign w:val="superscript"/>
        </w:rPr>
        <w:t xml:space="preserve">10 </w:t>
      </w:r>
      <w:r w:rsidRPr="00EB6D95">
        <w:rPr>
          <w:rFonts w:ascii="Arial" w:eastAsia="Times New Roman" w:hAnsi="Arial" w:cs="Arial"/>
          <w:sz w:val="20"/>
          <w:szCs w:val="20"/>
        </w:rPr>
        <w:t>German Center for Neurodegenerative Diseases (DZNE), Feodor-Lynen-</w:t>
      </w:r>
      <w:proofErr w:type="spellStart"/>
      <w:r w:rsidRPr="00EB6D95">
        <w:rPr>
          <w:rFonts w:ascii="Arial" w:eastAsia="Times New Roman" w:hAnsi="Arial" w:cs="Arial"/>
          <w:sz w:val="20"/>
          <w:szCs w:val="20"/>
        </w:rPr>
        <w:t>Straße</w:t>
      </w:r>
      <w:proofErr w:type="spellEnd"/>
      <w:r w:rsidRPr="00EB6D95">
        <w:rPr>
          <w:rFonts w:ascii="Arial" w:eastAsia="Times New Roman" w:hAnsi="Arial" w:cs="Arial"/>
          <w:sz w:val="20"/>
          <w:szCs w:val="20"/>
        </w:rPr>
        <w:t xml:space="preserve"> 17, 81377 München, Germany</w:t>
      </w:r>
    </w:p>
    <w:p w:rsidR="00052A9B" w:rsidRPr="00E6179B" w:rsidRDefault="00052A9B" w:rsidP="00052A9B">
      <w:pPr>
        <w:rPr>
          <w:rFonts w:ascii="Arial" w:eastAsia="Tinos" w:hAnsi="Arial" w:cs="Arial"/>
          <w:sz w:val="20"/>
          <w:szCs w:val="20"/>
        </w:rPr>
      </w:pPr>
      <w:r w:rsidRPr="00E6179B">
        <w:rPr>
          <w:rFonts w:ascii="Arial" w:eastAsia="Times New Roman" w:hAnsi="Arial" w:cs="Arial"/>
          <w:b/>
          <w:sz w:val="20"/>
          <w:szCs w:val="20"/>
        </w:rPr>
        <w:t>#Corresponding Author:</w:t>
      </w:r>
      <w:r w:rsidRPr="00E6179B">
        <w:rPr>
          <w:rFonts w:ascii="Arial" w:eastAsia="Times New Roman" w:hAnsi="Arial" w:cs="Arial"/>
          <w:sz w:val="20"/>
          <w:szCs w:val="20"/>
        </w:rPr>
        <w:t xml:space="preserve"> Paul Lingor; </w:t>
      </w:r>
      <w:r w:rsidRPr="00E6179B">
        <w:rPr>
          <w:rFonts w:ascii="Arial" w:eastAsia="Times New Roman" w:hAnsi="Arial" w:cs="Arial"/>
          <w:b/>
          <w:sz w:val="20"/>
          <w:szCs w:val="20"/>
        </w:rPr>
        <w:t xml:space="preserve">e-mail: </w:t>
      </w:r>
      <w:hyperlink r:id="rId7" w:history="1">
        <w:r w:rsidRPr="00E6179B">
          <w:rPr>
            <w:rFonts w:ascii="Arial" w:eastAsia="Times New Roman" w:hAnsi="Arial" w:cs="Arial"/>
            <w:color w:val="0000FF"/>
            <w:sz w:val="20"/>
            <w:szCs w:val="20"/>
            <w:u w:val="single"/>
          </w:rPr>
          <w:t>paul.lingor@tum.de</w:t>
        </w:r>
      </w:hyperlink>
      <w:r w:rsidRPr="00E6179B">
        <w:rPr>
          <w:rFonts w:ascii="Arial" w:eastAsia="Times New Roman" w:hAnsi="Arial" w:cs="Arial"/>
          <w:sz w:val="20"/>
          <w:szCs w:val="20"/>
        </w:rPr>
        <w:t xml:space="preserve">; Department of Neurology, School of Medicine, University Hospital </w:t>
      </w:r>
      <w:proofErr w:type="spellStart"/>
      <w:r w:rsidRPr="00E6179B">
        <w:rPr>
          <w:rFonts w:ascii="Arial" w:eastAsia="Times New Roman" w:hAnsi="Arial" w:cs="Arial"/>
          <w:sz w:val="20"/>
          <w:szCs w:val="20"/>
        </w:rPr>
        <w:t>rechts</w:t>
      </w:r>
      <w:proofErr w:type="spellEnd"/>
      <w:r w:rsidRPr="00E6179B">
        <w:rPr>
          <w:rFonts w:ascii="Arial" w:eastAsia="Times New Roman" w:hAnsi="Arial" w:cs="Arial"/>
          <w:sz w:val="20"/>
          <w:szCs w:val="20"/>
        </w:rPr>
        <w:t xml:space="preserve"> der </w:t>
      </w:r>
      <w:proofErr w:type="spellStart"/>
      <w:r w:rsidRPr="00E6179B">
        <w:rPr>
          <w:rFonts w:ascii="Arial" w:eastAsia="Times New Roman" w:hAnsi="Arial" w:cs="Arial"/>
          <w:sz w:val="20"/>
          <w:szCs w:val="20"/>
        </w:rPr>
        <w:t>Isar</w:t>
      </w:r>
      <w:proofErr w:type="spellEnd"/>
      <w:r w:rsidRPr="00E6179B">
        <w:rPr>
          <w:rFonts w:ascii="Arial" w:eastAsia="Times New Roman" w:hAnsi="Arial" w:cs="Arial"/>
          <w:sz w:val="20"/>
          <w:szCs w:val="20"/>
        </w:rPr>
        <w:t xml:space="preserve">, Technical University of Munich, </w:t>
      </w:r>
      <w:proofErr w:type="spellStart"/>
      <w:r w:rsidRPr="00E6179B">
        <w:rPr>
          <w:rFonts w:ascii="Arial" w:eastAsia="Times New Roman" w:hAnsi="Arial" w:cs="Arial"/>
          <w:sz w:val="20"/>
          <w:szCs w:val="20"/>
        </w:rPr>
        <w:t>Ismaninger</w:t>
      </w:r>
      <w:proofErr w:type="spellEnd"/>
      <w:r w:rsidRPr="00E6179B">
        <w:rPr>
          <w:rFonts w:ascii="Arial" w:eastAsia="Times New Roman" w:hAnsi="Arial" w:cs="Arial"/>
          <w:sz w:val="20"/>
          <w:szCs w:val="20"/>
        </w:rPr>
        <w:t xml:space="preserve"> </w:t>
      </w:r>
      <w:proofErr w:type="spellStart"/>
      <w:r w:rsidRPr="00E6179B">
        <w:rPr>
          <w:rFonts w:ascii="Arial" w:eastAsia="Times New Roman" w:hAnsi="Arial" w:cs="Arial"/>
          <w:sz w:val="20"/>
          <w:szCs w:val="20"/>
        </w:rPr>
        <w:t>Straße</w:t>
      </w:r>
      <w:proofErr w:type="spellEnd"/>
      <w:r w:rsidRPr="00E6179B">
        <w:rPr>
          <w:rFonts w:ascii="Arial" w:eastAsia="Times New Roman" w:hAnsi="Arial" w:cs="Arial"/>
          <w:sz w:val="20"/>
          <w:szCs w:val="20"/>
        </w:rPr>
        <w:t xml:space="preserve"> 22, 81675 Munich, Germany, Tel.: +498941408257</w:t>
      </w:r>
    </w:p>
    <w:p w:rsidR="00052A9B" w:rsidRDefault="00052A9B" w:rsidP="00052A9B">
      <w:pPr>
        <w:spacing w:after="0" w:line="273" w:lineRule="auto"/>
        <w:jc w:val="both"/>
        <w:rPr>
          <w:rFonts w:ascii="Arial" w:eastAsia="Tinos" w:hAnsi="Arial" w:cs="Arial"/>
          <w:sz w:val="20"/>
          <w:szCs w:val="20"/>
        </w:rPr>
      </w:pPr>
      <w:proofErr w:type="gramStart"/>
      <w:r w:rsidRPr="004D4DE7">
        <w:rPr>
          <w:rFonts w:ascii="Arial" w:eastAsia="Tinos" w:hAnsi="Arial" w:cs="Arial"/>
          <w:sz w:val="20"/>
          <w:szCs w:val="20"/>
        </w:rPr>
        <w:t>§,*</w:t>
      </w:r>
      <w:proofErr w:type="gramEnd"/>
      <w:r w:rsidRPr="004D4DE7">
        <w:rPr>
          <w:rFonts w:ascii="Arial" w:eastAsia="Tinos" w:hAnsi="Arial" w:cs="Arial"/>
          <w:sz w:val="20"/>
          <w:szCs w:val="20"/>
        </w:rPr>
        <w:t xml:space="preserve"> These authors contributed equally.</w:t>
      </w:r>
    </w:p>
    <w:p w:rsidR="00052A9B" w:rsidRDefault="00052A9B" w:rsidP="0053498E">
      <w:pPr>
        <w:spacing w:before="240" w:after="60" w:line="480" w:lineRule="auto"/>
        <w:jc w:val="both"/>
        <w:rPr>
          <w:rFonts w:ascii="Arial" w:eastAsia="Tinos" w:hAnsi="Arial" w:cs="Arial"/>
          <w:b/>
          <w:sz w:val="20"/>
          <w:szCs w:val="20"/>
        </w:rPr>
      </w:pPr>
    </w:p>
    <w:p w:rsidR="00052A9B" w:rsidRDefault="00052A9B" w:rsidP="0053498E">
      <w:pPr>
        <w:spacing w:before="240" w:after="60" w:line="480" w:lineRule="auto"/>
        <w:jc w:val="both"/>
        <w:rPr>
          <w:rFonts w:ascii="Arial" w:eastAsia="Tinos" w:hAnsi="Arial" w:cs="Arial"/>
          <w:b/>
          <w:sz w:val="20"/>
          <w:szCs w:val="20"/>
        </w:rPr>
      </w:pPr>
    </w:p>
    <w:p w:rsidR="00052A9B" w:rsidRDefault="00052A9B" w:rsidP="0053498E">
      <w:pPr>
        <w:spacing w:before="240" w:after="60" w:line="480" w:lineRule="auto"/>
        <w:jc w:val="both"/>
        <w:rPr>
          <w:rFonts w:ascii="Arial" w:eastAsia="Tinos" w:hAnsi="Arial" w:cs="Arial"/>
          <w:b/>
          <w:sz w:val="20"/>
          <w:szCs w:val="20"/>
        </w:rPr>
      </w:pPr>
    </w:p>
    <w:p w:rsidR="0053498E" w:rsidRPr="00785828" w:rsidRDefault="0053498E" w:rsidP="0053498E">
      <w:pPr>
        <w:spacing w:before="240" w:after="60" w:line="480" w:lineRule="auto"/>
        <w:jc w:val="both"/>
        <w:rPr>
          <w:rFonts w:ascii="Arial" w:eastAsia="Tinos" w:hAnsi="Arial" w:cs="Arial"/>
          <w:b/>
          <w:sz w:val="20"/>
          <w:szCs w:val="20"/>
        </w:rPr>
      </w:pPr>
      <w:r w:rsidRPr="00785828">
        <w:rPr>
          <w:rFonts w:ascii="Arial" w:eastAsia="Tinos" w:hAnsi="Arial" w:cs="Arial"/>
          <w:b/>
          <w:sz w:val="20"/>
          <w:szCs w:val="20"/>
        </w:rPr>
        <w:lastRenderedPageBreak/>
        <w:t>Supplementary Information Text</w:t>
      </w:r>
    </w:p>
    <w:p w:rsidR="004E5947" w:rsidRDefault="0053498E" w:rsidP="004E5947">
      <w:pPr>
        <w:spacing w:after="0" w:line="360" w:lineRule="auto"/>
        <w:rPr>
          <w:rFonts w:ascii="Arial" w:eastAsia="Tinos" w:hAnsi="Arial" w:cs="Arial"/>
          <w:b/>
          <w:sz w:val="20"/>
          <w:szCs w:val="20"/>
        </w:rPr>
      </w:pPr>
      <w:r w:rsidRPr="00785828">
        <w:rPr>
          <w:rFonts w:ascii="Arial" w:eastAsia="Tinos" w:hAnsi="Arial" w:cs="Arial"/>
          <w:b/>
          <w:sz w:val="20"/>
          <w:szCs w:val="20"/>
        </w:rPr>
        <w:t>Supplementary Methods</w:t>
      </w:r>
    </w:p>
    <w:p w:rsidR="0053498E" w:rsidRPr="00785828" w:rsidRDefault="0053498E" w:rsidP="004E5947">
      <w:pPr>
        <w:spacing w:after="0" w:line="360" w:lineRule="auto"/>
        <w:rPr>
          <w:rFonts w:ascii="Arial" w:eastAsia="Tinos" w:hAnsi="Arial" w:cs="Arial"/>
          <w:b/>
          <w:sz w:val="20"/>
          <w:szCs w:val="20"/>
        </w:rPr>
      </w:pPr>
      <w:r w:rsidRPr="00785828">
        <w:rPr>
          <w:rFonts w:ascii="Arial" w:eastAsia="Tinos" w:hAnsi="Arial" w:cs="Arial"/>
          <w:b/>
          <w:sz w:val="20"/>
          <w:szCs w:val="20"/>
        </w:rPr>
        <w:t>DNA Isolation</w:t>
      </w:r>
    </w:p>
    <w:p w:rsidR="004E5947" w:rsidRDefault="0053498E" w:rsidP="004E5947">
      <w:pPr>
        <w:spacing w:after="0" w:line="240" w:lineRule="auto"/>
        <w:rPr>
          <w:rFonts w:ascii="Arial" w:eastAsia="Tinos" w:hAnsi="Arial" w:cs="Arial"/>
          <w:sz w:val="20"/>
          <w:szCs w:val="20"/>
        </w:rPr>
      </w:pPr>
      <w:r w:rsidRPr="00785828">
        <w:rPr>
          <w:rFonts w:ascii="Arial" w:eastAsia="Tinos" w:hAnsi="Arial" w:cs="Arial"/>
          <w:sz w:val="20"/>
          <w:szCs w:val="20"/>
        </w:rPr>
        <w:t xml:space="preserve">DNA isolation from human midbrain samples was performed with the </w:t>
      </w:r>
      <w:proofErr w:type="spellStart"/>
      <w:r w:rsidRPr="00785828">
        <w:rPr>
          <w:rFonts w:ascii="Arial" w:eastAsia="Tinos" w:hAnsi="Arial" w:cs="Arial"/>
          <w:sz w:val="20"/>
          <w:szCs w:val="20"/>
        </w:rPr>
        <w:t>QIAamp</w:t>
      </w:r>
      <w:proofErr w:type="spellEnd"/>
      <w:r w:rsidRPr="00785828">
        <w:rPr>
          <w:rFonts w:ascii="Arial" w:eastAsia="Tinos" w:hAnsi="Arial" w:cs="Arial"/>
          <w:sz w:val="20"/>
          <w:szCs w:val="20"/>
        </w:rPr>
        <w:t xml:space="preserve"> DNA Mini Kit following the manufacturer’s instructions. Nucleic acid concentration and purity were measured in the </w:t>
      </w:r>
      <w:proofErr w:type="spellStart"/>
      <w:r w:rsidRPr="00785828">
        <w:rPr>
          <w:rFonts w:ascii="Arial" w:eastAsia="Tinos" w:hAnsi="Arial" w:cs="Arial"/>
          <w:sz w:val="20"/>
          <w:szCs w:val="20"/>
        </w:rPr>
        <w:t>NanoDrop</w:t>
      </w:r>
      <w:proofErr w:type="spellEnd"/>
      <w:r w:rsidRPr="00785828">
        <w:rPr>
          <w:rFonts w:ascii="Arial" w:eastAsia="Tinos" w:hAnsi="Arial" w:cs="Arial"/>
          <w:sz w:val="20"/>
          <w:szCs w:val="20"/>
        </w:rPr>
        <w:t xml:space="preserve"> One spectrophotometer (</w:t>
      </w:r>
      <w:proofErr w:type="spellStart"/>
      <w:r w:rsidRPr="00785828">
        <w:rPr>
          <w:rFonts w:ascii="Arial" w:eastAsia="Tinos" w:hAnsi="Arial" w:cs="Arial"/>
          <w:sz w:val="20"/>
          <w:szCs w:val="20"/>
        </w:rPr>
        <w:t>ThermoFisher</w:t>
      </w:r>
      <w:proofErr w:type="spellEnd"/>
      <w:r w:rsidRPr="00785828">
        <w:rPr>
          <w:rFonts w:ascii="Arial" w:eastAsia="Tinos" w:hAnsi="Arial" w:cs="Arial"/>
          <w:sz w:val="20"/>
          <w:szCs w:val="20"/>
        </w:rPr>
        <w:t>, Waltham, MA, USA).</w:t>
      </w:r>
    </w:p>
    <w:p w:rsidR="0053498E" w:rsidRPr="004E5947" w:rsidRDefault="0053498E" w:rsidP="004E5947">
      <w:pPr>
        <w:spacing w:after="0" w:line="240" w:lineRule="auto"/>
        <w:rPr>
          <w:rFonts w:ascii="Arial" w:eastAsia="Tinos" w:hAnsi="Arial" w:cs="Arial"/>
          <w:sz w:val="20"/>
          <w:szCs w:val="20"/>
        </w:rPr>
      </w:pPr>
      <w:r w:rsidRPr="00785828">
        <w:rPr>
          <w:rFonts w:ascii="Arial" w:eastAsia="Tinos" w:hAnsi="Arial" w:cs="Arial"/>
          <w:b/>
          <w:sz w:val="20"/>
          <w:szCs w:val="20"/>
        </w:rPr>
        <w:t>Multiplex Ligation-dependent Probe Amplification (MLPA)</w:t>
      </w:r>
    </w:p>
    <w:p w:rsidR="004E5947" w:rsidRDefault="0053498E" w:rsidP="004E5947">
      <w:pPr>
        <w:spacing w:after="0" w:line="240" w:lineRule="auto"/>
        <w:rPr>
          <w:rFonts w:ascii="Arial" w:eastAsia="Tinos" w:hAnsi="Arial" w:cs="Arial"/>
          <w:sz w:val="20"/>
          <w:szCs w:val="20"/>
        </w:rPr>
      </w:pPr>
      <w:r w:rsidRPr="00785828">
        <w:rPr>
          <w:rFonts w:ascii="Arial" w:eastAsia="Tinos" w:hAnsi="Arial" w:cs="Arial"/>
          <w:sz w:val="20"/>
          <w:szCs w:val="20"/>
        </w:rPr>
        <w:t xml:space="preserve">MLPA experiments were performed in order to detect abnormalities in copy numbers (e.g. deletions, duplications, triplications) of specific PD-related genes using a set of standard commercial probes (SALSA P051 and P052 Parkinson MLPA kits, MRC Holland, Amsterdam, The Netherlands). MLPA experiments were conducted according to the manufacturer's protocol. PCR amplification products were visualized on capillary sequencing machines (either ABI 3130XL or 3500XL) (Applied Biosystems, Foster City, CA, USA) using the </w:t>
      </w:r>
      <w:proofErr w:type="spellStart"/>
      <w:r w:rsidRPr="00785828">
        <w:rPr>
          <w:rFonts w:ascii="Arial" w:eastAsia="Tinos" w:hAnsi="Arial" w:cs="Arial"/>
          <w:sz w:val="20"/>
          <w:szCs w:val="20"/>
        </w:rPr>
        <w:t>coffalyser</w:t>
      </w:r>
      <w:proofErr w:type="spellEnd"/>
      <w:r w:rsidRPr="00785828">
        <w:rPr>
          <w:rFonts w:ascii="Arial" w:eastAsia="Tinos" w:hAnsi="Arial" w:cs="Arial"/>
          <w:sz w:val="20"/>
          <w:szCs w:val="20"/>
        </w:rPr>
        <w:t xml:space="preserve"> software (MRC Holland, Amsterdam, The Netherlands).</w:t>
      </w:r>
    </w:p>
    <w:p w:rsidR="0053498E" w:rsidRPr="004E5947" w:rsidRDefault="0053498E" w:rsidP="004E5947">
      <w:pPr>
        <w:spacing w:after="0" w:line="240" w:lineRule="auto"/>
        <w:rPr>
          <w:rFonts w:ascii="Arial" w:eastAsia="Tinos" w:hAnsi="Arial" w:cs="Arial"/>
          <w:sz w:val="20"/>
          <w:szCs w:val="20"/>
        </w:rPr>
      </w:pPr>
      <w:r w:rsidRPr="00785828">
        <w:rPr>
          <w:rFonts w:ascii="Arial" w:eastAsia="Tinos" w:hAnsi="Arial" w:cs="Arial"/>
          <w:b/>
          <w:sz w:val="20"/>
          <w:szCs w:val="20"/>
        </w:rPr>
        <w:t>Gene Panel sequencing</w:t>
      </w:r>
    </w:p>
    <w:p w:rsidR="0053498E" w:rsidRPr="00785828" w:rsidRDefault="0053498E" w:rsidP="0053498E">
      <w:pPr>
        <w:spacing w:after="0" w:line="240" w:lineRule="auto"/>
        <w:rPr>
          <w:rFonts w:ascii="Arial" w:eastAsia="Tinos" w:hAnsi="Arial" w:cs="Arial"/>
          <w:sz w:val="20"/>
          <w:szCs w:val="20"/>
        </w:rPr>
      </w:pPr>
      <w:r w:rsidRPr="00785828">
        <w:rPr>
          <w:rFonts w:ascii="Arial" w:eastAsia="Tinos" w:hAnsi="Arial" w:cs="Arial"/>
          <w:sz w:val="20"/>
          <w:szCs w:val="20"/>
        </w:rPr>
        <w:t>For Gene Panel analysis, DNA samples were sequenced on a next-generation sequencing platform with a collaboration partner (</w:t>
      </w:r>
      <w:proofErr w:type="spellStart"/>
      <w:r w:rsidRPr="00785828">
        <w:rPr>
          <w:rFonts w:ascii="Arial" w:eastAsia="Tinos" w:hAnsi="Arial" w:cs="Arial"/>
          <w:sz w:val="20"/>
          <w:szCs w:val="20"/>
        </w:rPr>
        <w:t>Centogene</w:t>
      </w:r>
      <w:proofErr w:type="spellEnd"/>
      <w:r w:rsidRPr="00785828">
        <w:rPr>
          <w:rFonts w:ascii="Arial" w:eastAsia="Tinos" w:hAnsi="Arial" w:cs="Arial"/>
          <w:sz w:val="20"/>
          <w:szCs w:val="20"/>
        </w:rPr>
        <w:t xml:space="preserve"> AG, Rostock, Germany). 29 genes previously linked to PD or dystonia (DYT) phenotypes were analyzed. The mean sequencing depth was 600x. Variants were filtered according to quality scores (cut-offs: quality score &gt;200; coverage &gt;10, allele fraction &gt;20%), further filtered for the number of times that they appeared in public databases (cut-off: &lt;0.01 in public databases and the in-house database) and finally for protein-changing variants in PD genes. Candidate variants were confirmed by Sanger sequencing. All genes included in the gene panel are disclosed in </w:t>
      </w:r>
      <w:r w:rsidRPr="00785828">
        <w:rPr>
          <w:rFonts w:ascii="Arial" w:eastAsia="Tinos" w:hAnsi="Arial" w:cs="Arial"/>
          <w:b/>
          <w:sz w:val="20"/>
          <w:szCs w:val="20"/>
        </w:rPr>
        <w:t>Table S2</w:t>
      </w:r>
      <w:r w:rsidRPr="00785828">
        <w:rPr>
          <w:rFonts w:ascii="Arial" w:eastAsia="Tinos" w:hAnsi="Arial" w:cs="Arial"/>
          <w:sz w:val="20"/>
          <w:szCs w:val="20"/>
        </w:rPr>
        <w:t>.</w:t>
      </w:r>
    </w:p>
    <w:p w:rsidR="004E5947" w:rsidRPr="00575A63" w:rsidRDefault="004E5947" w:rsidP="004E5947">
      <w:pPr>
        <w:pBdr>
          <w:top w:val="nil"/>
          <w:left w:val="nil"/>
          <w:bottom w:val="nil"/>
          <w:right w:val="nil"/>
          <w:between w:val="nil"/>
        </w:pBdr>
        <w:contextualSpacing/>
        <w:rPr>
          <w:rFonts w:ascii="Arial" w:hAnsi="Arial" w:cs="Arial"/>
          <w:b/>
          <w:color w:val="000000"/>
          <w:sz w:val="20"/>
          <w:szCs w:val="20"/>
        </w:rPr>
      </w:pPr>
      <w:r w:rsidRPr="00575A63">
        <w:rPr>
          <w:rFonts w:ascii="Arial" w:hAnsi="Arial" w:cs="Arial"/>
          <w:b/>
          <w:color w:val="000000"/>
          <w:sz w:val="20"/>
          <w:szCs w:val="20"/>
        </w:rPr>
        <w:t>RNA and D</w:t>
      </w:r>
      <w:r>
        <w:rPr>
          <w:rFonts w:ascii="Arial" w:hAnsi="Arial" w:cs="Arial"/>
          <w:b/>
          <w:color w:val="000000"/>
          <w:sz w:val="20"/>
          <w:szCs w:val="20"/>
        </w:rPr>
        <w:t>NA</w:t>
      </w:r>
      <w:r w:rsidRPr="00575A63">
        <w:rPr>
          <w:rFonts w:ascii="Arial" w:hAnsi="Arial" w:cs="Arial"/>
          <w:b/>
          <w:color w:val="000000"/>
          <w:sz w:val="20"/>
          <w:szCs w:val="20"/>
        </w:rPr>
        <w:t xml:space="preserve"> isolation from human midbrain samples</w:t>
      </w:r>
    </w:p>
    <w:p w:rsidR="004E5947" w:rsidRPr="00575A63" w:rsidRDefault="004E5947" w:rsidP="004E5947">
      <w:pPr>
        <w:pBdr>
          <w:top w:val="nil"/>
          <w:left w:val="nil"/>
          <w:bottom w:val="nil"/>
          <w:right w:val="nil"/>
          <w:between w:val="nil"/>
        </w:pBdr>
        <w:contextualSpacing/>
        <w:rPr>
          <w:rFonts w:ascii="Arial" w:hAnsi="Arial" w:cs="Arial"/>
          <w:color w:val="000000"/>
          <w:sz w:val="20"/>
          <w:szCs w:val="20"/>
        </w:rPr>
      </w:pPr>
      <w:r w:rsidRPr="00575A63">
        <w:rPr>
          <w:rFonts w:ascii="Arial" w:hAnsi="Arial" w:cs="Arial"/>
          <w:color w:val="000000"/>
          <w:sz w:val="20"/>
          <w:szCs w:val="20"/>
        </w:rPr>
        <w:t xml:space="preserve">Total RNA was isolated from human using </w:t>
      </w:r>
      <w:proofErr w:type="spellStart"/>
      <w:r w:rsidRPr="00575A63">
        <w:rPr>
          <w:rFonts w:ascii="Arial" w:hAnsi="Arial" w:cs="Arial"/>
          <w:color w:val="000000"/>
          <w:sz w:val="20"/>
          <w:szCs w:val="20"/>
        </w:rPr>
        <w:t>TRIzol</w:t>
      </w:r>
      <w:proofErr w:type="spellEnd"/>
      <w:r w:rsidRPr="00575A63">
        <w:rPr>
          <w:rFonts w:ascii="Arial" w:hAnsi="Arial" w:cs="Arial"/>
          <w:color w:val="000000"/>
          <w:sz w:val="20"/>
          <w:szCs w:val="20"/>
        </w:rPr>
        <w:t xml:space="preserve"> (Invitrogen)</w:t>
      </w:r>
      <w:r>
        <w:rPr>
          <w:rFonts w:ascii="Arial" w:hAnsi="Arial" w:cs="Arial"/>
          <w:color w:val="000000"/>
          <w:sz w:val="20"/>
          <w:szCs w:val="20"/>
        </w:rPr>
        <w:t xml:space="preserve"> following the manufacturer’s instructions</w:t>
      </w:r>
      <w:r w:rsidRPr="00575A63">
        <w:rPr>
          <w:rFonts w:ascii="Arial" w:hAnsi="Arial" w:cs="Arial"/>
          <w:color w:val="000000"/>
          <w:sz w:val="20"/>
          <w:szCs w:val="20"/>
        </w:rPr>
        <w:t xml:space="preserve">. 1 ml of </w:t>
      </w:r>
      <w:proofErr w:type="spellStart"/>
      <w:r w:rsidRPr="00575A63">
        <w:rPr>
          <w:rFonts w:ascii="Arial" w:hAnsi="Arial" w:cs="Arial"/>
          <w:color w:val="000000"/>
          <w:sz w:val="20"/>
          <w:szCs w:val="20"/>
        </w:rPr>
        <w:t>TRIzol</w:t>
      </w:r>
      <w:proofErr w:type="spellEnd"/>
      <w:r w:rsidRPr="00575A63">
        <w:rPr>
          <w:rFonts w:ascii="Arial" w:hAnsi="Arial" w:cs="Arial"/>
          <w:color w:val="000000"/>
          <w:sz w:val="20"/>
          <w:szCs w:val="20"/>
        </w:rPr>
        <w:t xml:space="preserve"> was added to each midbrain sample, followed by 100 µL of 1-Bromo-3-Chlor-Propane (Sigma Aldrich). Samples were mixed by inversion and the lysates were centrifuged at 12.000 × g for 15 min at 4°C, for organic/aqueous phase separation. The RNA-containing aqueous phase was isolated and RNA precipitation was performed with 500 µl of 2-propanol (AppliChem) and 2 µl </w:t>
      </w:r>
      <w:proofErr w:type="spellStart"/>
      <w:r w:rsidRPr="00575A63">
        <w:rPr>
          <w:rFonts w:ascii="Arial" w:hAnsi="Arial" w:cs="Arial"/>
          <w:color w:val="000000"/>
          <w:sz w:val="20"/>
          <w:szCs w:val="20"/>
        </w:rPr>
        <w:t>GlycoBlue</w:t>
      </w:r>
      <w:proofErr w:type="spellEnd"/>
      <w:r w:rsidRPr="00575A63">
        <w:rPr>
          <w:rFonts w:ascii="Arial" w:hAnsi="Arial" w:cs="Arial"/>
          <w:color w:val="000000"/>
          <w:sz w:val="20"/>
          <w:szCs w:val="20"/>
        </w:rPr>
        <w:t xml:space="preserve"> Co-precipitant (15 mg/</w:t>
      </w:r>
      <w:proofErr w:type="gramStart"/>
      <w:r w:rsidRPr="00575A63">
        <w:rPr>
          <w:rFonts w:ascii="Arial" w:hAnsi="Arial" w:cs="Arial"/>
          <w:color w:val="000000"/>
          <w:sz w:val="20"/>
          <w:szCs w:val="20"/>
        </w:rPr>
        <w:t>ml)(</w:t>
      </w:r>
      <w:proofErr w:type="spellStart"/>
      <w:proofErr w:type="gramEnd"/>
      <w:r w:rsidRPr="00575A63">
        <w:rPr>
          <w:rFonts w:ascii="Arial" w:hAnsi="Arial" w:cs="Arial"/>
          <w:color w:val="000000"/>
          <w:sz w:val="20"/>
          <w:szCs w:val="20"/>
        </w:rPr>
        <w:t>ThermoFisher</w:t>
      </w:r>
      <w:proofErr w:type="spellEnd"/>
      <w:r w:rsidRPr="00575A63">
        <w:rPr>
          <w:rFonts w:ascii="Arial" w:hAnsi="Arial" w:cs="Arial"/>
          <w:color w:val="000000"/>
          <w:sz w:val="20"/>
          <w:szCs w:val="20"/>
        </w:rPr>
        <w:t xml:space="preserve">). Next, the samples were centrifuged at 12.000 × g for 30 min at 4°C. RNA pellets were washed three times with 75% ice-cold ethanol (AppliChem). The pellets were dried for 5 min, and reconstituted with 15-20 µl of nuclease-free water (Sigma Aldrich). RNA samples were incubated at 55°C for 2 min in order to completely dissolve the RNA. Finally, </w:t>
      </w:r>
      <w:proofErr w:type="spellStart"/>
      <w:r w:rsidRPr="00575A63">
        <w:rPr>
          <w:rFonts w:ascii="Arial" w:hAnsi="Arial" w:cs="Arial"/>
          <w:color w:val="000000"/>
          <w:sz w:val="20"/>
          <w:szCs w:val="20"/>
        </w:rPr>
        <w:t>DNAse</w:t>
      </w:r>
      <w:proofErr w:type="spellEnd"/>
      <w:r w:rsidRPr="00575A63">
        <w:rPr>
          <w:rFonts w:ascii="Arial" w:hAnsi="Arial" w:cs="Arial"/>
          <w:color w:val="000000"/>
          <w:sz w:val="20"/>
          <w:szCs w:val="20"/>
        </w:rPr>
        <w:t xml:space="preserve"> treatment (Life Technologies) was performed in accordance with the manufacturer’s instructions, and the RNA samples were cleaned and concentrated with the RNA Clean &amp; Concentrator-5 KIT (</w:t>
      </w:r>
      <w:proofErr w:type="spellStart"/>
      <w:r w:rsidRPr="00575A63">
        <w:rPr>
          <w:rFonts w:ascii="Arial" w:hAnsi="Arial" w:cs="Arial"/>
          <w:color w:val="000000"/>
          <w:sz w:val="20"/>
          <w:szCs w:val="20"/>
        </w:rPr>
        <w:t>Zymo</w:t>
      </w:r>
      <w:proofErr w:type="spellEnd"/>
      <w:r w:rsidRPr="00575A63">
        <w:rPr>
          <w:rFonts w:ascii="Arial" w:hAnsi="Arial" w:cs="Arial"/>
          <w:color w:val="000000"/>
          <w:sz w:val="20"/>
          <w:szCs w:val="20"/>
        </w:rPr>
        <w:t xml:space="preserve"> Research). RNA integrity was assessed with the Agilent 6000 Nano Kit in the 2100 Bioanalyzer (Agilent).</w:t>
      </w:r>
      <w:r>
        <w:rPr>
          <w:rFonts w:ascii="Arial" w:hAnsi="Arial" w:cs="Arial"/>
          <w:color w:val="000000"/>
          <w:sz w:val="20"/>
          <w:szCs w:val="20"/>
        </w:rPr>
        <w:t xml:space="preserve"> </w:t>
      </w:r>
      <w:r w:rsidRPr="004E5947">
        <w:rPr>
          <w:rFonts w:ascii="Arial" w:hAnsi="Arial" w:cs="Arial"/>
          <w:color w:val="000000"/>
          <w:sz w:val="20"/>
          <w:szCs w:val="20"/>
        </w:rPr>
        <w:t xml:space="preserve">DNA isolation from human midbrain samples was performed with the </w:t>
      </w:r>
      <w:proofErr w:type="spellStart"/>
      <w:r w:rsidRPr="004E5947">
        <w:rPr>
          <w:rFonts w:ascii="Arial" w:hAnsi="Arial" w:cs="Arial"/>
          <w:color w:val="000000"/>
          <w:sz w:val="20"/>
          <w:szCs w:val="20"/>
        </w:rPr>
        <w:t>QIAamp</w:t>
      </w:r>
      <w:proofErr w:type="spellEnd"/>
      <w:r w:rsidRPr="004E5947">
        <w:rPr>
          <w:rFonts w:ascii="Arial" w:hAnsi="Arial" w:cs="Arial"/>
          <w:color w:val="000000"/>
          <w:sz w:val="20"/>
          <w:szCs w:val="20"/>
        </w:rPr>
        <w:t xml:space="preserve"> DNA Mini Kit following the manufacturer’s instructions.</w:t>
      </w:r>
    </w:p>
    <w:p w:rsidR="0053498E" w:rsidRPr="00785828" w:rsidRDefault="0053498E" w:rsidP="0053498E">
      <w:pPr>
        <w:spacing w:after="0" w:line="240" w:lineRule="auto"/>
        <w:rPr>
          <w:rFonts w:ascii="Arial" w:eastAsia="Tinos" w:hAnsi="Arial" w:cs="Arial"/>
          <w:b/>
          <w:sz w:val="20"/>
          <w:szCs w:val="20"/>
        </w:rPr>
      </w:pPr>
      <w:r w:rsidRPr="00785828">
        <w:rPr>
          <w:rFonts w:ascii="Arial" w:eastAsia="Tinos" w:hAnsi="Arial" w:cs="Arial"/>
          <w:b/>
          <w:sz w:val="20"/>
          <w:szCs w:val="20"/>
        </w:rPr>
        <w:t>Preparation of RNA Sequencing Libraries</w:t>
      </w:r>
    </w:p>
    <w:p w:rsidR="0053498E" w:rsidRPr="00785828" w:rsidRDefault="00B0279F" w:rsidP="0053498E">
      <w:pPr>
        <w:spacing w:after="0" w:line="240" w:lineRule="auto"/>
        <w:rPr>
          <w:rFonts w:ascii="Arial" w:eastAsia="Tinos" w:hAnsi="Arial" w:cs="Arial"/>
          <w:b/>
          <w:sz w:val="20"/>
          <w:szCs w:val="20"/>
        </w:rPr>
      </w:pPr>
      <w:r w:rsidRPr="00575A63">
        <w:rPr>
          <w:rFonts w:ascii="Arial" w:hAnsi="Arial" w:cs="Arial"/>
          <w:color w:val="000000"/>
          <w:sz w:val="20"/>
          <w:szCs w:val="20"/>
        </w:rPr>
        <w:t xml:space="preserve">The same RNA source was used for both small and total RNA sequencing experiments. </w:t>
      </w:r>
      <w:r w:rsidR="0053498E" w:rsidRPr="00785828">
        <w:rPr>
          <w:rFonts w:ascii="Arial" w:eastAsia="Tinos" w:hAnsi="Arial" w:cs="Arial"/>
          <w:sz w:val="20"/>
          <w:szCs w:val="20"/>
        </w:rPr>
        <w:t xml:space="preserve">Small RNA libraries were prepared using the </w:t>
      </w:r>
      <w:proofErr w:type="spellStart"/>
      <w:r w:rsidR="0053498E" w:rsidRPr="00785828">
        <w:rPr>
          <w:rFonts w:ascii="Arial" w:eastAsia="Tinos" w:hAnsi="Arial" w:cs="Arial"/>
          <w:sz w:val="20"/>
          <w:szCs w:val="20"/>
        </w:rPr>
        <w:t>TruSeq</w:t>
      </w:r>
      <w:proofErr w:type="spellEnd"/>
      <w:r w:rsidR="0053498E" w:rsidRPr="00785828">
        <w:rPr>
          <w:rFonts w:ascii="Arial" w:eastAsia="Tinos" w:hAnsi="Arial" w:cs="Arial"/>
          <w:sz w:val="20"/>
          <w:szCs w:val="20"/>
        </w:rPr>
        <w:t xml:space="preserve"> </w:t>
      </w:r>
      <w:proofErr w:type="spellStart"/>
      <w:r w:rsidR="0053498E" w:rsidRPr="00785828">
        <w:rPr>
          <w:rFonts w:ascii="Arial" w:eastAsia="Tinos" w:hAnsi="Arial" w:cs="Arial"/>
          <w:sz w:val="20"/>
          <w:szCs w:val="20"/>
        </w:rPr>
        <w:t>SmallRNA</w:t>
      </w:r>
      <w:proofErr w:type="spellEnd"/>
      <w:r w:rsidR="0053498E" w:rsidRPr="00785828">
        <w:rPr>
          <w:rFonts w:ascii="Arial" w:eastAsia="Tinos" w:hAnsi="Arial" w:cs="Arial"/>
          <w:sz w:val="20"/>
          <w:szCs w:val="20"/>
        </w:rPr>
        <w:t xml:space="preserve"> Library Prep Kit (Illumina) with minor modifications: 600 ng total RNA were used as starting material for library preparation. In order to prevent the formation of adapter dimers (by 5΄ and 3΄ self-ligation) and consequent amplification of these dimers, the </w:t>
      </w:r>
      <w:proofErr w:type="spellStart"/>
      <w:r w:rsidR="0053498E" w:rsidRPr="00785828">
        <w:rPr>
          <w:rFonts w:ascii="Arial" w:eastAsia="Tinos" w:hAnsi="Arial" w:cs="Arial"/>
          <w:sz w:val="20"/>
          <w:szCs w:val="20"/>
        </w:rPr>
        <w:t>CleanTag</w:t>
      </w:r>
      <w:proofErr w:type="spellEnd"/>
      <w:r w:rsidR="0053498E" w:rsidRPr="00785828">
        <w:rPr>
          <w:rFonts w:ascii="Arial" w:eastAsia="Tinos" w:hAnsi="Arial" w:cs="Arial"/>
          <w:sz w:val="20"/>
          <w:szCs w:val="20"/>
        </w:rPr>
        <w:t xml:space="preserve"> Library Preparation for Next-Generation Sequencing Kit (</w:t>
      </w:r>
      <w:proofErr w:type="spellStart"/>
      <w:r w:rsidR="0053498E" w:rsidRPr="00785828">
        <w:rPr>
          <w:rFonts w:ascii="Arial" w:eastAsia="Tinos" w:hAnsi="Arial" w:cs="Arial"/>
          <w:sz w:val="20"/>
          <w:szCs w:val="20"/>
        </w:rPr>
        <w:t>TriLink</w:t>
      </w:r>
      <w:proofErr w:type="spellEnd"/>
      <w:r w:rsidR="0053498E" w:rsidRPr="00785828">
        <w:rPr>
          <w:rFonts w:ascii="Arial" w:eastAsia="Tinos" w:hAnsi="Arial" w:cs="Arial"/>
          <w:sz w:val="20"/>
          <w:szCs w:val="20"/>
        </w:rPr>
        <w:t xml:space="preserve">, San Diego, CA, USA) was employed. Total RNA libraries were prepared using a modified version of the </w:t>
      </w:r>
      <w:proofErr w:type="spellStart"/>
      <w:r w:rsidR="0053498E" w:rsidRPr="00785828">
        <w:rPr>
          <w:rFonts w:ascii="Arial" w:eastAsia="Tinos" w:hAnsi="Arial" w:cs="Arial"/>
          <w:sz w:val="20"/>
          <w:szCs w:val="20"/>
        </w:rPr>
        <w:t>TruSeq</w:t>
      </w:r>
      <w:proofErr w:type="spellEnd"/>
      <w:r w:rsidR="0053498E" w:rsidRPr="00785828">
        <w:rPr>
          <w:rFonts w:ascii="Arial" w:eastAsia="Tinos" w:hAnsi="Arial" w:cs="Arial"/>
          <w:sz w:val="20"/>
          <w:szCs w:val="20"/>
        </w:rPr>
        <w:t xml:space="preserve"> Stranded Total RNA protocol (Illumina), a strand-specific, massive-parallel cDNA sequencing protocol. 200 ng of total RNA were used as a start material. A ribosomal RNA (rRNA) depletion protocol (</w:t>
      </w:r>
      <w:proofErr w:type="spellStart"/>
      <w:r w:rsidR="0053498E" w:rsidRPr="00785828">
        <w:rPr>
          <w:rFonts w:ascii="Arial" w:eastAsia="Tinos" w:hAnsi="Arial" w:cs="Arial"/>
          <w:sz w:val="20"/>
          <w:szCs w:val="20"/>
        </w:rPr>
        <w:t>RiboMinus</w:t>
      </w:r>
      <w:proofErr w:type="spellEnd"/>
      <w:r w:rsidR="0053498E" w:rsidRPr="00785828">
        <w:rPr>
          <w:rFonts w:ascii="Arial" w:eastAsia="Tinos" w:hAnsi="Arial" w:cs="Arial"/>
          <w:sz w:val="20"/>
          <w:szCs w:val="20"/>
        </w:rPr>
        <w:t xml:space="preserve">™, </w:t>
      </w:r>
      <w:proofErr w:type="spellStart"/>
      <w:r w:rsidR="0053498E" w:rsidRPr="00785828">
        <w:rPr>
          <w:rFonts w:ascii="Arial" w:eastAsia="Tinos" w:hAnsi="Arial" w:cs="Arial"/>
          <w:sz w:val="20"/>
          <w:szCs w:val="20"/>
        </w:rPr>
        <w:t>ThermoFisher</w:t>
      </w:r>
      <w:proofErr w:type="spellEnd"/>
      <w:r w:rsidR="0053498E" w:rsidRPr="00785828">
        <w:rPr>
          <w:rFonts w:ascii="Arial" w:eastAsia="Tinos" w:hAnsi="Arial" w:cs="Arial"/>
          <w:sz w:val="20"/>
          <w:szCs w:val="20"/>
        </w:rPr>
        <w:t xml:space="preserve">, Waltham, MA, USA) was performed in order to maintain rRNA content under 5% in the samples. Next, an adaptor ligation step is performed, followed by PCR amplification of the reads. A reduced number of PCR cycles was employed in order to avoid PCR duplication artifacts, as well as primer dimers in the final libraries. The </w:t>
      </w:r>
      <w:r w:rsidR="0053498E" w:rsidRPr="00785828">
        <w:rPr>
          <w:rFonts w:ascii="Arial" w:eastAsia="Tinos" w:hAnsi="Arial" w:cs="Arial"/>
          <w:sz w:val="20"/>
          <w:szCs w:val="20"/>
        </w:rPr>
        <w:lastRenderedPageBreak/>
        <w:t xml:space="preserve">standard sensitivity RNA Analysis Kit was used for Fragment Analyzer runs. For accurate quantitation of small RNA libraries, a library pool was quantified with the </w:t>
      </w:r>
      <w:proofErr w:type="spellStart"/>
      <w:r w:rsidR="0053498E" w:rsidRPr="00785828">
        <w:rPr>
          <w:rFonts w:ascii="Arial" w:eastAsia="Tinos" w:hAnsi="Arial" w:cs="Arial"/>
          <w:sz w:val="20"/>
          <w:szCs w:val="20"/>
        </w:rPr>
        <w:t>QuantiFluor</w:t>
      </w:r>
      <w:proofErr w:type="spellEnd"/>
      <w:r w:rsidR="0053498E" w:rsidRPr="00785828">
        <w:rPr>
          <w:rFonts w:ascii="Arial" w:eastAsia="Tinos" w:hAnsi="Arial" w:cs="Arial"/>
          <w:sz w:val="20"/>
          <w:szCs w:val="20"/>
        </w:rPr>
        <w:t xml:space="preserve"> dsDNA System (Promega). cDNA library sizes were determined with the dsDNA 905 Kit (Agilent).</w:t>
      </w:r>
    </w:p>
    <w:p w:rsidR="00785828" w:rsidRPr="00575A63" w:rsidRDefault="00785828" w:rsidP="00785828">
      <w:pPr>
        <w:pBdr>
          <w:top w:val="nil"/>
          <w:left w:val="nil"/>
          <w:bottom w:val="nil"/>
          <w:right w:val="nil"/>
          <w:between w:val="nil"/>
        </w:pBdr>
        <w:contextualSpacing/>
        <w:rPr>
          <w:rFonts w:ascii="Arial" w:hAnsi="Arial" w:cs="Arial"/>
          <w:b/>
          <w:color w:val="000000"/>
          <w:sz w:val="20"/>
          <w:szCs w:val="20"/>
        </w:rPr>
      </w:pPr>
      <w:r w:rsidRPr="00575A63">
        <w:rPr>
          <w:rFonts w:ascii="Arial" w:hAnsi="Arial" w:cs="Arial"/>
          <w:b/>
          <w:color w:val="000000"/>
          <w:sz w:val="20"/>
          <w:szCs w:val="20"/>
        </w:rPr>
        <w:t>RNA sequencing data processing and mapping</w:t>
      </w:r>
    </w:p>
    <w:p w:rsidR="00785828" w:rsidRDefault="0052708E" w:rsidP="0053498E">
      <w:pPr>
        <w:spacing w:after="0" w:line="240" w:lineRule="auto"/>
        <w:rPr>
          <w:rFonts w:ascii="Arial" w:eastAsia="Tinos" w:hAnsi="Arial" w:cs="Arial"/>
          <w:b/>
          <w:sz w:val="20"/>
          <w:szCs w:val="20"/>
        </w:rPr>
      </w:pPr>
      <w:r w:rsidRPr="00575A63">
        <w:rPr>
          <w:rFonts w:ascii="Arial" w:hAnsi="Arial" w:cs="Arial"/>
          <w:color w:val="000000"/>
          <w:sz w:val="20"/>
          <w:szCs w:val="20"/>
        </w:rPr>
        <w:t xml:space="preserve">After small and total RNA sequencing, the data was processed with a customized in-house pipeline </w:t>
      </w:r>
      <w:r w:rsidRPr="00575A63">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ULJmJGo8","properties":{"formattedCitation":"(1)","plainCitation":"(1)","noteIndex":0},"citationItems":[{"id":341,"uris":["http://zotero.org/users/5867446/items/KKNIEINS"],"uri":["http://zotero.org/users/5867446/items/KKNIEINS"],"itemData":{"id":341,"type":"book","publisher":"GitHub","title":"GJSrMap: The smallRNA mapping pipeline","URL":"https://github.com/gauravj49/gjsrmap","author":[{"family":"Jain","given":"Gaurav"}],"issued":{"date-parts":[["2018"]]}}}],"schema":"https://github.com/citation-style-language/schema/raw/master/csl-citation.json"} </w:instrText>
      </w:r>
      <w:r w:rsidRPr="00575A63">
        <w:rPr>
          <w:rFonts w:ascii="Arial" w:hAnsi="Arial" w:cs="Arial"/>
          <w:color w:val="000000"/>
          <w:sz w:val="20"/>
          <w:szCs w:val="20"/>
        </w:rPr>
        <w:fldChar w:fldCharType="separate"/>
      </w:r>
      <w:r w:rsidRPr="0052708E">
        <w:rPr>
          <w:rFonts w:ascii="Arial" w:hAnsi="Arial" w:cs="Arial"/>
          <w:sz w:val="20"/>
        </w:rPr>
        <w:t>(1)</w:t>
      </w:r>
      <w:r w:rsidRPr="00575A63">
        <w:rPr>
          <w:rFonts w:ascii="Arial" w:hAnsi="Arial" w:cs="Arial"/>
          <w:color w:val="000000"/>
          <w:sz w:val="20"/>
          <w:szCs w:val="20"/>
        </w:rPr>
        <w:fldChar w:fldCharType="end"/>
      </w:r>
      <w:r>
        <w:rPr>
          <w:rFonts w:ascii="Arial" w:hAnsi="Arial" w:cs="Arial"/>
          <w:color w:val="000000"/>
          <w:sz w:val="20"/>
          <w:szCs w:val="20"/>
        </w:rPr>
        <w:t xml:space="preserve">. </w:t>
      </w:r>
      <w:r w:rsidRPr="00575A63">
        <w:rPr>
          <w:rFonts w:ascii="Arial" w:hAnsi="Arial" w:cs="Arial"/>
          <w:color w:val="000000"/>
          <w:sz w:val="20"/>
          <w:szCs w:val="20"/>
        </w:rPr>
        <w:t xml:space="preserve">Adapter trimming and demultiplexing were then performed alongside base calling. For the small RNA sequencing data, the 3' adapters were trimmed and reads with the minimum length of 16 nucleotides were filtered out with the </w:t>
      </w:r>
      <w:proofErr w:type="spellStart"/>
      <w:r w:rsidRPr="00575A63">
        <w:rPr>
          <w:rFonts w:ascii="Arial" w:hAnsi="Arial" w:cs="Arial"/>
          <w:color w:val="000000"/>
          <w:sz w:val="20"/>
          <w:szCs w:val="20"/>
        </w:rPr>
        <w:t>Cutadapt</w:t>
      </w:r>
      <w:proofErr w:type="spellEnd"/>
      <w:r w:rsidRPr="00575A63">
        <w:rPr>
          <w:rFonts w:ascii="Arial" w:hAnsi="Arial" w:cs="Arial"/>
          <w:color w:val="000000"/>
          <w:sz w:val="20"/>
          <w:szCs w:val="20"/>
        </w:rPr>
        <w:t xml:space="preserve"> pipeline </w:t>
      </w:r>
      <w:r w:rsidRPr="00575A63">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TxemrEXY","properties":{"formattedCitation":"(2)","plainCitation":"(2)","noteIndex":0},"citationItems":[{"id":340,"uris":["http://zotero.org/users/5867446/items/X5FLQ4JL"],"uri":["http://zotero.org/users/5867446/items/X5FLQ4JL"],"itemData":{"id":340,"type":"article-journal","container-title":"EMBnet.journal","DOI":"10.14806/ej.17.1.200","ISSN":"2226-6089","issue":"1","journalAbbreviation":"EMBnet j.","page":"10","source":"DOI.org (Crossref)","title":"Cutadapt removes adapter sequences from high-throughput sequencing reads","volume":"17","author":[{"family":"Martin","given":"Marcel"}],"issued":{"date-parts":[["2011",5,2]]}}}],"schema":"https://github.com/citation-style-language/schema/raw/master/csl-citation.json"} </w:instrText>
      </w:r>
      <w:r w:rsidRPr="00575A63">
        <w:rPr>
          <w:rFonts w:ascii="Arial" w:hAnsi="Arial" w:cs="Arial"/>
          <w:color w:val="000000"/>
          <w:sz w:val="20"/>
          <w:szCs w:val="20"/>
        </w:rPr>
        <w:fldChar w:fldCharType="separate"/>
      </w:r>
      <w:r w:rsidRPr="0052708E">
        <w:rPr>
          <w:rFonts w:ascii="Arial" w:hAnsi="Arial" w:cs="Arial"/>
          <w:sz w:val="20"/>
        </w:rPr>
        <w:t>(2)</w:t>
      </w:r>
      <w:r w:rsidRPr="00575A63">
        <w:rPr>
          <w:rFonts w:ascii="Arial" w:hAnsi="Arial" w:cs="Arial"/>
          <w:color w:val="000000"/>
          <w:sz w:val="20"/>
          <w:szCs w:val="20"/>
        </w:rPr>
        <w:fldChar w:fldCharType="end"/>
      </w:r>
      <w:r w:rsidRPr="00575A63">
        <w:rPr>
          <w:rFonts w:ascii="Arial" w:hAnsi="Arial" w:cs="Arial"/>
          <w:color w:val="000000"/>
          <w:sz w:val="20"/>
          <w:szCs w:val="20"/>
        </w:rPr>
        <w:t>. The reads were then mapped to the reference genome for miRNAs/</w:t>
      </w:r>
      <w:proofErr w:type="spellStart"/>
      <w:r w:rsidRPr="00575A63">
        <w:rPr>
          <w:rFonts w:ascii="Arial" w:hAnsi="Arial" w:cs="Arial"/>
          <w:color w:val="000000"/>
          <w:sz w:val="20"/>
          <w:szCs w:val="20"/>
        </w:rPr>
        <w:t>piRNAs</w:t>
      </w:r>
      <w:proofErr w:type="spellEnd"/>
      <w:r w:rsidRPr="00575A63">
        <w:rPr>
          <w:rFonts w:ascii="Arial" w:hAnsi="Arial" w:cs="Arial"/>
          <w:color w:val="000000"/>
          <w:sz w:val="20"/>
          <w:szCs w:val="20"/>
        </w:rPr>
        <w:t xml:space="preserve"> known sequences, followed by other small non-coding RNAs. The remaining unmapped reads were mapped to the human genome. Bowtie version 1.1.2 </w:t>
      </w:r>
      <w:r w:rsidRPr="00575A63">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RzuAhwCr","properties":{"formattedCitation":"(3)","plainCitation":"(3)","noteIndex":0},"citationItems":[{"id":339,"uris":["http://zotero.org/users/5867446/items/VWU8NWGD"],"uri":["http://zotero.org/users/5867446/items/VWU8NWGD"],"itemData":{"id":339,"type":"article-journal","container-title":"Genome Biology","DOI":"10.1186/gb-2009-10-3-r25","ISSN":"1465-6906","issue":"3","journalAbbreviation":"Genome Biol","language":"en","page":"R25","source":"DOI.org (Crossref)","title":"Ultrafast and memory-efficient alignment of short DNA sequences to the human genome","volume":"10","author":[{"family":"Langmead","given":"Ben"},{"family":"Trapnell","given":"Cole"},{"family":"Pop","given":"Mihai"},{"family":"Salzberg","given":"Steven L"}],"issued":{"date-parts":[["2009"]]}}}],"schema":"https://github.com/citation-style-language/schema/raw/master/csl-citation.json"} </w:instrText>
      </w:r>
      <w:r w:rsidRPr="00575A63">
        <w:rPr>
          <w:rFonts w:ascii="Arial" w:hAnsi="Arial" w:cs="Arial"/>
          <w:color w:val="000000"/>
          <w:sz w:val="20"/>
          <w:szCs w:val="20"/>
        </w:rPr>
        <w:fldChar w:fldCharType="separate"/>
      </w:r>
      <w:r w:rsidRPr="0052708E">
        <w:rPr>
          <w:rFonts w:ascii="Arial" w:hAnsi="Arial" w:cs="Arial"/>
          <w:sz w:val="20"/>
        </w:rPr>
        <w:t>(3)</w:t>
      </w:r>
      <w:r w:rsidRPr="00575A63">
        <w:rPr>
          <w:rFonts w:ascii="Arial" w:hAnsi="Arial" w:cs="Arial"/>
          <w:color w:val="000000"/>
          <w:sz w:val="20"/>
          <w:szCs w:val="20"/>
        </w:rPr>
        <w:fldChar w:fldCharType="end"/>
      </w:r>
      <w:r w:rsidRPr="00575A63">
        <w:rPr>
          <w:rFonts w:ascii="Arial" w:hAnsi="Arial" w:cs="Arial"/>
          <w:color w:val="000000"/>
          <w:sz w:val="20"/>
          <w:szCs w:val="20"/>
        </w:rPr>
        <w:t xml:space="preserve"> was employed for all mapping steps, and no mismatches were allowed for reads ≤ 32 b. For reads between 33 b and 50 b, one mismatch was tolerated. For total RNA sequencing data, RNA reads were mapped to the human transcriptome using RNA-STAR version STAR_2.5.2b </w:t>
      </w:r>
      <w:r w:rsidRPr="00575A63">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54TF6U5p","properties":{"formattedCitation":"(4)","plainCitation":"(4)","noteIndex":0},"citationItems":[{"id":738,"uris":["http://zotero.org/users/5867446/items/7MJ2ZVC3"],"uri":["http://zotero.org/users/5867446/items/7MJ2ZVC3"],"itemData":{"id":738,"type":"article-journal","container-title":"Bioinformatics","DOI":"10.1093/bioinformatics/bts635","ISSN":"1460-2059, 1367-4803","issue":"1","language":"en","page":"15-21","source":"DOI.org (Crossref)","title":"STAR: ultrafast universal RNA-seq aligner","title-short":"STAR","volume":"29","author":[{"family":"Dobin","given":"Alexander"},{"family":"Davis","given":"Carrie A."},{"family":"Schlesinger","given":"Felix"},{"family":"Drenkow","given":"Jorg"},{"family":"Zaleski","given":"Chris"},{"family":"Jha","given":"Sonali"},{"family":"Batut","given":"Philippe"},{"family":"Chaisson","given":"Mark"},{"family":"Gingeras","given":"Thomas R."}],"issued":{"date-parts":[["2013",1]]}}}],"schema":"https://github.com/citation-style-language/schema/raw/master/csl-citation.json"} </w:instrText>
      </w:r>
      <w:r w:rsidRPr="00575A63">
        <w:rPr>
          <w:rFonts w:ascii="Arial" w:hAnsi="Arial" w:cs="Arial"/>
          <w:color w:val="000000"/>
          <w:sz w:val="20"/>
          <w:szCs w:val="20"/>
        </w:rPr>
        <w:fldChar w:fldCharType="separate"/>
      </w:r>
      <w:r w:rsidRPr="0052708E">
        <w:rPr>
          <w:rFonts w:ascii="Arial" w:hAnsi="Arial" w:cs="Arial"/>
          <w:sz w:val="20"/>
        </w:rPr>
        <w:t>(4)</w:t>
      </w:r>
      <w:r w:rsidRPr="00575A63">
        <w:rPr>
          <w:rFonts w:ascii="Arial" w:hAnsi="Arial" w:cs="Arial"/>
          <w:color w:val="000000"/>
          <w:sz w:val="20"/>
          <w:szCs w:val="20"/>
        </w:rPr>
        <w:fldChar w:fldCharType="end"/>
      </w:r>
      <w:r w:rsidRPr="00575A63">
        <w:rPr>
          <w:rFonts w:ascii="Arial" w:hAnsi="Arial" w:cs="Arial"/>
          <w:color w:val="000000"/>
          <w:sz w:val="20"/>
          <w:szCs w:val="20"/>
        </w:rPr>
        <w:t xml:space="preserve"> for all mapping steps.</w:t>
      </w:r>
      <w:r>
        <w:rPr>
          <w:rFonts w:ascii="Arial" w:hAnsi="Arial" w:cs="Arial"/>
          <w:color w:val="000000"/>
          <w:sz w:val="20"/>
          <w:szCs w:val="20"/>
        </w:rPr>
        <w:t xml:space="preserve"> </w:t>
      </w:r>
      <w:r w:rsidRPr="00575A63">
        <w:rPr>
          <w:rFonts w:ascii="Arial" w:hAnsi="Arial" w:cs="Arial"/>
          <w:color w:val="000000"/>
          <w:sz w:val="20"/>
          <w:szCs w:val="20"/>
        </w:rPr>
        <w:t xml:space="preserve">The reads were mapped in the non-splice-junction-aware mode and no mismatches for the reads &lt;19 b </w:t>
      </w:r>
      <w:proofErr w:type="gramStart"/>
      <w:r w:rsidRPr="00575A63">
        <w:rPr>
          <w:rFonts w:ascii="Arial" w:hAnsi="Arial" w:cs="Arial"/>
          <w:color w:val="000000"/>
          <w:sz w:val="20"/>
          <w:szCs w:val="20"/>
        </w:rPr>
        <w:t>were</w:t>
      </w:r>
      <w:proofErr w:type="gramEnd"/>
      <w:r w:rsidRPr="00575A63">
        <w:rPr>
          <w:rFonts w:ascii="Arial" w:hAnsi="Arial" w:cs="Arial"/>
          <w:color w:val="000000"/>
          <w:sz w:val="20"/>
          <w:szCs w:val="20"/>
        </w:rPr>
        <w:t xml:space="preserve"> allowed. For reads between 20b and 39b, one mismatch was allowed, and for reads between 40b and 59b, two mismatches were tolerated. Besides the parameters depicted here, all other parameters were set as default in RNA-STAR. Aligned reads overlapping exons (for each gene) was counted with the intersection-non-empty mode of the </w:t>
      </w:r>
      <w:proofErr w:type="spellStart"/>
      <w:r w:rsidRPr="00575A63">
        <w:rPr>
          <w:rFonts w:ascii="Arial" w:hAnsi="Arial" w:cs="Arial"/>
          <w:color w:val="000000"/>
          <w:sz w:val="20"/>
          <w:szCs w:val="20"/>
        </w:rPr>
        <w:t>htseq</w:t>
      </w:r>
      <w:proofErr w:type="spellEnd"/>
      <w:r w:rsidRPr="00575A63">
        <w:rPr>
          <w:rFonts w:ascii="Arial" w:hAnsi="Arial" w:cs="Arial"/>
          <w:color w:val="000000"/>
          <w:sz w:val="20"/>
          <w:szCs w:val="20"/>
        </w:rPr>
        <w:t>-count script (</w:t>
      </w:r>
      <w:proofErr w:type="spellStart"/>
      <w:r w:rsidRPr="00575A63">
        <w:rPr>
          <w:rFonts w:ascii="Arial" w:hAnsi="Arial" w:cs="Arial"/>
          <w:color w:val="000000"/>
          <w:sz w:val="20"/>
          <w:szCs w:val="20"/>
        </w:rPr>
        <w:t>HTSeq</w:t>
      </w:r>
      <w:proofErr w:type="spellEnd"/>
      <w:r w:rsidRPr="00575A63">
        <w:rPr>
          <w:rFonts w:ascii="Arial" w:hAnsi="Arial" w:cs="Arial"/>
          <w:color w:val="000000"/>
          <w:sz w:val="20"/>
          <w:szCs w:val="20"/>
        </w:rPr>
        <w:t xml:space="preserve"> package version 0.9.1)</w:t>
      </w:r>
      <w:r w:rsidRPr="00575A63">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wEqaimn7","properties":{"formattedCitation":"(5)","plainCitation":"(5)","noteIndex":0},"citationItems":[{"id":737,"uris":["http://zotero.org/users/5867446/items/PLA6K74V"],"uri":["http://zotero.org/users/5867446/items/PLA6K74V"],"itemData":{"id":737,"type":"article-journal","container-title":"Bioinformatics","DOI":"10.1093/bioinformatics/btu638","ISSN":"1367-4803, 1460-2059","issue":"2","journalAbbreviation":"Bioinformatics","language":"en","page":"166-169","source":"DOI.org (Crossref)","title":"HTSeq--a Python framework to work with high-throughput sequencing data","volume":"31","author":[{"family":"Anders","given":"S."},{"family":"Pyl","given":"P. T."},{"family":"Huber","given":"W."}],"issued":{"date-parts":[["2015",1,15]]}}}],"schema":"https://github.com/citation-style-language/schema/raw/master/csl-citation.json"} </w:instrText>
      </w:r>
      <w:r w:rsidRPr="00575A63">
        <w:rPr>
          <w:rFonts w:ascii="Arial" w:hAnsi="Arial" w:cs="Arial"/>
          <w:color w:val="000000"/>
          <w:sz w:val="20"/>
          <w:szCs w:val="20"/>
        </w:rPr>
        <w:fldChar w:fldCharType="separate"/>
      </w:r>
      <w:r w:rsidRPr="0052708E">
        <w:rPr>
          <w:rFonts w:ascii="Arial" w:hAnsi="Arial" w:cs="Arial"/>
          <w:sz w:val="20"/>
        </w:rPr>
        <w:t>(5)</w:t>
      </w:r>
      <w:r w:rsidRPr="00575A63">
        <w:rPr>
          <w:rFonts w:ascii="Arial" w:hAnsi="Arial" w:cs="Arial"/>
          <w:color w:val="000000"/>
          <w:sz w:val="20"/>
          <w:szCs w:val="20"/>
        </w:rPr>
        <w:fldChar w:fldCharType="end"/>
      </w:r>
      <w:r w:rsidRPr="00575A63">
        <w:rPr>
          <w:rFonts w:ascii="Arial" w:hAnsi="Arial" w:cs="Arial"/>
          <w:color w:val="000000"/>
          <w:sz w:val="20"/>
          <w:szCs w:val="20"/>
        </w:rPr>
        <w:t>.</w:t>
      </w:r>
    </w:p>
    <w:p w:rsidR="0053498E" w:rsidRDefault="0053498E" w:rsidP="0053498E">
      <w:pPr>
        <w:spacing w:after="0" w:line="240" w:lineRule="auto"/>
        <w:rPr>
          <w:rFonts w:ascii="Arial" w:eastAsia="Tinos" w:hAnsi="Arial" w:cs="Arial"/>
          <w:b/>
          <w:sz w:val="20"/>
          <w:szCs w:val="20"/>
        </w:rPr>
      </w:pPr>
      <w:r w:rsidRPr="00785828">
        <w:rPr>
          <w:rFonts w:ascii="Arial" w:eastAsia="Tinos" w:hAnsi="Arial" w:cs="Arial"/>
          <w:b/>
          <w:sz w:val="20"/>
          <w:szCs w:val="20"/>
        </w:rPr>
        <w:t>Preparation of</w:t>
      </w:r>
      <w:r w:rsidR="00D32265">
        <w:rPr>
          <w:rFonts w:ascii="Arial" w:eastAsia="Tinos" w:hAnsi="Arial" w:cs="Arial"/>
          <w:b/>
          <w:sz w:val="20"/>
          <w:szCs w:val="20"/>
        </w:rPr>
        <w:t xml:space="preserve"> p</w:t>
      </w:r>
      <w:r w:rsidRPr="00785828">
        <w:rPr>
          <w:rFonts w:ascii="Arial" w:eastAsia="Tinos" w:hAnsi="Arial" w:cs="Arial"/>
          <w:b/>
          <w:sz w:val="20"/>
          <w:szCs w:val="20"/>
        </w:rPr>
        <w:t xml:space="preserve">eptide </w:t>
      </w:r>
      <w:r w:rsidR="00D32265">
        <w:rPr>
          <w:rFonts w:ascii="Arial" w:eastAsia="Tinos" w:hAnsi="Arial" w:cs="Arial"/>
          <w:b/>
          <w:sz w:val="20"/>
          <w:szCs w:val="20"/>
        </w:rPr>
        <w:t>l</w:t>
      </w:r>
      <w:r w:rsidRPr="00785828">
        <w:rPr>
          <w:rFonts w:ascii="Arial" w:eastAsia="Tinos" w:hAnsi="Arial" w:cs="Arial"/>
          <w:b/>
          <w:sz w:val="20"/>
          <w:szCs w:val="20"/>
        </w:rPr>
        <w:t>ibraries</w:t>
      </w:r>
      <w:r w:rsidR="006C1D6F">
        <w:rPr>
          <w:rFonts w:ascii="Arial" w:eastAsia="Tinos" w:hAnsi="Arial" w:cs="Arial"/>
          <w:b/>
          <w:sz w:val="20"/>
          <w:szCs w:val="20"/>
        </w:rPr>
        <w:t>,</w:t>
      </w:r>
      <w:r w:rsidRPr="00785828">
        <w:rPr>
          <w:rFonts w:ascii="Arial" w:eastAsia="Tinos" w:hAnsi="Arial" w:cs="Arial"/>
          <w:b/>
          <w:sz w:val="20"/>
          <w:szCs w:val="20"/>
        </w:rPr>
        <w:t xml:space="preserve"> SWATH-MS Run Settings</w:t>
      </w:r>
      <w:r w:rsidR="006C1D6F">
        <w:rPr>
          <w:rFonts w:ascii="Arial" w:eastAsia="Tinos" w:hAnsi="Arial" w:cs="Arial"/>
          <w:b/>
          <w:sz w:val="20"/>
          <w:szCs w:val="20"/>
        </w:rPr>
        <w:t xml:space="preserve"> and data mapping</w:t>
      </w:r>
    </w:p>
    <w:p w:rsidR="004E5947" w:rsidRDefault="00D32265" w:rsidP="004E5947">
      <w:pPr>
        <w:spacing w:after="0" w:line="240" w:lineRule="auto"/>
        <w:rPr>
          <w:rFonts w:ascii="Arial" w:eastAsia="Tinos" w:hAnsi="Arial" w:cs="Arial"/>
          <w:sz w:val="20"/>
          <w:szCs w:val="20"/>
        </w:rPr>
      </w:pPr>
      <w:r w:rsidRPr="00575A63">
        <w:rPr>
          <w:rFonts w:ascii="Arial" w:hAnsi="Arial" w:cs="Arial"/>
          <w:color w:val="000000"/>
          <w:sz w:val="20"/>
          <w:szCs w:val="20"/>
        </w:rPr>
        <w:t>For proteomics experiments, human midbrain tissue lysis was performed with Urea/Thiourea/Chaps lysis buffer. Samples were homogenized and sonicated for 30s intervals and amplitude of 40%.</w:t>
      </w:r>
      <w:r>
        <w:rPr>
          <w:rFonts w:ascii="Arial" w:hAnsi="Arial" w:cs="Arial"/>
          <w:color w:val="000000"/>
          <w:sz w:val="20"/>
          <w:szCs w:val="20"/>
        </w:rPr>
        <w:t xml:space="preserve"> </w:t>
      </w:r>
      <w:r w:rsidRPr="00575A63">
        <w:rPr>
          <w:rFonts w:ascii="Arial" w:hAnsi="Arial" w:cs="Arial"/>
          <w:color w:val="000000"/>
          <w:sz w:val="20"/>
          <w:szCs w:val="20"/>
        </w:rPr>
        <w:t>Protein quantification was performed with the modified-Bradford Roti-</w:t>
      </w:r>
      <w:proofErr w:type="spellStart"/>
      <w:r w:rsidRPr="00575A63">
        <w:rPr>
          <w:rFonts w:ascii="Arial" w:hAnsi="Arial" w:cs="Arial"/>
          <w:color w:val="000000"/>
          <w:sz w:val="20"/>
          <w:szCs w:val="20"/>
        </w:rPr>
        <w:t>Nanoquant</w:t>
      </w:r>
      <w:proofErr w:type="spellEnd"/>
      <w:r w:rsidRPr="00575A63">
        <w:rPr>
          <w:rFonts w:ascii="Arial" w:hAnsi="Arial" w:cs="Arial"/>
          <w:color w:val="000000"/>
          <w:sz w:val="20"/>
          <w:szCs w:val="20"/>
        </w:rPr>
        <w:t xml:space="preserve"> Kit (Carl-Roth).</w:t>
      </w:r>
      <w:r>
        <w:rPr>
          <w:rFonts w:ascii="Arial" w:hAnsi="Arial" w:cs="Arial"/>
          <w:color w:val="000000"/>
          <w:sz w:val="20"/>
          <w:szCs w:val="20"/>
        </w:rPr>
        <w:t xml:space="preserve"> </w:t>
      </w:r>
      <w:r w:rsidR="0053498E" w:rsidRPr="00785828">
        <w:rPr>
          <w:rFonts w:ascii="Arial" w:eastAsia="Tinos" w:hAnsi="Arial" w:cs="Arial"/>
          <w:sz w:val="20"/>
          <w:szCs w:val="20"/>
        </w:rPr>
        <w:t>For the generation of peptide libraries, equal aliquots from each sample were pooled to a total of 80 µg and further separated into eight fractions using a reversed-phase spin column (Pierce High pH Reversed-Phase Peptide Fractionation Kit) (</w:t>
      </w:r>
      <w:proofErr w:type="spellStart"/>
      <w:r w:rsidR="0053498E" w:rsidRPr="00785828">
        <w:rPr>
          <w:rFonts w:ascii="Arial" w:eastAsia="Tinos" w:hAnsi="Arial" w:cs="Arial"/>
          <w:sz w:val="20"/>
          <w:szCs w:val="20"/>
        </w:rPr>
        <w:t>ThermoFisher</w:t>
      </w:r>
      <w:proofErr w:type="spellEnd"/>
      <w:r w:rsidR="0053498E" w:rsidRPr="00785828">
        <w:rPr>
          <w:rFonts w:ascii="Arial" w:eastAsia="Tinos" w:hAnsi="Arial" w:cs="Arial"/>
          <w:sz w:val="20"/>
          <w:szCs w:val="20"/>
        </w:rPr>
        <w:t>). Spike-ins from a synthetic peptide standard were added to the samples and used for retention time alignment (</w:t>
      </w:r>
      <w:proofErr w:type="spellStart"/>
      <w:r w:rsidR="0053498E" w:rsidRPr="00785828">
        <w:rPr>
          <w:rFonts w:ascii="Arial" w:eastAsia="Tinos" w:hAnsi="Arial" w:cs="Arial"/>
          <w:sz w:val="20"/>
          <w:szCs w:val="20"/>
        </w:rPr>
        <w:t>iRT</w:t>
      </w:r>
      <w:proofErr w:type="spellEnd"/>
      <w:r w:rsidR="0053498E" w:rsidRPr="00785828">
        <w:rPr>
          <w:rFonts w:ascii="Arial" w:eastAsia="Tinos" w:hAnsi="Arial" w:cs="Arial"/>
          <w:sz w:val="20"/>
          <w:szCs w:val="20"/>
        </w:rPr>
        <w:t xml:space="preserve"> Standard). Protein digests were </w:t>
      </w:r>
      <w:proofErr w:type="spellStart"/>
      <w:r w:rsidR="0053498E" w:rsidRPr="00785828">
        <w:rPr>
          <w:rFonts w:ascii="Arial" w:eastAsia="Tinos" w:hAnsi="Arial" w:cs="Arial"/>
          <w:sz w:val="20"/>
          <w:szCs w:val="20"/>
        </w:rPr>
        <w:t>analysed</w:t>
      </w:r>
      <w:proofErr w:type="spellEnd"/>
      <w:r w:rsidR="0053498E" w:rsidRPr="00785828">
        <w:rPr>
          <w:rFonts w:ascii="Arial" w:eastAsia="Tinos" w:hAnsi="Arial" w:cs="Arial"/>
          <w:sz w:val="20"/>
          <w:szCs w:val="20"/>
        </w:rPr>
        <w:t xml:space="preserve"> on the </w:t>
      </w:r>
      <w:proofErr w:type="spellStart"/>
      <w:r w:rsidR="0053498E" w:rsidRPr="00785828">
        <w:rPr>
          <w:rFonts w:ascii="Arial" w:eastAsia="Tinos" w:hAnsi="Arial" w:cs="Arial"/>
          <w:sz w:val="20"/>
          <w:szCs w:val="20"/>
        </w:rPr>
        <w:t>Eksigent</w:t>
      </w:r>
      <w:proofErr w:type="spellEnd"/>
      <w:r w:rsidR="0053498E" w:rsidRPr="00785828">
        <w:rPr>
          <w:rFonts w:ascii="Arial" w:eastAsia="Tinos" w:hAnsi="Arial" w:cs="Arial"/>
          <w:sz w:val="20"/>
          <w:szCs w:val="20"/>
        </w:rPr>
        <w:t xml:space="preserve"> nanoLC425 nanoﬂow chromatography system (AB </w:t>
      </w:r>
      <w:proofErr w:type="spellStart"/>
      <w:r w:rsidR="0053498E" w:rsidRPr="00785828">
        <w:rPr>
          <w:rFonts w:ascii="Arial" w:eastAsia="Tinos" w:hAnsi="Arial" w:cs="Arial"/>
          <w:sz w:val="20"/>
          <w:szCs w:val="20"/>
        </w:rPr>
        <w:t>Sciex</w:t>
      </w:r>
      <w:proofErr w:type="spellEnd"/>
      <w:r w:rsidR="0053498E" w:rsidRPr="00785828">
        <w:rPr>
          <w:rFonts w:ascii="Arial" w:eastAsia="Tinos" w:hAnsi="Arial" w:cs="Arial"/>
          <w:sz w:val="20"/>
          <w:szCs w:val="20"/>
        </w:rPr>
        <w:t>), hyphenated to a hybrid triple quadrupole-TOF mass spectrometer (</w:t>
      </w:r>
      <w:proofErr w:type="spellStart"/>
      <w:r w:rsidR="0053498E" w:rsidRPr="00785828">
        <w:rPr>
          <w:rFonts w:ascii="Arial" w:eastAsia="Tinos" w:hAnsi="Arial" w:cs="Arial"/>
          <w:sz w:val="20"/>
          <w:szCs w:val="20"/>
        </w:rPr>
        <w:t>TripleTOF</w:t>
      </w:r>
      <w:proofErr w:type="spellEnd"/>
      <w:r w:rsidR="0053498E" w:rsidRPr="00785828">
        <w:rPr>
          <w:rFonts w:ascii="Arial" w:eastAsia="Tinos" w:hAnsi="Arial" w:cs="Arial"/>
          <w:sz w:val="20"/>
          <w:szCs w:val="20"/>
        </w:rPr>
        <w:t xml:space="preserve"> 5600+) equipped with a </w:t>
      </w:r>
      <w:proofErr w:type="spellStart"/>
      <w:r w:rsidR="0053498E" w:rsidRPr="00785828">
        <w:rPr>
          <w:rFonts w:ascii="Arial" w:eastAsia="Tinos" w:hAnsi="Arial" w:cs="Arial"/>
          <w:sz w:val="20"/>
          <w:szCs w:val="20"/>
        </w:rPr>
        <w:t>Nanospray</w:t>
      </w:r>
      <w:proofErr w:type="spellEnd"/>
      <w:r w:rsidR="0053498E" w:rsidRPr="00785828">
        <w:rPr>
          <w:rFonts w:ascii="Arial" w:eastAsia="Tinos" w:hAnsi="Arial" w:cs="Arial"/>
          <w:sz w:val="20"/>
          <w:szCs w:val="20"/>
        </w:rPr>
        <w:t xml:space="preserve"> III ion source (</w:t>
      </w:r>
      <w:proofErr w:type="spellStart"/>
      <w:r w:rsidR="0053498E" w:rsidRPr="00785828">
        <w:rPr>
          <w:rFonts w:ascii="Arial" w:eastAsia="Tinos" w:hAnsi="Arial" w:cs="Arial"/>
          <w:sz w:val="20"/>
          <w:szCs w:val="20"/>
        </w:rPr>
        <w:t>Ionspray</w:t>
      </w:r>
      <w:proofErr w:type="spellEnd"/>
      <w:r w:rsidR="0053498E" w:rsidRPr="00785828">
        <w:rPr>
          <w:rFonts w:ascii="Arial" w:eastAsia="Tinos" w:hAnsi="Arial" w:cs="Arial"/>
          <w:sz w:val="20"/>
          <w:szCs w:val="20"/>
        </w:rPr>
        <w:t xml:space="preserve"> Voltage 2400 V, Interface Heater Temperature 150°C, Sheath Gas Setting 12) and controlled by Analyst TF 1.7.1 software build 1163 (AB </w:t>
      </w:r>
      <w:proofErr w:type="spellStart"/>
      <w:r w:rsidR="0053498E" w:rsidRPr="00785828">
        <w:rPr>
          <w:rFonts w:ascii="Arial" w:eastAsia="Tinos" w:hAnsi="Arial" w:cs="Arial"/>
          <w:sz w:val="20"/>
          <w:szCs w:val="20"/>
        </w:rPr>
        <w:t>Sciex</w:t>
      </w:r>
      <w:proofErr w:type="spellEnd"/>
      <w:r w:rsidR="0053498E" w:rsidRPr="00785828">
        <w:rPr>
          <w:rFonts w:ascii="Arial" w:eastAsia="Tinos" w:hAnsi="Arial" w:cs="Arial"/>
          <w:sz w:val="20"/>
          <w:szCs w:val="20"/>
        </w:rPr>
        <w:t>). Peptides were dissolved in a loading buffer (composed of 2% acetonitrile and 0.1% formic acid in water). Following column enrichment, separation was performed on an analytical RP-C18 column of dimensions 0.075 mm ID x 250 mm, HSS T3, 1.8 µm (Waters, Milford, MA, USA) using a 90 min linear gradient of 5-35 % acetonitrile / 0.1% formic acid (</w:t>
      </w:r>
      <w:proofErr w:type="spellStart"/>
      <w:proofErr w:type="gramStart"/>
      <w:r w:rsidR="0053498E" w:rsidRPr="00785828">
        <w:rPr>
          <w:rFonts w:ascii="Arial" w:eastAsia="Tinos" w:hAnsi="Arial" w:cs="Arial"/>
          <w:sz w:val="20"/>
          <w:szCs w:val="20"/>
        </w:rPr>
        <w:t>v:v</w:t>
      </w:r>
      <w:proofErr w:type="spellEnd"/>
      <w:proofErr w:type="gramEnd"/>
      <w:r w:rsidR="0053498E" w:rsidRPr="00785828">
        <w:rPr>
          <w:rFonts w:ascii="Arial" w:eastAsia="Tinos" w:hAnsi="Arial" w:cs="Arial"/>
          <w:sz w:val="20"/>
          <w:szCs w:val="20"/>
        </w:rPr>
        <w:t xml:space="preserve">) at 300 </w:t>
      </w:r>
      <w:proofErr w:type="spellStart"/>
      <w:r w:rsidR="0053498E" w:rsidRPr="00785828">
        <w:rPr>
          <w:rFonts w:ascii="Arial" w:eastAsia="Tinos" w:hAnsi="Arial" w:cs="Arial"/>
          <w:sz w:val="20"/>
          <w:szCs w:val="20"/>
        </w:rPr>
        <w:t>nl</w:t>
      </w:r>
      <w:proofErr w:type="spellEnd"/>
      <w:r w:rsidR="0053498E" w:rsidRPr="00785828">
        <w:rPr>
          <w:rFonts w:ascii="Arial" w:eastAsia="Tinos" w:hAnsi="Arial" w:cs="Arial"/>
          <w:sz w:val="20"/>
          <w:szCs w:val="20"/>
        </w:rPr>
        <w:t xml:space="preserve"> min-1. Qualitative liquid chromatography/tandem mass spectrometry (LC-MS/MS) analysis was performed using a Top25 data-dependent acquisition method. For that, an MS survey scan of m/z 350–1250 accumulated for 350 </w:t>
      </w:r>
      <w:proofErr w:type="spellStart"/>
      <w:r w:rsidR="0053498E" w:rsidRPr="00785828">
        <w:rPr>
          <w:rFonts w:ascii="Arial" w:eastAsia="Tinos" w:hAnsi="Arial" w:cs="Arial"/>
          <w:sz w:val="20"/>
          <w:szCs w:val="20"/>
        </w:rPr>
        <w:t>ms</w:t>
      </w:r>
      <w:proofErr w:type="spellEnd"/>
      <w:r w:rsidR="0053498E" w:rsidRPr="00785828">
        <w:rPr>
          <w:rFonts w:ascii="Arial" w:eastAsia="Tinos" w:hAnsi="Arial" w:cs="Arial"/>
          <w:sz w:val="20"/>
          <w:szCs w:val="20"/>
        </w:rPr>
        <w:t xml:space="preserve"> at a resolution of 30,000 full width at half maximum (FWHM) was performed. MS/MS scans of m/z 180–1600 were accumulated for 100 </w:t>
      </w:r>
      <w:proofErr w:type="spellStart"/>
      <w:r w:rsidR="0053498E" w:rsidRPr="00785828">
        <w:rPr>
          <w:rFonts w:ascii="Arial" w:eastAsia="Tinos" w:hAnsi="Arial" w:cs="Arial"/>
          <w:sz w:val="20"/>
          <w:szCs w:val="20"/>
        </w:rPr>
        <w:t>ms</w:t>
      </w:r>
      <w:proofErr w:type="spellEnd"/>
      <w:r w:rsidR="0053498E" w:rsidRPr="00785828">
        <w:rPr>
          <w:rFonts w:ascii="Arial" w:eastAsia="Tinos" w:hAnsi="Arial" w:cs="Arial"/>
          <w:sz w:val="20"/>
          <w:szCs w:val="20"/>
        </w:rPr>
        <w:t xml:space="preserve"> at a resolution of 17,500 FWHM and a precursor isolation width of 0.7 FWHM, resulting in a total cycle time of 2.9 s. Precursors above a threshold of 125 cps for MS intensity and with charge states of 2+ / 3+ / 4+ were selected for MS/MS. Dynamic exclusion time was set to 30 s. An MS/MS activation was achieved by CID using nitrogen as a collision gas. For quantitative sequential window acquisition of all theoretical fragment ion spectra (SWATH) analysis, MS/MS data were acquired using 65 variable size windows across the 400-1,050 m/z range. Fragments were produced using rolling collision energy settings for charge state 2+, and fragments acquired over an m/z range of 350–1400 for 40 </w:t>
      </w:r>
      <w:proofErr w:type="spellStart"/>
      <w:r w:rsidR="0053498E" w:rsidRPr="00785828">
        <w:rPr>
          <w:rFonts w:ascii="Arial" w:eastAsia="Tinos" w:hAnsi="Arial" w:cs="Arial"/>
          <w:sz w:val="20"/>
          <w:szCs w:val="20"/>
        </w:rPr>
        <w:t>ms</w:t>
      </w:r>
      <w:proofErr w:type="spellEnd"/>
      <w:r w:rsidR="0053498E" w:rsidRPr="00785828">
        <w:rPr>
          <w:rFonts w:ascii="Arial" w:eastAsia="Tinos" w:hAnsi="Arial" w:cs="Arial"/>
          <w:sz w:val="20"/>
          <w:szCs w:val="20"/>
        </w:rPr>
        <w:t xml:space="preserve"> per segment. With the inclusion of a 100 </w:t>
      </w:r>
      <w:proofErr w:type="spellStart"/>
      <w:r w:rsidR="0053498E" w:rsidRPr="00785828">
        <w:rPr>
          <w:rFonts w:ascii="Arial" w:eastAsia="Tinos" w:hAnsi="Arial" w:cs="Arial"/>
          <w:sz w:val="20"/>
          <w:szCs w:val="20"/>
        </w:rPr>
        <w:t>ms</w:t>
      </w:r>
      <w:proofErr w:type="spellEnd"/>
      <w:r w:rsidR="0053498E" w:rsidRPr="00785828">
        <w:rPr>
          <w:rFonts w:ascii="Arial" w:eastAsia="Tinos" w:hAnsi="Arial" w:cs="Arial"/>
          <w:sz w:val="20"/>
          <w:szCs w:val="20"/>
        </w:rPr>
        <w:t xml:space="preserve"> survey scan, the overall cycle time was of 2.75s.</w:t>
      </w:r>
      <w:r w:rsidR="006C1D6F">
        <w:rPr>
          <w:rFonts w:ascii="Arial" w:eastAsia="Tinos" w:hAnsi="Arial" w:cs="Arial"/>
          <w:sz w:val="20"/>
          <w:szCs w:val="20"/>
        </w:rPr>
        <w:t xml:space="preserve"> </w:t>
      </w:r>
      <w:r w:rsidR="006C1D6F" w:rsidRPr="00575A63">
        <w:rPr>
          <w:rFonts w:ascii="Arial" w:hAnsi="Arial" w:cs="Arial"/>
          <w:color w:val="000000"/>
          <w:sz w:val="20"/>
          <w:szCs w:val="20"/>
        </w:rPr>
        <w:t xml:space="preserve">A total of 407,752 MS/MS spectra from the combined qualitative analyses were searched against the </w:t>
      </w:r>
      <w:proofErr w:type="spellStart"/>
      <w:r w:rsidR="006C1D6F" w:rsidRPr="00575A63">
        <w:rPr>
          <w:rFonts w:ascii="Arial" w:hAnsi="Arial" w:cs="Arial"/>
          <w:color w:val="000000"/>
          <w:sz w:val="20"/>
          <w:szCs w:val="20"/>
        </w:rPr>
        <w:t>UniProtKB</w:t>
      </w:r>
      <w:proofErr w:type="spellEnd"/>
      <w:r w:rsidR="006C1D6F" w:rsidRPr="00575A63">
        <w:rPr>
          <w:rFonts w:ascii="Arial" w:hAnsi="Arial" w:cs="Arial"/>
          <w:color w:val="000000"/>
          <w:sz w:val="20"/>
          <w:szCs w:val="20"/>
        </w:rPr>
        <w:t xml:space="preserve"> human reference proteome (revision 04/2018, 93.609 entries) augmented with a set of 52 known common laboratory contaminants.</w:t>
      </w:r>
    </w:p>
    <w:p w:rsidR="0053498E" w:rsidRPr="004E5947" w:rsidRDefault="0053498E" w:rsidP="004E5947">
      <w:pPr>
        <w:spacing w:after="0" w:line="240" w:lineRule="auto"/>
        <w:rPr>
          <w:rFonts w:ascii="Arial" w:eastAsia="Tinos" w:hAnsi="Arial" w:cs="Arial"/>
          <w:sz w:val="20"/>
          <w:szCs w:val="20"/>
        </w:rPr>
      </w:pPr>
      <w:r w:rsidRPr="00785828">
        <w:rPr>
          <w:rFonts w:ascii="Arial" w:eastAsia="Tinos" w:hAnsi="Arial" w:cs="Arial"/>
          <w:b/>
          <w:sz w:val="20"/>
          <w:szCs w:val="20"/>
        </w:rPr>
        <w:t>Unsupervised visualizations</w:t>
      </w:r>
    </w:p>
    <w:p w:rsidR="006C1D6F" w:rsidRDefault="0053498E" w:rsidP="004E5947">
      <w:pPr>
        <w:spacing w:after="0" w:line="240" w:lineRule="auto"/>
        <w:rPr>
          <w:rFonts w:ascii="Arial" w:eastAsia="Tinos" w:hAnsi="Arial" w:cs="Arial"/>
          <w:sz w:val="20"/>
          <w:szCs w:val="20"/>
        </w:rPr>
      </w:pPr>
      <w:r w:rsidRPr="00785828">
        <w:rPr>
          <w:rFonts w:ascii="Arial" w:eastAsia="Tinos" w:hAnsi="Arial" w:cs="Arial"/>
          <w:sz w:val="20"/>
          <w:szCs w:val="20"/>
        </w:rPr>
        <w:t xml:space="preserve">The top 100 most variant omics were identified using the </w:t>
      </w:r>
      <w:proofErr w:type="spellStart"/>
      <w:r w:rsidRPr="00785828">
        <w:rPr>
          <w:rFonts w:ascii="Arial" w:eastAsia="Tinos" w:hAnsi="Arial" w:cs="Arial"/>
          <w:sz w:val="20"/>
          <w:szCs w:val="20"/>
        </w:rPr>
        <w:t>rowVars</w:t>
      </w:r>
      <w:proofErr w:type="spellEnd"/>
      <w:r w:rsidRPr="00785828">
        <w:rPr>
          <w:rFonts w:ascii="Arial" w:eastAsia="Tinos" w:hAnsi="Arial" w:cs="Arial"/>
          <w:sz w:val="20"/>
          <w:szCs w:val="20"/>
        </w:rPr>
        <w:t xml:space="preserve"> function available in the </w:t>
      </w:r>
      <w:proofErr w:type="spellStart"/>
      <w:r w:rsidRPr="00785828">
        <w:rPr>
          <w:rFonts w:ascii="Arial" w:eastAsia="Tinos" w:hAnsi="Arial" w:cs="Arial"/>
          <w:sz w:val="20"/>
          <w:szCs w:val="20"/>
        </w:rPr>
        <w:t>matrixStats</w:t>
      </w:r>
      <w:proofErr w:type="spellEnd"/>
      <w:r w:rsidRPr="00785828">
        <w:rPr>
          <w:rFonts w:ascii="Arial" w:eastAsia="Tinos" w:hAnsi="Arial" w:cs="Arial"/>
          <w:sz w:val="20"/>
          <w:szCs w:val="20"/>
        </w:rPr>
        <w:t xml:space="preserve"> package in R software </w:t>
      </w:r>
      <w:r w:rsidRPr="00785828">
        <w:rPr>
          <w:rFonts w:ascii="Arial" w:eastAsia="Times New Roman" w:hAnsi="Arial" w:cs="Arial"/>
          <w:sz w:val="20"/>
          <w:szCs w:val="20"/>
        </w:rPr>
        <w:fldChar w:fldCharType="begin"/>
      </w:r>
      <w:r w:rsidR="0052708E">
        <w:rPr>
          <w:rFonts w:ascii="Arial" w:eastAsia="Times New Roman" w:hAnsi="Arial" w:cs="Arial"/>
          <w:sz w:val="20"/>
          <w:szCs w:val="20"/>
        </w:rPr>
        <w:instrText xml:space="preserve"> ADDIN ZOTERO_ITEM CSL_CITATION {"citationID":"wUXazRxn","properties":{"formattedCitation":"(6)","plainCitation":"(6)","noteIndex":0},"citationItems":[{"id":708,"uris":["http://zotero.org/users/5867446/items/SQ5WIH5B"],"uri":["http://zotero.org/users/5867446/items/SQ5WIH5B"],"itemData":{"id":708,"type":"book","event-place":"Vienna, Austria","publisher":"R Foundation for Statistical Computing","publisher-place":"Vienna, Austria","title":"R: A Language and Environment for Statistical Computing","URL":"https://www.R-project.org/","author":[{"literal":"R Core Team"}],"issued":{"date-parts":[["2017"]]}}}],"schema":"https://github.com/citation-style-language/schema/raw/master/csl-citation.json"} </w:instrText>
      </w:r>
      <w:r w:rsidRPr="00785828">
        <w:rPr>
          <w:rFonts w:ascii="Arial" w:eastAsia="Times New Roman" w:hAnsi="Arial" w:cs="Arial"/>
          <w:sz w:val="20"/>
          <w:szCs w:val="20"/>
        </w:rPr>
        <w:fldChar w:fldCharType="separate"/>
      </w:r>
      <w:r w:rsidR="0052708E" w:rsidRPr="0052708E">
        <w:rPr>
          <w:rFonts w:ascii="Arial" w:hAnsi="Arial" w:cs="Arial"/>
          <w:sz w:val="20"/>
        </w:rPr>
        <w:t>(6)</w:t>
      </w:r>
      <w:r w:rsidRPr="00785828">
        <w:rPr>
          <w:rFonts w:ascii="Arial" w:eastAsia="Times New Roman" w:hAnsi="Arial" w:cs="Arial"/>
          <w:sz w:val="20"/>
          <w:szCs w:val="20"/>
        </w:rPr>
        <w:fldChar w:fldCharType="end"/>
      </w:r>
      <w:r w:rsidRPr="00785828">
        <w:rPr>
          <w:rFonts w:ascii="Arial" w:eastAsia="Tinos" w:hAnsi="Arial" w:cs="Arial"/>
          <w:sz w:val="20"/>
          <w:szCs w:val="20"/>
        </w:rPr>
        <w:t xml:space="preserve">, followed by a z-score transformation. Subsequently, we performed a complete hierarchical clustering over all samples, and resulting heatmaps were </w:t>
      </w:r>
      <w:r w:rsidRPr="00785828">
        <w:rPr>
          <w:rFonts w:ascii="Arial" w:eastAsia="Tinos" w:hAnsi="Arial" w:cs="Arial"/>
          <w:sz w:val="20"/>
          <w:szCs w:val="20"/>
        </w:rPr>
        <w:lastRenderedPageBreak/>
        <w:t xml:space="preserve">illustrated using the </w:t>
      </w:r>
      <w:proofErr w:type="spellStart"/>
      <w:r w:rsidRPr="00785828">
        <w:rPr>
          <w:rFonts w:ascii="Arial" w:eastAsia="Tinos" w:hAnsi="Arial" w:cs="Arial"/>
          <w:sz w:val="20"/>
          <w:szCs w:val="20"/>
        </w:rPr>
        <w:t>ComplexHeatmap</w:t>
      </w:r>
      <w:proofErr w:type="spellEnd"/>
      <w:r w:rsidRPr="00785828">
        <w:rPr>
          <w:rFonts w:ascii="Arial" w:eastAsia="Tinos" w:hAnsi="Arial" w:cs="Arial"/>
          <w:sz w:val="20"/>
          <w:szCs w:val="20"/>
        </w:rPr>
        <w:t xml:space="preserve"> visualization package </w:t>
      </w:r>
      <w:r w:rsidRPr="00785828">
        <w:rPr>
          <w:rFonts w:ascii="Arial" w:eastAsia="Times New Roman" w:hAnsi="Arial" w:cs="Arial"/>
          <w:sz w:val="20"/>
          <w:szCs w:val="20"/>
        </w:rPr>
        <w:fldChar w:fldCharType="begin"/>
      </w:r>
      <w:r w:rsidR="0052708E">
        <w:rPr>
          <w:rFonts w:ascii="Arial" w:eastAsia="Times New Roman" w:hAnsi="Arial" w:cs="Arial"/>
          <w:sz w:val="20"/>
          <w:szCs w:val="20"/>
        </w:rPr>
        <w:instrText xml:space="preserve"> ADDIN ZOTERO_ITEM CSL_CITATION {"citationID":"eQFbqGhV","properties":{"formattedCitation":"(7)","plainCitation":"(7)","noteIndex":0},"citationItems":[{"id":1489,"uris":["http://zotero.org/users/5867446/items/5B6GX5QY"],"uri":["http://zotero.org/users/5867446/items/5B6GX5QY"],"itemData":{"id":1489,"type":"article-journal","abstract":"Summary: Parallel heatmaps with carefully designed annotation graphics are powerful for efﬁcient visualization of patterns and relationships among high dimensional genomic data. Here we present the ComplexHeatmap package that provides rich functionalities for customizing heatmaps, arranging multiple parallel heatmaps and including user-deﬁned annotation graphics. We demonstrate the power of ComplexHeatmap to easily reveal patterns and correlations among multiple sources of information with four real-world datasets.","container-title":"Bioinformatics","DOI":"10.1093/bioinformatics/btw313","ISSN":"1367-4803, 1460-2059","issue":"18","journalAbbreviation":"Bioinformatics","language":"en","page":"2847-2849","source":"DOI.org (Crossref)","title":"Complex heatmaps reveal patterns and correlations in multidimensional genomic data","volume":"32","author":[{"family":"Gu","given":"Zuguang"},{"family":"Eils","given":"Roland"},{"family":"Schlesner","given":"Matthias"}],"issued":{"date-parts":[["2016",9,15]]}}}],"schema":"https://github.com/citation-style-language/schema/raw/master/csl-citation.json"} </w:instrText>
      </w:r>
      <w:r w:rsidRPr="00785828">
        <w:rPr>
          <w:rFonts w:ascii="Arial" w:eastAsia="Times New Roman" w:hAnsi="Arial" w:cs="Arial"/>
          <w:sz w:val="20"/>
          <w:szCs w:val="20"/>
        </w:rPr>
        <w:fldChar w:fldCharType="separate"/>
      </w:r>
      <w:r w:rsidR="0052708E" w:rsidRPr="0052708E">
        <w:rPr>
          <w:rFonts w:ascii="Arial" w:hAnsi="Arial" w:cs="Arial"/>
          <w:sz w:val="20"/>
        </w:rPr>
        <w:t>(7)</w:t>
      </w:r>
      <w:r w:rsidRPr="00785828">
        <w:rPr>
          <w:rFonts w:ascii="Arial" w:eastAsia="Times New Roman" w:hAnsi="Arial" w:cs="Arial"/>
          <w:sz w:val="20"/>
          <w:szCs w:val="20"/>
        </w:rPr>
        <w:fldChar w:fldCharType="end"/>
      </w:r>
      <w:r w:rsidRPr="00785828">
        <w:rPr>
          <w:rFonts w:ascii="Arial" w:eastAsia="Tinos" w:hAnsi="Arial" w:cs="Arial"/>
          <w:sz w:val="20"/>
          <w:szCs w:val="20"/>
        </w:rPr>
        <w:t xml:space="preserve">. Furthermore, pairwise sample correlation analyses for small and total RNA sequencing, and proteomics expression were performed using Bayesian Hierarchical Clustering </w:t>
      </w:r>
      <w:r w:rsidRPr="00785828">
        <w:rPr>
          <w:rFonts w:ascii="Arial" w:eastAsia="Times New Roman" w:hAnsi="Arial" w:cs="Arial"/>
          <w:sz w:val="20"/>
          <w:szCs w:val="20"/>
        </w:rPr>
        <w:fldChar w:fldCharType="begin"/>
      </w:r>
      <w:r w:rsidR="0052708E">
        <w:rPr>
          <w:rFonts w:ascii="Arial" w:eastAsia="Times New Roman" w:hAnsi="Arial" w:cs="Arial"/>
          <w:sz w:val="20"/>
          <w:szCs w:val="20"/>
        </w:rPr>
        <w:instrText xml:space="preserve"> ADDIN ZOTERO_ITEM CSL_CITATION {"citationID":"TaJBYLae","properties":{"formattedCitation":"(8)","plainCitation":"(8)","noteIndex":0},"citationItems":[{"id":719,"uris":["http://zotero.org/users/5867446/items/8U5LZTD9"],"uri":["http://zotero.org/users/5867446/items/8U5LZTD9"],"itemData":{"id":719,"type":"book","title":"BHC: Bayesian Hierarchical Clustering","version":"R package version 1.36.0.","author":[{"family":"Savage","given":"Rick"},{"family":"Cook","given":"Emma"},{"family":"Darkins","given":"Robert"},{"family":"Xu","given":"Yang"}],"issued":{"date-parts":[["2019"]]}}}],"schema":"https://github.com/citation-style-language/schema/raw/master/csl-citation.json"} </w:instrText>
      </w:r>
      <w:r w:rsidRPr="00785828">
        <w:rPr>
          <w:rFonts w:ascii="Arial" w:eastAsia="Times New Roman" w:hAnsi="Arial" w:cs="Arial"/>
          <w:sz w:val="20"/>
          <w:szCs w:val="20"/>
        </w:rPr>
        <w:fldChar w:fldCharType="separate"/>
      </w:r>
      <w:r w:rsidR="0052708E" w:rsidRPr="0052708E">
        <w:rPr>
          <w:rFonts w:ascii="Arial" w:hAnsi="Arial" w:cs="Arial"/>
          <w:sz w:val="20"/>
        </w:rPr>
        <w:t>(8)</w:t>
      </w:r>
      <w:r w:rsidRPr="00785828">
        <w:rPr>
          <w:rFonts w:ascii="Arial" w:eastAsia="Times New Roman" w:hAnsi="Arial" w:cs="Arial"/>
          <w:sz w:val="20"/>
          <w:szCs w:val="20"/>
        </w:rPr>
        <w:fldChar w:fldCharType="end"/>
      </w:r>
      <w:r w:rsidRPr="00785828">
        <w:rPr>
          <w:rFonts w:ascii="Arial" w:eastAsia="Tinos" w:hAnsi="Arial" w:cs="Arial"/>
          <w:sz w:val="20"/>
          <w:szCs w:val="20"/>
        </w:rPr>
        <w:t xml:space="preserve">. For this, the PD samples of the discovery cohort and normalized mapped counts without any additional transformation were used as input </w:t>
      </w:r>
      <w:r w:rsidRPr="00785828">
        <w:rPr>
          <w:rFonts w:ascii="Arial" w:eastAsia="Times New Roman" w:hAnsi="Arial" w:cs="Arial"/>
          <w:sz w:val="20"/>
          <w:szCs w:val="20"/>
        </w:rPr>
        <w:fldChar w:fldCharType="begin"/>
      </w:r>
      <w:r w:rsidR="0052708E">
        <w:rPr>
          <w:rFonts w:ascii="Arial" w:eastAsia="Times New Roman" w:hAnsi="Arial" w:cs="Arial"/>
          <w:sz w:val="20"/>
          <w:szCs w:val="20"/>
        </w:rPr>
        <w:instrText xml:space="preserve"> ADDIN ZOTERO_ITEM CSL_CITATION {"citationID":"zND6WcxL","properties":{"formattedCitation":"(8, 9)","plainCitation":"(8, 9)","noteIndex":0},"citationItems":[{"id":719,"uris":["http://zotero.org/users/5867446/items/8U5LZTD9"],"uri":["http://zotero.org/users/5867446/items/8U5LZTD9"],"itemData":{"id":719,"type":"book","title":"BHC: Bayesian Hierarchical Clustering","version":"R package version 1.36.0.","author":[{"family":"Savage","given":"Rick"},{"family":"Cook","given":"Emma"},{"family":"Darkins","given":"Robert"},{"family":"Xu","given":"Yang"}],"issued":{"date-parts":[["2019"]]}}},{"id":720,"uris":["http://zotero.org/users/5867446/items/6TJ2QQCH"],"uri":["http://zotero.org/users/5867446/items/6TJ2QQCH"],"itemData":{"id":720,"type":"paper-conference","container-title":"Proceedings of the 22nd international conference on Machine learning  - ICML '05","DOI":"10.1145/1102351.1102389","event":"the 22nd international conference","event-place":"Bonn, Germany","ISBN":"978-1-59593-180-1","language":"en","page":"297-304","publisher":"ACM Press","publisher-place":"Bonn, Germany","source":"DOI.org (Crossref)","title":"Bayesian hierarchical clustering","URL":"http://portal.acm.org/citation.cfm?doid=1102351.1102389","author":[{"family":"Heller","given":"Katherine A."},{"family":"Ghahramani","given":"Zoubin"}],"accessed":{"date-parts":[["2019",7,31]]},"issued":{"date-parts":[["2005"]]}}}],"schema":"https://github.com/citation-style-language/schema/raw/master/csl-citation.json"} </w:instrText>
      </w:r>
      <w:r w:rsidRPr="00785828">
        <w:rPr>
          <w:rFonts w:ascii="Arial" w:eastAsia="Times New Roman" w:hAnsi="Arial" w:cs="Arial"/>
          <w:sz w:val="20"/>
          <w:szCs w:val="20"/>
        </w:rPr>
        <w:fldChar w:fldCharType="separate"/>
      </w:r>
      <w:r w:rsidR="0052708E" w:rsidRPr="0052708E">
        <w:rPr>
          <w:rFonts w:ascii="Arial" w:hAnsi="Arial" w:cs="Arial"/>
          <w:sz w:val="20"/>
        </w:rPr>
        <w:t>(8, 9)</w:t>
      </w:r>
      <w:r w:rsidRPr="00785828">
        <w:rPr>
          <w:rFonts w:ascii="Arial" w:eastAsia="Times New Roman" w:hAnsi="Arial" w:cs="Arial"/>
          <w:sz w:val="20"/>
          <w:szCs w:val="20"/>
        </w:rPr>
        <w:fldChar w:fldCharType="end"/>
      </w:r>
      <w:r w:rsidRPr="00785828">
        <w:rPr>
          <w:rFonts w:ascii="Arial" w:eastAsia="Tinos" w:hAnsi="Arial" w:cs="Arial"/>
          <w:sz w:val="20"/>
          <w:szCs w:val="20"/>
        </w:rPr>
        <w:t>.</w:t>
      </w:r>
    </w:p>
    <w:p w:rsidR="0053498E" w:rsidRPr="00785828" w:rsidRDefault="0053498E" w:rsidP="004E5947">
      <w:pPr>
        <w:spacing w:after="0" w:line="240" w:lineRule="auto"/>
        <w:rPr>
          <w:rFonts w:ascii="Arial" w:eastAsia="Tinos" w:hAnsi="Arial" w:cs="Arial"/>
          <w:b/>
          <w:sz w:val="20"/>
          <w:szCs w:val="20"/>
        </w:rPr>
      </w:pPr>
      <w:r w:rsidRPr="00785828">
        <w:rPr>
          <w:rFonts w:ascii="Arial" w:eastAsia="Tinos" w:hAnsi="Arial" w:cs="Arial"/>
          <w:b/>
          <w:sz w:val="20"/>
          <w:szCs w:val="20"/>
        </w:rPr>
        <w:t>Pre-processing of small and total RNA sequencing data</w:t>
      </w:r>
    </w:p>
    <w:p w:rsidR="0053498E" w:rsidRPr="00785828" w:rsidRDefault="0053498E" w:rsidP="0053498E">
      <w:pPr>
        <w:spacing w:after="0" w:line="240" w:lineRule="auto"/>
        <w:rPr>
          <w:rFonts w:ascii="Arial" w:eastAsia="Tinos" w:hAnsi="Arial" w:cs="Arial"/>
          <w:sz w:val="20"/>
          <w:szCs w:val="20"/>
        </w:rPr>
      </w:pPr>
      <w:r w:rsidRPr="00785828">
        <w:rPr>
          <w:rFonts w:ascii="Arial" w:eastAsia="Tinos" w:hAnsi="Arial" w:cs="Arial"/>
          <w:sz w:val="20"/>
          <w:szCs w:val="20"/>
        </w:rPr>
        <w:t xml:space="preserve">Two distinct pre-processing procedures to remove low-count and low-variance data were considered.  Framework A starts with an initial elimination of all zero-count-row entrances of the count matrix, and is followed by the removal of low-count small RNA-seq/genes based on their data distribution using a quantile filtering with a cutoff of 25% and 50%, respectively for the small RNA-seq and total RNA-seq data, using the </w:t>
      </w:r>
      <w:proofErr w:type="spellStart"/>
      <w:r w:rsidRPr="00785828">
        <w:rPr>
          <w:rFonts w:ascii="Arial" w:eastAsia="Tinos" w:hAnsi="Arial" w:cs="Arial"/>
          <w:sz w:val="20"/>
          <w:szCs w:val="20"/>
        </w:rPr>
        <w:t>TCGAanalyze</w:t>
      </w:r>
      <w:proofErr w:type="spellEnd"/>
      <w:r w:rsidRPr="00785828">
        <w:rPr>
          <w:rFonts w:ascii="Arial" w:eastAsia="Tinos" w:hAnsi="Arial" w:cs="Arial"/>
          <w:sz w:val="20"/>
          <w:szCs w:val="20"/>
        </w:rPr>
        <w:t xml:space="preserve"> Filtering function available in the R package </w:t>
      </w:r>
      <w:proofErr w:type="spellStart"/>
      <w:r w:rsidRPr="00785828">
        <w:rPr>
          <w:rFonts w:ascii="Arial" w:eastAsia="Tinos" w:hAnsi="Arial" w:cs="Arial"/>
          <w:sz w:val="20"/>
          <w:szCs w:val="20"/>
        </w:rPr>
        <w:t>TCGAbiolinks</w:t>
      </w:r>
      <w:proofErr w:type="spellEnd"/>
      <w:r w:rsidRPr="00785828">
        <w:rPr>
          <w:rFonts w:ascii="Arial" w:eastAsia="Tinos" w:hAnsi="Arial" w:cs="Arial"/>
          <w:sz w:val="20"/>
          <w:szCs w:val="20"/>
        </w:rPr>
        <w:t xml:space="preserve"> </w:t>
      </w:r>
      <w:r w:rsidRPr="00785828">
        <w:rPr>
          <w:rFonts w:ascii="Arial" w:eastAsia="Times New Roman" w:hAnsi="Arial" w:cs="Arial"/>
          <w:sz w:val="20"/>
          <w:szCs w:val="20"/>
        </w:rPr>
        <w:fldChar w:fldCharType="begin"/>
      </w:r>
      <w:r w:rsidR="0052708E">
        <w:rPr>
          <w:rFonts w:ascii="Arial" w:eastAsia="Times New Roman" w:hAnsi="Arial" w:cs="Arial"/>
          <w:sz w:val="20"/>
          <w:szCs w:val="20"/>
        </w:rPr>
        <w:instrText xml:space="preserve"> ADDIN ZOTERO_ITEM CSL_CITATION {"citationID":"72e8f2xW","properties":{"formattedCitation":"(10)","plainCitation":"(10)","noteIndex":0},"citationItems":[{"id":1404,"uris":["http://zotero.org/users/5867446/items/2GCULSLY"],"uri":["http://zotero.org/users/5867446/items/2GCULSLY"],"itemData":{"id":1404,"type":"article-journal","container-title":"Nucleic Acids Research","DOI":"10.1093/nar/gkv1507","ISSN":"1362-4962, 0305-1048","issue":"8","language":"en","page":"e71-e71","source":"DOI.org (Crossref)","title":"TCGAbiolinks: an R/Bioconductor package for integrative analysis of TCGA data","title-short":"TCGAbiolinks","volume":"44","author":[{"family":"Colaprico","given":"Antonio"},{"family":"Silva","given":"Tiago C."},{"family":"Olsen","given":"Catharina"},{"family":"Garofano","given":"Luciano"},{"family":"Cava","given":"Claudia"},{"family":"Garolini","given":"Davide"},{"family":"Sabedot","given":"Thais S."},{"family":"Malta","given":"Tathiane M."},{"family":"Pagnotta","given":"Stefano M."},{"family":"Castiglioni","given":"Isabella"},{"family":"Ceccarelli","given":"Michele"},{"family":"Bontempi","given":"Gianluca"},{"family":"Noushmehr","given":"Houtan"}],"issued":{"date-parts":[["2016",5,5]]}}}],"schema":"https://github.com/citation-style-language/schema/raw/master/csl-citation.json"} </w:instrText>
      </w:r>
      <w:r w:rsidRPr="00785828">
        <w:rPr>
          <w:rFonts w:ascii="Arial" w:eastAsia="Times New Roman" w:hAnsi="Arial" w:cs="Arial"/>
          <w:sz w:val="20"/>
          <w:szCs w:val="20"/>
        </w:rPr>
        <w:fldChar w:fldCharType="separate"/>
      </w:r>
      <w:r w:rsidR="0052708E" w:rsidRPr="0052708E">
        <w:rPr>
          <w:rFonts w:ascii="Arial" w:hAnsi="Arial" w:cs="Arial"/>
          <w:sz w:val="20"/>
        </w:rPr>
        <w:t>(10)</w:t>
      </w:r>
      <w:r w:rsidRPr="00785828">
        <w:rPr>
          <w:rFonts w:ascii="Arial" w:eastAsia="Times New Roman" w:hAnsi="Arial" w:cs="Arial"/>
          <w:sz w:val="20"/>
          <w:szCs w:val="20"/>
        </w:rPr>
        <w:fldChar w:fldCharType="end"/>
      </w:r>
      <w:r w:rsidRPr="00785828">
        <w:rPr>
          <w:rFonts w:ascii="Arial" w:eastAsia="Tinos" w:hAnsi="Arial" w:cs="Arial"/>
          <w:sz w:val="20"/>
          <w:szCs w:val="20"/>
        </w:rPr>
        <w:t xml:space="preserve">. In contrast, framework B initializes by estimating the unwanted variance in the given matrix count of genes/small RNA-seq and proceeded identification and removal of house-keeping-genes, i.e. a set of genes whose expression is not influenced by the conditions of the study, using the Remove Unwanted Variance (RUV) available in the R package </w:t>
      </w:r>
      <w:proofErr w:type="spellStart"/>
      <w:r w:rsidRPr="00785828">
        <w:rPr>
          <w:rFonts w:ascii="Arial" w:eastAsia="Tinos" w:hAnsi="Arial" w:cs="Arial"/>
          <w:sz w:val="20"/>
          <w:szCs w:val="20"/>
        </w:rPr>
        <w:t>RUVSeq</w:t>
      </w:r>
      <w:proofErr w:type="spellEnd"/>
      <w:r w:rsidRPr="00785828">
        <w:rPr>
          <w:rFonts w:ascii="Arial" w:eastAsia="Tinos" w:hAnsi="Arial" w:cs="Arial"/>
          <w:sz w:val="20"/>
          <w:szCs w:val="20"/>
        </w:rPr>
        <w:t xml:space="preserve"> </w:t>
      </w:r>
      <w:r w:rsidRPr="00785828">
        <w:rPr>
          <w:rFonts w:ascii="Arial" w:eastAsia="Times New Roman" w:hAnsi="Arial" w:cs="Arial"/>
          <w:sz w:val="20"/>
          <w:szCs w:val="20"/>
        </w:rPr>
        <w:fldChar w:fldCharType="begin"/>
      </w:r>
      <w:r w:rsidR="0052708E">
        <w:rPr>
          <w:rFonts w:ascii="Arial" w:eastAsia="Times New Roman" w:hAnsi="Arial" w:cs="Arial"/>
          <w:sz w:val="20"/>
          <w:szCs w:val="20"/>
        </w:rPr>
        <w:instrText xml:space="preserve"> ADDIN ZOTERO_ITEM CSL_CITATION {"citationID":"EQWVvrXd","properties":{"formattedCitation":"(11)","plainCitation":"(11)","noteIndex":0},"citationItems":[{"id":735,"uris":["http://zotero.org/users/5867446/items/SFDAT6U8"],"uri":["http://zotero.org/users/5867446/items/SFDAT6U8"],"itemData":{"id":735,"type":"article-journal","container-title":"Nature Biotechnology","DOI":"10.1038/nbt.2931","ISSN":"1087-0156, 1546-1696","issue":"9","journalAbbreviation":"Nat Biotechnol","language":"en","page":"896-902","source":"DOI.org (Crossref)","title":"Normalization of RNA-seq data using factor analysis of control genes or samples","volume":"32","author":[{"family":"Risso","given":"Davide"},{"family":"Ngai","given":"John"},{"family":"Speed","given":"Terence P"},{"family":"Dudoit","given":"Sandrine"}],"issued":{"date-parts":[["2014",9]]}}}],"schema":"https://github.com/citation-style-language/schema/raw/master/csl-citation.json"} </w:instrText>
      </w:r>
      <w:r w:rsidRPr="00785828">
        <w:rPr>
          <w:rFonts w:ascii="Arial" w:eastAsia="Times New Roman" w:hAnsi="Arial" w:cs="Arial"/>
          <w:sz w:val="20"/>
          <w:szCs w:val="20"/>
        </w:rPr>
        <w:fldChar w:fldCharType="separate"/>
      </w:r>
      <w:r w:rsidR="0052708E" w:rsidRPr="0052708E">
        <w:rPr>
          <w:rFonts w:ascii="Arial" w:hAnsi="Arial" w:cs="Arial"/>
          <w:sz w:val="20"/>
        </w:rPr>
        <w:t>(11)</w:t>
      </w:r>
      <w:r w:rsidRPr="00785828">
        <w:rPr>
          <w:rFonts w:ascii="Arial" w:eastAsia="Times New Roman" w:hAnsi="Arial" w:cs="Arial"/>
          <w:sz w:val="20"/>
          <w:szCs w:val="20"/>
        </w:rPr>
        <w:fldChar w:fldCharType="end"/>
      </w:r>
      <w:r w:rsidRPr="00785828">
        <w:rPr>
          <w:rFonts w:ascii="Arial" w:eastAsia="Tinos" w:hAnsi="Arial" w:cs="Arial"/>
          <w:sz w:val="20"/>
          <w:szCs w:val="20"/>
        </w:rPr>
        <w:t>.</w:t>
      </w:r>
      <w:r w:rsidR="006C1D6F">
        <w:rPr>
          <w:rFonts w:ascii="Arial" w:eastAsia="Tinos" w:hAnsi="Arial" w:cs="Arial"/>
          <w:sz w:val="20"/>
          <w:szCs w:val="20"/>
        </w:rPr>
        <w:t xml:space="preserve"> </w:t>
      </w:r>
      <w:r w:rsidR="006C1D6F" w:rsidRPr="00575A63">
        <w:rPr>
          <w:rFonts w:ascii="Arial" w:hAnsi="Arial" w:cs="Arial"/>
          <w:color w:val="000000"/>
          <w:sz w:val="20"/>
          <w:szCs w:val="20"/>
        </w:rPr>
        <w:t>Further, the raw counts are transformed into log-form counts by assuming a Negative-Binomial (NB) distribution using the Variance Stabilizing Transformation (VST)</w:t>
      </w:r>
      <w:r w:rsidR="006C1D6F" w:rsidRPr="00575A63">
        <w:rPr>
          <w:rFonts w:ascii="Arial" w:hAnsi="Arial" w:cs="Arial"/>
          <w:color w:val="000000"/>
          <w:sz w:val="20"/>
          <w:szCs w:val="20"/>
        </w:rPr>
        <w:fldChar w:fldCharType="begin"/>
      </w:r>
      <w:r w:rsidR="009600B5">
        <w:rPr>
          <w:rFonts w:ascii="Arial" w:hAnsi="Arial" w:cs="Arial"/>
          <w:color w:val="000000"/>
          <w:sz w:val="20"/>
          <w:szCs w:val="20"/>
        </w:rPr>
        <w:instrText xml:space="preserve"> ADDIN ZOTERO_ITEM CSL_CITATION {"citationID":"eJxIgRkj","properties":{"formattedCitation":"(12)","plainCitation":"(12)","noteIndex":0},"citationItems":[{"id":733,"uris":["http://zotero.org/users/5867446/items/JN2QRB3V"],"uri":["http://zotero.org/users/5867446/items/JN2QRB3V"],"itemData":{"id":733,"type":"article-journal","container-title":"Genome Biology","DOI":"10.1186/gb-2010-11-10-r106","ISSN":"1465-6906","issue":"10","journalAbbreviation":"Genome Biol","language":"en","page":"R106","source":"DOI.org (Crossref)","title":"Differential expression analysis for sequence count data","volume":"11","author":[{"family":"Anders","given":"Simon"},{"family":"Huber","given":"Wolfgang"}],"issued":{"date-parts":[["2010"]]}}}],"schema":"https://github.com/citation-style-language/schema/raw/master/csl-citation.json"} </w:instrText>
      </w:r>
      <w:r w:rsidR="006C1D6F" w:rsidRPr="00575A63">
        <w:rPr>
          <w:rFonts w:ascii="Arial" w:hAnsi="Arial" w:cs="Arial"/>
          <w:color w:val="000000"/>
          <w:sz w:val="20"/>
          <w:szCs w:val="20"/>
        </w:rPr>
        <w:fldChar w:fldCharType="separate"/>
      </w:r>
      <w:r w:rsidR="009600B5" w:rsidRPr="009600B5">
        <w:rPr>
          <w:rFonts w:ascii="Arial" w:hAnsi="Arial" w:cs="Arial"/>
          <w:sz w:val="20"/>
        </w:rPr>
        <w:t>(12)</w:t>
      </w:r>
      <w:r w:rsidR="006C1D6F" w:rsidRPr="00575A63">
        <w:rPr>
          <w:rFonts w:ascii="Arial" w:hAnsi="Arial" w:cs="Arial"/>
          <w:color w:val="000000"/>
          <w:sz w:val="20"/>
          <w:szCs w:val="20"/>
        </w:rPr>
        <w:fldChar w:fldCharType="end"/>
      </w:r>
      <w:r w:rsidR="006C1D6F" w:rsidRPr="00575A63">
        <w:rPr>
          <w:rFonts w:ascii="Arial" w:hAnsi="Arial" w:cs="Arial"/>
          <w:color w:val="000000"/>
          <w:sz w:val="20"/>
          <w:szCs w:val="20"/>
        </w:rPr>
        <w:t xml:space="preserve"> method for data visualization.</w:t>
      </w:r>
    </w:p>
    <w:p w:rsidR="0053498E" w:rsidRPr="00785828" w:rsidRDefault="0053498E" w:rsidP="0053498E">
      <w:pPr>
        <w:spacing w:after="0" w:line="240" w:lineRule="auto"/>
        <w:rPr>
          <w:rFonts w:ascii="Arial" w:eastAsia="Tinos" w:hAnsi="Arial" w:cs="Arial"/>
          <w:b/>
          <w:sz w:val="20"/>
          <w:szCs w:val="20"/>
        </w:rPr>
      </w:pPr>
      <w:r w:rsidRPr="00785828">
        <w:rPr>
          <w:rFonts w:ascii="Arial" w:eastAsia="Tinos" w:hAnsi="Arial" w:cs="Arial"/>
          <w:b/>
          <w:sz w:val="20"/>
          <w:szCs w:val="20"/>
        </w:rPr>
        <w:t>RNA-seq decomposition</w:t>
      </w:r>
    </w:p>
    <w:p w:rsidR="0053498E" w:rsidRPr="00785828" w:rsidRDefault="0053498E" w:rsidP="0053498E">
      <w:pPr>
        <w:spacing w:after="0" w:line="240" w:lineRule="auto"/>
        <w:rPr>
          <w:rFonts w:ascii="Arial" w:eastAsia="Tinos" w:hAnsi="Arial" w:cs="Arial"/>
          <w:b/>
          <w:sz w:val="20"/>
          <w:szCs w:val="20"/>
        </w:rPr>
      </w:pPr>
      <w:r w:rsidRPr="00785828">
        <w:rPr>
          <w:rFonts w:ascii="Arial" w:eastAsia="Tinos" w:hAnsi="Arial" w:cs="Arial"/>
          <w:sz w:val="20"/>
          <w:szCs w:val="20"/>
        </w:rPr>
        <w:t xml:space="preserve">In an attempt of making an assessment on the proportion of immune cells present in the different cohorts (PD patients and control), we leveraged the </w:t>
      </w:r>
      <w:proofErr w:type="spellStart"/>
      <w:r w:rsidRPr="00785828">
        <w:rPr>
          <w:rFonts w:ascii="Arial" w:eastAsia="Tinos" w:hAnsi="Arial" w:cs="Arial"/>
          <w:sz w:val="20"/>
          <w:szCs w:val="20"/>
        </w:rPr>
        <w:t>RNASeq</w:t>
      </w:r>
      <w:proofErr w:type="spellEnd"/>
      <w:r w:rsidRPr="00785828">
        <w:rPr>
          <w:rFonts w:ascii="Arial" w:eastAsia="Tinos" w:hAnsi="Arial" w:cs="Arial"/>
          <w:sz w:val="20"/>
          <w:szCs w:val="20"/>
        </w:rPr>
        <w:t xml:space="preserve"> Decomposition computational tool presented by </w:t>
      </w:r>
      <w:proofErr w:type="spellStart"/>
      <w:r w:rsidRPr="00785828">
        <w:rPr>
          <w:rFonts w:ascii="Arial" w:eastAsia="Tinos" w:hAnsi="Arial" w:cs="Arial"/>
          <w:sz w:val="20"/>
          <w:szCs w:val="20"/>
        </w:rPr>
        <w:t>Finotello</w:t>
      </w:r>
      <w:proofErr w:type="spellEnd"/>
      <w:r w:rsidRPr="00785828">
        <w:rPr>
          <w:rFonts w:ascii="Arial" w:eastAsia="Tinos" w:hAnsi="Arial" w:cs="Arial"/>
          <w:sz w:val="20"/>
          <w:szCs w:val="20"/>
        </w:rPr>
        <w:t xml:space="preserve"> and </w:t>
      </w:r>
      <w:proofErr w:type="spellStart"/>
      <w:r w:rsidRPr="00785828">
        <w:rPr>
          <w:rFonts w:ascii="Arial" w:eastAsia="Tinos" w:hAnsi="Arial" w:cs="Arial"/>
          <w:sz w:val="20"/>
          <w:szCs w:val="20"/>
        </w:rPr>
        <w:t>Trajanoski</w:t>
      </w:r>
      <w:proofErr w:type="spellEnd"/>
      <w:r w:rsidRPr="00785828">
        <w:rPr>
          <w:rFonts w:ascii="Arial" w:eastAsia="Tinos" w:hAnsi="Arial" w:cs="Arial"/>
          <w:sz w:val="20"/>
          <w:szCs w:val="20"/>
        </w:rPr>
        <w:t xml:space="preserve"> </w:t>
      </w:r>
      <w:r w:rsidRPr="00785828">
        <w:rPr>
          <w:rFonts w:ascii="Arial" w:eastAsia="Times New Roman" w:hAnsi="Arial" w:cs="Arial"/>
          <w:sz w:val="20"/>
          <w:szCs w:val="20"/>
        </w:rPr>
        <w:fldChar w:fldCharType="begin"/>
      </w:r>
      <w:r w:rsidR="009600B5">
        <w:rPr>
          <w:rFonts w:ascii="Arial" w:eastAsia="Times New Roman" w:hAnsi="Arial" w:cs="Arial"/>
          <w:sz w:val="20"/>
          <w:szCs w:val="20"/>
        </w:rPr>
        <w:instrText xml:space="preserve"> ADDIN ZOTERO_ITEM CSL_CITATION {"citationID":"vBGYyApI","properties":{"formattedCitation":"(13)","plainCitation":"(13)","noteIndex":0},"citationItems":[{"id":1389,"uris":["http://zotero.org/users/5867446/items/XPX9G2HL"],"uri":["http://zotero.org/users/5867446/items/XPX9G2HL"],"itemData":{"id":1389,"type":"article-journal","container-title":"Cancer Immunology, Immunotherapy","DOI":"10.1007/s00262-018-2150-z","ISSN":"0340-7004, 1432-0851","issue":"7","journalAbbreviation":"Cancer Immunol Immunother","language":"en","page":"1031-1040","source":"DOI.org (Crossref)","title":"Quantifying tumor-infiltrating immune cells from transcriptomics data","volume":"67","author":[{"family":"Finotello","given":"Francesca"},{"family":"Trajanoski","given":"Zlatko"}],"issued":{"date-parts":[["2018",7]]}}}],"schema":"https://github.com/citation-style-language/schema/raw/master/csl-citation.json"} </w:instrText>
      </w:r>
      <w:r w:rsidRPr="00785828">
        <w:rPr>
          <w:rFonts w:ascii="Arial" w:eastAsia="Times New Roman" w:hAnsi="Arial" w:cs="Arial"/>
          <w:sz w:val="20"/>
          <w:szCs w:val="20"/>
        </w:rPr>
        <w:fldChar w:fldCharType="separate"/>
      </w:r>
      <w:r w:rsidR="009600B5" w:rsidRPr="009600B5">
        <w:rPr>
          <w:rFonts w:ascii="Arial" w:hAnsi="Arial" w:cs="Arial"/>
          <w:sz w:val="20"/>
        </w:rPr>
        <w:t>(13)</w:t>
      </w:r>
      <w:r w:rsidRPr="00785828">
        <w:rPr>
          <w:rFonts w:ascii="Arial" w:eastAsia="Times New Roman" w:hAnsi="Arial" w:cs="Arial"/>
          <w:sz w:val="20"/>
          <w:szCs w:val="20"/>
        </w:rPr>
        <w:fldChar w:fldCharType="end"/>
      </w:r>
      <w:r w:rsidRPr="00785828">
        <w:rPr>
          <w:rFonts w:ascii="Arial" w:eastAsia="Tinos" w:hAnsi="Arial" w:cs="Arial"/>
          <w:sz w:val="20"/>
          <w:szCs w:val="20"/>
        </w:rPr>
        <w:t xml:space="preserve">. For this, we computed the TPM-transformed values of our original RNA-seq count data considering a gene length of 50 bp (see library preparation section) and leveraging the R function </w:t>
      </w:r>
      <w:proofErr w:type="spellStart"/>
      <w:r w:rsidRPr="00785828">
        <w:rPr>
          <w:rFonts w:ascii="Arial" w:eastAsia="Tinos" w:hAnsi="Arial" w:cs="Arial"/>
          <w:sz w:val="20"/>
          <w:szCs w:val="20"/>
        </w:rPr>
        <w:t>counts_to_tpm</w:t>
      </w:r>
      <w:proofErr w:type="spellEnd"/>
      <w:r w:rsidRPr="00785828">
        <w:rPr>
          <w:rFonts w:ascii="Arial" w:eastAsia="Tinos" w:hAnsi="Arial" w:cs="Arial"/>
          <w:sz w:val="20"/>
          <w:szCs w:val="20"/>
        </w:rPr>
        <w:t xml:space="preserve"> developed by Kamil </w:t>
      </w:r>
      <w:proofErr w:type="spellStart"/>
      <w:r w:rsidRPr="00785828">
        <w:rPr>
          <w:rFonts w:ascii="Arial" w:eastAsia="Tinos" w:hAnsi="Arial" w:cs="Arial"/>
          <w:sz w:val="20"/>
          <w:szCs w:val="20"/>
        </w:rPr>
        <w:t>Slowikowski</w:t>
      </w:r>
      <w:proofErr w:type="spellEnd"/>
      <w:r w:rsidRPr="00785828">
        <w:rPr>
          <w:rFonts w:ascii="Arial" w:eastAsia="Tinos" w:hAnsi="Arial" w:cs="Arial"/>
          <w:sz w:val="20"/>
          <w:szCs w:val="20"/>
        </w:rPr>
        <w:t xml:space="preserve"> </w:t>
      </w:r>
      <w:r w:rsidRPr="00785828">
        <w:rPr>
          <w:rFonts w:ascii="Arial" w:eastAsia="Times New Roman" w:hAnsi="Arial" w:cs="Arial"/>
          <w:sz w:val="20"/>
          <w:szCs w:val="20"/>
        </w:rPr>
        <w:fldChar w:fldCharType="begin"/>
      </w:r>
      <w:r w:rsidR="009600B5">
        <w:rPr>
          <w:rFonts w:ascii="Arial" w:eastAsia="Times New Roman" w:hAnsi="Arial" w:cs="Arial"/>
          <w:sz w:val="20"/>
          <w:szCs w:val="20"/>
        </w:rPr>
        <w:instrText xml:space="preserve"> ADDIN ZOTERO_ITEM CSL_CITATION {"citationID":"t1YwuTTt","properties":{"formattedCitation":"(14)","plainCitation":"(14)","noteIndex":0},"citationItems":[{"id":1488,"uris":["http://zotero.org/users/5867446/items/66UDEJSY"],"uri":["http://zotero.org/users/5867446/items/66UDEJSY"],"itemData":{"id":1488,"type":"book","title":"Convert read counts to transcripts per million (TPM).","URL":"https://gist.github.com/slowkow/c6ab0348747f86e2748b","author":[{"family":"Slowikowski","given":"Kamil"}],"issued":{"date-parts":[["2016"]]}}}],"schema":"https://github.com/citation-style-language/schema/raw/master/csl-citation.json"} </w:instrText>
      </w:r>
      <w:r w:rsidRPr="00785828">
        <w:rPr>
          <w:rFonts w:ascii="Arial" w:eastAsia="Times New Roman" w:hAnsi="Arial" w:cs="Arial"/>
          <w:sz w:val="20"/>
          <w:szCs w:val="20"/>
        </w:rPr>
        <w:fldChar w:fldCharType="separate"/>
      </w:r>
      <w:r w:rsidR="009600B5" w:rsidRPr="009600B5">
        <w:rPr>
          <w:rFonts w:ascii="Arial" w:hAnsi="Arial" w:cs="Arial"/>
          <w:sz w:val="20"/>
        </w:rPr>
        <w:t>(14)</w:t>
      </w:r>
      <w:r w:rsidRPr="00785828">
        <w:rPr>
          <w:rFonts w:ascii="Arial" w:eastAsia="Times New Roman" w:hAnsi="Arial" w:cs="Arial"/>
          <w:sz w:val="20"/>
          <w:szCs w:val="20"/>
        </w:rPr>
        <w:fldChar w:fldCharType="end"/>
      </w:r>
      <w:r w:rsidRPr="00785828">
        <w:rPr>
          <w:rFonts w:ascii="Arial" w:eastAsia="Tinos" w:hAnsi="Arial" w:cs="Arial"/>
          <w:sz w:val="20"/>
          <w:szCs w:val="20"/>
        </w:rPr>
        <w:t xml:space="preserve">. Considering we are interested in the comparison between cohorts, we applied the deconvolution methods </w:t>
      </w:r>
      <w:proofErr w:type="spellStart"/>
      <w:r w:rsidRPr="00785828">
        <w:rPr>
          <w:rFonts w:ascii="Arial" w:eastAsia="Tinos" w:hAnsi="Arial" w:cs="Arial"/>
          <w:i/>
          <w:sz w:val="20"/>
          <w:szCs w:val="20"/>
        </w:rPr>
        <w:t>xcell</w:t>
      </w:r>
      <w:proofErr w:type="spellEnd"/>
      <w:r w:rsidRPr="00785828">
        <w:rPr>
          <w:rFonts w:ascii="Arial" w:eastAsia="Tinos" w:hAnsi="Arial" w:cs="Arial"/>
          <w:sz w:val="20"/>
          <w:szCs w:val="20"/>
        </w:rPr>
        <w:t xml:space="preserve"> and </w:t>
      </w:r>
      <w:proofErr w:type="spellStart"/>
      <w:r w:rsidRPr="00785828">
        <w:rPr>
          <w:rFonts w:ascii="Arial" w:eastAsia="Tinos" w:hAnsi="Arial" w:cs="Arial"/>
          <w:i/>
          <w:sz w:val="20"/>
          <w:szCs w:val="20"/>
        </w:rPr>
        <w:t>mcp</w:t>
      </w:r>
      <w:proofErr w:type="spellEnd"/>
      <w:r w:rsidRPr="00785828">
        <w:rPr>
          <w:rFonts w:ascii="Arial" w:eastAsia="Tinos" w:hAnsi="Arial" w:cs="Arial"/>
          <w:i/>
          <w:sz w:val="20"/>
          <w:szCs w:val="20"/>
        </w:rPr>
        <w:t>-counter</w:t>
      </w:r>
      <w:r w:rsidRPr="00785828">
        <w:rPr>
          <w:rFonts w:ascii="Arial" w:eastAsia="Tinos" w:hAnsi="Arial" w:cs="Arial"/>
          <w:sz w:val="20"/>
          <w:szCs w:val="20"/>
        </w:rPr>
        <w:t xml:space="preserve"> since these are based on marker genes and therefore suitable to applications on data with different conditions. Further, mean values of the scores were calculated for each cell, and subsequent log</w:t>
      </w:r>
      <w:r w:rsidRPr="00785828">
        <w:rPr>
          <w:rFonts w:ascii="Arial" w:eastAsia="Tinos" w:hAnsi="Arial" w:cs="Arial"/>
          <w:sz w:val="20"/>
          <w:szCs w:val="20"/>
          <w:vertAlign w:val="subscript"/>
        </w:rPr>
        <w:t>2</w:t>
      </w:r>
      <w:r w:rsidRPr="00785828">
        <w:rPr>
          <w:rFonts w:ascii="Arial" w:eastAsia="Tinos" w:hAnsi="Arial" w:cs="Arial"/>
          <w:sz w:val="20"/>
          <w:szCs w:val="20"/>
        </w:rPr>
        <w:t>FoldChange (log</w:t>
      </w:r>
      <w:r w:rsidRPr="00785828">
        <w:rPr>
          <w:rFonts w:ascii="Arial" w:eastAsia="Tinos" w:hAnsi="Arial" w:cs="Arial"/>
          <w:sz w:val="20"/>
          <w:szCs w:val="20"/>
          <w:vertAlign w:val="subscript"/>
        </w:rPr>
        <w:t>2</w:t>
      </w:r>
      <w:r w:rsidRPr="00785828">
        <w:rPr>
          <w:rFonts w:ascii="Arial" w:eastAsia="Tinos" w:hAnsi="Arial" w:cs="Arial"/>
          <w:sz w:val="20"/>
          <w:szCs w:val="20"/>
        </w:rPr>
        <w:t>FC) between PD and control patients scores. Significance was introduced by a Wilcoxon t-test and succeeding computed adjusted p-values based on Bonferroni’s correction method. Significant cell scores were identified by adjusted p-value &lt; 0.1.</w:t>
      </w:r>
    </w:p>
    <w:p w:rsidR="007211BA" w:rsidRDefault="007211BA" w:rsidP="007211BA">
      <w:pPr>
        <w:pBdr>
          <w:top w:val="nil"/>
          <w:left w:val="nil"/>
          <w:bottom w:val="nil"/>
          <w:right w:val="nil"/>
          <w:between w:val="nil"/>
        </w:pBdr>
        <w:contextualSpacing/>
        <w:rPr>
          <w:rFonts w:ascii="Arial" w:hAnsi="Arial" w:cs="Arial"/>
          <w:b/>
          <w:color w:val="000000"/>
          <w:sz w:val="20"/>
          <w:szCs w:val="20"/>
        </w:rPr>
      </w:pPr>
      <w:bookmarkStart w:id="0" w:name="_Hlk72325121"/>
      <w:r w:rsidRPr="00575A63">
        <w:rPr>
          <w:rFonts w:ascii="Arial" w:hAnsi="Arial" w:cs="Arial"/>
          <w:b/>
          <w:color w:val="000000"/>
          <w:sz w:val="20"/>
          <w:szCs w:val="20"/>
        </w:rPr>
        <w:t>M</w:t>
      </w:r>
      <w:r>
        <w:rPr>
          <w:rFonts w:ascii="Arial" w:hAnsi="Arial" w:cs="Arial"/>
          <w:b/>
          <w:color w:val="000000"/>
          <w:sz w:val="20"/>
          <w:szCs w:val="20"/>
        </w:rPr>
        <w:t>iRNA target prediction and m</w:t>
      </w:r>
      <w:r w:rsidRPr="00575A63">
        <w:rPr>
          <w:rFonts w:ascii="Arial" w:hAnsi="Arial" w:cs="Arial"/>
          <w:b/>
          <w:color w:val="000000"/>
          <w:sz w:val="20"/>
          <w:szCs w:val="20"/>
        </w:rPr>
        <w:t>ulti-omics data integration</w:t>
      </w:r>
    </w:p>
    <w:bookmarkEnd w:id="0"/>
    <w:p w:rsidR="00D351D4" w:rsidRPr="00575A63" w:rsidRDefault="00D351D4" w:rsidP="00D351D4">
      <w:pPr>
        <w:pBdr>
          <w:top w:val="nil"/>
          <w:left w:val="nil"/>
          <w:bottom w:val="nil"/>
          <w:right w:val="nil"/>
          <w:between w:val="nil"/>
        </w:pBdr>
        <w:contextualSpacing/>
        <w:rPr>
          <w:rFonts w:ascii="Arial" w:hAnsi="Arial" w:cs="Arial"/>
          <w:color w:val="000000"/>
          <w:sz w:val="20"/>
          <w:szCs w:val="20"/>
        </w:rPr>
      </w:pPr>
      <w:r w:rsidRPr="00575A63">
        <w:rPr>
          <w:rFonts w:ascii="Arial" w:hAnsi="Arial" w:cs="Arial"/>
          <w:color w:val="000000"/>
          <w:sz w:val="20"/>
          <w:szCs w:val="20"/>
        </w:rPr>
        <w:t xml:space="preserve">To predict miRNAs target genes, we used </w:t>
      </w:r>
      <w:proofErr w:type="spellStart"/>
      <w:r w:rsidRPr="00575A63">
        <w:rPr>
          <w:rFonts w:ascii="Arial" w:hAnsi="Arial" w:cs="Arial"/>
          <w:color w:val="000000"/>
          <w:sz w:val="20"/>
          <w:szCs w:val="20"/>
        </w:rPr>
        <w:t>miRDB</w:t>
      </w:r>
      <w:proofErr w:type="spellEnd"/>
      <w:r w:rsidRPr="00575A63">
        <w:rPr>
          <w:rFonts w:ascii="Arial" w:hAnsi="Arial" w:cs="Arial"/>
          <w:color w:val="000000"/>
          <w:sz w:val="20"/>
          <w:szCs w:val="20"/>
        </w:rPr>
        <w:t xml:space="preserve"> v22 </w:t>
      </w:r>
      <w:r w:rsidRPr="00575A63">
        <w:rPr>
          <w:rFonts w:ascii="Arial" w:hAnsi="Arial" w:cs="Arial"/>
          <w:color w:val="000000"/>
          <w:sz w:val="20"/>
          <w:szCs w:val="20"/>
        </w:rPr>
        <w:fldChar w:fldCharType="begin"/>
      </w:r>
      <w:r w:rsidR="009600B5">
        <w:rPr>
          <w:rFonts w:ascii="Arial" w:hAnsi="Arial" w:cs="Arial"/>
          <w:color w:val="000000"/>
          <w:sz w:val="20"/>
          <w:szCs w:val="20"/>
        </w:rPr>
        <w:instrText xml:space="preserve"> ADDIN ZOTERO_ITEM CSL_CITATION {"citationID":"oeKmulj6","properties":{"formattedCitation":"(15)","plainCitation":"(15)","noteIndex":0},"citationItems":[{"id":1401,"uris":["http://zotero.org/users/5867446/items/LHAXV7MV"],"uri":["http://zotero.org/users/5867446/items/LHAXV7MV"],"itemData":{"id":1401,"type":"article-journal","abstract":"Abstract\n            MicroRNAs (miRNAs) are small noncoding RNAs that act as master regulators in many biological processes. miRNAs function mainly by downregulating the expression of their gene targets. Thus, accurate prediction of miRNA targets is critical for characterization of miRNA functions. To this end, we have developed an online database, miRDB, for miRNA target prediction and functional annotations. Recently, we have performed major updates for miRDB. Specifically, by employing an improved algorithm for miRNA target prediction, we now present updated transcriptome-wide target prediction data in miRDB, including 3.5 million predicted targets regulated by 7000 miRNAs in five species. Further, we have implemented the new prediction algorithm into a web server, allowing custom target prediction with user-provided sequences. Another new database feature is the prediction of cell-specific miRNA targets. miRDB now hosts the expression profiles of over 1000 cell lines and presents target prediction data that are tailored for specific cell models. At last, a new web query interface has been added to miRDB for prediction of miRNA functions by integrative analysis of target prediction and Gene Ontology data. All data in miRDB are freely accessible at http://mirdb.org.","container-title":"Nucleic Acids Research","DOI":"10.1093/nar/gkz757","ISSN":"0305-1048, 1362-4962","issue":"D1","language":"en","page":"D127-D131","source":"DOI.org (Crossref)","title":"miRDB: an online database for prediction of functional microRNA targets","title-short":"miRDB","volume":"48","author":[{"family":"Chen","given":"Yuhao"},{"family":"Wang","given":"Xiaowei"}],"issued":{"date-parts":[["2020",1,8]]}}}],"schema":"https://github.com/citation-style-language/schema/raw/master/csl-citation.json"} </w:instrText>
      </w:r>
      <w:r w:rsidRPr="00575A63">
        <w:rPr>
          <w:rFonts w:ascii="Arial" w:hAnsi="Arial" w:cs="Arial"/>
          <w:color w:val="000000"/>
          <w:sz w:val="20"/>
          <w:szCs w:val="20"/>
        </w:rPr>
        <w:fldChar w:fldCharType="separate"/>
      </w:r>
      <w:r w:rsidR="009600B5" w:rsidRPr="009600B5">
        <w:rPr>
          <w:rFonts w:ascii="Arial" w:hAnsi="Arial" w:cs="Arial"/>
          <w:sz w:val="20"/>
        </w:rPr>
        <w:t>(15)</w:t>
      </w:r>
      <w:r w:rsidRPr="00575A63">
        <w:rPr>
          <w:rFonts w:ascii="Arial" w:hAnsi="Arial" w:cs="Arial"/>
          <w:color w:val="000000"/>
          <w:sz w:val="20"/>
          <w:szCs w:val="20"/>
        </w:rPr>
        <w:fldChar w:fldCharType="end"/>
      </w:r>
      <w:r w:rsidRPr="00575A63">
        <w:rPr>
          <w:rFonts w:ascii="Arial" w:hAnsi="Arial" w:cs="Arial"/>
          <w:color w:val="000000"/>
          <w:sz w:val="20"/>
          <w:szCs w:val="20"/>
        </w:rPr>
        <w:t xml:space="preserve"> and </w:t>
      </w:r>
      <w:proofErr w:type="spellStart"/>
      <w:r w:rsidRPr="00575A63">
        <w:rPr>
          <w:rFonts w:ascii="Arial" w:hAnsi="Arial" w:cs="Arial"/>
          <w:color w:val="000000"/>
          <w:sz w:val="20"/>
          <w:szCs w:val="20"/>
        </w:rPr>
        <w:t>mirTarBase</w:t>
      </w:r>
      <w:proofErr w:type="spellEnd"/>
      <w:r w:rsidRPr="00575A63">
        <w:rPr>
          <w:rFonts w:ascii="Arial" w:hAnsi="Arial" w:cs="Arial"/>
          <w:color w:val="000000"/>
          <w:sz w:val="20"/>
          <w:szCs w:val="20"/>
        </w:rPr>
        <w:t xml:space="preserve"> 8.0 </w:t>
      </w:r>
      <w:r w:rsidRPr="00575A63">
        <w:rPr>
          <w:rFonts w:ascii="Arial" w:hAnsi="Arial" w:cs="Arial"/>
          <w:color w:val="000000"/>
          <w:sz w:val="20"/>
          <w:szCs w:val="20"/>
        </w:rPr>
        <w:fldChar w:fldCharType="begin"/>
      </w:r>
      <w:r w:rsidR="009600B5">
        <w:rPr>
          <w:rFonts w:ascii="Arial" w:hAnsi="Arial" w:cs="Arial"/>
          <w:color w:val="000000"/>
          <w:sz w:val="20"/>
          <w:szCs w:val="20"/>
        </w:rPr>
        <w:instrText xml:space="preserve"> ADDIN ZOTERO_ITEM CSL_CITATION {"citationID":"x44tX6lW","properties":{"formattedCitation":"(16)","plainCitation":"(16)","noteIndex":0},"citationItems":[{"id":1402,"uris":["http://zotero.org/users/5867446/items/TLK7I3WP"],"uri":["http://zotero.org/users/5867446/items/TLK7I3WP"],"itemData":{"id":1402,"type":"article-journal","abstract":"Abstract\n            MicroRNAs (miRNAs) are small non-coding RNAs (typically consisting of 18–25 nucleotides) that negatively control expression of target genes at the post-transcriptional level. Owing to the biological significance of miRNAs, miRTarBase was developed to provide comprehensive information on experimentally validated miRNA–target interactions (MTIs). To date, the database has accumulated &gt;13,404 validated MTIs from 11,021 articles from manual curations. In this update, a text-mining system was incorporated to enhance the recognition of MTI-related articles by adopting a scoring system. In addition, a variety of biological databases were integrated to provide information on the regulatory network of miRNAs and its expression in blood. Not only targets of miRNAs but also regulators of miRNAs are provided to users for investigating the up- and downstream regulations of miRNAs. Moreover, the number of MTIs with high-throughput experimental evidence increased remarkably (validated by CLIP-seq technology). In conclusion, these improvements promote the miRTarBase as one of the most comprehensively annotated and experimentally validated miRNA–target interaction databases. The updated version of miRTarBase is now available at http://miRTarBase.cuhk.edu.cn/.","container-title":"Nucleic Acids Research","DOI":"10.1093/nar/gkz896","ISSN":"0305-1048, 1362-4962","language":"en","page":"gkz896","source":"DOI.org (Crossref)","title":"miRTarBase 2020: updates to the experimentally validated microRNA–target interaction database","title-short":"miRTarBase 2020","author":[{"family":"Huang","given":"Hsi-Yuan"},{"family":"Lin","given":"Yang-Chi-Dung"},{"family":"Li","given":"Jing"},{"family":"Huang","given":"Kai-Yao"},{"family":"Shrestha","given":"Sirjana"},{"family":"Hong","given":"Hsiao-Chin"},{"family":"Tang","given":"Yun"},{"family":"Chen","given":"Yi-Gang"},{"family":"Jin","given":"Chen-Nan"},{"family":"Yu","given":"Yuan"},{"family":"Xu","given":"Jia-Tong"},{"family":"Li","given":"Yue-Ming"},{"family":"Cai","given":"Xiao-Xuan"},{"family":"Zhou","given":"Zhen-Yu"},{"family":"Chen","given":"Xiao-Hang"},{"family":"Pei","given":"Yuan-Yuan"},{"family":"Hu","given":"Liang"},{"family":"Su","given":"Jin-Jiang"},{"family":"Cui","given":"Shi-Dong"},{"family":"Wang","given":"Fei"},{"family":"Xie","given":"Yue-Yang"},{"family":"Ding","given":"Si-Yuan"},{"family":"Luo","given":"Meng-Fan"},{"family":"Chou","given":"Chih-Hung"},{"family":"Chang","given":"Nai-Wen"},{"family":"Chen","given":"Kai-Wen"},{"family":"Cheng","given":"Yu-Hsiang"},{"family":"Wan","given":"Xin-Hong"},{"family":"Hsu","given":"Wen-Lian"},{"family":"Lee","given":"Tzong-Yi"},{"family":"Wei","given":"Feng-Xiang"},{"family":"Huang","given":"Hsien-Da"}],"issued":{"date-parts":[["2019",10,24]]}}}],"schema":"https://github.com/citation-style-language/schema/raw/master/csl-citation.json"} </w:instrText>
      </w:r>
      <w:r w:rsidRPr="00575A63">
        <w:rPr>
          <w:rFonts w:ascii="Arial" w:hAnsi="Arial" w:cs="Arial"/>
          <w:color w:val="000000"/>
          <w:sz w:val="20"/>
          <w:szCs w:val="20"/>
        </w:rPr>
        <w:fldChar w:fldCharType="separate"/>
      </w:r>
      <w:r w:rsidR="009600B5" w:rsidRPr="009600B5">
        <w:rPr>
          <w:rFonts w:ascii="Arial" w:hAnsi="Arial" w:cs="Arial"/>
          <w:sz w:val="20"/>
        </w:rPr>
        <w:t>(16)</w:t>
      </w:r>
      <w:r w:rsidRPr="00575A63">
        <w:rPr>
          <w:rFonts w:ascii="Arial" w:hAnsi="Arial" w:cs="Arial"/>
          <w:color w:val="000000"/>
          <w:sz w:val="20"/>
          <w:szCs w:val="20"/>
        </w:rPr>
        <w:fldChar w:fldCharType="end"/>
      </w:r>
      <w:r w:rsidRPr="00575A63">
        <w:rPr>
          <w:rFonts w:ascii="Arial" w:hAnsi="Arial" w:cs="Arial"/>
          <w:color w:val="000000"/>
          <w:sz w:val="20"/>
          <w:szCs w:val="20"/>
        </w:rPr>
        <w:t xml:space="preserve">. The first is based on text mining of functional studies of miRNAs and collects miRNA-target interactions (MTI) which have been experimentally validated. The latter consists in the application of support vector machines in high-throughput sequencing experiments, and the identification of new miRNA target binding and expression downregulation. For </w:t>
      </w:r>
      <w:proofErr w:type="spellStart"/>
      <w:r w:rsidRPr="00575A63">
        <w:rPr>
          <w:rFonts w:ascii="Arial" w:hAnsi="Arial" w:cs="Arial"/>
          <w:color w:val="000000"/>
          <w:sz w:val="20"/>
          <w:szCs w:val="20"/>
        </w:rPr>
        <w:t>miRDB</w:t>
      </w:r>
      <w:proofErr w:type="spellEnd"/>
      <w:r w:rsidRPr="00575A63">
        <w:rPr>
          <w:rFonts w:ascii="Arial" w:hAnsi="Arial" w:cs="Arial"/>
          <w:color w:val="000000"/>
          <w:sz w:val="20"/>
          <w:szCs w:val="20"/>
        </w:rPr>
        <w:t xml:space="preserve">, the default search criteria of target prediction score higher than 60 and miRNAs with less than 800 targets was considered to find all gene targets of all the miRNAs available in our data. In addition, integration between gene and protein expression was performed using the </w:t>
      </w:r>
      <w:proofErr w:type="spellStart"/>
      <w:r w:rsidRPr="00575A63">
        <w:rPr>
          <w:rFonts w:ascii="Arial" w:hAnsi="Arial" w:cs="Arial"/>
          <w:color w:val="000000"/>
          <w:sz w:val="20"/>
          <w:szCs w:val="20"/>
        </w:rPr>
        <w:t>UniProt</w:t>
      </w:r>
      <w:proofErr w:type="spellEnd"/>
      <w:r w:rsidRPr="00575A63">
        <w:rPr>
          <w:rFonts w:ascii="Arial" w:hAnsi="Arial" w:cs="Arial"/>
          <w:color w:val="000000"/>
          <w:sz w:val="20"/>
          <w:szCs w:val="20"/>
        </w:rPr>
        <w:t xml:space="preserve"> database </w:t>
      </w:r>
      <w:r w:rsidRPr="00575A63">
        <w:rPr>
          <w:rFonts w:ascii="Arial" w:hAnsi="Arial" w:cs="Arial"/>
          <w:color w:val="000000"/>
          <w:sz w:val="20"/>
          <w:szCs w:val="20"/>
        </w:rPr>
        <w:fldChar w:fldCharType="begin"/>
      </w:r>
      <w:r w:rsidR="009600B5">
        <w:rPr>
          <w:rFonts w:ascii="Arial" w:hAnsi="Arial" w:cs="Arial"/>
          <w:color w:val="000000"/>
          <w:sz w:val="20"/>
          <w:szCs w:val="20"/>
        </w:rPr>
        <w:instrText xml:space="preserve"> ADDIN ZOTERO_ITEM CSL_CITATION {"citationID":"Yop87mHc","properties":{"formattedCitation":"(17)","plainCitation":"(17)","noteIndex":0},"citationItems":[{"id":1490,"uris":["http://zotero.org/users/5867446/items/JAD5BYJ2"],"uri":["http://zotero.org/users/5867446/items/JAD5BYJ2"],"itemData":{"id":1490,"type":"article-journal","container-title":"Nucleic Acids Research","DOI":"10.1093/nar/gky1049","ISSN":"0305-1048, 1362-4962","issue":"D1","language":"en","page":"D506-D515","source":"DOI.org (Crossref)","title":"UniProt: a worldwide hub of protein knowledge","title-short":"UniProt","volume":"47","author":[{"literal":"The UniProt Consortium"}],"issued":{"date-parts":[["2019",1,8]]}}}],"schema":"https://github.com/citation-style-language/schema/raw/master/csl-citation.json"} </w:instrText>
      </w:r>
      <w:r w:rsidRPr="00575A63">
        <w:rPr>
          <w:rFonts w:ascii="Arial" w:hAnsi="Arial" w:cs="Arial"/>
          <w:color w:val="000000"/>
          <w:sz w:val="20"/>
          <w:szCs w:val="20"/>
        </w:rPr>
        <w:fldChar w:fldCharType="separate"/>
      </w:r>
      <w:r w:rsidR="009600B5" w:rsidRPr="009600B5">
        <w:rPr>
          <w:rFonts w:ascii="Arial" w:hAnsi="Arial" w:cs="Arial"/>
          <w:sz w:val="20"/>
        </w:rPr>
        <w:t>(17)</w:t>
      </w:r>
      <w:r w:rsidRPr="00575A63">
        <w:rPr>
          <w:rFonts w:ascii="Arial" w:hAnsi="Arial" w:cs="Arial"/>
          <w:color w:val="000000"/>
          <w:sz w:val="20"/>
          <w:szCs w:val="20"/>
        </w:rPr>
        <w:fldChar w:fldCharType="end"/>
      </w:r>
      <w:r w:rsidRPr="00575A63">
        <w:rPr>
          <w:rFonts w:ascii="Arial" w:hAnsi="Arial" w:cs="Arial"/>
          <w:color w:val="000000"/>
          <w:sz w:val="20"/>
          <w:szCs w:val="20"/>
        </w:rPr>
        <w:t>.</w:t>
      </w:r>
    </w:p>
    <w:p w:rsidR="00D351D4" w:rsidRPr="00575A63" w:rsidRDefault="00D351D4" w:rsidP="00D351D4">
      <w:pPr>
        <w:pBdr>
          <w:top w:val="nil"/>
          <w:left w:val="nil"/>
          <w:bottom w:val="nil"/>
          <w:right w:val="nil"/>
          <w:between w:val="nil"/>
        </w:pBdr>
        <w:contextualSpacing/>
        <w:rPr>
          <w:rFonts w:ascii="Arial" w:hAnsi="Arial" w:cs="Arial"/>
          <w:b/>
          <w:color w:val="000000"/>
          <w:sz w:val="20"/>
          <w:szCs w:val="20"/>
        </w:rPr>
      </w:pPr>
      <w:r w:rsidRPr="00575A63">
        <w:rPr>
          <w:rFonts w:ascii="Arial" w:hAnsi="Arial" w:cs="Arial"/>
          <w:b/>
          <w:color w:val="000000"/>
          <w:sz w:val="20"/>
          <w:szCs w:val="20"/>
        </w:rPr>
        <w:t>Gene ontology and pathway enrichment analyses</w:t>
      </w:r>
    </w:p>
    <w:p w:rsidR="00D351D4" w:rsidRPr="00575A63" w:rsidRDefault="00D351D4" w:rsidP="00D351D4">
      <w:pPr>
        <w:pBdr>
          <w:top w:val="nil"/>
          <w:left w:val="nil"/>
          <w:bottom w:val="nil"/>
          <w:right w:val="nil"/>
          <w:between w:val="nil"/>
        </w:pBdr>
        <w:contextualSpacing/>
        <w:rPr>
          <w:rFonts w:ascii="Arial" w:hAnsi="Arial" w:cs="Arial"/>
          <w:b/>
          <w:color w:val="000000"/>
          <w:sz w:val="20"/>
          <w:szCs w:val="20"/>
        </w:rPr>
      </w:pPr>
      <w:r w:rsidRPr="00575A63">
        <w:rPr>
          <w:rFonts w:ascii="Arial" w:hAnsi="Arial" w:cs="Arial"/>
          <w:color w:val="000000"/>
          <w:sz w:val="20"/>
          <w:szCs w:val="20"/>
        </w:rPr>
        <w:t>To perform a GO term and pathway enrichment analys</w:t>
      </w:r>
      <w:r w:rsidR="007510B2">
        <w:rPr>
          <w:rFonts w:ascii="Arial" w:hAnsi="Arial" w:cs="Arial"/>
          <w:color w:val="000000"/>
          <w:sz w:val="20"/>
          <w:szCs w:val="20"/>
        </w:rPr>
        <w:t>e</w:t>
      </w:r>
      <w:r w:rsidRPr="00575A63">
        <w:rPr>
          <w:rFonts w:ascii="Arial" w:hAnsi="Arial" w:cs="Arial"/>
          <w:color w:val="000000"/>
          <w:sz w:val="20"/>
          <w:szCs w:val="20"/>
        </w:rPr>
        <w:t xml:space="preserve">s of the differential expressed genes, we used </w:t>
      </w:r>
      <w:proofErr w:type="spellStart"/>
      <w:r w:rsidRPr="00575A63">
        <w:rPr>
          <w:rFonts w:ascii="Arial" w:hAnsi="Arial" w:cs="Arial"/>
          <w:color w:val="000000"/>
          <w:sz w:val="20"/>
          <w:szCs w:val="20"/>
        </w:rPr>
        <w:t>ShinyGO</w:t>
      </w:r>
      <w:proofErr w:type="spellEnd"/>
      <w:r w:rsidRPr="00575A63">
        <w:rPr>
          <w:rFonts w:ascii="Arial" w:hAnsi="Arial" w:cs="Arial"/>
          <w:color w:val="000000"/>
          <w:sz w:val="20"/>
          <w:szCs w:val="20"/>
        </w:rPr>
        <w:t xml:space="preserve"> </w:t>
      </w:r>
      <w:r w:rsidRPr="00575A63">
        <w:rPr>
          <w:rFonts w:ascii="Arial" w:hAnsi="Arial" w:cs="Arial"/>
          <w:color w:val="000000"/>
          <w:sz w:val="20"/>
          <w:szCs w:val="20"/>
        </w:rPr>
        <w:fldChar w:fldCharType="begin"/>
      </w:r>
      <w:r w:rsidR="009600B5">
        <w:rPr>
          <w:rFonts w:ascii="Arial" w:hAnsi="Arial" w:cs="Arial"/>
          <w:color w:val="000000"/>
          <w:sz w:val="20"/>
          <w:szCs w:val="20"/>
        </w:rPr>
        <w:instrText xml:space="preserve"> ADDIN ZOTERO_ITEM CSL_CITATION {"citationID":"lVe1l4bK","properties":{"formattedCitation":"(18)","plainCitation":"(18)","noteIndex":0},"citationItems":[{"id":1400,"uris":["http://zotero.org/users/5867446/items/X2PPQDUK"],"uri":["http://zotero.org/users/5867446/items/X2PPQDUK"],"itemData":{"id":1400,"type":"article-journal","abstract":"Abstract\n            \n              Motivation\n              Gene lists are routinely produced from various omic studies. Enrichment analysis can link these gene lists with underlying molecular pathways and functional categories such as gene ontology (GO) and other databases.\n            \n            \n              Results\n              To complement existing tools, we developed ShinyGO based on a large annotation database derived from Ensembl and STRING-db for 59 plant, 256 animal, 115 archeal and 1678 bacterial species. ShinyGO’s novel features include graphical visualization of enrichment results and gene characteristics, and application program interface access to KEGG and STRING for the retrieval of pathway diagrams and protein–protein interaction networks. ShinyGO is an intuitive, graphical web application that can help researchers gain actionable insights from gene-sets.\n            \n            \n              Availability and implementation\n              http://ge-lab.org/go/.\n            \n            \n              Supplementary information\n              Supplementary data are available at Bioinformatics online.","container-title":"Bioinformatics","DOI":"10.1093/bioinformatics/btz931","ISSN":"1367-4803, 1460-2059","issue":"8","language":"en","page":"2628-2629","source":"DOI.org (Crossref)","title":"ShinyGO: a graphical gene-set enrichment tool for animals and plants","title-short":"ShinyGO","volume":"36","author":[{"family":"Ge","given":"Steven Xijin"},{"family":"Jung","given":"Dongmin"},{"family":"Yao","given":"Runan"}],"editor":[{"family":"Valencia","given":"Alfonso"}],"issued":{"date-parts":[["2020",4,15]]}}}],"schema":"https://github.com/citation-style-language/schema/raw/master/csl-citation.json"} </w:instrText>
      </w:r>
      <w:r w:rsidRPr="00575A63">
        <w:rPr>
          <w:rFonts w:ascii="Arial" w:hAnsi="Arial" w:cs="Arial"/>
          <w:color w:val="000000"/>
          <w:sz w:val="20"/>
          <w:szCs w:val="20"/>
        </w:rPr>
        <w:fldChar w:fldCharType="separate"/>
      </w:r>
      <w:r w:rsidR="009600B5" w:rsidRPr="009600B5">
        <w:rPr>
          <w:rFonts w:ascii="Arial" w:hAnsi="Arial" w:cs="Arial"/>
          <w:sz w:val="20"/>
        </w:rPr>
        <w:t>(18)</w:t>
      </w:r>
      <w:r w:rsidRPr="00575A63">
        <w:rPr>
          <w:rFonts w:ascii="Arial" w:hAnsi="Arial" w:cs="Arial"/>
          <w:color w:val="000000"/>
          <w:sz w:val="20"/>
          <w:szCs w:val="20"/>
        </w:rPr>
        <w:fldChar w:fldCharType="end"/>
      </w:r>
      <w:r w:rsidRPr="00575A63">
        <w:rPr>
          <w:rFonts w:ascii="Arial" w:hAnsi="Arial" w:cs="Arial"/>
          <w:color w:val="000000"/>
          <w:sz w:val="20"/>
          <w:szCs w:val="20"/>
        </w:rPr>
        <w:t xml:space="preserve"> and several common functional annotation databases (i.e., GO and KEGG). This enrichment analysis was done separately for the differentially up- and down-regulated </w:t>
      </w:r>
      <w:r w:rsidR="007510B2">
        <w:rPr>
          <w:rFonts w:ascii="Arial" w:hAnsi="Arial" w:cs="Arial"/>
          <w:color w:val="000000"/>
          <w:sz w:val="20"/>
          <w:szCs w:val="20"/>
        </w:rPr>
        <w:t>entities</w:t>
      </w:r>
      <w:r w:rsidRPr="00575A63">
        <w:rPr>
          <w:rFonts w:ascii="Arial" w:hAnsi="Arial" w:cs="Arial"/>
          <w:color w:val="000000"/>
          <w:sz w:val="20"/>
          <w:szCs w:val="20"/>
        </w:rPr>
        <w:t xml:space="preserve">, and using a significance level of FDR &lt; 0.05 and &lt; 0.1, respectively. Furthermore, protein-protein interaction networks were generated and visualized with the STRING platform v.11 </w:t>
      </w:r>
      <w:r w:rsidRPr="00575A63">
        <w:rPr>
          <w:rFonts w:ascii="Arial" w:hAnsi="Arial" w:cs="Arial"/>
          <w:color w:val="000000"/>
          <w:sz w:val="20"/>
          <w:szCs w:val="20"/>
        </w:rPr>
        <w:fldChar w:fldCharType="begin"/>
      </w:r>
      <w:r w:rsidR="009600B5">
        <w:rPr>
          <w:rFonts w:ascii="Arial" w:hAnsi="Arial" w:cs="Arial"/>
          <w:color w:val="000000"/>
          <w:sz w:val="20"/>
          <w:szCs w:val="20"/>
        </w:rPr>
        <w:instrText xml:space="preserve"> ADDIN ZOTERO_ITEM CSL_CITATION {"citationID":"fs1dVhuj","properties":{"formattedCitation":"(19)","plainCitation":"(19)","noteIndex":0},"citationItems":[{"id":1349,"uris":["http://zotero.org/users/5867446/items/BNPWZ7XR"],"uri":["http://zotero.org/users/5867446/items/BNPWZ7XR"],"itemData":{"id":1349,"type":"article-journal","container-title":"Nucleic Acids Research","DOI":"10.1093/nar/gky1131","ISSN":"0305-1048, 1362-4962","issue":"D1","language":"en","page":"D607-D613","source":"DOI.org (Crossref)","title":"STRING v11: protein–protein association networks with increased coverage, supporting functional discovery in genome-wide experimental datasets","title-short":"STRING v11","volume":"47","author":[{"family":"Szklarczyk","given":"Damian"},{"family":"Gable","given":"Annika L"},{"family":"Lyon","given":"David"},{"family":"Junge","given":"Alexander"},{"family":"Wyder","given":"Stefan"},{"family":"Huerta-Cepas","given":"Jaime"},{"family":"Simonovic","given":"Milan"},{"family":"Doncheva","given":"Nadezhda T"},{"family":"Morris","given":"John H"},{"family":"Bork","given":"Peer"},{"family":"Jensen","given":"Lars J"},{"family":"Mering","given":"Christian von"}],"issued":{"date-parts":[["2019",1,8]]}}}],"schema":"https://github.com/citation-style-language/schema/raw/master/csl-citation.json"} </w:instrText>
      </w:r>
      <w:r w:rsidRPr="00575A63">
        <w:rPr>
          <w:rFonts w:ascii="Arial" w:hAnsi="Arial" w:cs="Arial"/>
          <w:color w:val="000000"/>
          <w:sz w:val="20"/>
          <w:szCs w:val="20"/>
        </w:rPr>
        <w:fldChar w:fldCharType="separate"/>
      </w:r>
      <w:r w:rsidR="009600B5" w:rsidRPr="009600B5">
        <w:rPr>
          <w:rFonts w:ascii="Arial" w:hAnsi="Arial" w:cs="Arial"/>
          <w:sz w:val="20"/>
        </w:rPr>
        <w:t>(19)</w:t>
      </w:r>
      <w:r w:rsidRPr="00575A63">
        <w:rPr>
          <w:rFonts w:ascii="Arial" w:hAnsi="Arial" w:cs="Arial"/>
          <w:color w:val="000000"/>
          <w:sz w:val="20"/>
          <w:szCs w:val="20"/>
        </w:rPr>
        <w:fldChar w:fldCharType="end"/>
      </w:r>
      <w:r w:rsidRPr="00575A63">
        <w:rPr>
          <w:rFonts w:ascii="Arial" w:hAnsi="Arial" w:cs="Arial"/>
          <w:color w:val="000000"/>
          <w:sz w:val="20"/>
          <w:szCs w:val="20"/>
        </w:rPr>
        <w:t xml:space="preserve"> using default settings.</w:t>
      </w:r>
    </w:p>
    <w:p w:rsidR="0053498E" w:rsidRPr="00785828" w:rsidRDefault="0053498E" w:rsidP="0053498E">
      <w:pPr>
        <w:spacing w:after="0" w:line="240" w:lineRule="auto"/>
        <w:jc w:val="both"/>
        <w:rPr>
          <w:rFonts w:ascii="Arial" w:eastAsia="Tinos" w:hAnsi="Arial" w:cs="Arial"/>
          <w:b/>
          <w:sz w:val="20"/>
          <w:szCs w:val="20"/>
        </w:rPr>
      </w:pPr>
    </w:p>
    <w:p w:rsidR="0052708E" w:rsidRDefault="0052708E" w:rsidP="0053498E">
      <w:pPr>
        <w:spacing w:after="0" w:line="240" w:lineRule="auto"/>
        <w:jc w:val="both"/>
        <w:rPr>
          <w:rFonts w:ascii="Arial" w:eastAsia="Tinos" w:hAnsi="Arial" w:cs="Arial"/>
          <w:b/>
          <w:sz w:val="20"/>
          <w:szCs w:val="20"/>
        </w:rPr>
      </w:pPr>
    </w:p>
    <w:p w:rsidR="00052A9B" w:rsidRDefault="00052A9B" w:rsidP="0053498E">
      <w:pPr>
        <w:spacing w:after="0" w:line="240" w:lineRule="auto"/>
        <w:jc w:val="both"/>
        <w:rPr>
          <w:rFonts w:ascii="Arial" w:eastAsia="Tinos" w:hAnsi="Arial" w:cs="Arial"/>
          <w:b/>
          <w:sz w:val="20"/>
          <w:szCs w:val="20"/>
        </w:rPr>
      </w:pPr>
    </w:p>
    <w:p w:rsidR="00052A9B" w:rsidRDefault="00052A9B" w:rsidP="0053498E">
      <w:pPr>
        <w:spacing w:after="0" w:line="240" w:lineRule="auto"/>
        <w:jc w:val="both"/>
        <w:rPr>
          <w:rFonts w:ascii="Arial" w:eastAsia="Tinos" w:hAnsi="Arial" w:cs="Arial"/>
          <w:b/>
          <w:sz w:val="20"/>
          <w:szCs w:val="20"/>
        </w:rPr>
      </w:pPr>
    </w:p>
    <w:p w:rsidR="00052A9B" w:rsidRDefault="00052A9B" w:rsidP="0053498E">
      <w:pPr>
        <w:spacing w:after="0" w:line="240" w:lineRule="auto"/>
        <w:jc w:val="both"/>
        <w:rPr>
          <w:rFonts w:ascii="Arial" w:eastAsia="Tinos" w:hAnsi="Arial" w:cs="Arial"/>
          <w:b/>
          <w:sz w:val="20"/>
          <w:szCs w:val="20"/>
        </w:rPr>
      </w:pPr>
    </w:p>
    <w:p w:rsidR="00052A9B" w:rsidRDefault="00052A9B" w:rsidP="0053498E">
      <w:pPr>
        <w:spacing w:after="0" w:line="240" w:lineRule="auto"/>
        <w:jc w:val="both"/>
        <w:rPr>
          <w:rFonts w:ascii="Arial" w:eastAsia="Tinos" w:hAnsi="Arial" w:cs="Arial"/>
          <w:b/>
          <w:sz w:val="20"/>
          <w:szCs w:val="20"/>
        </w:rPr>
      </w:pPr>
    </w:p>
    <w:p w:rsidR="00052A9B" w:rsidRDefault="00052A9B" w:rsidP="0053498E">
      <w:pPr>
        <w:spacing w:after="0" w:line="240" w:lineRule="auto"/>
        <w:jc w:val="both"/>
        <w:rPr>
          <w:rFonts w:ascii="Arial" w:eastAsia="Tinos" w:hAnsi="Arial" w:cs="Arial"/>
          <w:b/>
          <w:sz w:val="20"/>
          <w:szCs w:val="20"/>
        </w:rPr>
      </w:pPr>
    </w:p>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b/>
          <w:sz w:val="20"/>
          <w:szCs w:val="20"/>
        </w:rPr>
        <w:lastRenderedPageBreak/>
        <w:t>SI References</w:t>
      </w:r>
    </w:p>
    <w:p w:rsidR="0053498E" w:rsidRPr="00785828" w:rsidRDefault="0053498E" w:rsidP="0053498E">
      <w:pPr>
        <w:spacing w:after="0" w:line="240" w:lineRule="auto"/>
        <w:jc w:val="both"/>
        <w:rPr>
          <w:rFonts w:ascii="Arial" w:eastAsia="Tinos" w:hAnsi="Arial" w:cs="Arial"/>
          <w:sz w:val="20"/>
          <w:szCs w:val="20"/>
        </w:rPr>
      </w:pPr>
    </w:p>
    <w:p w:rsidR="009600B5" w:rsidRPr="009600B5" w:rsidRDefault="0053498E" w:rsidP="009600B5">
      <w:pPr>
        <w:pStyle w:val="Bibliography"/>
        <w:rPr>
          <w:rFonts w:ascii="Arial" w:hAnsi="Arial" w:cs="Arial"/>
          <w:sz w:val="20"/>
          <w:szCs w:val="24"/>
        </w:rPr>
      </w:pPr>
      <w:r w:rsidRPr="00785828">
        <w:fldChar w:fldCharType="begin"/>
      </w:r>
      <w:r w:rsidR="009600B5">
        <w:instrText xml:space="preserve"> ADDIN ZOTERO_BIBL {"uncited":[],"omitted":[],"custom":[]} CSL_BIBLIOGRAPHY </w:instrText>
      </w:r>
      <w:r w:rsidRPr="00785828">
        <w:fldChar w:fldCharType="separate"/>
      </w:r>
      <w:r w:rsidR="009600B5" w:rsidRPr="009600B5">
        <w:rPr>
          <w:rFonts w:ascii="Arial" w:hAnsi="Arial" w:cs="Arial"/>
          <w:sz w:val="20"/>
          <w:szCs w:val="24"/>
        </w:rPr>
        <w:t xml:space="preserve">1. </w:t>
      </w:r>
      <w:r w:rsidR="009600B5" w:rsidRPr="009600B5">
        <w:rPr>
          <w:rFonts w:ascii="Arial" w:hAnsi="Arial" w:cs="Arial"/>
          <w:sz w:val="20"/>
          <w:szCs w:val="24"/>
        </w:rPr>
        <w:tab/>
        <w:t xml:space="preserve">G. Jain, </w:t>
      </w:r>
      <w:r w:rsidR="009600B5" w:rsidRPr="009600B5">
        <w:rPr>
          <w:rFonts w:ascii="Arial" w:hAnsi="Arial" w:cs="Arial"/>
          <w:i/>
          <w:iCs/>
          <w:sz w:val="20"/>
          <w:szCs w:val="24"/>
        </w:rPr>
        <w:t>GJSrMap: The smallRNA mapping pipeline</w:t>
      </w:r>
      <w:r w:rsidR="009600B5" w:rsidRPr="009600B5">
        <w:rPr>
          <w:rFonts w:ascii="Arial" w:hAnsi="Arial" w:cs="Arial"/>
          <w:sz w:val="20"/>
          <w:szCs w:val="24"/>
        </w:rPr>
        <w:t xml:space="preserve"> (GitHub, 2018).</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2. </w:t>
      </w:r>
      <w:r w:rsidRPr="009600B5">
        <w:rPr>
          <w:rFonts w:ascii="Arial" w:hAnsi="Arial" w:cs="Arial"/>
          <w:sz w:val="20"/>
          <w:szCs w:val="24"/>
        </w:rPr>
        <w:tab/>
        <w:t xml:space="preserve">M. Martin, Cutadapt removes adapter sequences from high-throughput sequencing reads. </w:t>
      </w:r>
      <w:r w:rsidRPr="009600B5">
        <w:rPr>
          <w:rFonts w:ascii="Arial" w:hAnsi="Arial" w:cs="Arial"/>
          <w:i/>
          <w:iCs/>
          <w:sz w:val="20"/>
          <w:szCs w:val="24"/>
        </w:rPr>
        <w:t>EMBnet j.</w:t>
      </w:r>
      <w:r w:rsidRPr="009600B5">
        <w:rPr>
          <w:rFonts w:ascii="Arial" w:hAnsi="Arial" w:cs="Arial"/>
          <w:sz w:val="20"/>
          <w:szCs w:val="24"/>
        </w:rPr>
        <w:t xml:space="preserve"> </w:t>
      </w:r>
      <w:r w:rsidRPr="009600B5">
        <w:rPr>
          <w:rFonts w:ascii="Arial" w:hAnsi="Arial" w:cs="Arial"/>
          <w:b/>
          <w:bCs/>
          <w:sz w:val="20"/>
          <w:szCs w:val="24"/>
        </w:rPr>
        <w:t>17</w:t>
      </w:r>
      <w:r w:rsidRPr="009600B5">
        <w:rPr>
          <w:rFonts w:ascii="Arial" w:hAnsi="Arial" w:cs="Arial"/>
          <w:sz w:val="20"/>
          <w:szCs w:val="24"/>
        </w:rPr>
        <w:t>, 10 (2011).</w:t>
      </w:r>
    </w:p>
    <w:p w:rsidR="009600B5" w:rsidRPr="009600B5" w:rsidRDefault="009600B5" w:rsidP="009600B5">
      <w:pPr>
        <w:pStyle w:val="Bibliography"/>
        <w:rPr>
          <w:rFonts w:ascii="Arial" w:hAnsi="Arial" w:cs="Arial"/>
          <w:sz w:val="20"/>
          <w:szCs w:val="24"/>
          <w:lang w:val="de-DE"/>
        </w:rPr>
      </w:pPr>
      <w:r w:rsidRPr="009600B5">
        <w:rPr>
          <w:rFonts w:ascii="Arial" w:hAnsi="Arial" w:cs="Arial"/>
          <w:sz w:val="20"/>
          <w:szCs w:val="24"/>
        </w:rPr>
        <w:t xml:space="preserve">3. </w:t>
      </w:r>
      <w:r w:rsidRPr="009600B5">
        <w:rPr>
          <w:rFonts w:ascii="Arial" w:hAnsi="Arial" w:cs="Arial"/>
          <w:sz w:val="20"/>
          <w:szCs w:val="24"/>
        </w:rPr>
        <w:tab/>
        <w:t xml:space="preserve">B. Langmead, C. Trapnell, M. Pop, S. L. Salzberg, Ultrafast and memory-efficient alignment of short DNA sequences to the human genome. </w:t>
      </w:r>
      <w:r w:rsidRPr="009600B5">
        <w:rPr>
          <w:rFonts w:ascii="Arial" w:hAnsi="Arial" w:cs="Arial"/>
          <w:i/>
          <w:iCs/>
          <w:sz w:val="20"/>
          <w:szCs w:val="24"/>
          <w:lang w:val="de-DE"/>
        </w:rPr>
        <w:t>Genome Biol</w:t>
      </w:r>
      <w:r w:rsidRPr="009600B5">
        <w:rPr>
          <w:rFonts w:ascii="Arial" w:hAnsi="Arial" w:cs="Arial"/>
          <w:sz w:val="20"/>
          <w:szCs w:val="24"/>
          <w:lang w:val="de-DE"/>
        </w:rPr>
        <w:t xml:space="preserve"> </w:t>
      </w:r>
      <w:r w:rsidRPr="009600B5">
        <w:rPr>
          <w:rFonts w:ascii="Arial" w:hAnsi="Arial" w:cs="Arial"/>
          <w:b/>
          <w:bCs/>
          <w:sz w:val="20"/>
          <w:szCs w:val="24"/>
          <w:lang w:val="de-DE"/>
        </w:rPr>
        <w:t>10</w:t>
      </w:r>
      <w:r w:rsidRPr="009600B5">
        <w:rPr>
          <w:rFonts w:ascii="Arial" w:hAnsi="Arial" w:cs="Arial"/>
          <w:sz w:val="20"/>
          <w:szCs w:val="24"/>
          <w:lang w:val="de-DE"/>
        </w:rPr>
        <w:t>, R25 (2009).</w:t>
      </w:r>
    </w:p>
    <w:p w:rsidR="009600B5" w:rsidRPr="00052A9B" w:rsidRDefault="009600B5" w:rsidP="009600B5">
      <w:pPr>
        <w:pStyle w:val="Bibliography"/>
        <w:rPr>
          <w:rFonts w:ascii="Arial" w:hAnsi="Arial" w:cs="Arial"/>
          <w:sz w:val="20"/>
          <w:szCs w:val="24"/>
        </w:rPr>
      </w:pPr>
      <w:r w:rsidRPr="009600B5">
        <w:rPr>
          <w:rFonts w:ascii="Arial" w:hAnsi="Arial" w:cs="Arial"/>
          <w:sz w:val="20"/>
          <w:szCs w:val="24"/>
          <w:lang w:val="de-DE"/>
        </w:rPr>
        <w:t xml:space="preserve">4. </w:t>
      </w:r>
      <w:r w:rsidRPr="009600B5">
        <w:rPr>
          <w:rFonts w:ascii="Arial" w:hAnsi="Arial" w:cs="Arial"/>
          <w:sz w:val="20"/>
          <w:szCs w:val="24"/>
          <w:lang w:val="de-DE"/>
        </w:rPr>
        <w:tab/>
        <w:t xml:space="preserve">A. Dobin, </w:t>
      </w:r>
      <w:r w:rsidRPr="009600B5">
        <w:rPr>
          <w:rFonts w:ascii="Arial" w:hAnsi="Arial" w:cs="Arial"/>
          <w:i/>
          <w:iCs/>
          <w:sz w:val="20"/>
          <w:szCs w:val="24"/>
          <w:lang w:val="de-DE"/>
        </w:rPr>
        <w:t>et al.</w:t>
      </w:r>
      <w:r w:rsidRPr="009600B5">
        <w:rPr>
          <w:rFonts w:ascii="Arial" w:hAnsi="Arial" w:cs="Arial"/>
          <w:sz w:val="20"/>
          <w:szCs w:val="24"/>
          <w:lang w:val="de-DE"/>
        </w:rPr>
        <w:t xml:space="preserve">, STAR: ultrafast universal RNA-seq aligner. </w:t>
      </w:r>
      <w:r w:rsidRPr="00052A9B">
        <w:rPr>
          <w:rFonts w:ascii="Arial" w:hAnsi="Arial" w:cs="Arial"/>
          <w:i/>
          <w:iCs/>
          <w:sz w:val="20"/>
          <w:szCs w:val="24"/>
        </w:rPr>
        <w:t>Bioinformatics</w:t>
      </w:r>
      <w:r w:rsidRPr="00052A9B">
        <w:rPr>
          <w:rFonts w:ascii="Arial" w:hAnsi="Arial" w:cs="Arial"/>
          <w:sz w:val="20"/>
          <w:szCs w:val="24"/>
        </w:rPr>
        <w:t xml:space="preserve"> </w:t>
      </w:r>
      <w:r w:rsidRPr="00052A9B">
        <w:rPr>
          <w:rFonts w:ascii="Arial" w:hAnsi="Arial" w:cs="Arial"/>
          <w:b/>
          <w:bCs/>
          <w:sz w:val="20"/>
          <w:szCs w:val="24"/>
        </w:rPr>
        <w:t>29</w:t>
      </w:r>
      <w:r w:rsidRPr="00052A9B">
        <w:rPr>
          <w:rFonts w:ascii="Arial" w:hAnsi="Arial" w:cs="Arial"/>
          <w:sz w:val="20"/>
          <w:szCs w:val="24"/>
        </w:rPr>
        <w:t>, 15–21 (2013).</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5. </w:t>
      </w:r>
      <w:r w:rsidRPr="009600B5">
        <w:rPr>
          <w:rFonts w:ascii="Arial" w:hAnsi="Arial" w:cs="Arial"/>
          <w:sz w:val="20"/>
          <w:szCs w:val="24"/>
        </w:rPr>
        <w:tab/>
        <w:t xml:space="preserve">S. Anders, P. T. Pyl, W. Huber, HTSeq--a Python framework to work with high-throughput sequencing data. </w:t>
      </w:r>
      <w:r w:rsidRPr="009600B5">
        <w:rPr>
          <w:rFonts w:ascii="Arial" w:hAnsi="Arial" w:cs="Arial"/>
          <w:i/>
          <w:iCs/>
          <w:sz w:val="20"/>
          <w:szCs w:val="24"/>
        </w:rPr>
        <w:t>Bioinformatics</w:t>
      </w:r>
      <w:r w:rsidRPr="009600B5">
        <w:rPr>
          <w:rFonts w:ascii="Arial" w:hAnsi="Arial" w:cs="Arial"/>
          <w:sz w:val="20"/>
          <w:szCs w:val="24"/>
        </w:rPr>
        <w:t xml:space="preserve"> </w:t>
      </w:r>
      <w:r w:rsidRPr="009600B5">
        <w:rPr>
          <w:rFonts w:ascii="Arial" w:hAnsi="Arial" w:cs="Arial"/>
          <w:b/>
          <w:bCs/>
          <w:sz w:val="20"/>
          <w:szCs w:val="24"/>
        </w:rPr>
        <w:t>31</w:t>
      </w:r>
      <w:r w:rsidRPr="009600B5">
        <w:rPr>
          <w:rFonts w:ascii="Arial" w:hAnsi="Arial" w:cs="Arial"/>
          <w:sz w:val="20"/>
          <w:szCs w:val="24"/>
        </w:rPr>
        <w:t>, 166–169 (2015).</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6. </w:t>
      </w:r>
      <w:r w:rsidRPr="009600B5">
        <w:rPr>
          <w:rFonts w:ascii="Arial" w:hAnsi="Arial" w:cs="Arial"/>
          <w:sz w:val="20"/>
          <w:szCs w:val="24"/>
        </w:rPr>
        <w:tab/>
        <w:t xml:space="preserve">R Core Team, </w:t>
      </w:r>
      <w:r w:rsidRPr="009600B5">
        <w:rPr>
          <w:rFonts w:ascii="Arial" w:hAnsi="Arial" w:cs="Arial"/>
          <w:i/>
          <w:iCs/>
          <w:sz w:val="20"/>
          <w:szCs w:val="24"/>
        </w:rPr>
        <w:t>R: A Language and Environment for Statistical Computing</w:t>
      </w:r>
      <w:r w:rsidRPr="009600B5">
        <w:rPr>
          <w:rFonts w:ascii="Arial" w:hAnsi="Arial" w:cs="Arial"/>
          <w:sz w:val="20"/>
          <w:szCs w:val="24"/>
        </w:rPr>
        <w:t xml:space="preserve"> (R Foundation for Statistical Computing, 2017).</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7. </w:t>
      </w:r>
      <w:r w:rsidRPr="009600B5">
        <w:rPr>
          <w:rFonts w:ascii="Arial" w:hAnsi="Arial" w:cs="Arial"/>
          <w:sz w:val="20"/>
          <w:szCs w:val="24"/>
        </w:rPr>
        <w:tab/>
        <w:t xml:space="preserve">Z. Gu, R. Eils, M. Schlesner, Complex heatmaps reveal patterns and correlations in multidimensional genomic data. </w:t>
      </w:r>
      <w:r w:rsidRPr="009600B5">
        <w:rPr>
          <w:rFonts w:ascii="Arial" w:hAnsi="Arial" w:cs="Arial"/>
          <w:i/>
          <w:iCs/>
          <w:sz w:val="20"/>
          <w:szCs w:val="24"/>
        </w:rPr>
        <w:t>Bioinformatics</w:t>
      </w:r>
      <w:r w:rsidRPr="009600B5">
        <w:rPr>
          <w:rFonts w:ascii="Arial" w:hAnsi="Arial" w:cs="Arial"/>
          <w:sz w:val="20"/>
          <w:szCs w:val="24"/>
        </w:rPr>
        <w:t xml:space="preserve"> </w:t>
      </w:r>
      <w:r w:rsidRPr="009600B5">
        <w:rPr>
          <w:rFonts w:ascii="Arial" w:hAnsi="Arial" w:cs="Arial"/>
          <w:b/>
          <w:bCs/>
          <w:sz w:val="20"/>
          <w:szCs w:val="24"/>
        </w:rPr>
        <w:t>32</w:t>
      </w:r>
      <w:r w:rsidRPr="009600B5">
        <w:rPr>
          <w:rFonts w:ascii="Arial" w:hAnsi="Arial" w:cs="Arial"/>
          <w:sz w:val="20"/>
          <w:szCs w:val="24"/>
        </w:rPr>
        <w:t>, 2847–2849 (2016).</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8. </w:t>
      </w:r>
      <w:r w:rsidRPr="009600B5">
        <w:rPr>
          <w:rFonts w:ascii="Arial" w:hAnsi="Arial" w:cs="Arial"/>
          <w:sz w:val="20"/>
          <w:szCs w:val="24"/>
        </w:rPr>
        <w:tab/>
        <w:t xml:space="preserve">R. Savage, E. Cook, R. Darkins, Y. Xu, </w:t>
      </w:r>
      <w:r w:rsidRPr="009600B5">
        <w:rPr>
          <w:rFonts w:ascii="Arial" w:hAnsi="Arial" w:cs="Arial"/>
          <w:i/>
          <w:iCs/>
          <w:sz w:val="20"/>
          <w:szCs w:val="24"/>
        </w:rPr>
        <w:t>BHC: Bayesian Hierarchical Clustering</w:t>
      </w:r>
      <w:r w:rsidRPr="009600B5">
        <w:rPr>
          <w:rFonts w:ascii="Arial" w:hAnsi="Arial" w:cs="Arial"/>
          <w:sz w:val="20"/>
          <w:szCs w:val="24"/>
        </w:rPr>
        <w:t xml:space="preserve"> (2019).</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9. </w:t>
      </w:r>
      <w:r w:rsidRPr="009600B5">
        <w:rPr>
          <w:rFonts w:ascii="Arial" w:hAnsi="Arial" w:cs="Arial"/>
          <w:sz w:val="20"/>
          <w:szCs w:val="24"/>
        </w:rPr>
        <w:tab/>
        <w:t xml:space="preserve">K. A. Heller, Z. Ghahramani, Bayesian hierarchical clustering in </w:t>
      </w:r>
      <w:r w:rsidRPr="009600B5">
        <w:rPr>
          <w:rFonts w:ascii="Arial" w:hAnsi="Arial" w:cs="Arial"/>
          <w:i/>
          <w:iCs/>
          <w:sz w:val="20"/>
          <w:szCs w:val="24"/>
        </w:rPr>
        <w:t>Proceedings of the 22nd International Conference on Machine Learning  - ICML ’05</w:t>
      </w:r>
      <w:r w:rsidRPr="009600B5">
        <w:rPr>
          <w:rFonts w:ascii="Arial" w:hAnsi="Arial" w:cs="Arial"/>
          <w:sz w:val="20"/>
          <w:szCs w:val="24"/>
        </w:rPr>
        <w:t>, (ACM Press, 2005), pp. 297–304.</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10. </w:t>
      </w:r>
      <w:r w:rsidRPr="009600B5">
        <w:rPr>
          <w:rFonts w:ascii="Arial" w:hAnsi="Arial" w:cs="Arial"/>
          <w:sz w:val="20"/>
          <w:szCs w:val="24"/>
        </w:rPr>
        <w:tab/>
        <w:t xml:space="preserve">A. Colaprico, </w:t>
      </w:r>
      <w:r w:rsidRPr="009600B5">
        <w:rPr>
          <w:rFonts w:ascii="Arial" w:hAnsi="Arial" w:cs="Arial"/>
          <w:i/>
          <w:iCs/>
          <w:sz w:val="20"/>
          <w:szCs w:val="24"/>
        </w:rPr>
        <w:t>et al.</w:t>
      </w:r>
      <w:r w:rsidRPr="009600B5">
        <w:rPr>
          <w:rFonts w:ascii="Arial" w:hAnsi="Arial" w:cs="Arial"/>
          <w:sz w:val="20"/>
          <w:szCs w:val="24"/>
        </w:rPr>
        <w:t xml:space="preserve">, TCGAbiolinks: an R/Bioconductor package for integrative analysis of TCGA data. </w:t>
      </w:r>
      <w:r w:rsidRPr="009600B5">
        <w:rPr>
          <w:rFonts w:ascii="Arial" w:hAnsi="Arial" w:cs="Arial"/>
          <w:i/>
          <w:iCs/>
          <w:sz w:val="20"/>
          <w:szCs w:val="24"/>
        </w:rPr>
        <w:t>Nucleic Acids Research</w:t>
      </w:r>
      <w:r w:rsidRPr="009600B5">
        <w:rPr>
          <w:rFonts w:ascii="Arial" w:hAnsi="Arial" w:cs="Arial"/>
          <w:sz w:val="20"/>
          <w:szCs w:val="24"/>
        </w:rPr>
        <w:t xml:space="preserve"> </w:t>
      </w:r>
      <w:r w:rsidRPr="009600B5">
        <w:rPr>
          <w:rFonts w:ascii="Arial" w:hAnsi="Arial" w:cs="Arial"/>
          <w:b/>
          <w:bCs/>
          <w:sz w:val="20"/>
          <w:szCs w:val="24"/>
        </w:rPr>
        <w:t>44</w:t>
      </w:r>
      <w:r w:rsidRPr="009600B5">
        <w:rPr>
          <w:rFonts w:ascii="Arial" w:hAnsi="Arial" w:cs="Arial"/>
          <w:sz w:val="20"/>
          <w:szCs w:val="24"/>
        </w:rPr>
        <w:t>, e71–e71 (2016).</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11. </w:t>
      </w:r>
      <w:r w:rsidRPr="009600B5">
        <w:rPr>
          <w:rFonts w:ascii="Arial" w:hAnsi="Arial" w:cs="Arial"/>
          <w:sz w:val="20"/>
          <w:szCs w:val="24"/>
        </w:rPr>
        <w:tab/>
        <w:t xml:space="preserve">D. Risso, J. Ngai, T. P. Speed, S. Dudoit, Normalization of RNA-seq data using factor analysis of control genes or samples. </w:t>
      </w:r>
      <w:r w:rsidRPr="009600B5">
        <w:rPr>
          <w:rFonts w:ascii="Arial" w:hAnsi="Arial" w:cs="Arial"/>
          <w:i/>
          <w:iCs/>
          <w:sz w:val="20"/>
          <w:szCs w:val="24"/>
        </w:rPr>
        <w:t>Nat Biotechnol</w:t>
      </w:r>
      <w:r w:rsidRPr="009600B5">
        <w:rPr>
          <w:rFonts w:ascii="Arial" w:hAnsi="Arial" w:cs="Arial"/>
          <w:sz w:val="20"/>
          <w:szCs w:val="24"/>
        </w:rPr>
        <w:t xml:space="preserve"> </w:t>
      </w:r>
      <w:r w:rsidRPr="009600B5">
        <w:rPr>
          <w:rFonts w:ascii="Arial" w:hAnsi="Arial" w:cs="Arial"/>
          <w:b/>
          <w:bCs/>
          <w:sz w:val="20"/>
          <w:szCs w:val="24"/>
        </w:rPr>
        <w:t>32</w:t>
      </w:r>
      <w:r w:rsidRPr="009600B5">
        <w:rPr>
          <w:rFonts w:ascii="Arial" w:hAnsi="Arial" w:cs="Arial"/>
          <w:sz w:val="20"/>
          <w:szCs w:val="24"/>
        </w:rPr>
        <w:t>, 896–902 (2014).</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12. </w:t>
      </w:r>
      <w:r w:rsidRPr="009600B5">
        <w:rPr>
          <w:rFonts w:ascii="Arial" w:hAnsi="Arial" w:cs="Arial"/>
          <w:sz w:val="20"/>
          <w:szCs w:val="24"/>
        </w:rPr>
        <w:tab/>
        <w:t xml:space="preserve">S. Anders, W. Huber, Differential expression analysis for sequence count data. </w:t>
      </w:r>
      <w:r w:rsidRPr="009600B5">
        <w:rPr>
          <w:rFonts w:ascii="Arial" w:hAnsi="Arial" w:cs="Arial"/>
          <w:i/>
          <w:iCs/>
          <w:sz w:val="20"/>
          <w:szCs w:val="24"/>
        </w:rPr>
        <w:t>Genome Biol</w:t>
      </w:r>
      <w:r w:rsidRPr="009600B5">
        <w:rPr>
          <w:rFonts w:ascii="Arial" w:hAnsi="Arial" w:cs="Arial"/>
          <w:sz w:val="20"/>
          <w:szCs w:val="24"/>
        </w:rPr>
        <w:t xml:space="preserve"> </w:t>
      </w:r>
      <w:r w:rsidRPr="009600B5">
        <w:rPr>
          <w:rFonts w:ascii="Arial" w:hAnsi="Arial" w:cs="Arial"/>
          <w:b/>
          <w:bCs/>
          <w:sz w:val="20"/>
          <w:szCs w:val="24"/>
        </w:rPr>
        <w:t>11</w:t>
      </w:r>
      <w:r w:rsidRPr="009600B5">
        <w:rPr>
          <w:rFonts w:ascii="Arial" w:hAnsi="Arial" w:cs="Arial"/>
          <w:sz w:val="20"/>
          <w:szCs w:val="24"/>
        </w:rPr>
        <w:t>, R106 (2010).</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13. </w:t>
      </w:r>
      <w:r w:rsidRPr="009600B5">
        <w:rPr>
          <w:rFonts w:ascii="Arial" w:hAnsi="Arial" w:cs="Arial"/>
          <w:sz w:val="20"/>
          <w:szCs w:val="24"/>
        </w:rPr>
        <w:tab/>
        <w:t xml:space="preserve">F. Finotello, Z. Trajanoski, Quantifying tumor-infiltrating immune cells from transcriptomics data. </w:t>
      </w:r>
      <w:r w:rsidRPr="009600B5">
        <w:rPr>
          <w:rFonts w:ascii="Arial" w:hAnsi="Arial" w:cs="Arial"/>
          <w:i/>
          <w:iCs/>
          <w:sz w:val="20"/>
          <w:szCs w:val="24"/>
        </w:rPr>
        <w:t>Cancer Immunol Immunother</w:t>
      </w:r>
      <w:r w:rsidRPr="009600B5">
        <w:rPr>
          <w:rFonts w:ascii="Arial" w:hAnsi="Arial" w:cs="Arial"/>
          <w:sz w:val="20"/>
          <w:szCs w:val="24"/>
        </w:rPr>
        <w:t xml:space="preserve"> </w:t>
      </w:r>
      <w:r w:rsidRPr="009600B5">
        <w:rPr>
          <w:rFonts w:ascii="Arial" w:hAnsi="Arial" w:cs="Arial"/>
          <w:b/>
          <w:bCs/>
          <w:sz w:val="20"/>
          <w:szCs w:val="24"/>
        </w:rPr>
        <w:t>67</w:t>
      </w:r>
      <w:r w:rsidRPr="009600B5">
        <w:rPr>
          <w:rFonts w:ascii="Arial" w:hAnsi="Arial" w:cs="Arial"/>
          <w:sz w:val="20"/>
          <w:szCs w:val="24"/>
        </w:rPr>
        <w:t>, 1031–1040 (2018).</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14. </w:t>
      </w:r>
      <w:r w:rsidRPr="009600B5">
        <w:rPr>
          <w:rFonts w:ascii="Arial" w:hAnsi="Arial" w:cs="Arial"/>
          <w:sz w:val="20"/>
          <w:szCs w:val="24"/>
        </w:rPr>
        <w:tab/>
        <w:t xml:space="preserve">K. Slowikowski, </w:t>
      </w:r>
      <w:r w:rsidRPr="009600B5">
        <w:rPr>
          <w:rFonts w:ascii="Arial" w:hAnsi="Arial" w:cs="Arial"/>
          <w:i/>
          <w:iCs/>
          <w:sz w:val="20"/>
          <w:szCs w:val="24"/>
        </w:rPr>
        <w:t>Convert read counts to transcripts per million (TPM).</w:t>
      </w:r>
      <w:r w:rsidRPr="009600B5">
        <w:rPr>
          <w:rFonts w:ascii="Arial" w:hAnsi="Arial" w:cs="Arial"/>
          <w:sz w:val="20"/>
          <w:szCs w:val="24"/>
        </w:rPr>
        <w:t xml:space="preserve"> (2016).</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15. </w:t>
      </w:r>
      <w:r w:rsidRPr="009600B5">
        <w:rPr>
          <w:rFonts w:ascii="Arial" w:hAnsi="Arial" w:cs="Arial"/>
          <w:sz w:val="20"/>
          <w:szCs w:val="24"/>
        </w:rPr>
        <w:tab/>
        <w:t xml:space="preserve">Y. Chen, X. Wang, miRDB: an online database for prediction of functional microRNA targets. </w:t>
      </w:r>
      <w:r w:rsidRPr="009600B5">
        <w:rPr>
          <w:rFonts w:ascii="Arial" w:hAnsi="Arial" w:cs="Arial"/>
          <w:i/>
          <w:iCs/>
          <w:sz w:val="20"/>
          <w:szCs w:val="24"/>
        </w:rPr>
        <w:t>Nucleic Acids Research</w:t>
      </w:r>
      <w:r w:rsidRPr="009600B5">
        <w:rPr>
          <w:rFonts w:ascii="Arial" w:hAnsi="Arial" w:cs="Arial"/>
          <w:sz w:val="20"/>
          <w:szCs w:val="24"/>
        </w:rPr>
        <w:t xml:space="preserve"> </w:t>
      </w:r>
      <w:r w:rsidRPr="009600B5">
        <w:rPr>
          <w:rFonts w:ascii="Arial" w:hAnsi="Arial" w:cs="Arial"/>
          <w:b/>
          <w:bCs/>
          <w:sz w:val="20"/>
          <w:szCs w:val="24"/>
        </w:rPr>
        <w:t>48</w:t>
      </w:r>
      <w:r w:rsidRPr="009600B5">
        <w:rPr>
          <w:rFonts w:ascii="Arial" w:hAnsi="Arial" w:cs="Arial"/>
          <w:sz w:val="20"/>
          <w:szCs w:val="24"/>
        </w:rPr>
        <w:t>, D127–D131 (2020).</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16. </w:t>
      </w:r>
      <w:r w:rsidRPr="009600B5">
        <w:rPr>
          <w:rFonts w:ascii="Arial" w:hAnsi="Arial" w:cs="Arial"/>
          <w:sz w:val="20"/>
          <w:szCs w:val="24"/>
        </w:rPr>
        <w:tab/>
        <w:t xml:space="preserve">H.-Y. Huang, </w:t>
      </w:r>
      <w:r w:rsidRPr="009600B5">
        <w:rPr>
          <w:rFonts w:ascii="Arial" w:hAnsi="Arial" w:cs="Arial"/>
          <w:i/>
          <w:iCs/>
          <w:sz w:val="20"/>
          <w:szCs w:val="24"/>
        </w:rPr>
        <w:t>et al.</w:t>
      </w:r>
      <w:r w:rsidRPr="009600B5">
        <w:rPr>
          <w:rFonts w:ascii="Arial" w:hAnsi="Arial" w:cs="Arial"/>
          <w:sz w:val="20"/>
          <w:szCs w:val="24"/>
        </w:rPr>
        <w:t xml:space="preserve">, miRTarBase 2020: updates to the experimentally validated microRNA–target interaction database. </w:t>
      </w:r>
      <w:r w:rsidRPr="009600B5">
        <w:rPr>
          <w:rFonts w:ascii="Arial" w:hAnsi="Arial" w:cs="Arial"/>
          <w:i/>
          <w:iCs/>
          <w:sz w:val="20"/>
          <w:szCs w:val="24"/>
        </w:rPr>
        <w:t>Nucleic Acids Research</w:t>
      </w:r>
      <w:r w:rsidRPr="009600B5">
        <w:rPr>
          <w:rFonts w:ascii="Arial" w:hAnsi="Arial" w:cs="Arial"/>
          <w:sz w:val="20"/>
          <w:szCs w:val="24"/>
        </w:rPr>
        <w:t>, gkz896 (2019).</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17. </w:t>
      </w:r>
      <w:r w:rsidRPr="009600B5">
        <w:rPr>
          <w:rFonts w:ascii="Arial" w:hAnsi="Arial" w:cs="Arial"/>
          <w:sz w:val="20"/>
          <w:szCs w:val="24"/>
        </w:rPr>
        <w:tab/>
        <w:t xml:space="preserve">The UniProt Consortium, UniProt: a worldwide hub of protein knowledge. </w:t>
      </w:r>
      <w:r w:rsidRPr="009600B5">
        <w:rPr>
          <w:rFonts w:ascii="Arial" w:hAnsi="Arial" w:cs="Arial"/>
          <w:i/>
          <w:iCs/>
          <w:sz w:val="20"/>
          <w:szCs w:val="24"/>
        </w:rPr>
        <w:t>Nucleic Acids Research</w:t>
      </w:r>
      <w:r w:rsidRPr="009600B5">
        <w:rPr>
          <w:rFonts w:ascii="Arial" w:hAnsi="Arial" w:cs="Arial"/>
          <w:sz w:val="20"/>
          <w:szCs w:val="24"/>
        </w:rPr>
        <w:t xml:space="preserve"> </w:t>
      </w:r>
      <w:r w:rsidRPr="009600B5">
        <w:rPr>
          <w:rFonts w:ascii="Arial" w:hAnsi="Arial" w:cs="Arial"/>
          <w:b/>
          <w:bCs/>
          <w:sz w:val="20"/>
          <w:szCs w:val="24"/>
        </w:rPr>
        <w:t>47</w:t>
      </w:r>
      <w:r w:rsidRPr="009600B5">
        <w:rPr>
          <w:rFonts w:ascii="Arial" w:hAnsi="Arial" w:cs="Arial"/>
          <w:sz w:val="20"/>
          <w:szCs w:val="24"/>
        </w:rPr>
        <w:t>, D506–D515 (2019).</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t xml:space="preserve">18. </w:t>
      </w:r>
      <w:r w:rsidRPr="009600B5">
        <w:rPr>
          <w:rFonts w:ascii="Arial" w:hAnsi="Arial" w:cs="Arial"/>
          <w:sz w:val="20"/>
          <w:szCs w:val="24"/>
        </w:rPr>
        <w:tab/>
        <w:t xml:space="preserve">S. X. Ge, D. Jung, R. Yao, ShinyGO: a graphical gene-set enrichment tool for animals and plants. </w:t>
      </w:r>
      <w:r w:rsidRPr="009600B5">
        <w:rPr>
          <w:rFonts w:ascii="Arial" w:hAnsi="Arial" w:cs="Arial"/>
          <w:i/>
          <w:iCs/>
          <w:sz w:val="20"/>
          <w:szCs w:val="24"/>
        </w:rPr>
        <w:t>Bioinformatics</w:t>
      </w:r>
      <w:r w:rsidRPr="009600B5">
        <w:rPr>
          <w:rFonts w:ascii="Arial" w:hAnsi="Arial" w:cs="Arial"/>
          <w:sz w:val="20"/>
          <w:szCs w:val="24"/>
        </w:rPr>
        <w:t xml:space="preserve"> </w:t>
      </w:r>
      <w:r w:rsidRPr="009600B5">
        <w:rPr>
          <w:rFonts w:ascii="Arial" w:hAnsi="Arial" w:cs="Arial"/>
          <w:b/>
          <w:bCs/>
          <w:sz w:val="20"/>
          <w:szCs w:val="24"/>
        </w:rPr>
        <w:t>36</w:t>
      </w:r>
      <w:r w:rsidRPr="009600B5">
        <w:rPr>
          <w:rFonts w:ascii="Arial" w:hAnsi="Arial" w:cs="Arial"/>
          <w:sz w:val="20"/>
          <w:szCs w:val="24"/>
        </w:rPr>
        <w:t>, 2628–2629 (2020).</w:t>
      </w:r>
    </w:p>
    <w:p w:rsidR="009600B5" w:rsidRPr="009600B5" w:rsidRDefault="009600B5" w:rsidP="009600B5">
      <w:pPr>
        <w:pStyle w:val="Bibliography"/>
        <w:rPr>
          <w:rFonts w:ascii="Arial" w:hAnsi="Arial" w:cs="Arial"/>
          <w:sz w:val="20"/>
          <w:szCs w:val="24"/>
        </w:rPr>
      </w:pPr>
      <w:r w:rsidRPr="009600B5">
        <w:rPr>
          <w:rFonts w:ascii="Arial" w:hAnsi="Arial" w:cs="Arial"/>
          <w:sz w:val="20"/>
          <w:szCs w:val="24"/>
        </w:rPr>
        <w:lastRenderedPageBreak/>
        <w:t xml:space="preserve">19. </w:t>
      </w:r>
      <w:r w:rsidRPr="009600B5">
        <w:rPr>
          <w:rFonts w:ascii="Arial" w:hAnsi="Arial" w:cs="Arial"/>
          <w:sz w:val="20"/>
          <w:szCs w:val="24"/>
        </w:rPr>
        <w:tab/>
        <w:t xml:space="preserve">D. Szklarczyk, </w:t>
      </w:r>
      <w:r w:rsidRPr="009600B5">
        <w:rPr>
          <w:rFonts w:ascii="Arial" w:hAnsi="Arial" w:cs="Arial"/>
          <w:i/>
          <w:iCs/>
          <w:sz w:val="20"/>
          <w:szCs w:val="24"/>
        </w:rPr>
        <w:t>et al.</w:t>
      </w:r>
      <w:r w:rsidRPr="009600B5">
        <w:rPr>
          <w:rFonts w:ascii="Arial" w:hAnsi="Arial" w:cs="Arial"/>
          <w:sz w:val="20"/>
          <w:szCs w:val="24"/>
        </w:rPr>
        <w:t xml:space="preserve">, STRING v11: protein–protein association networks with increased coverage, supporting functional discovery in genome-wide experimental datasets. </w:t>
      </w:r>
      <w:r w:rsidRPr="009600B5">
        <w:rPr>
          <w:rFonts w:ascii="Arial" w:hAnsi="Arial" w:cs="Arial"/>
          <w:i/>
          <w:iCs/>
          <w:sz w:val="20"/>
          <w:szCs w:val="24"/>
        </w:rPr>
        <w:t>Nucleic Acids Research</w:t>
      </w:r>
      <w:r w:rsidRPr="009600B5">
        <w:rPr>
          <w:rFonts w:ascii="Arial" w:hAnsi="Arial" w:cs="Arial"/>
          <w:sz w:val="20"/>
          <w:szCs w:val="24"/>
        </w:rPr>
        <w:t xml:space="preserve"> </w:t>
      </w:r>
      <w:r w:rsidRPr="009600B5">
        <w:rPr>
          <w:rFonts w:ascii="Arial" w:hAnsi="Arial" w:cs="Arial"/>
          <w:b/>
          <w:bCs/>
          <w:sz w:val="20"/>
          <w:szCs w:val="24"/>
        </w:rPr>
        <w:t>47</w:t>
      </w:r>
      <w:r w:rsidRPr="009600B5">
        <w:rPr>
          <w:rFonts w:ascii="Arial" w:hAnsi="Arial" w:cs="Arial"/>
          <w:sz w:val="20"/>
          <w:szCs w:val="24"/>
        </w:rPr>
        <w:t>, D607–D613 (2019).</w:t>
      </w:r>
    </w:p>
    <w:p w:rsidR="0053498E" w:rsidRPr="00785828" w:rsidRDefault="0053498E" w:rsidP="0053498E">
      <w:pPr>
        <w:widowControl w:val="0"/>
        <w:spacing w:after="200" w:line="240" w:lineRule="auto"/>
        <w:rPr>
          <w:rFonts w:ascii="Arial" w:eastAsia="Tinos" w:hAnsi="Arial" w:cs="Arial"/>
          <w:b/>
          <w:sz w:val="20"/>
          <w:szCs w:val="20"/>
        </w:rPr>
      </w:pPr>
      <w:r w:rsidRPr="00785828">
        <w:rPr>
          <w:rFonts w:ascii="Arial" w:eastAsia="Times New Roman" w:hAnsi="Arial" w:cs="Arial"/>
          <w:sz w:val="20"/>
          <w:szCs w:val="20"/>
        </w:rPr>
        <w:fldChar w:fldCharType="end"/>
      </w:r>
    </w:p>
    <w:p w:rsidR="0053498E" w:rsidRPr="00785828" w:rsidRDefault="0053498E" w:rsidP="0053498E">
      <w:pPr>
        <w:widowControl w:val="0"/>
        <w:spacing w:after="200" w:line="240" w:lineRule="auto"/>
        <w:rPr>
          <w:rFonts w:ascii="Arial" w:eastAsia="Tinos" w:hAnsi="Arial" w:cs="Arial"/>
          <w:b/>
          <w:sz w:val="20"/>
          <w:szCs w:val="20"/>
        </w:rPr>
      </w:pPr>
    </w:p>
    <w:p w:rsidR="0053498E" w:rsidRPr="00785828" w:rsidRDefault="0053498E" w:rsidP="0053498E">
      <w:pPr>
        <w:widowControl w:val="0"/>
        <w:spacing w:after="200" w:line="240" w:lineRule="auto"/>
        <w:rPr>
          <w:rFonts w:ascii="Arial" w:eastAsia="Tinos" w:hAnsi="Arial" w:cs="Arial"/>
          <w:b/>
          <w:sz w:val="20"/>
          <w:szCs w:val="20"/>
        </w:rPr>
      </w:pPr>
      <w:r w:rsidRPr="00785828">
        <w:rPr>
          <w:rFonts w:ascii="Arial" w:eastAsia="Tinos" w:hAnsi="Arial" w:cs="Arial"/>
          <w:b/>
          <w:sz w:val="20"/>
          <w:szCs w:val="20"/>
        </w:rPr>
        <w:t>Supplementary Figures:</w:t>
      </w:r>
    </w:p>
    <w:p w:rsidR="0053498E" w:rsidRPr="00785828" w:rsidRDefault="0053498E" w:rsidP="0053498E">
      <w:pPr>
        <w:spacing w:before="240" w:after="240" w:line="360" w:lineRule="auto"/>
        <w:jc w:val="both"/>
        <w:rPr>
          <w:rFonts w:ascii="Arial" w:eastAsia="Tinos" w:hAnsi="Arial" w:cs="Arial"/>
          <w:sz w:val="20"/>
          <w:szCs w:val="20"/>
        </w:rPr>
      </w:pPr>
      <w:r w:rsidRPr="00785828">
        <w:rPr>
          <w:rFonts w:ascii="Arial" w:eastAsia="Tinos" w:hAnsi="Arial" w:cs="Arial"/>
          <w:noProof/>
          <w:sz w:val="20"/>
          <w:szCs w:val="20"/>
        </w:rPr>
        <w:drawing>
          <wp:inline distT="0" distB="0" distL="0" distR="0" wp14:anchorId="6610ADD5" wp14:editId="28E9BA78">
            <wp:extent cx="5724525" cy="3810000"/>
            <wp:effectExtent l="0" t="0" r="9525"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rsidR="0053498E" w:rsidRPr="00785828" w:rsidRDefault="0053498E" w:rsidP="0053498E">
      <w:pPr>
        <w:spacing w:before="240" w:after="240" w:line="240" w:lineRule="auto"/>
        <w:rPr>
          <w:rFonts w:ascii="Arial" w:eastAsia="Tinos" w:hAnsi="Arial" w:cs="Arial"/>
          <w:b/>
          <w:sz w:val="20"/>
          <w:szCs w:val="20"/>
        </w:rPr>
      </w:pPr>
      <w:r w:rsidRPr="00785828">
        <w:rPr>
          <w:rFonts w:ascii="Arial" w:eastAsia="Tinos" w:hAnsi="Arial" w:cs="Arial"/>
          <w:b/>
          <w:sz w:val="20"/>
          <w:szCs w:val="20"/>
        </w:rPr>
        <w:t xml:space="preserve">Figure S1. Gene panel and MLPA experiments overview. (A) Experimental design. After quality check, DNA samples were processed in MLPA / Gene panel sequencing experiments. (B) Exemplary MLPA results for a PD patient showing no alteration (deletion, duplications or triplications) for the explored genes. Likewise, no alterations were found in the PD patient cohort. (C) Gene panel experiments reveal a single nucleotide variant (length: 1 bp) for the </w:t>
      </w:r>
      <w:r w:rsidRPr="00785828">
        <w:rPr>
          <w:rFonts w:ascii="Arial" w:eastAsia="Tinos" w:hAnsi="Arial" w:cs="Arial"/>
          <w:b/>
          <w:i/>
          <w:sz w:val="20"/>
          <w:szCs w:val="20"/>
        </w:rPr>
        <w:t>POLG</w:t>
      </w:r>
      <w:r w:rsidRPr="00785828">
        <w:rPr>
          <w:rFonts w:ascii="Arial" w:eastAsia="Tinos" w:hAnsi="Arial" w:cs="Arial"/>
          <w:b/>
          <w:sz w:val="20"/>
          <w:szCs w:val="20"/>
        </w:rPr>
        <w:t xml:space="preserve"> gene in one of the PD patients. No mutations found for the remaining cohort.</w:t>
      </w:r>
    </w:p>
    <w:p w:rsidR="0053498E" w:rsidRPr="00785828" w:rsidRDefault="0053498E" w:rsidP="0053498E">
      <w:pPr>
        <w:spacing w:before="240" w:after="240" w:line="360" w:lineRule="auto"/>
        <w:jc w:val="both"/>
        <w:rPr>
          <w:rFonts w:ascii="Arial" w:eastAsia="Tinos" w:hAnsi="Arial" w:cs="Arial"/>
          <w:b/>
          <w:sz w:val="20"/>
          <w:szCs w:val="20"/>
        </w:rPr>
      </w:pPr>
    </w:p>
    <w:p w:rsidR="0053498E" w:rsidRPr="00785828" w:rsidRDefault="0053498E" w:rsidP="0053498E">
      <w:pPr>
        <w:spacing w:before="240" w:after="240" w:line="360" w:lineRule="auto"/>
        <w:jc w:val="both"/>
        <w:rPr>
          <w:rFonts w:ascii="Arial" w:eastAsia="Tinos" w:hAnsi="Arial" w:cs="Arial"/>
          <w:sz w:val="20"/>
          <w:szCs w:val="20"/>
        </w:rPr>
      </w:pPr>
    </w:p>
    <w:p w:rsidR="0053498E" w:rsidRPr="00785828" w:rsidRDefault="0053498E" w:rsidP="0053498E">
      <w:pPr>
        <w:spacing w:before="240" w:after="240" w:line="360" w:lineRule="auto"/>
        <w:jc w:val="both"/>
        <w:rPr>
          <w:rFonts w:ascii="Arial" w:eastAsia="Tinos" w:hAnsi="Arial" w:cs="Arial"/>
          <w:sz w:val="20"/>
          <w:szCs w:val="20"/>
        </w:rPr>
      </w:pPr>
      <w:r w:rsidRPr="00785828">
        <w:rPr>
          <w:rFonts w:ascii="Arial" w:eastAsia="Tinos" w:hAnsi="Arial" w:cs="Arial"/>
          <w:noProof/>
          <w:sz w:val="20"/>
          <w:szCs w:val="20"/>
        </w:rPr>
        <w:lastRenderedPageBreak/>
        <w:drawing>
          <wp:inline distT="0" distB="0" distL="0" distR="0" wp14:anchorId="29A34B43" wp14:editId="788B0F9F">
            <wp:extent cx="5943600" cy="2324100"/>
            <wp:effectExtent l="0" t="0" r="0" b="0"/>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53498E" w:rsidRPr="00785828" w:rsidRDefault="0053498E" w:rsidP="0053498E">
      <w:pPr>
        <w:spacing w:before="240" w:after="240" w:line="240" w:lineRule="auto"/>
        <w:rPr>
          <w:rFonts w:ascii="Arial" w:eastAsia="Tinos" w:hAnsi="Arial" w:cs="Arial"/>
          <w:b/>
          <w:sz w:val="20"/>
          <w:szCs w:val="20"/>
        </w:rPr>
      </w:pPr>
      <w:r w:rsidRPr="00785828">
        <w:rPr>
          <w:rFonts w:ascii="Arial" w:eastAsia="Tinos" w:hAnsi="Arial" w:cs="Arial"/>
          <w:b/>
          <w:sz w:val="20"/>
          <w:szCs w:val="20"/>
        </w:rPr>
        <w:t xml:space="preserve">Figure S2.  Experimental design for RNA sequencing and proteomics experiments. (A) After quality check, small and total RNA libraries were prepared from each midbrain sample. Sequencing was performed in the Illumina </w:t>
      </w:r>
      <w:proofErr w:type="spellStart"/>
      <w:r w:rsidRPr="00785828">
        <w:rPr>
          <w:rFonts w:ascii="Arial" w:eastAsia="Tinos" w:hAnsi="Arial" w:cs="Arial"/>
          <w:b/>
          <w:sz w:val="20"/>
          <w:szCs w:val="20"/>
        </w:rPr>
        <w:t>HiSeq</w:t>
      </w:r>
      <w:proofErr w:type="spellEnd"/>
      <w:r w:rsidRPr="00785828">
        <w:rPr>
          <w:rFonts w:ascii="Arial" w:eastAsia="Tinos" w:hAnsi="Arial" w:cs="Arial"/>
          <w:b/>
          <w:sz w:val="20"/>
          <w:szCs w:val="20"/>
        </w:rPr>
        <w:t xml:space="preserve"> 400 platform, followed by bioinformatic analysis with two different frameworks (“A” and “B”). (B) Proteins extracted from midbrain tissue were separated by electrophoresis and digested by trypsinization. Peptide libraries were generated and Sequential Window Acquisition of all Theoretical Mass Spectra (SWATH-MS) experiments were performed, followed by data analysis using Perseus 1.5.6.0. </w:t>
      </w:r>
    </w:p>
    <w:p w:rsidR="0053498E" w:rsidRPr="00785828" w:rsidRDefault="0053498E" w:rsidP="0053498E">
      <w:pPr>
        <w:spacing w:before="240" w:after="240" w:line="360" w:lineRule="auto"/>
        <w:jc w:val="center"/>
        <w:rPr>
          <w:rFonts w:ascii="Arial" w:eastAsia="Tinos" w:hAnsi="Arial" w:cs="Arial"/>
          <w:b/>
          <w:sz w:val="20"/>
          <w:szCs w:val="20"/>
        </w:rPr>
      </w:pPr>
      <w:r w:rsidRPr="00785828">
        <w:rPr>
          <w:rFonts w:ascii="Arial" w:eastAsia="Tinos" w:hAnsi="Arial" w:cs="Arial"/>
          <w:b/>
          <w:noProof/>
          <w:sz w:val="20"/>
          <w:szCs w:val="20"/>
        </w:rPr>
        <w:lastRenderedPageBreak/>
        <w:drawing>
          <wp:inline distT="0" distB="0" distL="0" distR="0" wp14:anchorId="09E32F24" wp14:editId="6B942C9A">
            <wp:extent cx="5403273" cy="7096368"/>
            <wp:effectExtent l="0" t="0" r="6985" b="9525"/>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9775" cy="7104907"/>
                    </a:xfrm>
                    <a:prstGeom prst="rect">
                      <a:avLst/>
                    </a:prstGeom>
                    <a:noFill/>
                    <a:ln>
                      <a:noFill/>
                    </a:ln>
                  </pic:spPr>
                </pic:pic>
              </a:graphicData>
            </a:graphic>
          </wp:inline>
        </w:drawing>
      </w:r>
    </w:p>
    <w:p w:rsidR="0053498E" w:rsidRPr="00785828" w:rsidRDefault="0053498E" w:rsidP="0053498E">
      <w:pPr>
        <w:spacing w:before="240" w:after="240" w:line="240" w:lineRule="auto"/>
        <w:rPr>
          <w:rFonts w:ascii="Arial" w:eastAsia="Tinos" w:hAnsi="Arial" w:cs="Arial"/>
          <w:b/>
          <w:sz w:val="20"/>
          <w:szCs w:val="20"/>
        </w:rPr>
      </w:pPr>
      <w:r w:rsidRPr="00785828">
        <w:rPr>
          <w:rFonts w:ascii="Arial" w:eastAsia="Tinos" w:hAnsi="Arial" w:cs="Arial"/>
          <w:b/>
          <w:sz w:val="20"/>
          <w:szCs w:val="20"/>
        </w:rPr>
        <w:t xml:space="preserve">Figure S3. Cohort composition and Principal Component Analyses (PCA) for RNA Sequencing experiments. (A) Cohort composition for the human postmortem midbrain samples obtained from the Parkinson’s UK Brain Bank. The outlines indicate the samples from the discovery cohort, </w:t>
      </w:r>
      <w:proofErr w:type="gramStart"/>
      <w:r w:rsidRPr="00785828">
        <w:rPr>
          <w:rFonts w:ascii="Arial" w:eastAsia="Tinos" w:hAnsi="Arial" w:cs="Arial"/>
          <w:b/>
          <w:sz w:val="20"/>
          <w:szCs w:val="20"/>
        </w:rPr>
        <w:t>composed  by</w:t>
      </w:r>
      <w:proofErr w:type="gramEnd"/>
      <w:r w:rsidRPr="00785828">
        <w:rPr>
          <w:rFonts w:ascii="Arial" w:eastAsia="Tinos" w:hAnsi="Arial" w:cs="Arial"/>
          <w:b/>
          <w:sz w:val="20"/>
          <w:szCs w:val="20"/>
        </w:rPr>
        <w:t xml:space="preserve"> 13 Parkinson’s disease (PD) patients and 10 controls (CTR), and the validation cohort, which included 6 PD and 2 CTR. (B) PCA for the </w:t>
      </w:r>
      <w:r w:rsidRPr="00785828">
        <w:rPr>
          <w:rFonts w:ascii="Arial" w:eastAsia="Tinos" w:hAnsi="Arial" w:cs="Arial"/>
          <w:b/>
          <w:sz w:val="20"/>
          <w:szCs w:val="20"/>
        </w:rPr>
        <w:lastRenderedPageBreak/>
        <w:t xml:space="preserve">total RNA data for the discovery cohort, with the control sample CTR12 removed from the analysis for the small RNA-seq data </w:t>
      </w:r>
      <w:proofErr w:type="spellStart"/>
      <w:r w:rsidRPr="00785828">
        <w:rPr>
          <w:rFonts w:ascii="Arial" w:eastAsia="Tinos" w:hAnsi="Arial" w:cs="Arial"/>
          <w:b/>
          <w:sz w:val="20"/>
          <w:szCs w:val="20"/>
        </w:rPr>
        <w:t>coloured</w:t>
      </w:r>
      <w:proofErr w:type="spellEnd"/>
      <w:r w:rsidRPr="00785828">
        <w:rPr>
          <w:rFonts w:ascii="Arial" w:eastAsia="Tinos" w:hAnsi="Arial" w:cs="Arial"/>
          <w:b/>
          <w:sz w:val="20"/>
          <w:szCs w:val="20"/>
        </w:rPr>
        <w:t xml:space="preserve"> in red. (C) PCA for the total RNA data for the validation cohort. (D) PCA for the small RNA data for the discovery cohort. Outlier sample CTR12 lies separately from the rest of the samples (details in the Results section). (E) PCA for small RNA data for the discovery cohort after outlier removal. (F) PCA for the small RNA data for the validation cohort.</w:t>
      </w:r>
    </w:p>
    <w:p w:rsidR="0053498E" w:rsidRPr="00785828" w:rsidRDefault="0053498E" w:rsidP="0053498E">
      <w:pPr>
        <w:spacing w:before="240" w:after="240" w:line="240" w:lineRule="auto"/>
        <w:rPr>
          <w:rFonts w:ascii="Arial" w:eastAsia="Tinos" w:hAnsi="Arial" w:cs="Arial"/>
          <w:b/>
          <w:sz w:val="20"/>
          <w:szCs w:val="20"/>
        </w:rPr>
      </w:pPr>
    </w:p>
    <w:p w:rsidR="0053498E" w:rsidRPr="00785828" w:rsidRDefault="0053498E" w:rsidP="0053498E">
      <w:pPr>
        <w:spacing w:before="240" w:after="240" w:line="360" w:lineRule="auto"/>
        <w:jc w:val="both"/>
        <w:rPr>
          <w:rFonts w:ascii="Arial" w:eastAsia="Tinos" w:hAnsi="Arial" w:cs="Arial"/>
          <w:b/>
          <w:sz w:val="20"/>
          <w:szCs w:val="20"/>
        </w:rPr>
      </w:pPr>
      <w:r w:rsidRPr="00785828">
        <w:rPr>
          <w:rFonts w:ascii="Arial" w:eastAsia="Tinos" w:hAnsi="Arial" w:cs="Arial"/>
          <w:b/>
          <w:noProof/>
          <w:sz w:val="20"/>
          <w:szCs w:val="20"/>
        </w:rPr>
        <w:drawing>
          <wp:inline distT="0" distB="0" distL="0" distR="0" wp14:anchorId="2E7FF673" wp14:editId="7E1E5FD5">
            <wp:extent cx="5734050" cy="3133725"/>
            <wp:effectExtent l="0" t="0" r="0" b="9525"/>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133725"/>
                    </a:xfrm>
                    <a:prstGeom prst="rect">
                      <a:avLst/>
                    </a:prstGeom>
                    <a:noFill/>
                    <a:ln>
                      <a:noFill/>
                    </a:ln>
                  </pic:spPr>
                </pic:pic>
              </a:graphicData>
            </a:graphic>
          </wp:inline>
        </w:drawing>
      </w:r>
    </w:p>
    <w:p w:rsidR="0053498E" w:rsidRPr="00785828" w:rsidRDefault="0053498E" w:rsidP="0053498E">
      <w:pPr>
        <w:spacing w:before="240" w:after="240" w:line="240" w:lineRule="auto"/>
        <w:rPr>
          <w:rFonts w:ascii="Arial" w:eastAsia="Tinos" w:hAnsi="Arial" w:cs="Arial"/>
          <w:b/>
          <w:sz w:val="20"/>
          <w:szCs w:val="20"/>
        </w:rPr>
      </w:pPr>
      <w:r w:rsidRPr="00785828">
        <w:rPr>
          <w:rFonts w:ascii="Arial" w:eastAsia="Tinos" w:hAnsi="Arial" w:cs="Arial"/>
          <w:b/>
          <w:sz w:val="20"/>
          <w:szCs w:val="20"/>
        </w:rPr>
        <w:t xml:space="preserve">Figure S4. Mean dispersion estimation plots for (A) mRNA and (B) </w:t>
      </w:r>
      <w:proofErr w:type="spellStart"/>
      <w:r w:rsidRPr="00785828">
        <w:rPr>
          <w:rFonts w:ascii="Arial" w:eastAsia="Tinos" w:hAnsi="Arial" w:cs="Arial"/>
          <w:b/>
          <w:sz w:val="20"/>
          <w:szCs w:val="20"/>
        </w:rPr>
        <w:t>smallRNA</w:t>
      </w:r>
      <w:proofErr w:type="spellEnd"/>
      <w:r w:rsidRPr="00785828">
        <w:rPr>
          <w:rFonts w:ascii="Arial" w:eastAsia="Tinos" w:hAnsi="Arial" w:cs="Arial"/>
          <w:b/>
          <w:sz w:val="20"/>
          <w:szCs w:val="20"/>
        </w:rPr>
        <w:t xml:space="preserve"> count reads. The y-axis represents the standard deviation (</w:t>
      </w:r>
      <w:proofErr w:type="spellStart"/>
      <w:r w:rsidRPr="00785828">
        <w:rPr>
          <w:rFonts w:ascii="Arial" w:eastAsia="Tinos" w:hAnsi="Arial" w:cs="Arial"/>
          <w:b/>
          <w:sz w:val="20"/>
          <w:szCs w:val="20"/>
        </w:rPr>
        <w:t>sd</w:t>
      </w:r>
      <w:proofErr w:type="spellEnd"/>
      <w:r w:rsidRPr="00785828">
        <w:rPr>
          <w:rFonts w:ascii="Arial" w:eastAsia="Tinos" w:hAnsi="Arial" w:cs="Arial"/>
          <w:b/>
          <w:sz w:val="20"/>
          <w:szCs w:val="20"/>
        </w:rPr>
        <w:t>) of the mean counts distribution, the color scale indicates the mean count intensity, and the red curve is the fit between dispersion and average through maximum likelihood estimates (MLEs).</w:t>
      </w:r>
    </w:p>
    <w:p w:rsidR="0053498E" w:rsidRPr="00785828" w:rsidRDefault="0053498E" w:rsidP="0053498E">
      <w:pPr>
        <w:spacing w:before="240" w:after="240" w:line="360" w:lineRule="auto"/>
        <w:jc w:val="both"/>
        <w:rPr>
          <w:rFonts w:ascii="Arial" w:eastAsia="Tinos" w:hAnsi="Arial" w:cs="Arial"/>
          <w:sz w:val="20"/>
          <w:szCs w:val="20"/>
        </w:rPr>
      </w:pPr>
    </w:p>
    <w:p w:rsidR="0053498E" w:rsidRPr="00785828" w:rsidRDefault="0053498E" w:rsidP="0053498E">
      <w:pPr>
        <w:spacing w:before="240" w:after="240" w:line="360" w:lineRule="auto"/>
        <w:jc w:val="both"/>
        <w:rPr>
          <w:rFonts w:ascii="Arial" w:eastAsia="Tinos" w:hAnsi="Arial" w:cs="Arial"/>
          <w:sz w:val="20"/>
          <w:szCs w:val="20"/>
        </w:rPr>
      </w:pPr>
    </w:p>
    <w:p w:rsidR="0053498E" w:rsidRPr="00785828" w:rsidRDefault="0053498E" w:rsidP="0053498E">
      <w:pPr>
        <w:spacing w:before="240" w:after="240" w:line="360" w:lineRule="auto"/>
        <w:jc w:val="both"/>
        <w:rPr>
          <w:rFonts w:ascii="Arial" w:eastAsia="Tinos" w:hAnsi="Arial" w:cs="Arial"/>
          <w:sz w:val="20"/>
          <w:szCs w:val="20"/>
        </w:rPr>
      </w:pPr>
      <w:r w:rsidRPr="00785828">
        <w:rPr>
          <w:rFonts w:ascii="Arial" w:eastAsia="Tinos" w:hAnsi="Arial" w:cs="Arial"/>
          <w:noProof/>
          <w:sz w:val="20"/>
          <w:szCs w:val="20"/>
        </w:rPr>
        <w:lastRenderedPageBreak/>
        <w:drawing>
          <wp:inline distT="0" distB="0" distL="0" distR="0" wp14:anchorId="6E4F6836" wp14:editId="775DC6F1">
            <wp:extent cx="5979783" cy="2256312"/>
            <wp:effectExtent l="0" t="0" r="254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5592" cy="2262277"/>
                    </a:xfrm>
                    <a:prstGeom prst="rect">
                      <a:avLst/>
                    </a:prstGeom>
                    <a:noFill/>
                    <a:ln>
                      <a:noFill/>
                    </a:ln>
                  </pic:spPr>
                </pic:pic>
              </a:graphicData>
            </a:graphic>
          </wp:inline>
        </w:drawing>
      </w:r>
    </w:p>
    <w:p w:rsidR="0053498E" w:rsidRPr="00785828" w:rsidRDefault="0053498E" w:rsidP="0053498E">
      <w:pPr>
        <w:spacing w:before="240" w:after="240" w:line="240" w:lineRule="auto"/>
        <w:rPr>
          <w:rFonts w:ascii="Arial" w:eastAsia="Tinos" w:hAnsi="Arial" w:cs="Arial"/>
          <w:b/>
          <w:sz w:val="20"/>
          <w:szCs w:val="20"/>
        </w:rPr>
      </w:pPr>
      <w:r w:rsidRPr="00785828">
        <w:rPr>
          <w:rFonts w:ascii="Arial" w:eastAsia="Tinos" w:hAnsi="Arial" w:cs="Arial"/>
          <w:b/>
          <w:sz w:val="20"/>
          <w:szCs w:val="20"/>
        </w:rPr>
        <w:t>Figure S5. Functional enrichment analysis (GO-biological processes and KEGG pathways) of differentially up-regulated genes in PD. (A) Summary of enriched GO-</w:t>
      </w:r>
      <w:r w:rsidRPr="00785828">
        <w:rPr>
          <w:rFonts w:ascii="Arial" w:eastAsia="Tinos" w:hAnsi="Arial" w:cs="Arial"/>
          <w:b/>
          <w:i/>
          <w:sz w:val="20"/>
          <w:szCs w:val="20"/>
        </w:rPr>
        <w:t xml:space="preserve">biological processes </w:t>
      </w:r>
      <w:r w:rsidRPr="00785828">
        <w:rPr>
          <w:rFonts w:ascii="Arial" w:eastAsia="Tinos" w:hAnsi="Arial" w:cs="Arial"/>
          <w:b/>
          <w:sz w:val="20"/>
          <w:szCs w:val="20"/>
        </w:rPr>
        <w:t>(GO-BP) categories in the functional annotation for genes up-regulated in PD obtained with framework “A”. (B) Summary of enriched GO-</w:t>
      </w:r>
      <w:r w:rsidRPr="00785828">
        <w:rPr>
          <w:rFonts w:ascii="Arial" w:eastAsia="Tinos" w:hAnsi="Arial" w:cs="Arial"/>
          <w:b/>
          <w:i/>
          <w:sz w:val="20"/>
          <w:szCs w:val="20"/>
        </w:rPr>
        <w:t xml:space="preserve">biological processes </w:t>
      </w:r>
      <w:r w:rsidRPr="00785828">
        <w:rPr>
          <w:rFonts w:ascii="Arial" w:eastAsia="Tinos" w:hAnsi="Arial" w:cs="Arial"/>
          <w:b/>
          <w:sz w:val="20"/>
          <w:szCs w:val="20"/>
        </w:rPr>
        <w:t>(GO-BP) categories in the functional annotation for genes up-regulated in PD obtained with framework “B”.</w:t>
      </w:r>
    </w:p>
    <w:p w:rsidR="0053498E" w:rsidRPr="00785828" w:rsidRDefault="0053498E" w:rsidP="0053498E">
      <w:pPr>
        <w:spacing w:before="240" w:after="240" w:line="360" w:lineRule="auto"/>
        <w:jc w:val="both"/>
        <w:rPr>
          <w:rFonts w:ascii="Arial" w:eastAsia="Tinos" w:hAnsi="Arial" w:cs="Arial"/>
          <w:sz w:val="20"/>
          <w:szCs w:val="20"/>
        </w:rPr>
      </w:pPr>
    </w:p>
    <w:p w:rsidR="0053498E" w:rsidRPr="00785828" w:rsidRDefault="0053498E" w:rsidP="0053498E">
      <w:pPr>
        <w:spacing w:before="240" w:after="240" w:line="240" w:lineRule="auto"/>
        <w:jc w:val="both"/>
        <w:rPr>
          <w:rFonts w:ascii="Arial" w:eastAsia="Tinos" w:hAnsi="Arial" w:cs="Arial"/>
          <w:b/>
          <w:sz w:val="20"/>
          <w:szCs w:val="20"/>
        </w:rPr>
      </w:pPr>
      <w:r w:rsidRPr="00785828">
        <w:rPr>
          <w:rFonts w:ascii="Arial" w:eastAsia="Tinos" w:hAnsi="Arial" w:cs="Arial"/>
          <w:b/>
          <w:noProof/>
          <w:sz w:val="20"/>
          <w:szCs w:val="20"/>
        </w:rPr>
        <w:lastRenderedPageBreak/>
        <w:drawing>
          <wp:inline distT="0" distB="0" distL="0" distR="0" wp14:anchorId="63A5F7F8" wp14:editId="7126DF00">
            <wp:extent cx="6029325" cy="4486275"/>
            <wp:effectExtent l="0" t="0" r="9525" b="9525"/>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4486275"/>
                    </a:xfrm>
                    <a:prstGeom prst="rect">
                      <a:avLst/>
                    </a:prstGeom>
                    <a:noFill/>
                    <a:ln>
                      <a:noFill/>
                    </a:ln>
                  </pic:spPr>
                </pic:pic>
              </a:graphicData>
            </a:graphic>
          </wp:inline>
        </w:drawing>
      </w:r>
      <w:r w:rsidRPr="00785828">
        <w:rPr>
          <w:rFonts w:ascii="Arial" w:eastAsia="Tinos" w:hAnsi="Arial" w:cs="Arial"/>
          <w:b/>
          <w:sz w:val="20"/>
          <w:szCs w:val="20"/>
        </w:rPr>
        <w:t xml:space="preserve">Figure S6. KEGG human chemokine signaling pathway colored based on the enrichment analysis (FDR &lt; 0.05) of up-regulated significant genes. Green represents the elements statistically enriched in this pathway for both </w:t>
      </w:r>
      <w:proofErr w:type="gramStart"/>
      <w:r w:rsidRPr="00785828">
        <w:rPr>
          <w:rFonts w:ascii="Arial" w:eastAsia="Tinos" w:hAnsi="Arial" w:cs="Arial"/>
          <w:b/>
          <w:sz w:val="20"/>
          <w:szCs w:val="20"/>
        </w:rPr>
        <w:t>frameworks</w:t>
      </w:r>
      <w:proofErr w:type="gramEnd"/>
      <w:r w:rsidRPr="00785828">
        <w:rPr>
          <w:rFonts w:ascii="Arial" w:eastAsia="Tinos" w:hAnsi="Arial" w:cs="Arial"/>
          <w:b/>
          <w:sz w:val="20"/>
          <w:szCs w:val="20"/>
        </w:rPr>
        <w:t xml:space="preserve"> “A” and “B” and blue only for framework “A”.</w:t>
      </w:r>
    </w:p>
    <w:p w:rsidR="0053498E" w:rsidRPr="00785828" w:rsidRDefault="0053498E" w:rsidP="0053498E">
      <w:pPr>
        <w:spacing w:before="240" w:after="240" w:line="360" w:lineRule="auto"/>
        <w:jc w:val="center"/>
        <w:rPr>
          <w:rFonts w:ascii="Arial" w:eastAsia="Tinos" w:hAnsi="Arial" w:cs="Arial"/>
          <w:sz w:val="20"/>
          <w:szCs w:val="20"/>
        </w:rPr>
      </w:pPr>
      <w:r w:rsidRPr="00785828">
        <w:rPr>
          <w:rFonts w:ascii="Arial" w:eastAsia="Tinos" w:hAnsi="Arial" w:cs="Arial"/>
          <w:noProof/>
          <w:sz w:val="20"/>
          <w:szCs w:val="20"/>
        </w:rPr>
        <w:lastRenderedPageBreak/>
        <w:drawing>
          <wp:inline distT="0" distB="0" distL="0" distR="0" wp14:anchorId="7B45F124" wp14:editId="4540F2E1">
            <wp:extent cx="3829050" cy="4048125"/>
            <wp:effectExtent l="0" t="0" r="0" b="9525"/>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9050" cy="4048125"/>
                    </a:xfrm>
                    <a:prstGeom prst="rect">
                      <a:avLst/>
                    </a:prstGeom>
                    <a:noFill/>
                    <a:ln>
                      <a:noFill/>
                    </a:ln>
                  </pic:spPr>
                </pic:pic>
              </a:graphicData>
            </a:graphic>
          </wp:inline>
        </w:drawing>
      </w:r>
    </w:p>
    <w:p w:rsidR="0053498E" w:rsidRPr="00785828" w:rsidRDefault="0053498E" w:rsidP="0053498E">
      <w:pPr>
        <w:spacing w:before="240" w:after="240" w:line="240" w:lineRule="auto"/>
        <w:rPr>
          <w:rFonts w:ascii="Arial" w:eastAsia="Tinos" w:hAnsi="Arial" w:cs="Arial"/>
          <w:b/>
          <w:sz w:val="20"/>
          <w:szCs w:val="20"/>
        </w:rPr>
      </w:pPr>
      <w:r w:rsidRPr="00785828">
        <w:rPr>
          <w:rFonts w:ascii="Arial" w:eastAsia="Tinos" w:hAnsi="Arial" w:cs="Arial"/>
          <w:b/>
          <w:sz w:val="20"/>
          <w:szCs w:val="20"/>
        </w:rPr>
        <w:t xml:space="preserve">Figure S7. Network analysis of </w:t>
      </w:r>
      <w:r w:rsidRPr="00785828">
        <w:rPr>
          <w:rFonts w:ascii="Arial" w:eastAsia="Tinos" w:hAnsi="Arial" w:cs="Arial"/>
          <w:b/>
          <w:i/>
          <w:sz w:val="20"/>
          <w:szCs w:val="20"/>
        </w:rPr>
        <w:t xml:space="preserve">KEGG Pathways </w:t>
      </w:r>
      <w:r w:rsidRPr="00785828">
        <w:rPr>
          <w:rFonts w:ascii="Arial" w:eastAsia="Tinos" w:hAnsi="Arial" w:cs="Arial"/>
          <w:b/>
          <w:sz w:val="20"/>
          <w:szCs w:val="20"/>
        </w:rPr>
        <w:t xml:space="preserve">for the genes up-regulated in PD with both analysis frameworks. Network shows the relationship between enriched terms provided by the </w:t>
      </w:r>
      <w:proofErr w:type="spellStart"/>
      <w:r w:rsidRPr="00785828">
        <w:rPr>
          <w:rFonts w:ascii="Arial" w:eastAsia="Tinos" w:hAnsi="Arial" w:cs="Arial"/>
          <w:b/>
          <w:sz w:val="20"/>
          <w:szCs w:val="20"/>
        </w:rPr>
        <w:t>ShinyGO</w:t>
      </w:r>
      <w:proofErr w:type="spellEnd"/>
      <w:r w:rsidRPr="00785828">
        <w:rPr>
          <w:rFonts w:ascii="Arial" w:eastAsia="Tinos" w:hAnsi="Arial" w:cs="Arial"/>
          <w:b/>
          <w:sz w:val="20"/>
          <w:szCs w:val="20"/>
        </w:rPr>
        <w:t xml:space="preserve"> v0.61 platform. Connections between pathways denote 20% or more genes shared. Darkness of nodes coded with the level of significance of the enrichment, while node size is representative for the gene set size. Thicker edges represent more overlapped genes.</w:t>
      </w:r>
    </w:p>
    <w:p w:rsidR="0053498E" w:rsidRPr="00785828" w:rsidRDefault="0053498E" w:rsidP="0053498E">
      <w:pPr>
        <w:spacing w:before="240" w:after="240" w:line="360" w:lineRule="auto"/>
        <w:jc w:val="both"/>
        <w:rPr>
          <w:rFonts w:ascii="Arial" w:eastAsia="Tinos" w:hAnsi="Arial" w:cs="Arial"/>
          <w:sz w:val="20"/>
          <w:szCs w:val="20"/>
        </w:rPr>
      </w:pPr>
    </w:p>
    <w:p w:rsidR="0053498E" w:rsidRPr="00785828" w:rsidRDefault="0053498E" w:rsidP="0053498E">
      <w:pPr>
        <w:spacing w:after="0" w:line="480" w:lineRule="auto"/>
        <w:jc w:val="both"/>
        <w:rPr>
          <w:rFonts w:ascii="Arial" w:eastAsia="Tinos" w:hAnsi="Arial" w:cs="Arial"/>
          <w:b/>
          <w:sz w:val="20"/>
          <w:szCs w:val="20"/>
        </w:rPr>
      </w:pPr>
    </w:p>
    <w:p w:rsidR="0053498E" w:rsidRPr="00785828" w:rsidRDefault="0053498E" w:rsidP="0053498E">
      <w:pPr>
        <w:spacing w:after="0" w:line="240" w:lineRule="auto"/>
        <w:rPr>
          <w:rFonts w:ascii="Arial" w:eastAsia="Tinos" w:hAnsi="Arial" w:cs="Arial"/>
          <w:b/>
          <w:sz w:val="20"/>
          <w:szCs w:val="20"/>
        </w:rPr>
      </w:pPr>
      <w:r w:rsidRPr="00785828">
        <w:rPr>
          <w:rFonts w:ascii="Arial" w:eastAsia="Tinos" w:hAnsi="Arial" w:cs="Arial"/>
          <w:b/>
          <w:noProof/>
          <w:sz w:val="20"/>
          <w:szCs w:val="20"/>
        </w:rPr>
        <w:lastRenderedPageBreak/>
        <w:drawing>
          <wp:inline distT="0" distB="0" distL="0" distR="0" wp14:anchorId="67B284DE" wp14:editId="46A01E67">
            <wp:extent cx="6240575" cy="5650915"/>
            <wp:effectExtent l="0" t="0" r="8255" b="6985"/>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5681" cy="5664594"/>
                    </a:xfrm>
                    <a:prstGeom prst="rect">
                      <a:avLst/>
                    </a:prstGeom>
                    <a:noFill/>
                    <a:ln>
                      <a:noFill/>
                    </a:ln>
                  </pic:spPr>
                </pic:pic>
              </a:graphicData>
            </a:graphic>
          </wp:inline>
        </w:drawing>
      </w:r>
    </w:p>
    <w:p w:rsidR="0053498E" w:rsidRPr="00785828" w:rsidRDefault="0053498E" w:rsidP="0053498E">
      <w:pPr>
        <w:spacing w:after="0" w:line="240" w:lineRule="auto"/>
        <w:rPr>
          <w:rFonts w:ascii="Arial" w:eastAsia="Tinos" w:hAnsi="Arial" w:cs="Arial"/>
          <w:b/>
          <w:sz w:val="20"/>
          <w:szCs w:val="20"/>
        </w:rPr>
      </w:pPr>
    </w:p>
    <w:p w:rsidR="0053498E" w:rsidRPr="00785828" w:rsidRDefault="0053498E" w:rsidP="0053498E">
      <w:pPr>
        <w:spacing w:after="0" w:line="240" w:lineRule="auto"/>
        <w:rPr>
          <w:rFonts w:ascii="Arial" w:eastAsia="Tinos" w:hAnsi="Arial" w:cs="Arial"/>
          <w:b/>
          <w:sz w:val="20"/>
          <w:szCs w:val="20"/>
        </w:rPr>
      </w:pPr>
    </w:p>
    <w:p w:rsidR="0053498E" w:rsidRPr="00785828" w:rsidRDefault="0053498E" w:rsidP="0053498E">
      <w:pPr>
        <w:spacing w:after="0" w:line="240" w:lineRule="auto"/>
        <w:rPr>
          <w:rFonts w:ascii="Arial" w:eastAsia="Tinos" w:hAnsi="Arial" w:cs="Arial"/>
          <w:b/>
          <w:sz w:val="20"/>
          <w:szCs w:val="20"/>
        </w:rPr>
      </w:pPr>
      <w:r w:rsidRPr="00785828">
        <w:rPr>
          <w:rFonts w:ascii="Arial" w:eastAsia="Tinos" w:hAnsi="Arial" w:cs="Arial"/>
          <w:b/>
          <w:sz w:val="20"/>
          <w:szCs w:val="20"/>
        </w:rPr>
        <w:t xml:space="preserve">Figure S8. </w:t>
      </w:r>
      <w:proofErr w:type="spellStart"/>
      <w:r w:rsidRPr="00785828">
        <w:rPr>
          <w:rFonts w:ascii="Arial" w:eastAsia="Tinos" w:hAnsi="Arial" w:cs="Arial"/>
          <w:b/>
          <w:sz w:val="20"/>
          <w:szCs w:val="20"/>
        </w:rPr>
        <w:t>Barplots</w:t>
      </w:r>
      <w:proofErr w:type="spellEnd"/>
      <w:r w:rsidRPr="00785828">
        <w:rPr>
          <w:rFonts w:ascii="Arial" w:eastAsia="Tinos" w:hAnsi="Arial" w:cs="Arial"/>
          <w:b/>
          <w:sz w:val="20"/>
          <w:szCs w:val="20"/>
        </w:rPr>
        <w:t xml:space="preserve"> of normalized counts for RNA Sequencing experiments, with discovery and validation data cohorts. (A) miRNAs (significant). (B) Up-regulated genes with a respective miRNA pair (found with both frameworks). (C) Down-regulated regulated genes with a respective miRNA pair (found with both frameworks). (</w:t>
      </w:r>
      <w:r w:rsidRPr="00785828">
        <w:rPr>
          <w:rFonts w:ascii="Arial" w:eastAsia="Times New Roman" w:hAnsi="Arial" w:cs="Arial"/>
          <w:b/>
          <w:sz w:val="20"/>
          <w:szCs w:val="20"/>
        </w:rPr>
        <w:t>§)</w:t>
      </w:r>
      <w:r w:rsidRPr="00785828">
        <w:rPr>
          <w:rFonts w:ascii="Arial" w:eastAsia="Tinos" w:hAnsi="Arial" w:cs="Arial"/>
          <w:b/>
          <w:sz w:val="20"/>
          <w:szCs w:val="20"/>
        </w:rPr>
        <w:t xml:space="preserve"> retinal dehydrogenase 1 (ALDH1A1), to which a valid link was identified after integrating both the miRNA-transcript expression as well as the transcript-protein expression. The p-values were calculated using a two-sided Student’s t-test between PD and CTR samples for each </w:t>
      </w:r>
      <w:proofErr w:type="spellStart"/>
      <w:r w:rsidRPr="00785828">
        <w:rPr>
          <w:rFonts w:ascii="Arial" w:eastAsia="Tinos" w:hAnsi="Arial" w:cs="Arial"/>
          <w:b/>
          <w:sz w:val="20"/>
          <w:szCs w:val="20"/>
        </w:rPr>
        <w:t>omic</w:t>
      </w:r>
      <w:proofErr w:type="spellEnd"/>
      <w:r w:rsidRPr="00785828">
        <w:rPr>
          <w:rFonts w:ascii="Arial" w:eastAsia="Tinos" w:hAnsi="Arial" w:cs="Arial"/>
          <w:b/>
          <w:sz w:val="20"/>
          <w:szCs w:val="20"/>
        </w:rPr>
        <w:t xml:space="preserve"> analysis.</w:t>
      </w:r>
    </w:p>
    <w:p w:rsidR="0053498E" w:rsidRPr="00785828" w:rsidRDefault="0053498E" w:rsidP="0053498E">
      <w:pPr>
        <w:spacing w:after="0" w:line="480" w:lineRule="auto"/>
        <w:jc w:val="both"/>
        <w:rPr>
          <w:rFonts w:ascii="Arial" w:eastAsia="Tinos" w:hAnsi="Arial" w:cs="Arial"/>
          <w:b/>
          <w:sz w:val="20"/>
          <w:szCs w:val="20"/>
        </w:rPr>
      </w:pPr>
    </w:p>
    <w:p w:rsidR="0053498E" w:rsidRPr="00785828" w:rsidRDefault="0053498E" w:rsidP="0053498E">
      <w:pPr>
        <w:spacing w:after="0" w:line="240" w:lineRule="auto"/>
        <w:jc w:val="both"/>
        <w:rPr>
          <w:rFonts w:ascii="Arial" w:eastAsia="Tinos" w:hAnsi="Arial" w:cs="Arial"/>
          <w:b/>
          <w:sz w:val="20"/>
          <w:szCs w:val="20"/>
        </w:rPr>
      </w:pPr>
      <w:r w:rsidRPr="00785828">
        <w:rPr>
          <w:rFonts w:ascii="Arial" w:eastAsia="Tinos" w:hAnsi="Arial" w:cs="Arial"/>
          <w:b/>
          <w:noProof/>
          <w:sz w:val="20"/>
          <w:szCs w:val="20"/>
        </w:rPr>
        <w:lastRenderedPageBreak/>
        <w:drawing>
          <wp:inline distT="0" distB="0" distL="0" distR="0" wp14:anchorId="07BB2286" wp14:editId="31281EA3">
            <wp:extent cx="6035023" cy="4096987"/>
            <wp:effectExtent l="0" t="0" r="4445" b="0"/>
            <wp:docPr id="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0720" cy="4100855"/>
                    </a:xfrm>
                    <a:prstGeom prst="rect">
                      <a:avLst/>
                    </a:prstGeom>
                    <a:noFill/>
                    <a:ln>
                      <a:noFill/>
                    </a:ln>
                  </pic:spPr>
                </pic:pic>
              </a:graphicData>
            </a:graphic>
          </wp:inline>
        </w:drawing>
      </w:r>
    </w:p>
    <w:p w:rsidR="0053498E" w:rsidRPr="00785828" w:rsidRDefault="0053498E" w:rsidP="0053498E">
      <w:pPr>
        <w:spacing w:after="0" w:line="240" w:lineRule="auto"/>
        <w:jc w:val="both"/>
        <w:rPr>
          <w:rFonts w:ascii="Arial" w:eastAsia="Tinos" w:hAnsi="Arial" w:cs="Arial"/>
          <w:b/>
          <w:sz w:val="20"/>
          <w:szCs w:val="20"/>
        </w:rPr>
      </w:pPr>
    </w:p>
    <w:p w:rsidR="0053498E" w:rsidRPr="00785828" w:rsidRDefault="0053498E" w:rsidP="0053498E">
      <w:pPr>
        <w:spacing w:after="0" w:line="240" w:lineRule="auto"/>
        <w:jc w:val="both"/>
        <w:rPr>
          <w:rFonts w:ascii="Arial" w:eastAsia="Tinos" w:hAnsi="Arial" w:cs="Arial"/>
          <w:b/>
          <w:sz w:val="20"/>
          <w:szCs w:val="20"/>
        </w:rPr>
      </w:pPr>
      <w:r w:rsidRPr="00785828">
        <w:rPr>
          <w:rFonts w:ascii="Arial" w:eastAsia="Tinos" w:hAnsi="Arial" w:cs="Arial"/>
          <w:b/>
          <w:sz w:val="20"/>
          <w:szCs w:val="20"/>
        </w:rPr>
        <w:t>Figure S9. Transcripts with a valid link in the proteome. (A) Genes up-regulated in PD with a respective protein pair (found in both frameworks). (B) Genes down-regulated in PD with a respective protein pair (found with both frameworks). (</w:t>
      </w:r>
      <w:r w:rsidRPr="00785828">
        <w:rPr>
          <w:rFonts w:ascii="Arial" w:eastAsia="Times New Roman" w:hAnsi="Arial" w:cs="Arial"/>
          <w:b/>
          <w:sz w:val="20"/>
          <w:szCs w:val="20"/>
        </w:rPr>
        <w:t>§</w:t>
      </w:r>
      <w:r w:rsidRPr="00785828">
        <w:rPr>
          <w:rFonts w:ascii="Arial" w:eastAsia="Tinos" w:hAnsi="Arial" w:cs="Arial"/>
          <w:b/>
          <w:sz w:val="20"/>
          <w:szCs w:val="20"/>
        </w:rPr>
        <w:t xml:space="preserve">) highlights retinal dehydrogenase 1 (ALDH1A1), to which a valid link was identified after integrating both the miRNA-transcript expression as well as the transcript-protein expression. Data is given in normalized counts, including validation and discovery cohort. The p-values were calculated using a two-sided Student’s t-test between PD and CTR samples for each </w:t>
      </w:r>
      <w:proofErr w:type="spellStart"/>
      <w:r w:rsidRPr="00785828">
        <w:rPr>
          <w:rFonts w:ascii="Arial" w:eastAsia="Tinos" w:hAnsi="Arial" w:cs="Arial"/>
          <w:b/>
          <w:sz w:val="20"/>
          <w:szCs w:val="20"/>
        </w:rPr>
        <w:t>omic</w:t>
      </w:r>
      <w:proofErr w:type="spellEnd"/>
      <w:r w:rsidRPr="00785828">
        <w:rPr>
          <w:rFonts w:ascii="Arial" w:eastAsia="Tinos" w:hAnsi="Arial" w:cs="Arial"/>
          <w:b/>
          <w:sz w:val="20"/>
          <w:szCs w:val="20"/>
        </w:rPr>
        <w:t>.</w:t>
      </w:r>
    </w:p>
    <w:p w:rsidR="0053498E" w:rsidRPr="00785828" w:rsidRDefault="0053498E" w:rsidP="0053498E">
      <w:pPr>
        <w:spacing w:after="0" w:line="480" w:lineRule="auto"/>
        <w:jc w:val="both"/>
        <w:rPr>
          <w:rFonts w:ascii="Arial" w:eastAsia="Tinos" w:hAnsi="Arial" w:cs="Arial"/>
          <w:b/>
          <w:sz w:val="20"/>
          <w:szCs w:val="20"/>
        </w:rPr>
      </w:pPr>
    </w:p>
    <w:p w:rsidR="0053498E" w:rsidRPr="00785828" w:rsidRDefault="0053498E" w:rsidP="0053498E">
      <w:pPr>
        <w:spacing w:after="0" w:line="480" w:lineRule="auto"/>
        <w:jc w:val="both"/>
        <w:rPr>
          <w:rFonts w:ascii="Arial" w:eastAsia="Tinos" w:hAnsi="Arial" w:cs="Arial"/>
          <w:b/>
          <w:sz w:val="20"/>
          <w:szCs w:val="20"/>
        </w:rPr>
      </w:pPr>
    </w:p>
    <w:p w:rsidR="0053498E" w:rsidRPr="00785828" w:rsidRDefault="0053498E" w:rsidP="0053498E">
      <w:pPr>
        <w:spacing w:after="0" w:line="480" w:lineRule="auto"/>
        <w:jc w:val="both"/>
        <w:rPr>
          <w:rFonts w:ascii="Arial" w:eastAsia="Tinos" w:hAnsi="Arial" w:cs="Arial"/>
          <w:b/>
          <w:sz w:val="20"/>
          <w:szCs w:val="20"/>
        </w:rPr>
      </w:pPr>
    </w:p>
    <w:p w:rsidR="0053498E" w:rsidRPr="00785828" w:rsidRDefault="0053498E" w:rsidP="0053498E">
      <w:pPr>
        <w:spacing w:after="0" w:line="480" w:lineRule="auto"/>
        <w:jc w:val="both"/>
        <w:rPr>
          <w:rFonts w:ascii="Arial" w:eastAsia="Tinos" w:hAnsi="Arial" w:cs="Arial"/>
          <w:b/>
          <w:sz w:val="20"/>
          <w:szCs w:val="20"/>
        </w:rPr>
      </w:pPr>
    </w:p>
    <w:p w:rsidR="0053498E" w:rsidRDefault="0053498E" w:rsidP="0053498E">
      <w:pPr>
        <w:spacing w:after="0" w:line="480" w:lineRule="auto"/>
        <w:jc w:val="both"/>
        <w:rPr>
          <w:rFonts w:ascii="Arial" w:eastAsia="Tinos" w:hAnsi="Arial" w:cs="Arial"/>
          <w:b/>
          <w:sz w:val="20"/>
          <w:szCs w:val="20"/>
        </w:rPr>
      </w:pPr>
    </w:p>
    <w:p w:rsidR="00052A9B" w:rsidRDefault="00052A9B" w:rsidP="0053498E">
      <w:pPr>
        <w:spacing w:after="0" w:line="480" w:lineRule="auto"/>
        <w:jc w:val="both"/>
        <w:rPr>
          <w:rFonts w:ascii="Arial" w:eastAsia="Tinos" w:hAnsi="Arial" w:cs="Arial"/>
          <w:b/>
          <w:sz w:val="20"/>
          <w:szCs w:val="20"/>
        </w:rPr>
      </w:pPr>
    </w:p>
    <w:p w:rsidR="00052A9B" w:rsidRDefault="00052A9B" w:rsidP="0053498E">
      <w:pPr>
        <w:spacing w:after="0" w:line="480" w:lineRule="auto"/>
        <w:jc w:val="both"/>
        <w:rPr>
          <w:rFonts w:ascii="Arial" w:eastAsia="Tinos" w:hAnsi="Arial" w:cs="Arial"/>
          <w:b/>
          <w:sz w:val="20"/>
          <w:szCs w:val="20"/>
        </w:rPr>
      </w:pPr>
    </w:p>
    <w:p w:rsidR="00052A9B" w:rsidRPr="00785828" w:rsidRDefault="00052A9B" w:rsidP="0053498E">
      <w:pPr>
        <w:spacing w:after="0" w:line="480" w:lineRule="auto"/>
        <w:jc w:val="both"/>
        <w:rPr>
          <w:rFonts w:ascii="Arial" w:eastAsia="Tinos" w:hAnsi="Arial" w:cs="Arial"/>
          <w:b/>
          <w:sz w:val="20"/>
          <w:szCs w:val="20"/>
        </w:rPr>
      </w:pPr>
    </w:p>
    <w:p w:rsidR="0053498E" w:rsidRPr="00785828" w:rsidRDefault="0053498E" w:rsidP="0053498E">
      <w:pPr>
        <w:spacing w:after="0" w:line="480" w:lineRule="auto"/>
        <w:jc w:val="both"/>
        <w:rPr>
          <w:rFonts w:ascii="Arial" w:eastAsia="Tinos" w:hAnsi="Arial" w:cs="Arial"/>
          <w:b/>
          <w:sz w:val="20"/>
          <w:szCs w:val="20"/>
        </w:rPr>
      </w:pPr>
    </w:p>
    <w:p w:rsidR="0053498E" w:rsidRPr="00785828" w:rsidRDefault="0053498E" w:rsidP="0053498E">
      <w:pPr>
        <w:spacing w:after="0" w:line="480" w:lineRule="auto"/>
        <w:jc w:val="both"/>
        <w:rPr>
          <w:rFonts w:ascii="Arial" w:eastAsia="Tinos" w:hAnsi="Arial" w:cs="Arial"/>
          <w:b/>
          <w:sz w:val="20"/>
          <w:szCs w:val="20"/>
        </w:rPr>
      </w:pPr>
    </w:p>
    <w:p w:rsidR="0053498E" w:rsidRPr="00785828" w:rsidRDefault="0053498E" w:rsidP="0053498E">
      <w:pPr>
        <w:spacing w:after="200" w:line="240" w:lineRule="auto"/>
        <w:jc w:val="both"/>
        <w:rPr>
          <w:rFonts w:ascii="Arial" w:eastAsia="Tinos" w:hAnsi="Arial" w:cs="Arial"/>
          <w:b/>
          <w:sz w:val="20"/>
          <w:szCs w:val="20"/>
        </w:rPr>
      </w:pPr>
      <w:r w:rsidRPr="00785828">
        <w:rPr>
          <w:rFonts w:ascii="Arial" w:eastAsia="Tinos" w:hAnsi="Arial" w:cs="Arial"/>
          <w:b/>
          <w:sz w:val="20"/>
          <w:szCs w:val="20"/>
        </w:rPr>
        <w:lastRenderedPageBreak/>
        <w:t>Supplementary tables</w:t>
      </w:r>
    </w:p>
    <w:p w:rsidR="0053498E" w:rsidRPr="00785828" w:rsidRDefault="0053498E" w:rsidP="0053498E">
      <w:pPr>
        <w:spacing w:after="0" w:line="240" w:lineRule="auto"/>
        <w:jc w:val="both"/>
        <w:rPr>
          <w:rFonts w:ascii="Arial" w:eastAsia="Tinos" w:hAnsi="Arial" w:cs="Arial"/>
          <w:b/>
          <w:sz w:val="20"/>
          <w:szCs w:val="20"/>
        </w:rPr>
      </w:pPr>
      <w:r w:rsidRPr="00785828">
        <w:rPr>
          <w:rFonts w:ascii="Arial" w:eastAsia="Tinos" w:hAnsi="Arial" w:cs="Arial"/>
          <w:b/>
          <w:sz w:val="20"/>
          <w:szCs w:val="20"/>
        </w:rPr>
        <w:t>Table S1. Genes/Exons assessed in MLPA experiments</w:t>
      </w:r>
    </w:p>
    <w:tbl>
      <w:tblPr>
        <w:tblW w:w="7800" w:type="dxa"/>
        <w:tblBorders>
          <w:insideH w:val="nil"/>
          <w:insideV w:val="nil"/>
        </w:tblBorders>
        <w:tblLayout w:type="fixed"/>
        <w:tblLook w:val="0600" w:firstRow="0" w:lastRow="0" w:firstColumn="0" w:lastColumn="0" w:noHBand="1" w:noVBand="1"/>
      </w:tblPr>
      <w:tblGrid>
        <w:gridCol w:w="2655"/>
        <w:gridCol w:w="2745"/>
        <w:gridCol w:w="2400"/>
      </w:tblGrid>
      <w:tr w:rsidR="0053498E" w:rsidRPr="00785828" w:rsidTr="0053498E">
        <w:trPr>
          <w:trHeight w:val="525"/>
        </w:trPr>
        <w:tc>
          <w:tcPr>
            <w:tcW w:w="2655" w:type="dxa"/>
            <w:tcBorders>
              <w:top w:val="single" w:sz="8" w:space="0" w:color="000000"/>
              <w:left w:val="nil"/>
              <w:bottom w:val="single" w:sz="8" w:space="0" w:color="7F7F7F"/>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b/>
                <w:sz w:val="20"/>
                <w:szCs w:val="20"/>
              </w:rPr>
            </w:pPr>
            <w:r w:rsidRPr="00785828">
              <w:rPr>
                <w:rFonts w:ascii="Arial" w:eastAsia="Tinos" w:hAnsi="Arial" w:cs="Arial"/>
                <w:b/>
                <w:sz w:val="20"/>
                <w:szCs w:val="20"/>
              </w:rPr>
              <w:t>Gene/Exon</w:t>
            </w:r>
          </w:p>
        </w:tc>
        <w:tc>
          <w:tcPr>
            <w:tcW w:w="2745" w:type="dxa"/>
            <w:tcBorders>
              <w:top w:val="single" w:sz="8" w:space="0" w:color="000000"/>
              <w:left w:val="nil"/>
              <w:bottom w:val="single" w:sz="8" w:space="0" w:color="7F7F7F"/>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b/>
                <w:sz w:val="20"/>
                <w:szCs w:val="20"/>
              </w:rPr>
            </w:pPr>
            <w:r w:rsidRPr="00785828">
              <w:rPr>
                <w:rFonts w:ascii="Arial" w:eastAsia="Tinos" w:hAnsi="Arial" w:cs="Arial"/>
                <w:b/>
                <w:sz w:val="20"/>
                <w:szCs w:val="20"/>
              </w:rPr>
              <w:t>Chromosomal band</w:t>
            </w:r>
          </w:p>
        </w:tc>
        <w:tc>
          <w:tcPr>
            <w:tcW w:w="2400" w:type="dxa"/>
            <w:tcBorders>
              <w:top w:val="single" w:sz="8" w:space="0" w:color="000000"/>
              <w:left w:val="nil"/>
              <w:bottom w:val="single" w:sz="8" w:space="0" w:color="7F7F7F"/>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b/>
                <w:sz w:val="20"/>
                <w:szCs w:val="20"/>
              </w:rPr>
            </w:pPr>
            <w:r w:rsidRPr="00785828">
              <w:rPr>
                <w:rFonts w:ascii="Arial" w:eastAsia="Tinos" w:hAnsi="Arial" w:cs="Arial"/>
                <w:b/>
                <w:sz w:val="20"/>
                <w:szCs w:val="20"/>
              </w:rPr>
              <w:t>hg18 location</w:t>
            </w:r>
          </w:p>
        </w:tc>
      </w:tr>
      <w:tr w:rsidR="0053498E" w:rsidRPr="00785828" w:rsidTr="0053498E">
        <w:trPr>
          <w:trHeight w:val="315"/>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TNFRSF9-2</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01p36.23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01-007,923428</w:t>
            </w:r>
          </w:p>
        </w:tc>
      </w:tr>
      <w:tr w:rsidR="0053498E" w:rsidRPr="00785828" w:rsidTr="0053498E">
        <w:trPr>
          <w:trHeight w:val="225"/>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PARK7-1</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01p36.23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01-007,944030</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PARK7-1</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01p36.23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01-007,944328</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PARK7-2</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01p36.23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01-007,945409</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PARK7-3</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01p36.23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01-007,947986</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PARK7-4</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01p36.23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01-007,951947</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PARK7-5</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01p36.23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01-007,953554</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PARK7-6</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01p36.23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01-007,960310</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PARK7-7</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01p36.23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01-007,967679</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ATP13A2-9</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01p36.13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01-017,199465</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ATP13A2-2</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01p36.13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01-017,204821</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PINK1-1</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01p36.12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01-020,832858</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PINK1-2</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01p36.12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01-020,836975</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PINK1-3</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01p36.12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01-020,839042</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PINK1-4</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01p36.12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01-020,843555</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PINK1-5</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01p36.12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01-020,844754</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lastRenderedPageBreak/>
              <w:t>PINK1-6</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01p36.12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01-020,847671</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PINK1-7</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01p36.12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01-020,848135</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PINK1-8</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01p36.12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01-020,850116</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SNCA-6</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04q22.1</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04-090,866748</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SNCA-5</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04q22.1</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04-090,869382</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SNCA-4</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04q22.1</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04-090,962507</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SNCA-3</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04q22.1</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04-090,968331</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SNCA-2 (A30P)</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04q22.1</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04-090,975721</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SNCA-2</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04q22.1</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04-090,975795</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SNCA-1</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04q22.1</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04-090,977117</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LPA-39</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06q25.3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06-160,873567</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PARK2-12</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06-161,690736</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PARK2-11</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06-161,701126</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PARK2-10</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06-161,727843</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PARK2-9</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06-161,889882</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PARK2-8</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06-161,910375</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PARK2-7</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06-162,126840</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PARK2-6</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06-162,314327</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lastRenderedPageBreak/>
              <w:t>PARK2-5</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06-162,395114</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PARK2-4</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06-162,542097</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PARK2-3</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06-162,603527</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PARK2-2</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06-162,784395</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PARK2-1</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06q26</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06-163,068646</w:t>
            </w:r>
          </w:p>
        </w:tc>
      </w:tr>
      <w:tr w:rsidR="0053498E" w:rsidRPr="00785828" w:rsidTr="0053498E">
        <w:trPr>
          <w:trHeight w:val="54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LRRK2-41 (G2019S)</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12q12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12-039,020438</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Reference</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02p13.2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02-071,750350</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Reference</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02q36.3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02-227,881969</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Reference</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03p22.2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03-038,494904</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Reference</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05q31.1</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05-132,037610</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Reference</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06p12.3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06-051,605391</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Reference</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08q12.2</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08-061,883322</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Reference</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09p13.3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09-034,483216</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Reference</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11p14.3</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11-022,251032</w:t>
            </w:r>
          </w:p>
        </w:tc>
      </w:tr>
      <w:tr w:rsidR="0053498E" w:rsidRPr="00785828" w:rsidTr="0053498E">
        <w:trPr>
          <w:trHeight w:val="500"/>
        </w:trPr>
        <w:tc>
          <w:tcPr>
            <w:tcW w:w="265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Reference</w:t>
            </w:r>
          </w:p>
        </w:tc>
        <w:tc>
          <w:tcPr>
            <w:tcW w:w="2745" w:type="dxa"/>
            <w:tcBorders>
              <w:top w:val="nil"/>
              <w:left w:val="nil"/>
              <w:bottom w:val="nil"/>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15q21.1</w:t>
            </w:r>
          </w:p>
        </w:tc>
        <w:tc>
          <w:tcPr>
            <w:tcW w:w="2400" w:type="dxa"/>
            <w:tcBorders>
              <w:top w:val="nil"/>
              <w:left w:val="nil"/>
              <w:bottom w:val="nil"/>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15-042,674827</w:t>
            </w:r>
          </w:p>
        </w:tc>
      </w:tr>
      <w:tr w:rsidR="0053498E" w:rsidRPr="00785828" w:rsidTr="0053498E">
        <w:trPr>
          <w:trHeight w:val="500"/>
        </w:trPr>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Reference</w:t>
            </w:r>
          </w:p>
        </w:tc>
        <w:tc>
          <w:tcPr>
            <w:tcW w:w="2745" w:type="dxa"/>
            <w:tcBorders>
              <w:top w:val="nil"/>
              <w:left w:val="nil"/>
              <w:bottom w:val="single" w:sz="8" w:space="0" w:color="000000"/>
              <w:right w:val="single" w:sz="8" w:space="0" w:color="000000"/>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18q21.1</w:t>
            </w:r>
          </w:p>
        </w:tc>
        <w:tc>
          <w:tcPr>
            <w:tcW w:w="2400" w:type="dxa"/>
            <w:tcBorders>
              <w:top w:val="nil"/>
              <w:left w:val="nil"/>
              <w:bottom w:val="single" w:sz="8" w:space="0" w:color="000000"/>
              <w:right w:val="nil"/>
            </w:tcBorders>
            <w:tcMar>
              <w:top w:w="100" w:type="dxa"/>
              <w:left w:w="100" w:type="dxa"/>
              <w:bottom w:w="100" w:type="dxa"/>
              <w:right w:w="100" w:type="dxa"/>
            </w:tcMar>
            <w:hideMark/>
          </w:tcPr>
          <w:p w:rsidR="0053498E" w:rsidRPr="00785828" w:rsidRDefault="0053498E" w:rsidP="0053498E">
            <w:pPr>
              <w:spacing w:after="0" w:line="240" w:lineRule="auto"/>
              <w:jc w:val="both"/>
              <w:rPr>
                <w:rFonts w:ascii="Arial" w:eastAsia="Tinos" w:hAnsi="Arial" w:cs="Arial"/>
                <w:sz w:val="20"/>
                <w:szCs w:val="20"/>
              </w:rPr>
            </w:pPr>
            <w:r w:rsidRPr="00785828">
              <w:rPr>
                <w:rFonts w:ascii="Arial" w:eastAsia="Tinos" w:hAnsi="Arial" w:cs="Arial"/>
                <w:sz w:val="20"/>
                <w:szCs w:val="20"/>
              </w:rPr>
              <w:t>18-045,743292</w:t>
            </w:r>
          </w:p>
        </w:tc>
      </w:tr>
    </w:tbl>
    <w:p w:rsidR="0053498E" w:rsidRDefault="0053498E" w:rsidP="0053498E">
      <w:pPr>
        <w:spacing w:before="240" w:after="240" w:line="480" w:lineRule="auto"/>
        <w:jc w:val="both"/>
        <w:rPr>
          <w:rFonts w:ascii="Arial" w:eastAsia="Tinos" w:hAnsi="Arial" w:cs="Arial"/>
          <w:b/>
          <w:sz w:val="20"/>
          <w:szCs w:val="20"/>
        </w:rPr>
      </w:pPr>
      <w:r w:rsidRPr="00785828">
        <w:rPr>
          <w:rFonts w:ascii="Arial" w:eastAsia="Tinos" w:hAnsi="Arial" w:cs="Arial"/>
          <w:b/>
          <w:sz w:val="20"/>
          <w:szCs w:val="20"/>
        </w:rPr>
        <w:t xml:space="preserve"> </w:t>
      </w:r>
    </w:p>
    <w:p w:rsidR="00052A9B" w:rsidRDefault="00052A9B" w:rsidP="0053498E">
      <w:pPr>
        <w:spacing w:before="240" w:after="240" w:line="480" w:lineRule="auto"/>
        <w:jc w:val="both"/>
        <w:rPr>
          <w:rFonts w:ascii="Arial" w:eastAsia="Tinos" w:hAnsi="Arial" w:cs="Arial"/>
          <w:b/>
          <w:sz w:val="20"/>
          <w:szCs w:val="20"/>
        </w:rPr>
      </w:pPr>
    </w:p>
    <w:p w:rsidR="0053498E" w:rsidRPr="00785828" w:rsidRDefault="0053498E" w:rsidP="0053498E">
      <w:pPr>
        <w:spacing w:before="240" w:after="240" w:line="480" w:lineRule="auto"/>
        <w:jc w:val="both"/>
        <w:rPr>
          <w:rFonts w:ascii="Arial" w:eastAsia="Tinos" w:hAnsi="Arial" w:cs="Arial"/>
          <w:b/>
          <w:sz w:val="20"/>
          <w:szCs w:val="20"/>
        </w:rPr>
      </w:pPr>
      <w:bookmarkStart w:id="1" w:name="_GoBack"/>
      <w:bookmarkEnd w:id="1"/>
      <w:r w:rsidRPr="00785828">
        <w:rPr>
          <w:rFonts w:ascii="Arial" w:eastAsia="Tinos" w:hAnsi="Arial" w:cs="Arial"/>
          <w:b/>
          <w:sz w:val="20"/>
          <w:szCs w:val="20"/>
        </w:rPr>
        <w:lastRenderedPageBreak/>
        <w:t>Table S2. List of genes assessed in Gene panel sequencing experiments</w:t>
      </w:r>
    </w:p>
    <w:tbl>
      <w:tblPr>
        <w:tblW w:w="7513" w:type="dxa"/>
        <w:jc w:val="center"/>
        <w:tblLook w:val="04A0" w:firstRow="1" w:lastRow="0" w:firstColumn="1" w:lastColumn="0" w:noHBand="0" w:noVBand="1"/>
      </w:tblPr>
      <w:tblGrid>
        <w:gridCol w:w="7513"/>
      </w:tblGrid>
      <w:tr w:rsidR="0053498E" w:rsidRPr="00785828" w:rsidTr="0053498E">
        <w:trPr>
          <w:trHeight w:val="300"/>
          <w:jc w:val="center"/>
        </w:trPr>
        <w:tc>
          <w:tcPr>
            <w:tcW w:w="7513" w:type="dxa"/>
            <w:tcBorders>
              <w:top w:val="single" w:sz="4" w:space="0" w:color="auto"/>
              <w:left w:val="nil"/>
              <w:bottom w:val="single" w:sz="4" w:space="0" w:color="auto"/>
              <w:right w:val="nil"/>
            </w:tcBorders>
            <w:noWrap/>
            <w:vAlign w:val="bottom"/>
            <w:hideMark/>
          </w:tcPr>
          <w:p w:rsidR="0053498E" w:rsidRPr="00785828" w:rsidRDefault="0053498E" w:rsidP="0053498E">
            <w:pPr>
              <w:spacing w:after="0" w:line="240" w:lineRule="auto"/>
              <w:jc w:val="center"/>
              <w:rPr>
                <w:rFonts w:ascii="Arial" w:eastAsia="Tinos" w:hAnsi="Arial" w:cs="Arial"/>
                <w:color w:val="000000"/>
                <w:sz w:val="20"/>
                <w:szCs w:val="20"/>
              </w:rPr>
            </w:pPr>
            <w:r w:rsidRPr="00785828">
              <w:rPr>
                <w:rFonts w:ascii="Arial" w:eastAsia="Tinos" w:hAnsi="Arial" w:cs="Arial"/>
                <w:sz w:val="20"/>
                <w:szCs w:val="20"/>
              </w:rPr>
              <w:t>Targeted Sequencing (Gene Panel) - Evaluated Genes</w:t>
            </w:r>
          </w:p>
        </w:tc>
      </w:tr>
      <w:tr w:rsidR="0053498E" w:rsidRPr="00785828" w:rsidTr="0053498E">
        <w:trPr>
          <w:trHeight w:val="300"/>
          <w:jc w:val="center"/>
        </w:trPr>
        <w:tc>
          <w:tcPr>
            <w:tcW w:w="7513" w:type="dxa"/>
            <w:tcBorders>
              <w:top w:val="single" w:sz="4" w:space="0" w:color="auto"/>
              <w:left w:val="nil"/>
              <w:bottom w:val="nil"/>
              <w:right w:val="nil"/>
            </w:tcBorders>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ADCY5</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ANO3</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COX20</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DJ-1</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GBA</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GCH1</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GNAL</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KMT2B</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LRRK2</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MCOLN1</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Parkin</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PDGFB</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PDGFRB</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PINK1</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PLA2G6</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POLG</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PRKRA</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RAB12</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RAB39B</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SGCE</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SLC20A2</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SNCA</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TAF1 (4 variants)</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THAP1</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TOR1A</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VAC14</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VPS13C</w:t>
            </w:r>
          </w:p>
        </w:tc>
      </w:tr>
      <w:tr w:rsidR="0053498E" w:rsidRPr="00785828" w:rsidTr="0053498E">
        <w:trPr>
          <w:trHeight w:val="300"/>
          <w:jc w:val="center"/>
        </w:trPr>
        <w:tc>
          <w:tcPr>
            <w:tcW w:w="7513" w:type="dxa"/>
            <w:noWrap/>
            <w:vAlign w:val="bottom"/>
            <w:hideMark/>
          </w:tcPr>
          <w:p w:rsidR="0053498E" w:rsidRPr="00785828" w:rsidRDefault="0053498E" w:rsidP="0053498E">
            <w:pPr>
              <w:spacing w:after="0" w:line="240" w:lineRule="auto"/>
              <w:jc w:val="center"/>
              <w:rPr>
                <w:rFonts w:ascii="Arial" w:eastAsia="Times New Roman" w:hAnsi="Arial" w:cs="Arial"/>
                <w:i/>
                <w:color w:val="000000"/>
                <w:sz w:val="20"/>
                <w:szCs w:val="20"/>
              </w:rPr>
            </w:pPr>
            <w:r w:rsidRPr="00785828">
              <w:rPr>
                <w:rFonts w:ascii="Arial" w:eastAsia="Tinos" w:hAnsi="Arial" w:cs="Arial"/>
                <w:i/>
                <w:color w:val="000000"/>
                <w:sz w:val="20"/>
                <w:szCs w:val="20"/>
              </w:rPr>
              <w:t>VPS35</w:t>
            </w:r>
          </w:p>
        </w:tc>
      </w:tr>
      <w:tr w:rsidR="0053498E" w:rsidRPr="00785828" w:rsidTr="0053498E">
        <w:trPr>
          <w:trHeight w:val="300"/>
          <w:jc w:val="center"/>
        </w:trPr>
        <w:tc>
          <w:tcPr>
            <w:tcW w:w="7513" w:type="dxa"/>
            <w:tcBorders>
              <w:top w:val="nil"/>
              <w:left w:val="nil"/>
              <w:bottom w:val="single" w:sz="4" w:space="0" w:color="auto"/>
              <w:right w:val="nil"/>
            </w:tcBorders>
            <w:noWrap/>
            <w:vAlign w:val="bottom"/>
            <w:hideMark/>
          </w:tcPr>
          <w:p w:rsidR="0053498E" w:rsidRPr="00785828" w:rsidRDefault="0053498E" w:rsidP="0053498E">
            <w:pPr>
              <w:spacing w:after="0" w:line="240" w:lineRule="auto"/>
              <w:jc w:val="center"/>
              <w:rPr>
                <w:rFonts w:ascii="Arial" w:eastAsia="Tinos" w:hAnsi="Arial" w:cs="Arial"/>
                <w:i/>
                <w:color w:val="000000"/>
                <w:sz w:val="20"/>
                <w:szCs w:val="20"/>
              </w:rPr>
            </w:pPr>
            <w:r w:rsidRPr="00785828">
              <w:rPr>
                <w:rFonts w:ascii="Arial" w:eastAsia="Tinos" w:hAnsi="Arial" w:cs="Arial"/>
                <w:i/>
                <w:color w:val="000000"/>
                <w:sz w:val="20"/>
                <w:szCs w:val="20"/>
              </w:rPr>
              <w:t>XPR1</w:t>
            </w:r>
          </w:p>
        </w:tc>
      </w:tr>
    </w:tbl>
    <w:p w:rsidR="0053498E" w:rsidRDefault="0053498E" w:rsidP="0053498E">
      <w:pPr>
        <w:spacing w:before="240" w:after="240" w:line="480" w:lineRule="auto"/>
        <w:jc w:val="both"/>
        <w:rPr>
          <w:rFonts w:ascii="Arial" w:eastAsia="Tinos" w:hAnsi="Arial" w:cs="Arial"/>
          <w:b/>
          <w:sz w:val="20"/>
          <w:szCs w:val="20"/>
        </w:rPr>
      </w:pPr>
    </w:p>
    <w:p w:rsidR="00052A9B" w:rsidRDefault="00052A9B" w:rsidP="0053498E">
      <w:pPr>
        <w:spacing w:before="240" w:after="240" w:line="480" w:lineRule="auto"/>
        <w:jc w:val="both"/>
        <w:rPr>
          <w:rFonts w:ascii="Arial" w:eastAsia="Tinos" w:hAnsi="Arial" w:cs="Arial"/>
          <w:b/>
          <w:sz w:val="20"/>
          <w:szCs w:val="20"/>
        </w:rPr>
      </w:pPr>
    </w:p>
    <w:p w:rsidR="00052A9B" w:rsidRDefault="00052A9B" w:rsidP="0053498E">
      <w:pPr>
        <w:spacing w:before="240" w:after="240" w:line="480" w:lineRule="auto"/>
        <w:jc w:val="both"/>
        <w:rPr>
          <w:rFonts w:ascii="Arial" w:eastAsia="Tinos" w:hAnsi="Arial" w:cs="Arial"/>
          <w:b/>
          <w:sz w:val="20"/>
          <w:szCs w:val="20"/>
        </w:rPr>
      </w:pPr>
    </w:p>
    <w:p w:rsidR="00052A9B" w:rsidRPr="00785828" w:rsidRDefault="00052A9B" w:rsidP="0053498E">
      <w:pPr>
        <w:spacing w:before="240" w:after="240" w:line="480" w:lineRule="auto"/>
        <w:jc w:val="both"/>
        <w:rPr>
          <w:rFonts w:ascii="Arial" w:eastAsia="Tinos" w:hAnsi="Arial" w:cs="Arial"/>
          <w:b/>
          <w:sz w:val="20"/>
          <w:szCs w:val="20"/>
        </w:rPr>
      </w:pPr>
    </w:p>
    <w:p w:rsidR="0053498E" w:rsidRPr="00785828" w:rsidRDefault="0053498E" w:rsidP="0053498E">
      <w:pPr>
        <w:spacing w:before="240" w:after="240" w:line="240" w:lineRule="auto"/>
        <w:jc w:val="both"/>
        <w:rPr>
          <w:rFonts w:ascii="Arial" w:eastAsia="Tinos" w:hAnsi="Arial" w:cs="Arial"/>
          <w:sz w:val="20"/>
          <w:szCs w:val="20"/>
        </w:rPr>
      </w:pPr>
      <w:r w:rsidRPr="00785828">
        <w:rPr>
          <w:rFonts w:ascii="Arial" w:eastAsia="Tinos" w:hAnsi="Arial" w:cs="Arial"/>
          <w:b/>
          <w:sz w:val="20"/>
          <w:szCs w:val="20"/>
        </w:rPr>
        <w:lastRenderedPageBreak/>
        <w:t xml:space="preserve">Table S3. RNA-Seq decomposition score results using </w:t>
      </w:r>
      <w:proofErr w:type="spellStart"/>
      <w:r w:rsidRPr="00785828">
        <w:rPr>
          <w:rFonts w:ascii="Arial" w:eastAsia="Tinos" w:hAnsi="Arial" w:cs="Arial"/>
          <w:b/>
          <w:sz w:val="20"/>
          <w:szCs w:val="20"/>
        </w:rPr>
        <w:t>xCell</w:t>
      </w:r>
      <w:proofErr w:type="spellEnd"/>
      <w:r w:rsidRPr="00785828">
        <w:rPr>
          <w:rFonts w:ascii="Arial" w:eastAsia="Tinos" w:hAnsi="Arial" w:cs="Arial"/>
          <w:b/>
          <w:sz w:val="20"/>
          <w:szCs w:val="20"/>
        </w:rPr>
        <w:t xml:space="preserve"> and MCP-counter methods.</w:t>
      </w:r>
      <w:r w:rsidRPr="00785828">
        <w:rPr>
          <w:rFonts w:ascii="Arial" w:eastAsia="Tinos" w:hAnsi="Arial" w:cs="Arial"/>
          <w:sz w:val="20"/>
          <w:szCs w:val="20"/>
        </w:rPr>
        <w:t xml:space="preserve"> Log</w:t>
      </w:r>
      <w:r w:rsidRPr="00785828">
        <w:rPr>
          <w:rFonts w:ascii="Arial" w:eastAsia="Tinos" w:hAnsi="Arial" w:cs="Arial"/>
          <w:sz w:val="20"/>
          <w:szCs w:val="20"/>
          <w:vertAlign w:val="subscript"/>
        </w:rPr>
        <w:t>2</w:t>
      </w:r>
      <w:r w:rsidRPr="00785828">
        <w:rPr>
          <w:rFonts w:ascii="Arial" w:eastAsia="Tinos" w:hAnsi="Arial" w:cs="Arial"/>
          <w:sz w:val="20"/>
          <w:szCs w:val="20"/>
        </w:rPr>
        <w:t>(Fold-Change) (Log</w:t>
      </w:r>
      <w:r w:rsidRPr="00785828">
        <w:rPr>
          <w:rFonts w:ascii="Arial" w:eastAsia="Tinos" w:hAnsi="Arial" w:cs="Arial"/>
          <w:sz w:val="20"/>
          <w:szCs w:val="20"/>
          <w:vertAlign w:val="subscript"/>
        </w:rPr>
        <w:t>2</w:t>
      </w:r>
      <w:r w:rsidRPr="00785828">
        <w:rPr>
          <w:rFonts w:ascii="Arial" w:eastAsia="Tinos" w:hAnsi="Arial" w:cs="Arial"/>
          <w:sz w:val="20"/>
          <w:szCs w:val="20"/>
        </w:rPr>
        <w:t xml:space="preserve">FC) = </w:t>
      </w:r>
      <w:proofErr w:type="spellStart"/>
      <w:r w:rsidRPr="00785828">
        <w:rPr>
          <w:rFonts w:ascii="Arial" w:eastAsia="Tinos" w:hAnsi="Arial" w:cs="Arial"/>
          <w:sz w:val="20"/>
          <w:szCs w:val="20"/>
        </w:rPr>
        <w:t>score</w:t>
      </w:r>
      <w:r w:rsidRPr="00785828">
        <w:rPr>
          <w:rFonts w:ascii="Arial" w:eastAsia="Tinos" w:hAnsi="Arial" w:cs="Arial"/>
          <w:sz w:val="20"/>
          <w:szCs w:val="20"/>
          <w:vertAlign w:val="subscript"/>
        </w:rPr>
        <w:t>PD</w:t>
      </w:r>
      <w:proofErr w:type="spellEnd"/>
      <w:r w:rsidRPr="00785828">
        <w:rPr>
          <w:rFonts w:ascii="Arial" w:eastAsia="Tinos" w:hAnsi="Arial" w:cs="Arial"/>
          <w:sz w:val="20"/>
          <w:szCs w:val="20"/>
        </w:rPr>
        <w:t xml:space="preserve"> - </w:t>
      </w:r>
      <w:proofErr w:type="spellStart"/>
      <w:r w:rsidRPr="00785828">
        <w:rPr>
          <w:rFonts w:ascii="Arial" w:eastAsia="Tinos" w:hAnsi="Arial" w:cs="Arial"/>
          <w:sz w:val="20"/>
          <w:szCs w:val="20"/>
        </w:rPr>
        <w:t>score</w:t>
      </w:r>
      <w:r w:rsidRPr="00785828">
        <w:rPr>
          <w:rFonts w:ascii="Arial" w:eastAsia="Tinos" w:hAnsi="Arial" w:cs="Arial"/>
          <w:sz w:val="20"/>
          <w:szCs w:val="20"/>
          <w:vertAlign w:val="subscript"/>
        </w:rPr>
        <w:t>CTR</w:t>
      </w:r>
      <w:proofErr w:type="spellEnd"/>
      <w:r w:rsidRPr="00785828">
        <w:rPr>
          <w:rFonts w:ascii="Arial" w:eastAsia="Tinos" w:hAnsi="Arial" w:cs="Arial"/>
          <w:sz w:val="20"/>
          <w:szCs w:val="20"/>
        </w:rPr>
        <w:t>, p-values obtained using a Wilcoxon t-test and adjusted by Bonferroni's correction method.</w:t>
      </w:r>
    </w:p>
    <w:tbl>
      <w:tblPr>
        <w:tblW w:w="8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5"/>
        <w:gridCol w:w="1725"/>
        <w:gridCol w:w="1755"/>
        <w:gridCol w:w="1935"/>
      </w:tblGrid>
      <w:tr w:rsidR="0053498E" w:rsidRPr="00785828" w:rsidTr="0053498E">
        <w:trPr>
          <w:trHeight w:val="405"/>
        </w:trPr>
        <w:tc>
          <w:tcPr>
            <w:tcW w:w="8340" w:type="dxa"/>
            <w:gridSpan w:val="4"/>
            <w:tcBorders>
              <w:top w:val="single" w:sz="8" w:space="0" w:color="000000"/>
              <w:left w:val="single" w:sz="6" w:space="0" w:color="FFFFFF"/>
              <w:bottom w:val="single" w:sz="8" w:space="0" w:color="000000"/>
              <w:right w:val="single" w:sz="6" w:space="0" w:color="000000"/>
            </w:tcBorders>
            <w:tcMar>
              <w:top w:w="60" w:type="dxa"/>
              <w:left w:w="60" w:type="dxa"/>
              <w:bottom w:w="60" w:type="dxa"/>
              <w:right w:w="60" w:type="dxa"/>
            </w:tcMar>
            <w:hideMark/>
          </w:tcPr>
          <w:p w:rsidR="0053498E" w:rsidRPr="00785828" w:rsidRDefault="0053498E" w:rsidP="0053498E">
            <w:pPr>
              <w:spacing w:after="0" w:line="240" w:lineRule="auto"/>
              <w:jc w:val="both"/>
              <w:rPr>
                <w:rFonts w:ascii="Arial" w:eastAsia="Tinos" w:hAnsi="Arial" w:cs="Arial"/>
                <w:b/>
                <w:sz w:val="20"/>
                <w:szCs w:val="20"/>
              </w:rPr>
            </w:pPr>
            <w:proofErr w:type="spellStart"/>
            <w:r w:rsidRPr="00785828">
              <w:rPr>
                <w:rFonts w:ascii="Arial" w:eastAsia="Tinos" w:hAnsi="Arial" w:cs="Arial"/>
                <w:b/>
                <w:sz w:val="20"/>
                <w:szCs w:val="20"/>
              </w:rPr>
              <w:t>xCell</w:t>
            </w:r>
            <w:proofErr w:type="spellEnd"/>
          </w:p>
        </w:tc>
      </w:tr>
      <w:tr w:rsidR="0053498E" w:rsidRPr="00785828" w:rsidTr="0053498E">
        <w:trPr>
          <w:trHeight w:val="675"/>
        </w:trPr>
        <w:tc>
          <w:tcPr>
            <w:tcW w:w="2925" w:type="dxa"/>
            <w:tcBorders>
              <w:top w:val="single" w:sz="6" w:space="0" w:color="000000"/>
              <w:left w:val="single" w:sz="6" w:space="0" w:color="FFFFFF"/>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Cell Type</w:t>
            </w:r>
          </w:p>
        </w:tc>
        <w:tc>
          <w:tcPr>
            <w:tcW w:w="1725" w:type="dxa"/>
            <w:tcBorders>
              <w:top w:val="single" w:sz="6"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Log</w:t>
            </w:r>
            <w:r w:rsidRPr="00785828">
              <w:rPr>
                <w:rFonts w:ascii="Arial" w:eastAsia="Tinos" w:hAnsi="Arial" w:cs="Arial"/>
                <w:b/>
                <w:sz w:val="20"/>
                <w:szCs w:val="20"/>
                <w:vertAlign w:val="subscript"/>
              </w:rPr>
              <w:t>2</w:t>
            </w:r>
            <w:r w:rsidRPr="00785828">
              <w:rPr>
                <w:rFonts w:ascii="Arial" w:eastAsia="Tinos" w:hAnsi="Arial" w:cs="Arial"/>
                <w:b/>
                <w:sz w:val="20"/>
                <w:szCs w:val="20"/>
              </w:rPr>
              <w:t>FC</w:t>
            </w:r>
          </w:p>
        </w:tc>
        <w:tc>
          <w:tcPr>
            <w:tcW w:w="1755" w:type="dxa"/>
            <w:tcBorders>
              <w:top w:val="single" w:sz="6"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p-value</w:t>
            </w:r>
          </w:p>
        </w:tc>
        <w:tc>
          <w:tcPr>
            <w:tcW w:w="1935" w:type="dxa"/>
            <w:tcBorders>
              <w:top w:val="single" w:sz="6" w:space="0" w:color="000000"/>
              <w:left w:val="single" w:sz="8" w:space="0" w:color="000000"/>
              <w:bottom w:val="single" w:sz="8"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p-adjusted value</w:t>
            </w:r>
          </w:p>
        </w:tc>
      </w:tr>
      <w:tr w:rsidR="0053498E" w:rsidRPr="00785828" w:rsidTr="0053498E">
        <w:trPr>
          <w:trHeight w:val="675"/>
        </w:trPr>
        <w:tc>
          <w:tcPr>
            <w:tcW w:w="2925" w:type="dxa"/>
            <w:tcBorders>
              <w:top w:val="single" w:sz="8" w:space="0" w:color="000000"/>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Myeloid dendritic cell activated</w:t>
            </w:r>
          </w:p>
        </w:tc>
        <w:tc>
          <w:tcPr>
            <w:tcW w:w="1725" w:type="dxa"/>
            <w:tcBorders>
              <w:top w:val="single" w:sz="8" w:space="0" w:color="000000"/>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-2.185</w:t>
            </w:r>
          </w:p>
        </w:tc>
        <w:tc>
          <w:tcPr>
            <w:tcW w:w="1755" w:type="dxa"/>
            <w:tcBorders>
              <w:top w:val="single" w:sz="8" w:space="0" w:color="000000"/>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9.483e-02</w:t>
            </w:r>
          </w:p>
        </w:tc>
        <w:tc>
          <w:tcPr>
            <w:tcW w:w="1935" w:type="dxa"/>
            <w:tcBorders>
              <w:top w:val="single" w:sz="8" w:space="0" w:color="000000"/>
              <w:left w:val="single" w:sz="8"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3.082e-01</w:t>
            </w:r>
          </w:p>
        </w:tc>
      </w:tr>
      <w:tr w:rsidR="0053498E" w:rsidRPr="00785828" w:rsidTr="0053498E">
        <w:trPr>
          <w:trHeight w:val="660"/>
        </w:trPr>
        <w:tc>
          <w:tcPr>
            <w:tcW w:w="2925" w:type="dxa"/>
            <w:tcBorders>
              <w:top w:val="single" w:sz="6" w:space="0" w:color="FFFFFF"/>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T cell CD4+ (non-regulatory)</w:t>
            </w:r>
          </w:p>
        </w:tc>
        <w:tc>
          <w:tcPr>
            <w:tcW w:w="172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1.499</w:t>
            </w:r>
          </w:p>
        </w:tc>
        <w:tc>
          <w:tcPr>
            <w:tcW w:w="175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7.950e-02</w:t>
            </w:r>
          </w:p>
        </w:tc>
        <w:tc>
          <w:tcPr>
            <w:tcW w:w="1935" w:type="dxa"/>
            <w:tcBorders>
              <w:top w:val="single" w:sz="6" w:space="0" w:color="FFFFFF"/>
              <w:left w:val="single" w:sz="8"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2.819e-01</w:t>
            </w:r>
          </w:p>
        </w:tc>
      </w:tr>
      <w:tr w:rsidR="0053498E" w:rsidRPr="00785828" w:rsidTr="0053498E">
        <w:trPr>
          <w:trHeight w:val="660"/>
        </w:trPr>
        <w:tc>
          <w:tcPr>
            <w:tcW w:w="2925" w:type="dxa"/>
            <w:tcBorders>
              <w:top w:val="single" w:sz="6" w:space="0" w:color="FFFFFF"/>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Granulocyte-monocyte progenitor</w:t>
            </w:r>
          </w:p>
        </w:tc>
        <w:tc>
          <w:tcPr>
            <w:tcW w:w="172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51.581</w:t>
            </w:r>
          </w:p>
        </w:tc>
        <w:tc>
          <w:tcPr>
            <w:tcW w:w="175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6.194e-02</w:t>
            </w:r>
          </w:p>
        </w:tc>
        <w:tc>
          <w:tcPr>
            <w:tcW w:w="1935" w:type="dxa"/>
            <w:tcBorders>
              <w:top w:val="single" w:sz="6" w:space="0" w:color="FFFFFF"/>
              <w:left w:val="single" w:sz="8"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2.416e-01</w:t>
            </w:r>
          </w:p>
        </w:tc>
      </w:tr>
      <w:tr w:rsidR="0053498E" w:rsidRPr="00785828" w:rsidTr="0053498E">
        <w:trPr>
          <w:trHeight w:val="660"/>
        </w:trPr>
        <w:tc>
          <w:tcPr>
            <w:tcW w:w="2925" w:type="dxa"/>
            <w:tcBorders>
              <w:top w:val="single" w:sz="6" w:space="0" w:color="FFFFFF"/>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Class-switched memory B cell</w:t>
            </w:r>
          </w:p>
        </w:tc>
        <w:tc>
          <w:tcPr>
            <w:tcW w:w="172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-1.895</w:t>
            </w:r>
          </w:p>
        </w:tc>
        <w:tc>
          <w:tcPr>
            <w:tcW w:w="175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5.863e-02</w:t>
            </w:r>
          </w:p>
        </w:tc>
        <w:tc>
          <w:tcPr>
            <w:tcW w:w="1935" w:type="dxa"/>
            <w:tcBorders>
              <w:top w:val="single" w:sz="6" w:space="0" w:color="FFFFFF"/>
              <w:left w:val="single" w:sz="8"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2.416e-01</w:t>
            </w:r>
          </w:p>
        </w:tc>
      </w:tr>
      <w:tr w:rsidR="0053498E" w:rsidRPr="00785828" w:rsidTr="0053498E">
        <w:trPr>
          <w:trHeight w:val="660"/>
        </w:trPr>
        <w:tc>
          <w:tcPr>
            <w:tcW w:w="2925" w:type="dxa"/>
            <w:tcBorders>
              <w:top w:val="single" w:sz="6" w:space="0" w:color="FFFFFF"/>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T cell CD4+ central memory</w:t>
            </w:r>
          </w:p>
        </w:tc>
        <w:tc>
          <w:tcPr>
            <w:tcW w:w="172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-2.355</w:t>
            </w:r>
          </w:p>
        </w:tc>
        <w:tc>
          <w:tcPr>
            <w:tcW w:w="175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5.393e-02</w:t>
            </w:r>
          </w:p>
        </w:tc>
        <w:tc>
          <w:tcPr>
            <w:tcW w:w="1935" w:type="dxa"/>
            <w:tcBorders>
              <w:top w:val="single" w:sz="6" w:space="0" w:color="FFFFFF"/>
              <w:left w:val="single" w:sz="8"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2.416e-01</w:t>
            </w:r>
          </w:p>
        </w:tc>
      </w:tr>
      <w:tr w:rsidR="0053498E" w:rsidRPr="00785828" w:rsidTr="0053498E">
        <w:trPr>
          <w:trHeight w:val="390"/>
        </w:trPr>
        <w:tc>
          <w:tcPr>
            <w:tcW w:w="2925" w:type="dxa"/>
            <w:tcBorders>
              <w:top w:val="single" w:sz="6" w:space="0" w:color="FFFFFF"/>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B cell naive</w:t>
            </w:r>
          </w:p>
        </w:tc>
        <w:tc>
          <w:tcPr>
            <w:tcW w:w="172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3.711</w:t>
            </w:r>
          </w:p>
        </w:tc>
        <w:tc>
          <w:tcPr>
            <w:tcW w:w="175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4.430e-02</w:t>
            </w:r>
          </w:p>
        </w:tc>
        <w:tc>
          <w:tcPr>
            <w:tcW w:w="1935" w:type="dxa"/>
            <w:tcBorders>
              <w:top w:val="single" w:sz="6" w:space="0" w:color="FFFFFF"/>
              <w:left w:val="single" w:sz="8"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2.416e-01</w:t>
            </w:r>
          </w:p>
        </w:tc>
      </w:tr>
      <w:tr w:rsidR="0053498E" w:rsidRPr="00785828" w:rsidTr="0053498E">
        <w:trPr>
          <w:trHeight w:val="390"/>
        </w:trPr>
        <w:tc>
          <w:tcPr>
            <w:tcW w:w="2925" w:type="dxa"/>
            <w:tcBorders>
              <w:top w:val="single" w:sz="6" w:space="0" w:color="FFFFFF"/>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T cell regulatory (</w:t>
            </w:r>
            <w:proofErr w:type="spellStart"/>
            <w:r w:rsidRPr="00785828">
              <w:rPr>
                <w:rFonts w:ascii="Arial" w:eastAsia="Tinos" w:hAnsi="Arial" w:cs="Arial"/>
                <w:b/>
                <w:sz w:val="20"/>
                <w:szCs w:val="20"/>
              </w:rPr>
              <w:t>Tregs</w:t>
            </w:r>
            <w:proofErr w:type="spellEnd"/>
            <w:r w:rsidRPr="00785828">
              <w:rPr>
                <w:rFonts w:ascii="Arial" w:eastAsia="Tinos" w:hAnsi="Arial" w:cs="Arial"/>
                <w:b/>
                <w:sz w:val="20"/>
                <w:szCs w:val="20"/>
              </w:rPr>
              <w:t>)</w:t>
            </w:r>
          </w:p>
        </w:tc>
        <w:tc>
          <w:tcPr>
            <w:tcW w:w="172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3.359</w:t>
            </w:r>
          </w:p>
        </w:tc>
        <w:tc>
          <w:tcPr>
            <w:tcW w:w="175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2.968e-02</w:t>
            </w:r>
          </w:p>
        </w:tc>
        <w:tc>
          <w:tcPr>
            <w:tcW w:w="1935" w:type="dxa"/>
            <w:tcBorders>
              <w:top w:val="single" w:sz="6" w:space="0" w:color="FFFFFF"/>
              <w:left w:val="single" w:sz="8"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1.929e-01</w:t>
            </w:r>
          </w:p>
        </w:tc>
      </w:tr>
      <w:tr w:rsidR="0053498E" w:rsidRPr="00785828" w:rsidTr="0053498E">
        <w:trPr>
          <w:trHeight w:val="390"/>
        </w:trPr>
        <w:tc>
          <w:tcPr>
            <w:tcW w:w="2925" w:type="dxa"/>
            <w:tcBorders>
              <w:top w:val="single" w:sz="6" w:space="0" w:color="FFFFFF"/>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Endothelial cell</w:t>
            </w:r>
          </w:p>
        </w:tc>
        <w:tc>
          <w:tcPr>
            <w:tcW w:w="172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2.607</w:t>
            </w:r>
          </w:p>
        </w:tc>
        <w:tc>
          <w:tcPr>
            <w:tcW w:w="175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2.696e-02</w:t>
            </w:r>
          </w:p>
        </w:tc>
        <w:tc>
          <w:tcPr>
            <w:tcW w:w="1935" w:type="dxa"/>
            <w:tcBorders>
              <w:top w:val="single" w:sz="6" w:space="0" w:color="FFFFFF"/>
              <w:left w:val="single" w:sz="8"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1.929e-01</w:t>
            </w:r>
          </w:p>
        </w:tc>
      </w:tr>
      <w:tr w:rsidR="0053498E" w:rsidRPr="00785828" w:rsidTr="0053498E">
        <w:trPr>
          <w:trHeight w:val="390"/>
        </w:trPr>
        <w:tc>
          <w:tcPr>
            <w:tcW w:w="2925" w:type="dxa"/>
            <w:tcBorders>
              <w:top w:val="single" w:sz="6" w:space="0" w:color="FFFFFF"/>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B cell memory</w:t>
            </w:r>
          </w:p>
        </w:tc>
        <w:tc>
          <w:tcPr>
            <w:tcW w:w="172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2.512</w:t>
            </w:r>
          </w:p>
        </w:tc>
        <w:tc>
          <w:tcPr>
            <w:tcW w:w="175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2.324e-02</w:t>
            </w:r>
          </w:p>
        </w:tc>
        <w:tc>
          <w:tcPr>
            <w:tcW w:w="1935" w:type="dxa"/>
            <w:tcBorders>
              <w:top w:val="single" w:sz="6" w:space="0" w:color="FFFFFF"/>
              <w:left w:val="single" w:sz="8"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1.929e-01</w:t>
            </w:r>
          </w:p>
        </w:tc>
      </w:tr>
      <w:tr w:rsidR="0053498E" w:rsidRPr="00785828" w:rsidTr="0053498E">
        <w:trPr>
          <w:trHeight w:val="660"/>
        </w:trPr>
        <w:tc>
          <w:tcPr>
            <w:tcW w:w="2925" w:type="dxa"/>
            <w:tcBorders>
              <w:top w:val="single" w:sz="6" w:space="0" w:color="FFFFFF"/>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Common myeloid progenitor</w:t>
            </w:r>
          </w:p>
        </w:tc>
        <w:tc>
          <w:tcPr>
            <w:tcW w:w="172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-49.819</w:t>
            </w:r>
          </w:p>
        </w:tc>
        <w:tc>
          <w:tcPr>
            <w:tcW w:w="175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2.308e-02</w:t>
            </w:r>
          </w:p>
        </w:tc>
        <w:tc>
          <w:tcPr>
            <w:tcW w:w="1935" w:type="dxa"/>
            <w:tcBorders>
              <w:top w:val="single" w:sz="6" w:space="0" w:color="FFFFFF"/>
              <w:left w:val="single" w:sz="8"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1.929e-01</w:t>
            </w:r>
          </w:p>
        </w:tc>
      </w:tr>
      <w:tr w:rsidR="0053498E" w:rsidRPr="00785828" w:rsidTr="0053498E">
        <w:trPr>
          <w:trHeight w:val="390"/>
        </w:trPr>
        <w:tc>
          <w:tcPr>
            <w:tcW w:w="2925" w:type="dxa"/>
            <w:tcBorders>
              <w:top w:val="single" w:sz="6" w:space="0" w:color="FFFFFF"/>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T cell CD4+ memory</w:t>
            </w:r>
          </w:p>
        </w:tc>
        <w:tc>
          <w:tcPr>
            <w:tcW w:w="172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4.524</w:t>
            </w:r>
          </w:p>
        </w:tc>
        <w:tc>
          <w:tcPr>
            <w:tcW w:w="1755" w:type="dxa"/>
            <w:tcBorders>
              <w:top w:val="single" w:sz="6" w:space="0" w:color="FFFFFF"/>
              <w:left w:val="single" w:sz="8"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1.429e-02</w:t>
            </w:r>
          </w:p>
        </w:tc>
        <w:tc>
          <w:tcPr>
            <w:tcW w:w="1935" w:type="dxa"/>
            <w:tcBorders>
              <w:top w:val="single" w:sz="6" w:space="0" w:color="FFFFFF"/>
              <w:left w:val="single" w:sz="8"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1.929e-01</w:t>
            </w:r>
          </w:p>
        </w:tc>
      </w:tr>
      <w:tr w:rsidR="0053498E" w:rsidRPr="00785828" w:rsidTr="0053498E">
        <w:trPr>
          <w:trHeight w:val="405"/>
        </w:trPr>
        <w:tc>
          <w:tcPr>
            <w:tcW w:w="2925" w:type="dxa"/>
            <w:tcBorders>
              <w:top w:val="single" w:sz="6" w:space="0" w:color="FFFFFF"/>
              <w:left w:val="single" w:sz="6" w:space="0" w:color="FFFFFF"/>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Hematopoietic stem cell</w:t>
            </w:r>
          </w:p>
        </w:tc>
        <w:tc>
          <w:tcPr>
            <w:tcW w:w="1725" w:type="dxa"/>
            <w:tcBorders>
              <w:top w:val="single" w:sz="6" w:space="0" w:color="FFFFFF"/>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3.566</w:t>
            </w:r>
          </w:p>
        </w:tc>
        <w:tc>
          <w:tcPr>
            <w:tcW w:w="1755" w:type="dxa"/>
            <w:tcBorders>
              <w:top w:val="single" w:sz="6" w:space="0" w:color="FFFFFF"/>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7.761e-06</w:t>
            </w:r>
          </w:p>
        </w:tc>
        <w:tc>
          <w:tcPr>
            <w:tcW w:w="1935" w:type="dxa"/>
            <w:tcBorders>
              <w:top w:val="single" w:sz="6" w:space="0" w:color="FFFFFF"/>
              <w:left w:val="single" w:sz="8" w:space="0" w:color="000000"/>
              <w:bottom w:val="single" w:sz="8"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3.027e-04</w:t>
            </w:r>
          </w:p>
        </w:tc>
      </w:tr>
      <w:tr w:rsidR="0053498E" w:rsidRPr="00785828" w:rsidTr="0053498E">
        <w:trPr>
          <w:trHeight w:val="405"/>
        </w:trPr>
        <w:tc>
          <w:tcPr>
            <w:tcW w:w="8340" w:type="dxa"/>
            <w:gridSpan w:val="4"/>
            <w:tcBorders>
              <w:top w:val="single" w:sz="6" w:space="0" w:color="000000"/>
              <w:left w:val="single" w:sz="6" w:space="0" w:color="FFFFFF"/>
              <w:bottom w:val="single" w:sz="8"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both"/>
              <w:rPr>
                <w:rFonts w:ascii="Arial" w:eastAsia="Tinos" w:hAnsi="Arial" w:cs="Arial"/>
                <w:b/>
                <w:sz w:val="20"/>
                <w:szCs w:val="20"/>
              </w:rPr>
            </w:pPr>
            <w:r w:rsidRPr="00785828">
              <w:rPr>
                <w:rFonts w:ascii="Arial" w:eastAsia="Tinos" w:hAnsi="Arial" w:cs="Arial"/>
                <w:b/>
                <w:sz w:val="20"/>
                <w:szCs w:val="20"/>
              </w:rPr>
              <w:t>MCP-counter</w:t>
            </w:r>
          </w:p>
        </w:tc>
      </w:tr>
      <w:tr w:rsidR="0053498E" w:rsidRPr="00785828" w:rsidTr="0053498E">
        <w:trPr>
          <w:trHeight w:val="675"/>
        </w:trPr>
        <w:tc>
          <w:tcPr>
            <w:tcW w:w="2925" w:type="dxa"/>
            <w:tcBorders>
              <w:top w:val="single" w:sz="6" w:space="0" w:color="000000"/>
              <w:left w:val="single" w:sz="6" w:space="0" w:color="FFFFFF"/>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Cell Type</w:t>
            </w:r>
          </w:p>
        </w:tc>
        <w:tc>
          <w:tcPr>
            <w:tcW w:w="1725" w:type="dxa"/>
            <w:tcBorders>
              <w:top w:val="single" w:sz="6" w:space="0" w:color="000000"/>
              <w:left w:val="single" w:sz="6" w:space="0" w:color="000000"/>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Log</w:t>
            </w:r>
            <w:r w:rsidRPr="00785828">
              <w:rPr>
                <w:rFonts w:ascii="Arial" w:eastAsia="Tinos" w:hAnsi="Arial" w:cs="Arial"/>
                <w:b/>
                <w:sz w:val="20"/>
                <w:szCs w:val="20"/>
                <w:vertAlign w:val="subscript"/>
              </w:rPr>
              <w:t>2</w:t>
            </w:r>
            <w:r w:rsidRPr="00785828">
              <w:rPr>
                <w:rFonts w:ascii="Arial" w:eastAsia="Tinos" w:hAnsi="Arial" w:cs="Arial"/>
                <w:b/>
                <w:sz w:val="20"/>
                <w:szCs w:val="20"/>
              </w:rPr>
              <w:t>FC</w:t>
            </w:r>
          </w:p>
        </w:tc>
        <w:tc>
          <w:tcPr>
            <w:tcW w:w="1755" w:type="dxa"/>
            <w:tcBorders>
              <w:top w:val="single" w:sz="6" w:space="0" w:color="000000"/>
              <w:left w:val="single" w:sz="6" w:space="0" w:color="000000"/>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p-value</w:t>
            </w:r>
          </w:p>
        </w:tc>
        <w:tc>
          <w:tcPr>
            <w:tcW w:w="1935" w:type="dxa"/>
            <w:tcBorders>
              <w:top w:val="single" w:sz="6" w:space="0" w:color="000000"/>
              <w:left w:val="single" w:sz="6" w:space="0" w:color="000000"/>
              <w:bottom w:val="single" w:sz="8"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p-adjusted value</w:t>
            </w:r>
          </w:p>
        </w:tc>
      </w:tr>
      <w:tr w:rsidR="0053498E" w:rsidRPr="00785828" w:rsidTr="0053498E">
        <w:trPr>
          <w:trHeight w:val="405"/>
        </w:trPr>
        <w:tc>
          <w:tcPr>
            <w:tcW w:w="2925" w:type="dxa"/>
            <w:tcBorders>
              <w:top w:val="single" w:sz="6" w:space="0" w:color="000000"/>
              <w:left w:val="single" w:sz="6" w:space="0" w:color="FFFFFF"/>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T cell</w:t>
            </w:r>
          </w:p>
        </w:tc>
        <w:tc>
          <w:tcPr>
            <w:tcW w:w="1725" w:type="dxa"/>
            <w:tcBorders>
              <w:top w:val="single" w:sz="6" w:space="0" w:color="000000"/>
              <w:left w:val="single" w:sz="6"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-6.025e-01</w:t>
            </w:r>
          </w:p>
        </w:tc>
        <w:tc>
          <w:tcPr>
            <w:tcW w:w="1755" w:type="dxa"/>
            <w:tcBorders>
              <w:top w:val="single" w:sz="6" w:space="0" w:color="000000"/>
              <w:left w:val="single" w:sz="6" w:space="0" w:color="000000"/>
              <w:bottom w:val="single" w:sz="6" w:space="0" w:color="FFFFFF"/>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9.424e-02</w:t>
            </w:r>
          </w:p>
        </w:tc>
        <w:tc>
          <w:tcPr>
            <w:tcW w:w="1935" w:type="dxa"/>
            <w:tcBorders>
              <w:top w:val="single" w:sz="6" w:space="0" w:color="000000"/>
              <w:left w:val="single" w:sz="6" w:space="0" w:color="000000"/>
              <w:bottom w:val="single" w:sz="6" w:space="0" w:color="FFFFFF"/>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5.183e-01</w:t>
            </w:r>
          </w:p>
        </w:tc>
      </w:tr>
      <w:tr w:rsidR="0053498E" w:rsidRPr="00785828" w:rsidTr="0053498E">
        <w:trPr>
          <w:trHeight w:val="405"/>
        </w:trPr>
        <w:tc>
          <w:tcPr>
            <w:tcW w:w="2925" w:type="dxa"/>
            <w:tcBorders>
              <w:top w:val="single" w:sz="6" w:space="0" w:color="FFFFFF"/>
              <w:left w:val="single" w:sz="6" w:space="0" w:color="FFFFFF"/>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cytotoxicity score</w:t>
            </w:r>
          </w:p>
        </w:tc>
        <w:tc>
          <w:tcPr>
            <w:tcW w:w="1725" w:type="dxa"/>
            <w:tcBorders>
              <w:top w:val="single" w:sz="6" w:space="0" w:color="FFFFFF"/>
              <w:left w:val="single" w:sz="6" w:space="0" w:color="000000"/>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1.021</w:t>
            </w:r>
          </w:p>
        </w:tc>
        <w:tc>
          <w:tcPr>
            <w:tcW w:w="1755" w:type="dxa"/>
            <w:tcBorders>
              <w:top w:val="single" w:sz="6" w:space="0" w:color="FFFFFF"/>
              <w:left w:val="single" w:sz="6" w:space="0" w:color="000000"/>
              <w:bottom w:val="single" w:sz="8" w:space="0" w:color="000000"/>
              <w:right w:val="single" w:sz="8"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8.350e-02</w:t>
            </w:r>
          </w:p>
        </w:tc>
        <w:tc>
          <w:tcPr>
            <w:tcW w:w="1935" w:type="dxa"/>
            <w:tcBorders>
              <w:top w:val="single" w:sz="6" w:space="0" w:color="FFFFFF"/>
              <w:left w:val="single" w:sz="6" w:space="0" w:color="000000"/>
              <w:bottom w:val="single" w:sz="8"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5.183e-01</w:t>
            </w:r>
          </w:p>
        </w:tc>
      </w:tr>
    </w:tbl>
    <w:p w:rsidR="0053498E" w:rsidRPr="00785828" w:rsidRDefault="0053498E" w:rsidP="0053498E">
      <w:pPr>
        <w:spacing w:before="240" w:after="240" w:line="240" w:lineRule="auto"/>
        <w:jc w:val="both"/>
        <w:rPr>
          <w:rFonts w:ascii="Arial" w:eastAsia="Tinos" w:hAnsi="Arial" w:cs="Arial"/>
          <w:b/>
          <w:sz w:val="20"/>
          <w:szCs w:val="20"/>
        </w:rPr>
      </w:pPr>
      <w:r w:rsidRPr="00785828">
        <w:rPr>
          <w:rFonts w:ascii="Arial" w:eastAsia="Tinos" w:hAnsi="Arial" w:cs="Arial"/>
          <w:b/>
          <w:sz w:val="20"/>
          <w:szCs w:val="20"/>
        </w:rPr>
        <w:lastRenderedPageBreak/>
        <w:t>Table S4. Integration pairs between significantly DE miRNAs and predicted/validated mRNA/gene targets from framework B.</w:t>
      </w:r>
    </w:p>
    <w:tbl>
      <w:tblPr>
        <w:tblW w:w="9030" w:type="dxa"/>
        <w:tblBorders>
          <w:insideH w:val="nil"/>
          <w:insideV w:val="nil"/>
        </w:tblBorders>
        <w:tblLayout w:type="fixed"/>
        <w:tblLook w:val="0600" w:firstRow="0" w:lastRow="0" w:firstColumn="0" w:lastColumn="0" w:noHBand="1" w:noVBand="1"/>
      </w:tblPr>
      <w:tblGrid>
        <w:gridCol w:w="1035"/>
        <w:gridCol w:w="1725"/>
        <w:gridCol w:w="1050"/>
        <w:gridCol w:w="1020"/>
        <w:gridCol w:w="1065"/>
        <w:gridCol w:w="1065"/>
        <w:gridCol w:w="1005"/>
        <w:gridCol w:w="1065"/>
      </w:tblGrid>
      <w:tr w:rsidR="0053498E" w:rsidRPr="00785828" w:rsidTr="0053498E">
        <w:trPr>
          <w:trHeight w:val="525"/>
        </w:trPr>
        <w:tc>
          <w:tcPr>
            <w:tcW w:w="9030" w:type="dxa"/>
            <w:gridSpan w:val="8"/>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both"/>
              <w:rPr>
                <w:rFonts w:ascii="Arial" w:eastAsia="Tinos" w:hAnsi="Arial" w:cs="Arial"/>
                <w:b/>
                <w:sz w:val="20"/>
                <w:szCs w:val="20"/>
              </w:rPr>
            </w:pPr>
            <w:r w:rsidRPr="00785828">
              <w:rPr>
                <w:rFonts w:ascii="Arial" w:eastAsia="Tinos" w:hAnsi="Arial" w:cs="Arial"/>
                <w:b/>
                <w:sz w:val="20"/>
                <w:szCs w:val="20"/>
              </w:rPr>
              <w:t xml:space="preserve">Validated targets - </w:t>
            </w:r>
            <w:proofErr w:type="spellStart"/>
            <w:r w:rsidRPr="00785828">
              <w:rPr>
                <w:rFonts w:ascii="Arial" w:eastAsia="Tinos" w:hAnsi="Arial" w:cs="Arial"/>
                <w:b/>
                <w:sz w:val="20"/>
                <w:szCs w:val="20"/>
              </w:rPr>
              <w:t>mirTarBase</w:t>
            </w:r>
            <w:proofErr w:type="spellEnd"/>
          </w:p>
        </w:tc>
      </w:tr>
      <w:tr w:rsidR="0053498E" w:rsidRPr="00785828" w:rsidTr="0053498E">
        <w:trPr>
          <w:trHeight w:val="525"/>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Gene Name</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miRNA</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log</w:t>
            </w:r>
            <w:r w:rsidRPr="00785828">
              <w:rPr>
                <w:rFonts w:ascii="Arial" w:eastAsia="Tinos" w:hAnsi="Arial" w:cs="Arial"/>
                <w:b/>
                <w:sz w:val="20"/>
                <w:szCs w:val="20"/>
                <w:vertAlign w:val="subscript"/>
              </w:rPr>
              <w:t>2</w:t>
            </w:r>
            <w:r w:rsidRPr="00785828">
              <w:rPr>
                <w:rFonts w:ascii="Arial" w:eastAsia="Tinos" w:hAnsi="Arial" w:cs="Arial"/>
                <w:b/>
                <w:sz w:val="20"/>
                <w:szCs w:val="20"/>
              </w:rPr>
              <w:t>FC miRNA</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p-value miRNA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proofErr w:type="spellStart"/>
            <w:r w:rsidRPr="00785828">
              <w:rPr>
                <w:rFonts w:ascii="Arial" w:eastAsia="Tinos" w:hAnsi="Arial" w:cs="Arial"/>
                <w:b/>
                <w:sz w:val="20"/>
                <w:szCs w:val="20"/>
              </w:rPr>
              <w:t>padj</w:t>
            </w:r>
            <w:proofErr w:type="spellEnd"/>
            <w:r w:rsidRPr="00785828">
              <w:rPr>
                <w:rFonts w:ascii="Arial" w:eastAsia="Tinos" w:hAnsi="Arial" w:cs="Arial"/>
                <w:b/>
                <w:sz w:val="20"/>
                <w:szCs w:val="20"/>
              </w:rPr>
              <w:t xml:space="preserve"> miRNA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log</w:t>
            </w:r>
            <w:r w:rsidRPr="00785828">
              <w:rPr>
                <w:rFonts w:ascii="Arial" w:eastAsia="Tinos" w:hAnsi="Arial" w:cs="Arial"/>
                <w:b/>
                <w:sz w:val="20"/>
                <w:szCs w:val="20"/>
                <w:vertAlign w:val="subscript"/>
              </w:rPr>
              <w:t>2</w:t>
            </w:r>
            <w:r w:rsidRPr="00785828">
              <w:rPr>
                <w:rFonts w:ascii="Arial" w:eastAsia="Tinos" w:hAnsi="Arial" w:cs="Arial"/>
                <w:b/>
                <w:sz w:val="20"/>
                <w:szCs w:val="20"/>
              </w:rPr>
              <w:t>FC gene</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p-value gene</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proofErr w:type="spellStart"/>
            <w:r w:rsidRPr="00785828">
              <w:rPr>
                <w:rFonts w:ascii="Arial" w:eastAsia="Tinos" w:hAnsi="Arial" w:cs="Arial"/>
                <w:b/>
                <w:sz w:val="20"/>
                <w:szCs w:val="20"/>
              </w:rPr>
              <w:t>padj</w:t>
            </w:r>
            <w:proofErr w:type="spellEnd"/>
            <w:r w:rsidRPr="00785828">
              <w:rPr>
                <w:rFonts w:ascii="Arial" w:eastAsia="Tinos" w:hAnsi="Arial" w:cs="Arial"/>
                <w:b/>
                <w:sz w:val="20"/>
                <w:szCs w:val="20"/>
              </w:rPr>
              <w:t xml:space="preserve"> gene</w:t>
            </w:r>
          </w:p>
        </w:tc>
      </w:tr>
      <w:tr w:rsidR="0053498E" w:rsidRPr="00785828" w:rsidTr="0053498E">
        <w:trPr>
          <w:trHeight w:val="315"/>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CREBBP</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hsa-miR-218-5p</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6.366e-01</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2.394e-04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9.122e-02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3.513e-01</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3.161e-04</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9.181e-02</w:t>
            </w:r>
          </w:p>
        </w:tc>
      </w:tr>
      <w:tr w:rsidR="0053498E" w:rsidRPr="00785828" w:rsidTr="0053498E">
        <w:trPr>
          <w:trHeight w:val="225"/>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PAPD7</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hsa-miR-218-5p</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6.366e-01</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2.394e-04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9.122e-02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3.802e-01</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5.215e-04</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9.934e-02</w:t>
            </w:r>
          </w:p>
        </w:tc>
      </w:tr>
      <w:tr w:rsidR="0053498E" w:rsidRPr="00785828" w:rsidTr="0053498E">
        <w:trPr>
          <w:trHeight w:val="480"/>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POU2F2</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hsa-miR-218-5p</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6.366e-01</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2.394e-04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9.122e-02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8.656e-01</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3.785e-04</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9.181e-02</w:t>
            </w:r>
          </w:p>
        </w:tc>
      </w:tr>
      <w:tr w:rsidR="0053498E" w:rsidRPr="00785828" w:rsidTr="0053498E">
        <w:trPr>
          <w:trHeight w:val="500"/>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RBM6</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hsa-miR-218-5p</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6.366e-01</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2.394e-04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9.122e-02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4.343e-01</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4.046e-04</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9.181e-02</w:t>
            </w:r>
          </w:p>
        </w:tc>
      </w:tr>
      <w:tr w:rsidR="0053498E" w:rsidRPr="00785828" w:rsidTr="0053498E">
        <w:trPr>
          <w:trHeight w:val="500"/>
        </w:trPr>
        <w:tc>
          <w:tcPr>
            <w:tcW w:w="9030" w:type="dxa"/>
            <w:gridSpan w:val="8"/>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both"/>
              <w:rPr>
                <w:rFonts w:ascii="Arial" w:eastAsia="Tinos" w:hAnsi="Arial" w:cs="Arial"/>
                <w:b/>
                <w:sz w:val="20"/>
                <w:szCs w:val="20"/>
              </w:rPr>
            </w:pPr>
            <w:r w:rsidRPr="00785828">
              <w:rPr>
                <w:rFonts w:ascii="Arial" w:eastAsia="Tinos" w:hAnsi="Arial" w:cs="Arial"/>
                <w:b/>
                <w:sz w:val="20"/>
                <w:szCs w:val="20"/>
              </w:rPr>
              <w:t xml:space="preserve">Predicted targets - </w:t>
            </w:r>
            <w:proofErr w:type="spellStart"/>
            <w:r w:rsidRPr="00785828">
              <w:rPr>
                <w:rFonts w:ascii="Arial" w:eastAsia="Tinos" w:hAnsi="Arial" w:cs="Arial"/>
                <w:b/>
                <w:sz w:val="20"/>
                <w:szCs w:val="20"/>
              </w:rPr>
              <w:t>miRDB</w:t>
            </w:r>
            <w:proofErr w:type="spellEnd"/>
          </w:p>
        </w:tc>
      </w:tr>
      <w:tr w:rsidR="0053498E" w:rsidRPr="00785828" w:rsidTr="0053498E">
        <w:trPr>
          <w:trHeight w:val="500"/>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Gene Name</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miRNA</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log</w:t>
            </w:r>
            <w:r w:rsidRPr="00785828">
              <w:rPr>
                <w:rFonts w:ascii="Arial" w:eastAsia="Tinos" w:hAnsi="Arial" w:cs="Arial"/>
                <w:b/>
                <w:sz w:val="20"/>
                <w:szCs w:val="20"/>
                <w:vertAlign w:val="subscript"/>
              </w:rPr>
              <w:t>2</w:t>
            </w:r>
            <w:r w:rsidRPr="00785828">
              <w:rPr>
                <w:rFonts w:ascii="Arial" w:eastAsia="Tinos" w:hAnsi="Arial" w:cs="Arial"/>
                <w:b/>
                <w:sz w:val="20"/>
                <w:szCs w:val="20"/>
              </w:rPr>
              <w:t>FC miRNA</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p-value miRNA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proofErr w:type="spellStart"/>
            <w:r w:rsidRPr="00785828">
              <w:rPr>
                <w:rFonts w:ascii="Arial" w:eastAsia="Tinos" w:hAnsi="Arial" w:cs="Arial"/>
                <w:b/>
                <w:sz w:val="20"/>
                <w:szCs w:val="20"/>
              </w:rPr>
              <w:t>padj</w:t>
            </w:r>
            <w:proofErr w:type="spellEnd"/>
            <w:r w:rsidRPr="00785828">
              <w:rPr>
                <w:rFonts w:ascii="Arial" w:eastAsia="Tinos" w:hAnsi="Arial" w:cs="Arial"/>
                <w:b/>
                <w:sz w:val="20"/>
                <w:szCs w:val="20"/>
              </w:rPr>
              <w:t xml:space="preserve"> miRNA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log</w:t>
            </w:r>
            <w:r w:rsidRPr="00785828">
              <w:rPr>
                <w:rFonts w:ascii="Arial" w:eastAsia="Tinos" w:hAnsi="Arial" w:cs="Arial"/>
                <w:b/>
                <w:sz w:val="20"/>
                <w:szCs w:val="20"/>
                <w:vertAlign w:val="subscript"/>
              </w:rPr>
              <w:t>2</w:t>
            </w:r>
            <w:r w:rsidRPr="00785828">
              <w:rPr>
                <w:rFonts w:ascii="Arial" w:eastAsia="Tinos" w:hAnsi="Arial" w:cs="Arial"/>
                <w:b/>
                <w:sz w:val="20"/>
                <w:szCs w:val="20"/>
              </w:rPr>
              <w:t>FC gene</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r w:rsidRPr="00785828">
              <w:rPr>
                <w:rFonts w:ascii="Arial" w:eastAsia="Tinos" w:hAnsi="Arial" w:cs="Arial"/>
                <w:b/>
                <w:sz w:val="20"/>
                <w:szCs w:val="20"/>
              </w:rPr>
              <w:t>p-value gene</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b/>
                <w:sz w:val="20"/>
                <w:szCs w:val="20"/>
              </w:rPr>
            </w:pPr>
            <w:proofErr w:type="spellStart"/>
            <w:r w:rsidRPr="00785828">
              <w:rPr>
                <w:rFonts w:ascii="Arial" w:eastAsia="Tinos" w:hAnsi="Arial" w:cs="Arial"/>
                <w:b/>
                <w:sz w:val="20"/>
                <w:szCs w:val="20"/>
              </w:rPr>
              <w:t>padj</w:t>
            </w:r>
            <w:proofErr w:type="spellEnd"/>
            <w:r w:rsidRPr="00785828">
              <w:rPr>
                <w:rFonts w:ascii="Arial" w:eastAsia="Tinos" w:hAnsi="Arial" w:cs="Arial"/>
                <w:b/>
                <w:sz w:val="20"/>
                <w:szCs w:val="20"/>
              </w:rPr>
              <w:t xml:space="preserve"> gene</w:t>
            </w:r>
          </w:p>
        </w:tc>
      </w:tr>
      <w:tr w:rsidR="0053498E" w:rsidRPr="00785828" w:rsidTr="0053498E">
        <w:trPr>
          <w:trHeight w:val="500"/>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ETV5</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hsa-miR-369-3p</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6.984e-01</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1.862e-04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9.122e-02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7.051e-01</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5.476e-04</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9.934e-02</w:t>
            </w:r>
          </w:p>
        </w:tc>
      </w:tr>
      <w:tr w:rsidR="0053498E" w:rsidRPr="00785828" w:rsidTr="0053498E">
        <w:trPr>
          <w:trHeight w:val="500"/>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GTF2H3</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hsa-miR-369-3p</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6.984e-01</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1.862e-04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9.122e-02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-4.633e-01</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2.225e-04</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4.081e-02</w:t>
            </w:r>
          </w:p>
        </w:tc>
      </w:tr>
      <w:tr w:rsidR="0053498E" w:rsidRPr="00785828" w:rsidTr="0053498E">
        <w:trPr>
          <w:trHeight w:val="500"/>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JADE2</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hsa-miR-218-5p</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6.366e-01</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2.394e-04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9.122e-02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6.022e-01</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4.012e-04</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9.181e-02</w:t>
            </w:r>
          </w:p>
        </w:tc>
      </w:tr>
      <w:tr w:rsidR="0053498E" w:rsidRPr="00785828" w:rsidTr="0053498E">
        <w:trPr>
          <w:trHeight w:val="500"/>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RAB6C</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hsa-miR-218-5p</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6.366e-01</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2.394e-04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9.122e-02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-8.860e-01</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3.331e-04</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9.181e-02</w:t>
            </w:r>
          </w:p>
        </w:tc>
      </w:tr>
      <w:tr w:rsidR="0053498E" w:rsidRPr="00785828" w:rsidTr="0053498E">
        <w:trPr>
          <w:trHeight w:val="500"/>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RCOR1</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hsa-miR-218-5p</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6.366e-01</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2.394e-04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9.122e-02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3.516e-01</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6.048e-04</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9.933e-02</w:t>
            </w:r>
          </w:p>
        </w:tc>
      </w:tr>
      <w:tr w:rsidR="0053498E" w:rsidRPr="00785828" w:rsidTr="0053498E">
        <w:trPr>
          <w:trHeight w:val="500"/>
        </w:trPr>
        <w:tc>
          <w:tcPr>
            <w:tcW w:w="1035" w:type="dxa"/>
            <w:tcBorders>
              <w:top w:val="single" w:sz="6" w:space="0" w:color="000000"/>
              <w:left w:val="single" w:sz="6" w:space="0" w:color="FFFFFF"/>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SLC38A2</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hsa-miR-369-3p</w:t>
            </w:r>
          </w:p>
        </w:tc>
        <w:tc>
          <w:tcPr>
            <w:tcW w:w="10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6.984e-01</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1.862e-04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9.122e-02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9.138e-01</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1.561e-04</w:t>
            </w:r>
          </w:p>
        </w:tc>
        <w:tc>
          <w:tcPr>
            <w:tcW w:w="1065" w:type="dxa"/>
            <w:tcBorders>
              <w:top w:val="single" w:sz="6" w:space="0" w:color="000000"/>
              <w:left w:val="single" w:sz="6" w:space="0" w:color="000000"/>
              <w:bottom w:val="single" w:sz="6" w:space="0" w:color="000000"/>
              <w:right w:val="single" w:sz="6" w:space="0" w:color="FFFFFF"/>
            </w:tcBorders>
            <w:tcMar>
              <w:top w:w="60" w:type="dxa"/>
              <w:left w:w="60" w:type="dxa"/>
              <w:bottom w:w="60" w:type="dxa"/>
              <w:right w:w="60" w:type="dxa"/>
            </w:tcMar>
            <w:vAlign w:val="center"/>
            <w:hideMark/>
          </w:tcPr>
          <w:p w:rsidR="0053498E" w:rsidRPr="00785828" w:rsidRDefault="0053498E" w:rsidP="0053498E">
            <w:pPr>
              <w:spacing w:after="0" w:line="240" w:lineRule="auto"/>
              <w:jc w:val="center"/>
              <w:rPr>
                <w:rFonts w:ascii="Arial" w:eastAsia="Tinos" w:hAnsi="Arial" w:cs="Arial"/>
                <w:sz w:val="20"/>
                <w:szCs w:val="20"/>
              </w:rPr>
            </w:pPr>
            <w:r w:rsidRPr="00785828">
              <w:rPr>
                <w:rFonts w:ascii="Arial" w:eastAsia="Tinos" w:hAnsi="Arial" w:cs="Arial"/>
                <w:sz w:val="20"/>
                <w:szCs w:val="20"/>
              </w:rPr>
              <w:t>7.404e-02</w:t>
            </w:r>
          </w:p>
        </w:tc>
      </w:tr>
    </w:tbl>
    <w:p w:rsidR="0053498E" w:rsidRPr="00785828" w:rsidRDefault="0053498E" w:rsidP="0053498E">
      <w:pPr>
        <w:spacing w:after="0" w:line="480" w:lineRule="auto"/>
        <w:jc w:val="both"/>
        <w:rPr>
          <w:rFonts w:ascii="Arial" w:eastAsia="Tinos" w:hAnsi="Arial" w:cs="Arial"/>
          <w:b/>
          <w:sz w:val="20"/>
          <w:szCs w:val="20"/>
        </w:rPr>
      </w:pPr>
    </w:p>
    <w:p w:rsidR="008F5170" w:rsidRPr="00785828" w:rsidRDefault="008F5170">
      <w:pPr>
        <w:rPr>
          <w:rFonts w:ascii="Arial" w:hAnsi="Arial" w:cs="Arial"/>
          <w:sz w:val="20"/>
          <w:szCs w:val="20"/>
        </w:rPr>
      </w:pPr>
    </w:p>
    <w:sectPr w:rsidR="008F5170" w:rsidRPr="00785828" w:rsidSect="0053498E">
      <w:headerReference w:type="default" r:id="rId17"/>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633F" w:rsidRDefault="0009633F">
      <w:pPr>
        <w:spacing w:after="0" w:line="240" w:lineRule="auto"/>
      </w:pPr>
      <w:r>
        <w:separator/>
      </w:r>
    </w:p>
  </w:endnote>
  <w:endnote w:type="continuationSeparator" w:id="0">
    <w:p w:rsidR="0009633F" w:rsidRDefault="00096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no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633F" w:rsidRDefault="0009633F">
      <w:pPr>
        <w:spacing w:after="0" w:line="240" w:lineRule="auto"/>
      </w:pPr>
      <w:r>
        <w:separator/>
      </w:r>
    </w:p>
  </w:footnote>
  <w:footnote w:type="continuationSeparator" w:id="0">
    <w:p w:rsidR="0009633F" w:rsidRDefault="000963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498E" w:rsidRPr="00575A63" w:rsidRDefault="0053498E">
    <w:pPr>
      <w:jc w:val="right"/>
      <w:rPr>
        <w:sz w:val="20"/>
        <w:szCs w:val="20"/>
      </w:rPr>
    </w:pPr>
  </w:p>
  <w:p w:rsidR="0053498E" w:rsidRPr="00575A63" w:rsidRDefault="005349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zNDGxMDEwMTA1MDdR0lEKTi0uzszPAykwrAUA41EwIywAAAA="/>
  </w:docVars>
  <w:rsids>
    <w:rsidRoot w:val="0053498E"/>
    <w:rsid w:val="00052A9B"/>
    <w:rsid w:val="0009633F"/>
    <w:rsid w:val="004E5947"/>
    <w:rsid w:val="0052708E"/>
    <w:rsid w:val="0053498E"/>
    <w:rsid w:val="006C1D6F"/>
    <w:rsid w:val="007211BA"/>
    <w:rsid w:val="007510B2"/>
    <w:rsid w:val="00755D3D"/>
    <w:rsid w:val="00785828"/>
    <w:rsid w:val="008F5170"/>
    <w:rsid w:val="009600B5"/>
    <w:rsid w:val="00B0279F"/>
    <w:rsid w:val="00D32265"/>
    <w:rsid w:val="00D351D4"/>
    <w:rsid w:val="00D8662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90D35"/>
  <w15:chartTrackingRefBased/>
  <w15:docId w15:val="{8CD6271C-86E9-43FE-9E5B-797F4919C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3498E"/>
  </w:style>
  <w:style w:type="character" w:styleId="CommentReference">
    <w:name w:val="annotation reference"/>
    <w:basedOn w:val="DefaultParagraphFont"/>
    <w:uiPriority w:val="99"/>
    <w:semiHidden/>
    <w:unhideWhenUsed/>
    <w:rsid w:val="0053498E"/>
    <w:rPr>
      <w:sz w:val="16"/>
      <w:szCs w:val="16"/>
    </w:rPr>
  </w:style>
  <w:style w:type="paragraph" w:styleId="CommentText">
    <w:name w:val="annotation text"/>
    <w:basedOn w:val="Normal"/>
    <w:link w:val="CommentTextChar"/>
    <w:uiPriority w:val="99"/>
    <w:unhideWhenUsed/>
    <w:rsid w:val="0053498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3498E"/>
    <w:rPr>
      <w:rFonts w:ascii="Times New Roman" w:eastAsia="Times New Roman" w:hAnsi="Times New Roman" w:cs="Times New Roman"/>
      <w:sz w:val="20"/>
      <w:szCs w:val="20"/>
    </w:rPr>
  </w:style>
  <w:style w:type="character" w:customStyle="1" w:styleId="Hyperlink1">
    <w:name w:val="Hyperlink1"/>
    <w:basedOn w:val="DefaultParagraphFont"/>
    <w:uiPriority w:val="99"/>
    <w:unhideWhenUsed/>
    <w:rsid w:val="0053498E"/>
    <w:rPr>
      <w:color w:val="0000FF"/>
      <w:u w:val="single"/>
    </w:rPr>
  </w:style>
  <w:style w:type="paragraph" w:styleId="BalloonText">
    <w:name w:val="Balloon Text"/>
    <w:basedOn w:val="Normal"/>
    <w:link w:val="BalloonTextChar"/>
    <w:uiPriority w:val="99"/>
    <w:semiHidden/>
    <w:unhideWhenUsed/>
    <w:rsid w:val="005349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98E"/>
    <w:rPr>
      <w:rFonts w:ascii="Segoe UI" w:hAnsi="Segoe UI" w:cs="Segoe UI"/>
      <w:sz w:val="18"/>
      <w:szCs w:val="18"/>
    </w:rPr>
  </w:style>
  <w:style w:type="paragraph" w:customStyle="1" w:styleId="CommentSubject1">
    <w:name w:val="Comment Subject1"/>
    <w:basedOn w:val="CommentText"/>
    <w:next w:val="CommentText"/>
    <w:uiPriority w:val="99"/>
    <w:semiHidden/>
    <w:unhideWhenUsed/>
    <w:rsid w:val="0053498E"/>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53498E"/>
    <w:rPr>
      <w:rFonts w:ascii="Times New Roman" w:eastAsia="Times New Roman" w:hAnsi="Times New Roman" w:cs="Times New Roman"/>
      <w:b/>
      <w:bCs/>
      <w:sz w:val="20"/>
      <w:szCs w:val="20"/>
    </w:rPr>
  </w:style>
  <w:style w:type="paragraph" w:customStyle="1" w:styleId="SMcaption">
    <w:name w:val="SM caption"/>
    <w:basedOn w:val="Normal"/>
    <w:qFormat/>
    <w:rsid w:val="0053498E"/>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rsid w:val="0053498E"/>
    <w:pPr>
      <w:spacing w:after="0"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53498E"/>
    <w:pPr>
      <w:tabs>
        <w:tab w:val="left" w:pos="384"/>
      </w:tabs>
      <w:spacing w:after="240" w:line="240" w:lineRule="auto"/>
      <w:ind w:left="384" w:hanging="384"/>
    </w:pPr>
  </w:style>
  <w:style w:type="paragraph" w:styleId="Header">
    <w:name w:val="header"/>
    <w:basedOn w:val="Normal"/>
    <w:link w:val="HeaderChar"/>
    <w:uiPriority w:val="99"/>
    <w:unhideWhenUsed/>
    <w:rsid w:val="005349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98E"/>
  </w:style>
  <w:style w:type="paragraph" w:styleId="Footer">
    <w:name w:val="footer"/>
    <w:basedOn w:val="Normal"/>
    <w:link w:val="FooterChar"/>
    <w:uiPriority w:val="99"/>
    <w:unhideWhenUsed/>
    <w:rsid w:val="005349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98E"/>
  </w:style>
  <w:style w:type="character" w:styleId="Hyperlink">
    <w:name w:val="Hyperlink"/>
    <w:basedOn w:val="DefaultParagraphFont"/>
    <w:uiPriority w:val="99"/>
    <w:semiHidden/>
    <w:unhideWhenUsed/>
    <w:rsid w:val="0053498E"/>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3498E"/>
    <w:pPr>
      <w:spacing w:after="160"/>
    </w:pPr>
    <w:rPr>
      <w:b/>
      <w:bCs/>
    </w:rPr>
  </w:style>
  <w:style w:type="character" w:customStyle="1" w:styleId="CommentSubjectChar1">
    <w:name w:val="Comment Subject Char1"/>
    <w:basedOn w:val="CommentTextChar"/>
    <w:uiPriority w:val="99"/>
    <w:semiHidden/>
    <w:rsid w:val="0053498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ul.lingor@tum.de"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7380</Words>
  <Characters>42070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LCG</dc:creator>
  <cp:keywords/>
  <dc:description/>
  <cp:lastModifiedBy>LCG</cp:lastModifiedBy>
  <cp:revision>2</cp:revision>
  <dcterms:created xsi:type="dcterms:W3CDTF">2021-06-08T08:30:00Z</dcterms:created>
  <dcterms:modified xsi:type="dcterms:W3CDTF">2021-06-08T08:30:00Z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id="HNXvhUbW"/&gt;&lt;style id="http://www.zotero.org/styles/pnas" hasBibliography="1" bibliographyStyleHasBeenSet="1"/&gt;&lt;prefs&gt;&lt;pref name="fieldType" value="Field"/&gt;&lt;/prefs&gt;&lt;/data&gt;</vt:lpwstr>
  </property>
</Properties>
</file>