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1136" w14:textId="77777777" w:rsidR="00EB6C20" w:rsidRPr="00147C8E" w:rsidRDefault="00EB6C20" w:rsidP="00EB6C20">
      <w:pPr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147C8E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Supplementary File 6 (S6). Round 3 </w:t>
      </w:r>
      <w:r w:rsidRPr="003166CF">
        <w:rPr>
          <w:b/>
          <w:bCs/>
          <w:sz w:val="24"/>
          <w:szCs w:val="24"/>
        </w:rPr>
        <w:t xml:space="preserve">Target Product Profile (TPP) </w:t>
      </w:r>
      <w:r w:rsidRPr="00147C8E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for Blood Collection Device reviewed by the expert panel (including Round 1,2 results), summer 2019</w:t>
      </w:r>
    </w:p>
    <w:p w14:paraId="6A234651" w14:textId="77777777" w:rsidR="00EB6C20" w:rsidRPr="0023749B" w:rsidRDefault="00EB6C20" w:rsidP="00EB6C20">
      <w:pPr>
        <w:rPr>
          <w:rFonts w:ascii="Calibri" w:hAnsi="Calibri" w:cs="Calibri"/>
          <w:b/>
          <w:color w:val="222222"/>
          <w:shd w:val="clear" w:color="auto" w:fill="FFFFFF"/>
        </w:rPr>
      </w:pPr>
    </w:p>
    <w:p w14:paraId="664D7B73" w14:textId="77777777" w:rsidR="00EB6C20" w:rsidRPr="00BB4E6F" w:rsidRDefault="00EB6C20" w:rsidP="00EB6C20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color w:val="A6DECC"/>
        </w:rPr>
        <w:t>G</w:t>
      </w:r>
      <w:r w:rsidRPr="00BB4E6F">
        <w:rPr>
          <w:rFonts w:ascii="Calibri" w:eastAsia="Calibri" w:hAnsi="Calibri" w:cs="Arial"/>
          <w:b/>
          <w:color w:val="A6DECC"/>
        </w:rPr>
        <w:t>reen shading</w:t>
      </w:r>
      <w:r w:rsidRPr="00BB4E6F">
        <w:rPr>
          <w:rFonts w:ascii="Calibri" w:eastAsia="Calibri" w:hAnsi="Calibri" w:cs="Arial"/>
          <w:b/>
          <w:color w:val="2B7753"/>
        </w:rPr>
        <w:t>:</w:t>
      </w:r>
      <w:r w:rsidRPr="00BB4E6F">
        <w:rPr>
          <w:rFonts w:ascii="Calibri" w:eastAsia="Calibri" w:hAnsi="Calibri" w:cs="Arial"/>
        </w:rPr>
        <w:t xml:space="preserve"> Field closed in round 2 (Round 2)</w:t>
      </w:r>
    </w:p>
    <w:p w14:paraId="4585C571" w14:textId="77777777" w:rsidR="00EB6C20" w:rsidRPr="00BB4E6F" w:rsidRDefault="00EB6C20" w:rsidP="00EB6C20">
      <w:pPr>
        <w:rPr>
          <w:rFonts w:ascii="Calibri" w:eastAsia="Calibri" w:hAnsi="Calibri" w:cs="Arial"/>
          <w:b/>
          <w:color w:val="0070C0"/>
        </w:rPr>
      </w:pPr>
      <w:r w:rsidRPr="00BB4E6F">
        <w:rPr>
          <w:rFonts w:ascii="Calibri" w:eastAsia="Calibri" w:hAnsi="Calibri" w:cs="Arial"/>
          <w:b/>
          <w:color w:val="D9E2F3" w:themeColor="accent1" w:themeTint="33"/>
        </w:rPr>
        <w:t xml:space="preserve">Light </w:t>
      </w:r>
      <w:r w:rsidRPr="002A2FDD">
        <w:rPr>
          <w:rFonts w:ascii="Calibri" w:eastAsia="Calibri" w:hAnsi="Calibri" w:cs="Arial"/>
          <w:b/>
          <w:color w:val="D9E2F3" w:themeColor="accent1" w:themeTint="33"/>
        </w:rPr>
        <w:t>blue</w:t>
      </w:r>
      <w:r w:rsidRPr="00BB4E6F">
        <w:rPr>
          <w:rFonts w:ascii="Calibri" w:eastAsia="Calibri" w:hAnsi="Calibri" w:cs="Arial"/>
          <w:b/>
          <w:color w:val="D9E2F3" w:themeColor="accent1" w:themeTint="33"/>
        </w:rPr>
        <w:t xml:space="preserve"> shading</w:t>
      </w:r>
      <w:r w:rsidRPr="00BB4E6F">
        <w:rPr>
          <w:rFonts w:ascii="Calibri" w:eastAsia="Calibri" w:hAnsi="Calibri" w:cs="Arial"/>
          <w:b/>
          <w:color w:val="66A28D"/>
        </w:rPr>
        <w:t>:</w:t>
      </w:r>
      <w:r w:rsidRPr="00BB4E6F">
        <w:rPr>
          <w:rFonts w:ascii="Calibri" w:eastAsia="Calibri" w:hAnsi="Calibri" w:cs="Arial"/>
          <w:color w:val="66A28D"/>
        </w:rPr>
        <w:t xml:space="preserve"> </w:t>
      </w:r>
      <w:r w:rsidRPr="00BB4E6F">
        <w:rPr>
          <w:rFonts w:ascii="Calibri" w:eastAsia="Calibri" w:hAnsi="Calibri" w:cs="Arial"/>
        </w:rPr>
        <w:t>Field closed in round 1 (R1)</w:t>
      </w:r>
      <w:r w:rsidRPr="00BB4E6F">
        <w:rPr>
          <w:rFonts w:ascii="Calibri" w:eastAsia="Calibri" w:hAnsi="Calibri" w:cs="Arial"/>
          <w:b/>
          <w:color w:val="0070C0"/>
        </w:rPr>
        <w:t xml:space="preserve"> </w:t>
      </w:r>
    </w:p>
    <w:p w14:paraId="37F451A6" w14:textId="77777777" w:rsidR="00EB6C20" w:rsidRPr="00BB4E6F" w:rsidRDefault="00EB6C20" w:rsidP="00EB6C20">
      <w:pPr>
        <w:rPr>
          <w:rFonts w:ascii="Calibri" w:eastAsia="Calibri" w:hAnsi="Calibri" w:cs="Arial"/>
        </w:rPr>
      </w:pPr>
      <w:r w:rsidRPr="00BB4E6F">
        <w:rPr>
          <w:rFonts w:ascii="Calibri" w:eastAsia="Calibri" w:hAnsi="Calibri" w:cs="Arial"/>
          <w:b/>
          <w:color w:val="0070C0"/>
        </w:rPr>
        <w:t>Blue text</w:t>
      </w:r>
      <w:r w:rsidRPr="00BB4E6F">
        <w:rPr>
          <w:rFonts w:ascii="Calibri" w:eastAsia="Calibri" w:hAnsi="Calibri" w:cs="Arial"/>
          <w:color w:val="0070C0"/>
        </w:rPr>
        <w:t xml:space="preserve"> </w:t>
      </w:r>
      <w:r w:rsidRPr="00BB4E6F">
        <w:rPr>
          <w:rFonts w:ascii="Calibri" w:eastAsia="Calibri" w:hAnsi="Calibri" w:cs="Arial"/>
        </w:rPr>
        <w:t>indicates the Round 2 description was revised based on expert feedback</w:t>
      </w:r>
    </w:p>
    <w:p w14:paraId="32ED1FBA" w14:textId="77777777" w:rsidR="00EB6C20" w:rsidRDefault="00EB6C20" w:rsidP="00EB6C20">
      <w:pPr>
        <w:rPr>
          <w:rFonts w:ascii="Calibri" w:eastAsia="Calibri" w:hAnsi="Calibri" w:cs="Arial"/>
        </w:rPr>
      </w:pPr>
    </w:p>
    <w:tbl>
      <w:tblPr>
        <w:tblW w:w="15030" w:type="dxa"/>
        <w:tblInd w:w="-640" w:type="dxa"/>
        <w:tblLook w:val="04A0" w:firstRow="1" w:lastRow="0" w:firstColumn="1" w:lastColumn="0" w:noHBand="0" w:noVBand="1"/>
      </w:tblPr>
      <w:tblGrid>
        <w:gridCol w:w="592"/>
        <w:gridCol w:w="1885"/>
        <w:gridCol w:w="1117"/>
        <w:gridCol w:w="1117"/>
        <w:gridCol w:w="1117"/>
        <w:gridCol w:w="1722"/>
        <w:gridCol w:w="1458"/>
        <w:gridCol w:w="1956"/>
        <w:gridCol w:w="1538"/>
        <w:gridCol w:w="2528"/>
      </w:tblGrid>
      <w:tr w:rsidR="00EB6C20" w:rsidRPr="00BB4E6F" w14:paraId="329184AA" w14:textId="77777777" w:rsidTr="0013571D">
        <w:trPr>
          <w:tblHeader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4DE6F4E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bookmarkStart w:id="0" w:name="_Hlk64367582"/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304EA6C0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>Characteristic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545FE33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b/>
                <w:sz w:val="20"/>
                <w:szCs w:val="16"/>
              </w:rPr>
              <w:t>(Round 1) Agreement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D9DDD5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b/>
                <w:sz w:val="20"/>
                <w:szCs w:val="16"/>
              </w:rPr>
              <w:t>(Round 2) Agreement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</w:tcPr>
          <w:p w14:paraId="2C427E86" w14:textId="77777777" w:rsidR="00EB6C20" w:rsidRPr="00BB4E6F" w:rsidRDefault="00EB6C20" w:rsidP="0013571D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b/>
                <w:sz w:val="20"/>
                <w:szCs w:val="16"/>
              </w:rPr>
              <w:t xml:space="preserve">(Round 2) </w:t>
            </w:r>
          </w:p>
          <w:p w14:paraId="0DFC9BA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b/>
                <w:sz w:val="20"/>
                <w:szCs w:val="16"/>
              </w:rPr>
              <w:t>Neutral + Agreement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5DCE4"/>
            <w:vAlign w:val="center"/>
            <w:hideMark/>
          </w:tcPr>
          <w:p w14:paraId="2EEBCEE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 xml:space="preserve">Minimum – </w:t>
            </w:r>
          </w:p>
          <w:p w14:paraId="276E269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>Round 2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47CBA6E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>Minimum - Revised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808080"/>
            </w:tcBorders>
            <w:shd w:val="clear" w:color="auto" w:fill="D5DCE4"/>
            <w:vAlign w:val="center"/>
            <w:hideMark/>
          </w:tcPr>
          <w:p w14:paraId="6ACDE3C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>Optimal – Round 2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77A7FB3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>Optimal - Revised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25C861C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16"/>
              </w:rPr>
              <w:t>Round 2 comments</w:t>
            </w:r>
          </w:p>
        </w:tc>
      </w:tr>
      <w:tr w:rsidR="00EB6C20" w:rsidRPr="00BB4E6F" w14:paraId="43FA6515" w14:textId="77777777" w:rsidTr="0013571D">
        <w:trPr>
          <w:trHeight w:val="250"/>
        </w:trPr>
        <w:tc>
          <w:tcPr>
            <w:tcW w:w="150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B32D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  <w:t>SECTION 1: INTENDED USE</w:t>
            </w:r>
          </w:p>
        </w:tc>
      </w:tr>
      <w:tr w:rsidR="00EB6C20" w:rsidRPr="00BB4E6F" w14:paraId="29A9426A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78049D9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641E5DDB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Intended use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7C0376C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95%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2BF13A9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60617B9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16CFF7D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Population surveillance of micronutrient deficiency to inform nutrition programs (with possible application in intervention evaluation)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43631F9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4CBE9CD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4793F9E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12E65721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20FA01DE" w14:textId="77777777" w:rsidTr="0013571D">
        <w:trPr>
          <w:trHeight w:val="957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5D65A38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1.2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F3FC678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Target populations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CAD9B3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95%</w:t>
            </w:r>
            <w:r w:rsidRPr="00E60A76">
              <w:rPr>
                <w:rFonts w:ascii="Calibri Light" w:eastAsia="Times New Roman" w:hAnsi="Calibri Light" w:cs="Calibri Light"/>
                <w:color w:val="000000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5B27B07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D42B7C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89%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1CA8D2D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D42B7C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95%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13AC67C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Infants/children: 6-59 months</w:t>
            </w:r>
          </w:p>
          <w:p w14:paraId="58152A0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 xml:space="preserve"> </w:t>
            </w:r>
          </w:p>
          <w:p w14:paraId="3EFB5E3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Adolescents/WRA: 12-49 years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</w:tcPr>
          <w:p w14:paraId="4C5A128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3684FDB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 xml:space="preserve">All ages, all </w:t>
            </w:r>
            <w:r>
              <w:rPr>
                <w:rFonts w:ascii="Calibri Light" w:eastAsia="Times New Roman" w:hAnsi="Calibri Light" w:cs="Calibri Light"/>
                <w:sz w:val="20"/>
                <w:szCs w:val="16"/>
              </w:rPr>
              <w:t>sexes</w:t>
            </w:r>
          </w:p>
        </w:tc>
        <w:tc>
          <w:tcPr>
            <w:tcW w:w="1538" w:type="dxa"/>
            <w:tcBorders>
              <w:top w:val="nil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</w:tcPr>
          <w:p w14:paraId="27060BF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DECC"/>
          </w:tcPr>
          <w:p w14:paraId="2E056B81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1650F1B2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3226587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041DD87B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Target countries / Geographic coverage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0806A01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100%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0137FE5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5C25896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2716066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LMIC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13012AC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2ED33AC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Global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7882FBB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53FFC5B7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3F61779F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3A5508F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1.4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6B44BFC5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Location of use (infrastructure)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477DC79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100%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3F5E388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1CAB82F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7ACCE59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Household / field use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2191EA1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75CD57D4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61AF4F0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1D78D3C9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15CD1C01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1936F20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1.5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6BF05D52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Device operator: Sample collection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7F38FE0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81%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4875903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612B0AD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4B4C9B8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Trained phlebotomist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54F82CD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4FDD0BE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Trained household survey worker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6E1F321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3DD0FED6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497F5B5A" w14:textId="77777777" w:rsidTr="0013571D">
        <w:trPr>
          <w:trHeight w:val="250"/>
        </w:trPr>
        <w:tc>
          <w:tcPr>
            <w:tcW w:w="150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8180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  <w:t>SECTION 2: DEVICE CHARACTERISTICS</w:t>
            </w:r>
          </w:p>
        </w:tc>
      </w:tr>
      <w:tr w:rsidR="00EB6C20" w:rsidRPr="00BB4E6F" w14:paraId="17D37D99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35E0613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2.1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7BFD51F0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Size and weight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403D6CC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85%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0F83139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32936704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5BE3D22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Handheld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4E0209D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3F41727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4CD16A3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18E4AD27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702934B7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2786148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5DCF2104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Power and water requirements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6E326E5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91%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1FC0024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2424559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20F4DFC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None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6D3A495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701C32D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04D86B8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7DA2F8A1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76579572" w14:textId="77777777" w:rsidTr="0013571D">
        <w:tc>
          <w:tcPr>
            <w:tcW w:w="5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77D856F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lastRenderedPageBreak/>
              <w:t>2.3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418D9075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Operating temperature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EEBB80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72%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640021C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89%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741DFBC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94%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3D52067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15-35°C, 35-85% humidity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</w:tcPr>
          <w:p w14:paraId="0ECF148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3952ED8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</w:tcPr>
          <w:p w14:paraId="3D6E811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</w:tcPr>
          <w:p w14:paraId="535B72FF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626A1FD2" w14:textId="77777777" w:rsidTr="0013571D">
        <w:trPr>
          <w:trHeight w:val="2168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90D3D7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2.4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2BFAB174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Waste management (hazardous materials/chemicals)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4B7678B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N/a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DECC"/>
            <w:vAlign w:val="center"/>
          </w:tcPr>
          <w:p w14:paraId="1B0212E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89%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DECC"/>
            <w:vAlign w:val="center"/>
          </w:tcPr>
          <w:p w14:paraId="399CA6A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100%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49B3048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 </w:t>
            </w: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No hazardous materials or chemicals required for blood collection device; same as standard phlebotomy equipment</w:t>
            </w:r>
          </w:p>
        </w:tc>
        <w:tc>
          <w:tcPr>
            <w:tcW w:w="1458" w:type="dxa"/>
            <w:tcBorders>
              <w:top w:val="single" w:sz="4" w:space="0" w:color="auto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73C0918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3D9C62A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No hazardous materials or chemicals required for blood collection device</w:t>
            </w:r>
          </w:p>
          <w:p w14:paraId="3382775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 </w:t>
            </w:r>
          </w:p>
          <w:p w14:paraId="2F282A8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Single use and safe disposal mechanism, same as standard phlebotomy equipment</w:t>
            </w: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32F5520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</w:tcPr>
          <w:p w14:paraId="08593C47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4B659EBB" w14:textId="77777777" w:rsidTr="0013571D">
        <w:trPr>
          <w:trHeight w:val="4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C53A5B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2.5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50082814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proofErr w:type="gramStart"/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Consumables</w:t>
            </w:r>
            <w:proofErr w:type="gramEnd"/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 xml:space="preserve"> </w:t>
            </w: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stability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3F66A9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N/a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DECC"/>
            <w:vAlign w:val="center"/>
          </w:tcPr>
          <w:p w14:paraId="7F652A0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78%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DECC"/>
            <w:vAlign w:val="center"/>
          </w:tcPr>
          <w:p w14:paraId="670B422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89%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35F702E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 </w:t>
            </w: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Stable at ambient temperature and humidity for 3 months</w:t>
            </w:r>
          </w:p>
        </w:tc>
        <w:tc>
          <w:tcPr>
            <w:tcW w:w="1458" w:type="dxa"/>
            <w:tcBorders>
              <w:top w:val="nil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0364A9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1DD8E01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 Stable at ambient temperature and humidity for 6 months</w:t>
            </w:r>
          </w:p>
        </w:tc>
        <w:tc>
          <w:tcPr>
            <w:tcW w:w="1538" w:type="dxa"/>
            <w:tcBorders>
              <w:top w:val="single" w:sz="4" w:space="0" w:color="auto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241AC78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</w:tcPr>
          <w:p w14:paraId="326442DB" w14:textId="77777777" w:rsidR="00EB6C20" w:rsidRPr="00BB4E6F" w:rsidRDefault="00EB6C20" w:rsidP="0013571D">
            <w:pPr>
              <w:ind w:left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720347B9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1487373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2.6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225EE7B1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 xml:space="preserve">Additional devices or technology, such as software, required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2DEB448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94%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35B1812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75B3B9C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0AEA417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None required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57DE1A9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7EAFF59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3F6C912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430A0233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7FBD2122" w14:textId="77777777" w:rsidTr="0013571D">
        <w:trPr>
          <w:trHeight w:val="484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02E3855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2.7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D7E0056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Sample volume validation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5DFDEE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N/a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48761D0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83%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7645683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100%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5FBC06C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 </w:t>
            </w: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Clear indicator to confirm sufficient volume collected</w:t>
            </w:r>
          </w:p>
        </w:tc>
        <w:tc>
          <w:tcPr>
            <w:tcW w:w="1458" w:type="dxa"/>
            <w:tcBorders>
              <w:top w:val="single" w:sz="8" w:space="0" w:color="auto"/>
              <w:left w:val="dotted" w:sz="4" w:space="0" w:color="808080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4B5D09C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4B4D49C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 </w:t>
            </w: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single" w:sz="8" w:space="0" w:color="auto"/>
              <w:left w:val="dotted" w:sz="4" w:space="0" w:color="808080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F13FE0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</w:tcPr>
          <w:p w14:paraId="6D054F39" w14:textId="77777777" w:rsidR="00EB6C20" w:rsidRPr="00BB4E6F" w:rsidRDefault="00EB6C20" w:rsidP="0013571D">
            <w:pPr>
              <w:ind w:left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2C5A37BF" w14:textId="77777777" w:rsidTr="0013571D">
        <w:trPr>
          <w:trHeight w:val="250"/>
        </w:trPr>
        <w:tc>
          <w:tcPr>
            <w:tcW w:w="150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170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  <w:t>SECTION 3: SAMPLE HANDING</w:t>
            </w:r>
          </w:p>
        </w:tc>
      </w:tr>
      <w:tr w:rsidR="00EB6C20" w:rsidRPr="00BB4E6F" w14:paraId="7C1A37C3" w14:textId="77777777" w:rsidTr="0013571D">
        <w:trPr>
          <w:trHeight w:val="48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C19750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3.1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7AC4553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Sample type(s) and volumes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46EC2D3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78%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6D8F42F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79%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2C08C91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89%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681806D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Venipuncture</w:t>
            </w:r>
          </w:p>
          <w:p w14:paraId="7CCA835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0-2 &lt;5kg: 200 µL</w:t>
            </w:r>
          </w:p>
          <w:p w14:paraId="001DDE1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0-6 years &gt;5kg: 500 µL</w:t>
            </w:r>
          </w:p>
          <w:p w14:paraId="14DE4D2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&gt;6 years: 1000 µL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2F42DCD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  <w:p w14:paraId="331ED5C4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" w:eastAsia="Times New Roman" w:hAnsi="Calibri" w:cs="Calibri"/>
                <w:sz w:val="26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40FB8BF5" w14:textId="77777777" w:rsidR="00EB6C20" w:rsidRPr="00BB4E6F" w:rsidRDefault="00EB6C20" w:rsidP="0013571D">
            <w:pPr>
              <w:jc w:val="center"/>
              <w:rPr>
                <w:rFonts w:ascii="Calibri Light" w:eastAsia="Calibri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Capillary draw</w:t>
            </w:r>
          </w:p>
          <w:p w14:paraId="0D3501FC" w14:textId="77777777" w:rsidR="00EB6C20" w:rsidRPr="00BB4E6F" w:rsidRDefault="00EB6C20" w:rsidP="0013571D">
            <w:pPr>
              <w:jc w:val="center"/>
              <w:rPr>
                <w:rFonts w:ascii="Calibri Light" w:eastAsia="Calibri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 xml:space="preserve">0-6 years: 50-100 µL </w:t>
            </w:r>
          </w:p>
          <w:p w14:paraId="4599DB11" w14:textId="77777777" w:rsidR="00EB6C20" w:rsidRPr="00BB4E6F" w:rsidRDefault="00EB6C20" w:rsidP="0013571D">
            <w:pPr>
              <w:jc w:val="center"/>
              <w:rPr>
                <w:rFonts w:ascii="Calibri Light" w:eastAsia="Calibri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 xml:space="preserve">&gt;6 years: 250-500 µL </w:t>
            </w:r>
          </w:p>
          <w:p w14:paraId="3A75EFB2" w14:textId="77777777" w:rsidR="00EB6C20" w:rsidRPr="00BB4E6F" w:rsidRDefault="00EB6C20" w:rsidP="0013571D">
            <w:pPr>
              <w:jc w:val="center"/>
              <w:rPr>
                <w:rFonts w:ascii="Calibri Light" w:eastAsia="Calibri" w:hAnsi="Calibri Light" w:cs="Calibri Light"/>
                <w:sz w:val="20"/>
                <w:szCs w:val="16"/>
              </w:rPr>
            </w:pPr>
          </w:p>
          <w:p w14:paraId="5979554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Urine sample for iodine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ECA82C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</w:tcPr>
          <w:p w14:paraId="5A07E648" w14:textId="77777777" w:rsidR="00EB6C20" w:rsidRPr="00BB4E6F" w:rsidRDefault="00EB6C20" w:rsidP="0013571D">
            <w:pPr>
              <w:ind w:left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222CBA5D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14DA2B5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3.2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10BDEABF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Sample collection and transport requirements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60E36D1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80%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0FDBEA3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02B3F21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4C5ABD6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Refrigeration required (0° C)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50213E5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2660536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Ship without cold chain; should tolerate stress during transport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586BCC0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3A7E8122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77538D4A" w14:textId="77777777" w:rsidTr="0013571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28F6406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3.3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0A1269BF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Sample prep requirements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7F6F772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100%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723C4C1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  <w:vAlign w:val="center"/>
          </w:tcPr>
          <w:p w14:paraId="0E41197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Calibri" w:hAnsi="Calibri Light" w:cs="Calibri Light"/>
                <w:sz w:val="20"/>
                <w:szCs w:val="16"/>
              </w:rPr>
              <w:t>Closed - Not asked in R2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727A490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In-field centrifugation and aliquot required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  <w:hideMark/>
          </w:tcPr>
          <w:p w14:paraId="5850CC9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DAE7E7"/>
            <w:vAlign w:val="center"/>
            <w:hideMark/>
          </w:tcPr>
          <w:p w14:paraId="2EC4988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In-field processing not required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7E7"/>
            <w:vAlign w:val="center"/>
          </w:tcPr>
          <w:p w14:paraId="471CB30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7E7"/>
          </w:tcPr>
          <w:p w14:paraId="330C3B81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</w:p>
        </w:tc>
      </w:tr>
      <w:tr w:rsidR="00EB6C20" w:rsidRPr="00BB4E6F" w14:paraId="4AE2365C" w14:textId="77777777" w:rsidTr="0013571D">
        <w:trPr>
          <w:trHeight w:val="4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506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lastRenderedPageBreak/>
              <w:t>3.4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AD39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Operator parameters, required training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339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39A6B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72%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E385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78%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D84245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 </w:t>
            </w: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 xml:space="preserve">Operator training limited, </w:t>
            </w:r>
            <w:proofErr w:type="gramStart"/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e.g.</w:t>
            </w:r>
            <w:proofErr w:type="gramEnd"/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 xml:space="preserve"> 1 day of training by competent field staff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FDE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No revision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9E0FD0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 </w:t>
            </w: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A fully automated system where operators training isn't needed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F660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  <w:t>Same as minimum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F0971F" w14:textId="77777777" w:rsidR="00EB6C20" w:rsidRPr="00BB4E6F" w:rsidRDefault="00EB6C20" w:rsidP="00EB6C20">
            <w:pPr>
              <w:numPr>
                <w:ilvl w:val="0"/>
                <w:numId w:val="1"/>
              </w:numPr>
              <w:ind w:left="198" w:hanging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Several experts believe training should always be required and provided in some capacity for any methodology; no training is not feasible or desirable</w:t>
            </w:r>
          </w:p>
        </w:tc>
      </w:tr>
      <w:tr w:rsidR="00EB6C20" w:rsidRPr="00BB4E6F" w14:paraId="420C806D" w14:textId="77777777" w:rsidTr="0013571D">
        <w:trPr>
          <w:trHeight w:val="97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34C46C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  <w:t>3.5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00452F72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  <w:t>Standardization procedures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7939DD6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3BEF08E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88%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5C35DB1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100%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1922D24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 Lab facility has internal standardization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7E9CE39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0F99582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Regional or global facility is accredited to conduct standardization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DECC"/>
            <w:vAlign w:val="center"/>
          </w:tcPr>
          <w:p w14:paraId="08D74B74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DECC"/>
          </w:tcPr>
          <w:p w14:paraId="4676439C" w14:textId="77777777" w:rsidR="00EB6C20" w:rsidRPr="00BB4E6F" w:rsidRDefault="00EB6C20" w:rsidP="0013571D">
            <w:pPr>
              <w:ind w:left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622734A8" w14:textId="77777777" w:rsidTr="0013571D">
        <w:trPr>
          <w:trHeight w:val="250"/>
        </w:trPr>
        <w:tc>
          <w:tcPr>
            <w:tcW w:w="150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7BDB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16"/>
              </w:rPr>
              <w:t>SECTION 4: COMMERCIALIZATION</w:t>
            </w:r>
          </w:p>
        </w:tc>
      </w:tr>
      <w:tr w:rsidR="00EB6C20" w:rsidRPr="00BB4E6F" w14:paraId="0219E052" w14:textId="77777777" w:rsidTr="0013571D">
        <w:trPr>
          <w:trHeight w:val="4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FD02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4.1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DF62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 xml:space="preserve">Desired end-user price </w:t>
            </w:r>
            <w:r w:rsidRPr="00BB4E6F">
              <w:rPr>
                <w:rFonts w:ascii="Calibri Light" w:eastAsia="Times New Roman" w:hAnsi="Calibri Light" w:cs="Calibri Light"/>
                <w:b/>
                <w:color w:val="0070C0"/>
                <w:sz w:val="20"/>
                <w:szCs w:val="16"/>
              </w:rPr>
              <w:t>of device sampling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B28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N/a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27DB1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56%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0D3EE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78%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A33D2B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  <w:t>3 USD / sample</w:t>
            </w:r>
          </w:p>
        </w:tc>
        <w:tc>
          <w:tcPr>
            <w:tcW w:w="1458" w:type="dxa"/>
            <w:tcBorders>
              <w:top w:val="nil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271D9C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No revision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4A7917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16"/>
              </w:rPr>
              <w:t>1 USD / sample</w:t>
            </w:r>
          </w:p>
        </w:tc>
        <w:tc>
          <w:tcPr>
            <w:tcW w:w="1538" w:type="dxa"/>
            <w:tcBorders>
              <w:top w:val="nil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8420A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color w:val="0070C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No revision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823B" w14:textId="77777777" w:rsidR="00EB6C20" w:rsidRPr="00BB4E6F" w:rsidRDefault="00EB6C20" w:rsidP="00EB6C20">
            <w:pPr>
              <w:numPr>
                <w:ilvl w:val="0"/>
                <w:numId w:val="1"/>
              </w:numPr>
              <w:ind w:left="198" w:hanging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Multiple experts think the minimal price is too high</w:t>
            </w:r>
          </w:p>
          <w:p w14:paraId="3DC1E9ED" w14:textId="77777777" w:rsidR="00EB6C20" w:rsidRPr="00BB4E6F" w:rsidRDefault="00EB6C20" w:rsidP="00EB6C20">
            <w:pPr>
              <w:numPr>
                <w:ilvl w:val="0"/>
                <w:numId w:val="1"/>
              </w:numPr>
              <w:ind w:left="198" w:hanging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There is a need to consider business incentives in decision-making for the parameter, inclusive of market demand, cost of production, and product quality and comparison to market values</w:t>
            </w:r>
          </w:p>
          <w:p w14:paraId="5337F06E" w14:textId="77777777" w:rsidR="00EB6C20" w:rsidRPr="00BB4E6F" w:rsidRDefault="00EB6C20" w:rsidP="00EB6C20">
            <w:pPr>
              <w:numPr>
                <w:ilvl w:val="0"/>
                <w:numId w:val="1"/>
              </w:numPr>
              <w:ind w:left="198" w:hanging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The minimum standard (when compared to the cost of Whatman cards at $1.40) seems high; what is realistically feasible for device manufacturers?  Need to consider a market analysis.</w:t>
            </w:r>
          </w:p>
          <w:p w14:paraId="240F82CE" w14:textId="77777777" w:rsidR="00EB6C20" w:rsidRPr="00BB4E6F" w:rsidRDefault="00EB6C20" w:rsidP="00EB6C20">
            <w:pPr>
              <w:numPr>
                <w:ilvl w:val="0"/>
                <w:numId w:val="1"/>
              </w:numPr>
              <w:ind w:left="198" w:hanging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There is confusion on if the parameter encompasses the actual cost of the collection device or cost per test.</w:t>
            </w:r>
          </w:p>
        </w:tc>
      </w:tr>
      <w:tr w:rsidR="00EB6C20" w:rsidRPr="00BB4E6F" w14:paraId="1CB86E8F" w14:textId="77777777" w:rsidTr="0013571D">
        <w:trPr>
          <w:trHeight w:val="4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35BF6835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4.2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0B0D7880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Channels to market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ED4764E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57CB63D4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88%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  <w:vAlign w:val="center"/>
          </w:tcPr>
          <w:p w14:paraId="30C19F86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94%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0F11938D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Mainstream regional laboratory suppliers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</w:tcPr>
          <w:p w14:paraId="305640B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77FDAB08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Mainstream regional and local laboratory suppliers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DECC"/>
            <w:vAlign w:val="center"/>
          </w:tcPr>
          <w:p w14:paraId="59974A17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</w:tcPr>
          <w:p w14:paraId="1C023BAF" w14:textId="77777777" w:rsidR="00EB6C20" w:rsidRPr="00BB4E6F" w:rsidRDefault="00EB6C20" w:rsidP="0013571D">
            <w:pPr>
              <w:ind w:left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  <w:tr w:rsidR="00EB6C20" w:rsidRPr="00BB4E6F" w14:paraId="18057D99" w14:textId="77777777" w:rsidTr="0013571D">
        <w:trPr>
          <w:trHeight w:val="58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6A76307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lastRenderedPageBreak/>
              <w:t>4.3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532D9713" w14:textId="77777777" w:rsidR="00EB6C20" w:rsidRPr="00BB4E6F" w:rsidRDefault="00EB6C20" w:rsidP="0013571D">
            <w:pPr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Supply, services, and support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  <w:hideMark/>
          </w:tcPr>
          <w:p w14:paraId="170991F1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sz w:val="20"/>
                <w:szCs w:val="16"/>
              </w:rPr>
              <w:t>N/a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DECC"/>
            <w:vAlign w:val="center"/>
          </w:tcPr>
          <w:p w14:paraId="65307C73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76%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DECC"/>
            <w:vAlign w:val="center"/>
          </w:tcPr>
          <w:p w14:paraId="102346EF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color w:val="000000"/>
                <w:sz w:val="20"/>
                <w:szCs w:val="16"/>
              </w:rPr>
              <w:t>88%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3464FBA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Does not require special services nor support</w:t>
            </w:r>
          </w:p>
        </w:tc>
        <w:tc>
          <w:tcPr>
            <w:tcW w:w="1458" w:type="dxa"/>
            <w:tcBorders>
              <w:top w:val="single" w:sz="4" w:space="0" w:color="auto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</w:tcPr>
          <w:p w14:paraId="2117957B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808080"/>
            </w:tcBorders>
            <w:shd w:val="clear" w:color="auto" w:fill="A6DECC"/>
            <w:vAlign w:val="center"/>
            <w:hideMark/>
          </w:tcPr>
          <w:p w14:paraId="20CE58AA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sz w:val="20"/>
                <w:szCs w:val="16"/>
              </w:rPr>
            </w:pPr>
            <w:r w:rsidRPr="00BB4E6F">
              <w:rPr>
                <w:rFonts w:ascii="Calibri Light" w:eastAsia="Times New Roman" w:hAnsi="Calibri Light" w:cs="Calibri Light"/>
                <w:bCs/>
                <w:sz w:val="20"/>
                <w:szCs w:val="16"/>
              </w:rPr>
              <w:t>Same as minimum</w:t>
            </w:r>
          </w:p>
        </w:tc>
        <w:tc>
          <w:tcPr>
            <w:tcW w:w="1538" w:type="dxa"/>
            <w:tcBorders>
              <w:top w:val="single" w:sz="4" w:space="0" w:color="auto"/>
              <w:left w:val="dotted" w:sz="4" w:space="0" w:color="808080"/>
              <w:bottom w:val="single" w:sz="8" w:space="0" w:color="000000"/>
              <w:right w:val="single" w:sz="8" w:space="0" w:color="auto"/>
            </w:tcBorders>
            <w:shd w:val="clear" w:color="auto" w:fill="A6DECC"/>
            <w:vAlign w:val="center"/>
          </w:tcPr>
          <w:p w14:paraId="272C4874" w14:textId="77777777" w:rsidR="00EB6C20" w:rsidRPr="00BB4E6F" w:rsidRDefault="00EB6C20" w:rsidP="0013571D">
            <w:pPr>
              <w:jc w:val="center"/>
              <w:rPr>
                <w:rFonts w:ascii="Calibri Light" w:eastAsia="Times New Roman" w:hAnsi="Calibri Light" w:cs="Calibri Light"/>
                <w:bCs/>
                <w:color w:val="0070C0"/>
                <w:sz w:val="20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ECC"/>
          </w:tcPr>
          <w:p w14:paraId="68E443AF" w14:textId="77777777" w:rsidR="00EB6C20" w:rsidRPr="00BB4E6F" w:rsidRDefault="00EB6C20" w:rsidP="0013571D">
            <w:pPr>
              <w:ind w:left="198"/>
              <w:contextualSpacing/>
              <w:rPr>
                <w:rFonts w:ascii="Calibri Light" w:eastAsia="Times New Roman" w:hAnsi="Calibri Light" w:cs="Calibri Light"/>
                <w:sz w:val="20"/>
                <w:szCs w:val="16"/>
              </w:rPr>
            </w:pPr>
          </w:p>
        </w:tc>
      </w:tr>
    </w:tbl>
    <w:bookmarkEnd w:id="0"/>
    <w:p w14:paraId="25B01513" w14:textId="77777777" w:rsidR="00EB6C20" w:rsidRPr="00BB4E6F" w:rsidRDefault="00EB6C20" w:rsidP="00EB6C20">
      <w:pPr>
        <w:rPr>
          <w:rFonts w:ascii="Calibri" w:eastAsia="Calibri" w:hAnsi="Calibri" w:cs="Arial"/>
        </w:rPr>
      </w:pPr>
      <w:r w:rsidRPr="00C119F9">
        <w:rPr>
          <w:sz w:val="20"/>
          <w:szCs w:val="20"/>
          <w:vertAlign w:val="superscript"/>
        </w:rPr>
        <w:t>1</w:t>
      </w:r>
      <w:r w:rsidRPr="00C119F9">
        <w:rPr>
          <w:sz w:val="20"/>
          <w:szCs w:val="20"/>
        </w:rPr>
        <w:t>Although it received &gt;75% agreement, experts suggested useful edits to the text. Thus, the field remained open for review during Round 2.</w:t>
      </w:r>
    </w:p>
    <w:p w14:paraId="6F25401C" w14:textId="77777777" w:rsidR="00EB6C20" w:rsidRDefault="00EB6C20" w:rsidP="00EB6C20"/>
    <w:p w14:paraId="502C6EA1" w14:textId="77777777" w:rsidR="00656415" w:rsidRDefault="00656415"/>
    <w:sectPr w:rsidR="00656415" w:rsidSect="00BB4E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(Body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54CDA"/>
    <w:multiLevelType w:val="hybridMultilevel"/>
    <w:tmpl w:val="16D0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20"/>
    <w:rsid w:val="00022199"/>
    <w:rsid w:val="00046A90"/>
    <w:rsid w:val="00084D51"/>
    <w:rsid w:val="00115330"/>
    <w:rsid w:val="001321A2"/>
    <w:rsid w:val="001F0BF4"/>
    <w:rsid w:val="001F7F08"/>
    <w:rsid w:val="002006FA"/>
    <w:rsid w:val="00211C34"/>
    <w:rsid w:val="0023114A"/>
    <w:rsid w:val="002D6D42"/>
    <w:rsid w:val="00370F77"/>
    <w:rsid w:val="00471E3D"/>
    <w:rsid w:val="004753ED"/>
    <w:rsid w:val="005F6618"/>
    <w:rsid w:val="00656415"/>
    <w:rsid w:val="00691BC7"/>
    <w:rsid w:val="006D1FBC"/>
    <w:rsid w:val="006E5D8A"/>
    <w:rsid w:val="007714F6"/>
    <w:rsid w:val="008377CF"/>
    <w:rsid w:val="00851ED2"/>
    <w:rsid w:val="00926057"/>
    <w:rsid w:val="00962ABC"/>
    <w:rsid w:val="00A13ACF"/>
    <w:rsid w:val="00A42EBB"/>
    <w:rsid w:val="00A803C8"/>
    <w:rsid w:val="00A93A88"/>
    <w:rsid w:val="00AB7C30"/>
    <w:rsid w:val="00BF0765"/>
    <w:rsid w:val="00C40CBD"/>
    <w:rsid w:val="00C625B4"/>
    <w:rsid w:val="00C96354"/>
    <w:rsid w:val="00E729FB"/>
    <w:rsid w:val="00EB6C20"/>
    <w:rsid w:val="00EC3CE7"/>
    <w:rsid w:val="00EE5142"/>
    <w:rsid w:val="00EF213B"/>
    <w:rsid w:val="00F12420"/>
    <w:rsid w:val="00F3641E"/>
    <w:rsid w:val="00F750EA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9D346"/>
  <w15:chartTrackingRefBased/>
  <w15:docId w15:val="{E64A858A-9AC0-4448-BAF8-B16E941B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Calibri (Body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Baumann</dc:creator>
  <cp:keywords/>
  <dc:description/>
  <cp:lastModifiedBy>Sasha Baumann</cp:lastModifiedBy>
  <cp:revision>1</cp:revision>
  <dcterms:created xsi:type="dcterms:W3CDTF">2021-05-10T20:17:00Z</dcterms:created>
  <dcterms:modified xsi:type="dcterms:W3CDTF">2021-05-10T20:17:00Z</dcterms:modified>
</cp:coreProperties>
</file>