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A2F5" w14:textId="77777777" w:rsidR="00876115" w:rsidRPr="00F979B0" w:rsidRDefault="00876115" w:rsidP="00876115">
      <w:pPr>
        <w:rPr>
          <w:b/>
          <w:bCs/>
          <w:sz w:val="24"/>
          <w:szCs w:val="24"/>
        </w:rPr>
      </w:pPr>
      <w:r w:rsidRPr="00F979B0">
        <w:rPr>
          <w:b/>
          <w:bCs/>
          <w:sz w:val="24"/>
          <w:szCs w:val="24"/>
        </w:rPr>
        <w:t>Supplementary File 2 (S2). Round 1 Blood Collection Device Target Product Profile (TPP) draft reviewed by the expert panel, spring 2019</w:t>
      </w:r>
    </w:p>
    <w:p w14:paraId="70FF7E2C" w14:textId="77777777" w:rsidR="00876115" w:rsidRDefault="00876115" w:rsidP="00876115">
      <w:pPr>
        <w:spacing w:after="0" w:line="240" w:lineRule="auto"/>
        <w:rPr>
          <w:rFonts w:ascii="Calibri" w:hAnsi="Calibri" w:cs="Calibri"/>
          <w:color w:val="222222"/>
          <w:shd w:val="clear" w:color="auto" w:fill="FFFFFF"/>
        </w:rPr>
      </w:pPr>
    </w:p>
    <w:p w14:paraId="14985C64" w14:textId="77777777" w:rsidR="00876115" w:rsidRDefault="00876115" w:rsidP="00876115">
      <w:pPr>
        <w:pStyle w:val="Heading1"/>
        <w:rPr>
          <w:sz w:val="28"/>
          <w:szCs w:val="28"/>
        </w:rPr>
      </w:pPr>
      <w:r>
        <w:rPr>
          <w:sz w:val="28"/>
          <w:szCs w:val="28"/>
        </w:rPr>
        <w:t>I. Background</w:t>
      </w:r>
    </w:p>
    <w:p w14:paraId="341D2C4A" w14:textId="77777777" w:rsidR="00876115" w:rsidRDefault="00876115" w:rsidP="00876115">
      <w:r>
        <w:t xml:space="preserve">This blood collection device target product profile (TPP) is intended to serve as a complement to the high level “conceptual” micronutrient assessment TPP being developed to build field consensus around the best practices for use in population health surveys.  As such, please reference the draft TPP for the micronutrient (MN) assessment. </w:t>
      </w:r>
    </w:p>
    <w:p w14:paraId="5E38E30E" w14:textId="77777777" w:rsidR="00876115" w:rsidRDefault="00876115" w:rsidP="00876115">
      <w:pPr>
        <w:pStyle w:val="Heading1"/>
      </w:pPr>
      <w:r>
        <w:t>II. Target Product Profile overview</w:t>
      </w:r>
      <w:r>
        <w:rPr>
          <w:rStyle w:val="FootnoteReference"/>
          <w:rFonts w:cstheme="majorHAnsi"/>
          <w:b/>
          <w:sz w:val="24"/>
          <w:szCs w:val="24"/>
        </w:rPr>
        <w:footnoteReference w:id="1"/>
      </w:r>
    </w:p>
    <w:tbl>
      <w:tblPr>
        <w:tblW w:w="10080" w:type="dxa"/>
        <w:tblInd w:w="-275" w:type="dxa"/>
        <w:tblCellMar>
          <w:top w:w="58" w:type="dxa"/>
          <w:left w:w="115" w:type="dxa"/>
          <w:bottom w:w="58" w:type="dxa"/>
          <w:right w:w="115" w:type="dxa"/>
        </w:tblCellMar>
        <w:tblLook w:val="04A0" w:firstRow="1" w:lastRow="0" w:firstColumn="1" w:lastColumn="0" w:noHBand="0" w:noVBand="1"/>
      </w:tblPr>
      <w:tblGrid>
        <w:gridCol w:w="625"/>
        <w:gridCol w:w="1899"/>
        <w:gridCol w:w="3232"/>
        <w:gridCol w:w="2705"/>
        <w:gridCol w:w="1619"/>
      </w:tblGrid>
      <w:tr w:rsidR="00876115" w14:paraId="04186E9B" w14:textId="77777777" w:rsidTr="0013571D">
        <w:tc>
          <w:tcPr>
            <w:tcW w:w="62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76B7790" w14:textId="77777777" w:rsidR="00876115" w:rsidRDefault="00876115" w:rsidP="0013571D">
            <w:pPr>
              <w:jc w:val="center"/>
              <w:rPr>
                <w:rFonts w:asciiTheme="majorHAnsi" w:hAnsiTheme="majorHAnsi" w:cstheme="majorHAnsi"/>
                <w:b/>
                <w:sz w:val="20"/>
                <w:szCs w:val="20"/>
              </w:rPr>
            </w:pPr>
          </w:p>
        </w:tc>
        <w:tc>
          <w:tcPr>
            <w:tcW w:w="18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D6A33D" w14:textId="77777777" w:rsidR="00876115" w:rsidRDefault="00876115" w:rsidP="0013571D">
            <w:pPr>
              <w:rPr>
                <w:rFonts w:asciiTheme="majorHAnsi" w:hAnsiTheme="majorHAnsi" w:cstheme="majorHAnsi"/>
                <w:b/>
                <w:sz w:val="20"/>
                <w:szCs w:val="20"/>
              </w:rPr>
            </w:pPr>
            <w:r>
              <w:rPr>
                <w:rFonts w:asciiTheme="majorHAnsi" w:hAnsiTheme="majorHAnsi" w:cstheme="majorHAnsi"/>
                <w:b/>
                <w:sz w:val="20"/>
                <w:szCs w:val="20"/>
              </w:rPr>
              <w:t>Characteristic</w:t>
            </w:r>
          </w:p>
        </w:tc>
        <w:tc>
          <w:tcPr>
            <w:tcW w:w="323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40F90E"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Minimum (“must”)</w:t>
            </w:r>
            <w:r>
              <w:rPr>
                <w:rStyle w:val="FootnoteReference"/>
                <w:rFonts w:asciiTheme="majorHAnsi" w:hAnsiTheme="majorHAnsi" w:cstheme="majorHAnsi"/>
                <w:b/>
                <w:sz w:val="20"/>
                <w:szCs w:val="20"/>
              </w:rPr>
              <w:footnoteReference w:id="2"/>
            </w:r>
          </w:p>
        </w:tc>
        <w:tc>
          <w:tcPr>
            <w:tcW w:w="270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9F7A22"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Optimal (“want”)</w:t>
            </w:r>
            <w:r>
              <w:rPr>
                <w:rStyle w:val="FootnoteReference"/>
                <w:rFonts w:asciiTheme="majorHAnsi" w:hAnsiTheme="majorHAnsi" w:cstheme="majorHAnsi"/>
                <w:b/>
                <w:sz w:val="20"/>
                <w:szCs w:val="20"/>
              </w:rPr>
              <w:footnoteReference w:id="3"/>
            </w:r>
          </w:p>
        </w:tc>
        <w:tc>
          <w:tcPr>
            <w:tcW w:w="16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1D4CCF"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Annotation</w:t>
            </w:r>
          </w:p>
        </w:tc>
      </w:tr>
      <w:tr w:rsidR="00876115" w14:paraId="48897123" w14:textId="77777777" w:rsidTr="0013571D">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57D5C6" w14:textId="77777777" w:rsidR="00876115" w:rsidRDefault="00876115" w:rsidP="0013571D">
            <w:pPr>
              <w:ind w:left="-30"/>
              <w:jc w:val="center"/>
              <w:rPr>
                <w:rFonts w:asciiTheme="majorHAnsi" w:hAnsiTheme="majorHAnsi" w:cstheme="majorHAnsi"/>
                <w:b/>
                <w:sz w:val="20"/>
                <w:szCs w:val="20"/>
              </w:rPr>
            </w:pPr>
            <w:r>
              <w:rPr>
                <w:rFonts w:asciiTheme="majorHAnsi" w:hAnsiTheme="majorHAnsi" w:cstheme="majorHAnsi"/>
                <w:b/>
                <w:sz w:val="20"/>
                <w:szCs w:val="20"/>
              </w:rPr>
              <w:t>1</w:t>
            </w:r>
          </w:p>
        </w:tc>
        <w:tc>
          <w:tcPr>
            <w:tcW w:w="9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B0DFE1"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Intended use</w:t>
            </w:r>
          </w:p>
        </w:tc>
      </w:tr>
      <w:tr w:rsidR="00876115" w14:paraId="4187C1A4"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5BC6209B"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1.1</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ADDD2CB"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Intended use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0AEC9296"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Population surveillance of micronutrient deficiency to inform nutrition programs</w:t>
            </w:r>
          </w:p>
        </w:tc>
        <w:tc>
          <w:tcPr>
            <w:tcW w:w="2705" w:type="dxa"/>
            <w:tcBorders>
              <w:top w:val="single" w:sz="4" w:space="0" w:color="auto"/>
              <w:left w:val="single" w:sz="4" w:space="0" w:color="auto"/>
              <w:bottom w:val="single" w:sz="4" w:space="0" w:color="auto"/>
              <w:right w:val="single" w:sz="4" w:space="0" w:color="auto"/>
            </w:tcBorders>
            <w:vAlign w:val="center"/>
            <w:hideMark/>
          </w:tcPr>
          <w:p w14:paraId="30C039FE"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19" w:type="dxa"/>
            <w:tcBorders>
              <w:top w:val="single" w:sz="4" w:space="0" w:color="auto"/>
              <w:left w:val="single" w:sz="4" w:space="0" w:color="auto"/>
              <w:bottom w:val="single" w:sz="4" w:space="0" w:color="auto"/>
              <w:right w:val="single" w:sz="4" w:space="0" w:color="auto"/>
            </w:tcBorders>
            <w:vAlign w:val="center"/>
            <w:hideMark/>
          </w:tcPr>
          <w:p w14:paraId="597D9346" w14:textId="77777777" w:rsidR="00876115" w:rsidRDefault="00876115" w:rsidP="0013571D">
            <w:pPr>
              <w:jc w:val="center"/>
              <w:rPr>
                <w:rFonts w:asciiTheme="majorHAnsi" w:hAnsiTheme="majorHAnsi" w:cstheme="majorHAnsi"/>
                <w:sz w:val="20"/>
                <w:szCs w:val="20"/>
              </w:rPr>
            </w:pPr>
            <w:sdt>
              <w:sdtPr>
                <w:rPr>
                  <w:rFonts w:asciiTheme="majorHAnsi" w:hAnsiTheme="majorHAnsi" w:cstheme="majorHAnsi"/>
                  <w:sz w:val="20"/>
                  <w:szCs w:val="20"/>
                </w:rPr>
                <w:id w:val="-1888564458"/>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876115" w14:paraId="7F0B799A"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101C88EC"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1.2</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1BD7F21"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Target populations</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DC2F412"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Infants/children: 6-59 months</w:t>
            </w:r>
          </w:p>
          <w:p w14:paraId="4B1A43A2"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Women of reproductive age (WRA): 15-45 years</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9A189AC"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All ages</w:t>
            </w:r>
          </w:p>
        </w:tc>
        <w:tc>
          <w:tcPr>
            <w:tcW w:w="1619" w:type="dxa"/>
            <w:tcBorders>
              <w:top w:val="single" w:sz="4" w:space="0" w:color="auto"/>
              <w:left w:val="single" w:sz="4" w:space="0" w:color="auto"/>
              <w:bottom w:val="single" w:sz="4" w:space="0" w:color="auto"/>
              <w:right w:val="single" w:sz="4" w:space="0" w:color="auto"/>
            </w:tcBorders>
            <w:vAlign w:val="center"/>
            <w:hideMark/>
          </w:tcPr>
          <w:p w14:paraId="552B73EF" w14:textId="77777777" w:rsidR="00876115" w:rsidRDefault="00876115" w:rsidP="0013571D">
            <w:pPr>
              <w:jc w:val="center"/>
              <w:rPr>
                <w:rFonts w:asciiTheme="majorHAnsi" w:hAnsiTheme="majorHAnsi" w:cstheme="majorHAnsi"/>
                <w:sz w:val="20"/>
                <w:szCs w:val="20"/>
              </w:rPr>
            </w:pPr>
            <w:sdt>
              <w:sdtPr>
                <w:rPr>
                  <w:rFonts w:asciiTheme="majorHAnsi" w:hAnsiTheme="majorHAnsi" w:cstheme="majorHAnsi"/>
                  <w:sz w:val="20"/>
                  <w:szCs w:val="20"/>
                </w:rPr>
                <w:id w:val="1637912744"/>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876115" w14:paraId="5F81226C"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76450AB8"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1.3</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1B925C3"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Target countries / Geographic coverage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46EA797D"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Low-income or middle-income country (LMIC)</w:t>
            </w:r>
          </w:p>
        </w:tc>
        <w:tc>
          <w:tcPr>
            <w:tcW w:w="2705" w:type="dxa"/>
            <w:tcBorders>
              <w:top w:val="single" w:sz="4" w:space="0" w:color="auto"/>
              <w:left w:val="single" w:sz="4" w:space="0" w:color="auto"/>
              <w:bottom w:val="single" w:sz="4" w:space="0" w:color="auto"/>
              <w:right w:val="single" w:sz="4" w:space="0" w:color="auto"/>
            </w:tcBorders>
            <w:vAlign w:val="center"/>
            <w:hideMark/>
          </w:tcPr>
          <w:p w14:paraId="2C438D79"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Global</w:t>
            </w:r>
          </w:p>
        </w:tc>
        <w:tc>
          <w:tcPr>
            <w:tcW w:w="1619" w:type="dxa"/>
            <w:tcBorders>
              <w:top w:val="single" w:sz="4" w:space="0" w:color="auto"/>
              <w:left w:val="single" w:sz="4" w:space="0" w:color="auto"/>
              <w:bottom w:val="single" w:sz="4" w:space="0" w:color="auto"/>
              <w:right w:val="single" w:sz="4" w:space="0" w:color="auto"/>
            </w:tcBorders>
            <w:vAlign w:val="center"/>
            <w:hideMark/>
          </w:tcPr>
          <w:p w14:paraId="3697255D" w14:textId="77777777" w:rsidR="00876115" w:rsidRDefault="00876115" w:rsidP="0013571D">
            <w:pPr>
              <w:jc w:val="center"/>
              <w:rPr>
                <w:rFonts w:asciiTheme="majorHAnsi" w:hAnsiTheme="majorHAnsi" w:cstheme="majorHAnsi"/>
                <w:sz w:val="20"/>
                <w:szCs w:val="20"/>
              </w:rPr>
            </w:pPr>
            <w:sdt>
              <w:sdtPr>
                <w:rPr>
                  <w:rFonts w:asciiTheme="majorHAnsi" w:hAnsiTheme="majorHAnsi" w:cstheme="majorHAnsi"/>
                  <w:sz w:val="20"/>
                  <w:szCs w:val="20"/>
                </w:rPr>
                <w:id w:val="-779491460"/>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876115" w14:paraId="1DE45A48"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78126791"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1.4</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51C19D0"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Location of use (infrastructure)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2172F61"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Household / field use</w:t>
            </w:r>
          </w:p>
        </w:tc>
        <w:tc>
          <w:tcPr>
            <w:tcW w:w="2705" w:type="dxa"/>
            <w:tcBorders>
              <w:top w:val="single" w:sz="4" w:space="0" w:color="auto"/>
              <w:left w:val="single" w:sz="4" w:space="0" w:color="auto"/>
              <w:bottom w:val="single" w:sz="4" w:space="0" w:color="auto"/>
              <w:right w:val="single" w:sz="4" w:space="0" w:color="auto"/>
            </w:tcBorders>
            <w:vAlign w:val="center"/>
            <w:hideMark/>
          </w:tcPr>
          <w:p w14:paraId="5E818EF4"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19" w:type="dxa"/>
            <w:tcBorders>
              <w:top w:val="single" w:sz="4" w:space="0" w:color="auto"/>
              <w:left w:val="single" w:sz="4" w:space="0" w:color="auto"/>
              <w:bottom w:val="single" w:sz="4" w:space="0" w:color="auto"/>
              <w:right w:val="single" w:sz="4" w:space="0" w:color="auto"/>
            </w:tcBorders>
            <w:vAlign w:val="center"/>
          </w:tcPr>
          <w:p w14:paraId="2B560401" w14:textId="77777777" w:rsidR="00876115" w:rsidRDefault="00876115" w:rsidP="0013571D">
            <w:pPr>
              <w:jc w:val="center"/>
              <w:rPr>
                <w:rFonts w:asciiTheme="majorHAnsi" w:hAnsiTheme="majorHAnsi" w:cstheme="majorHAnsi"/>
                <w:sz w:val="20"/>
                <w:szCs w:val="20"/>
              </w:rPr>
            </w:pPr>
          </w:p>
        </w:tc>
      </w:tr>
      <w:tr w:rsidR="00876115" w14:paraId="2A84EBE2"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5C682D4F"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1.5</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39F0F89"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Device operator: Sample collection</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823BA76"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 xml:space="preserve">Trained phlebotomist </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DB5037A"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Trained household survey worker</w:t>
            </w:r>
          </w:p>
        </w:tc>
        <w:tc>
          <w:tcPr>
            <w:tcW w:w="1619" w:type="dxa"/>
            <w:tcBorders>
              <w:top w:val="single" w:sz="4" w:space="0" w:color="auto"/>
              <w:left w:val="single" w:sz="4" w:space="0" w:color="auto"/>
              <w:bottom w:val="single" w:sz="4" w:space="0" w:color="auto"/>
              <w:right w:val="single" w:sz="4" w:space="0" w:color="auto"/>
            </w:tcBorders>
            <w:vAlign w:val="center"/>
          </w:tcPr>
          <w:p w14:paraId="24534B85" w14:textId="77777777" w:rsidR="00876115" w:rsidRDefault="00876115" w:rsidP="0013571D">
            <w:pPr>
              <w:jc w:val="center"/>
              <w:rPr>
                <w:rFonts w:asciiTheme="majorHAnsi" w:hAnsiTheme="majorHAnsi" w:cstheme="majorHAnsi"/>
                <w:sz w:val="20"/>
                <w:szCs w:val="20"/>
              </w:rPr>
            </w:pPr>
          </w:p>
        </w:tc>
      </w:tr>
      <w:tr w:rsidR="00876115" w14:paraId="2DD39593" w14:textId="77777777" w:rsidTr="0013571D">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A0A47"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2</w:t>
            </w:r>
          </w:p>
        </w:tc>
        <w:tc>
          <w:tcPr>
            <w:tcW w:w="9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492314"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b/>
                <w:sz w:val="20"/>
                <w:szCs w:val="20"/>
              </w:rPr>
              <w:t>Device characteristics</w:t>
            </w:r>
          </w:p>
        </w:tc>
      </w:tr>
      <w:tr w:rsidR="00876115" w14:paraId="73CD1FEB"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291E040B"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2.1</w:t>
            </w:r>
          </w:p>
        </w:tc>
        <w:tc>
          <w:tcPr>
            <w:tcW w:w="1899" w:type="dxa"/>
            <w:tcBorders>
              <w:top w:val="single" w:sz="4" w:space="0" w:color="auto"/>
              <w:left w:val="single" w:sz="4" w:space="0" w:color="auto"/>
              <w:bottom w:val="single" w:sz="4" w:space="0" w:color="auto"/>
              <w:right w:val="single" w:sz="4" w:space="0" w:color="auto"/>
            </w:tcBorders>
            <w:vAlign w:val="center"/>
            <w:hideMark/>
          </w:tcPr>
          <w:p w14:paraId="7F8DD317" w14:textId="77777777" w:rsidR="00876115" w:rsidRDefault="00876115" w:rsidP="0013571D">
            <w:pPr>
              <w:rPr>
                <w:rFonts w:asciiTheme="majorHAnsi" w:hAnsiTheme="majorHAnsi" w:cstheme="majorHAnsi"/>
                <w:color w:val="FF0000"/>
                <w:sz w:val="20"/>
                <w:szCs w:val="20"/>
              </w:rPr>
            </w:pPr>
            <w:r>
              <w:rPr>
                <w:rFonts w:asciiTheme="majorHAnsi" w:hAnsiTheme="majorHAnsi" w:cstheme="majorHAnsi"/>
                <w:sz w:val="20"/>
                <w:szCs w:val="20"/>
              </w:rPr>
              <w:t>Size and weight</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EE802ED"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Handheld</w:t>
            </w:r>
          </w:p>
        </w:tc>
        <w:tc>
          <w:tcPr>
            <w:tcW w:w="2705" w:type="dxa"/>
            <w:tcBorders>
              <w:top w:val="single" w:sz="4" w:space="0" w:color="auto"/>
              <w:left w:val="single" w:sz="4" w:space="0" w:color="auto"/>
              <w:bottom w:val="single" w:sz="4" w:space="0" w:color="auto"/>
              <w:right w:val="single" w:sz="4" w:space="0" w:color="auto"/>
            </w:tcBorders>
            <w:vAlign w:val="center"/>
            <w:hideMark/>
          </w:tcPr>
          <w:p w14:paraId="25C53BC1"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19" w:type="dxa"/>
            <w:tcBorders>
              <w:top w:val="single" w:sz="4" w:space="0" w:color="auto"/>
              <w:left w:val="single" w:sz="4" w:space="0" w:color="auto"/>
              <w:bottom w:val="single" w:sz="4" w:space="0" w:color="auto"/>
              <w:right w:val="single" w:sz="4" w:space="0" w:color="auto"/>
            </w:tcBorders>
            <w:vAlign w:val="center"/>
            <w:hideMark/>
          </w:tcPr>
          <w:p w14:paraId="1A92261E" w14:textId="77777777" w:rsidR="00876115" w:rsidRDefault="00876115" w:rsidP="0013571D">
            <w:pPr>
              <w:jc w:val="center"/>
              <w:rPr>
                <w:rFonts w:asciiTheme="majorHAnsi" w:hAnsiTheme="majorHAnsi" w:cstheme="majorHAnsi"/>
                <w:sz w:val="20"/>
                <w:szCs w:val="20"/>
              </w:rPr>
            </w:pPr>
            <w:sdt>
              <w:sdtPr>
                <w:rPr>
                  <w:rFonts w:asciiTheme="majorHAnsi" w:hAnsiTheme="majorHAnsi" w:cstheme="majorHAnsi"/>
                  <w:sz w:val="20"/>
                  <w:szCs w:val="20"/>
                </w:rPr>
                <w:id w:val="-1267844636"/>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PAT18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2018)</w:t>
                </w:r>
                <w:r>
                  <w:rPr>
                    <w:rFonts w:asciiTheme="majorHAnsi" w:hAnsiTheme="majorHAnsi" w:cstheme="majorHAnsi"/>
                    <w:sz w:val="20"/>
                    <w:szCs w:val="20"/>
                  </w:rPr>
                  <w:fldChar w:fldCharType="end"/>
                </w:r>
              </w:sdtContent>
            </w:sdt>
          </w:p>
        </w:tc>
      </w:tr>
      <w:tr w:rsidR="00876115" w14:paraId="2CC9C9E3"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1F4E5E1A"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2.2</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C7CDC4C"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Power and water requirements</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D1C02B5"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None</w:t>
            </w:r>
          </w:p>
        </w:tc>
        <w:tc>
          <w:tcPr>
            <w:tcW w:w="2705" w:type="dxa"/>
            <w:tcBorders>
              <w:top w:val="single" w:sz="4" w:space="0" w:color="auto"/>
              <w:left w:val="single" w:sz="4" w:space="0" w:color="auto"/>
              <w:bottom w:val="single" w:sz="4" w:space="0" w:color="auto"/>
              <w:right w:val="single" w:sz="4" w:space="0" w:color="auto"/>
            </w:tcBorders>
            <w:vAlign w:val="center"/>
            <w:hideMark/>
          </w:tcPr>
          <w:p w14:paraId="36A0D550"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19" w:type="dxa"/>
            <w:tcBorders>
              <w:top w:val="single" w:sz="4" w:space="0" w:color="auto"/>
              <w:left w:val="single" w:sz="4" w:space="0" w:color="auto"/>
              <w:bottom w:val="single" w:sz="4" w:space="0" w:color="auto"/>
              <w:right w:val="single" w:sz="4" w:space="0" w:color="auto"/>
            </w:tcBorders>
            <w:vAlign w:val="center"/>
          </w:tcPr>
          <w:p w14:paraId="532425C5" w14:textId="77777777" w:rsidR="00876115" w:rsidRDefault="00876115" w:rsidP="0013571D">
            <w:pPr>
              <w:jc w:val="center"/>
              <w:rPr>
                <w:rFonts w:asciiTheme="majorHAnsi" w:hAnsiTheme="majorHAnsi" w:cstheme="majorHAnsi"/>
                <w:sz w:val="20"/>
                <w:szCs w:val="20"/>
              </w:rPr>
            </w:pPr>
          </w:p>
        </w:tc>
      </w:tr>
      <w:tr w:rsidR="00876115" w14:paraId="56D794F7"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5452E2B4"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lastRenderedPageBreak/>
              <w:t>2.3</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ACFFA0C" w14:textId="77777777" w:rsidR="00876115" w:rsidRDefault="00876115" w:rsidP="0013571D">
            <w:pPr>
              <w:rPr>
                <w:rFonts w:asciiTheme="majorHAnsi" w:hAnsiTheme="majorHAnsi" w:cstheme="majorHAnsi"/>
                <w:sz w:val="20"/>
                <w:szCs w:val="20"/>
              </w:rPr>
            </w:pPr>
            <w:proofErr w:type="gramStart"/>
            <w:r>
              <w:rPr>
                <w:rFonts w:asciiTheme="majorHAnsi" w:hAnsiTheme="majorHAnsi" w:cstheme="majorHAnsi"/>
                <w:sz w:val="20"/>
                <w:szCs w:val="20"/>
              </w:rPr>
              <w:t>Work flow</w:t>
            </w:r>
            <w:proofErr w:type="gramEnd"/>
            <w:r>
              <w:rPr>
                <w:rFonts w:asciiTheme="majorHAnsi" w:hAnsiTheme="majorHAnsi" w:cstheme="majorHAnsi"/>
                <w:sz w:val="20"/>
                <w:szCs w:val="20"/>
              </w:rPr>
              <w:t xml:space="preserve"> requirement: throughput</w:t>
            </w:r>
          </w:p>
        </w:tc>
        <w:tc>
          <w:tcPr>
            <w:tcW w:w="3232" w:type="dxa"/>
            <w:tcBorders>
              <w:top w:val="single" w:sz="4" w:space="0" w:color="auto"/>
              <w:left w:val="single" w:sz="4" w:space="0" w:color="auto"/>
              <w:bottom w:val="single" w:sz="4" w:space="0" w:color="auto"/>
              <w:right w:val="single" w:sz="4" w:space="0" w:color="auto"/>
            </w:tcBorders>
            <w:vAlign w:val="center"/>
          </w:tcPr>
          <w:p w14:paraId="67B84BFD" w14:textId="77777777" w:rsidR="00876115" w:rsidRDefault="00876115" w:rsidP="0013571D">
            <w:pPr>
              <w:jc w:val="center"/>
              <w:rPr>
                <w:rFonts w:asciiTheme="majorHAnsi" w:hAnsiTheme="majorHAnsi" w:cstheme="majorHAnsi"/>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24481A81" w14:textId="77777777" w:rsidR="00876115" w:rsidRDefault="00876115" w:rsidP="0013571D">
            <w:pPr>
              <w:jc w:val="center"/>
              <w:rPr>
                <w:rFonts w:asciiTheme="majorHAnsi" w:hAnsiTheme="majorHAnsi" w:cstheme="majorHAnsi"/>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14:paraId="7D2D886C" w14:textId="77777777" w:rsidR="00876115" w:rsidRDefault="00876115" w:rsidP="0013571D">
            <w:pPr>
              <w:jc w:val="center"/>
              <w:rPr>
                <w:rFonts w:asciiTheme="majorHAnsi" w:hAnsiTheme="majorHAnsi" w:cstheme="majorHAnsi"/>
                <w:sz w:val="20"/>
                <w:szCs w:val="20"/>
              </w:rPr>
            </w:pPr>
          </w:p>
        </w:tc>
      </w:tr>
      <w:tr w:rsidR="00876115" w14:paraId="723B92E5"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277A99C7"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2.4</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56A3D2A"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Operating temperature</w:t>
            </w:r>
          </w:p>
        </w:tc>
        <w:tc>
          <w:tcPr>
            <w:tcW w:w="3232" w:type="dxa"/>
            <w:tcBorders>
              <w:top w:val="single" w:sz="4" w:space="0" w:color="auto"/>
              <w:left w:val="single" w:sz="4" w:space="0" w:color="auto"/>
              <w:bottom w:val="single" w:sz="4" w:space="0" w:color="auto"/>
              <w:right w:val="single" w:sz="4" w:space="0" w:color="auto"/>
            </w:tcBorders>
            <w:vAlign w:val="center"/>
            <w:hideMark/>
          </w:tcPr>
          <w:p w14:paraId="77B92DE0"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15-35°C, 35-85% humidity</w:t>
            </w:r>
          </w:p>
        </w:tc>
        <w:tc>
          <w:tcPr>
            <w:tcW w:w="2705" w:type="dxa"/>
            <w:tcBorders>
              <w:top w:val="single" w:sz="4" w:space="0" w:color="auto"/>
              <w:left w:val="single" w:sz="4" w:space="0" w:color="auto"/>
              <w:bottom w:val="single" w:sz="4" w:space="0" w:color="auto"/>
              <w:right w:val="single" w:sz="4" w:space="0" w:color="auto"/>
            </w:tcBorders>
            <w:vAlign w:val="center"/>
            <w:hideMark/>
          </w:tcPr>
          <w:p w14:paraId="1621DE5E"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15-40°C, 20-90% humidity</w:t>
            </w:r>
          </w:p>
        </w:tc>
        <w:tc>
          <w:tcPr>
            <w:tcW w:w="1619" w:type="dxa"/>
            <w:tcBorders>
              <w:top w:val="single" w:sz="4" w:space="0" w:color="auto"/>
              <w:left w:val="single" w:sz="4" w:space="0" w:color="auto"/>
              <w:bottom w:val="single" w:sz="4" w:space="0" w:color="auto"/>
              <w:right w:val="single" w:sz="4" w:space="0" w:color="auto"/>
            </w:tcBorders>
            <w:vAlign w:val="center"/>
            <w:hideMark/>
          </w:tcPr>
          <w:p w14:paraId="2C5C7685" w14:textId="77777777" w:rsidR="00876115" w:rsidRDefault="00876115" w:rsidP="0013571D">
            <w:pPr>
              <w:jc w:val="center"/>
              <w:rPr>
                <w:rFonts w:asciiTheme="majorHAnsi" w:hAnsiTheme="majorHAnsi" w:cstheme="majorHAnsi"/>
                <w:sz w:val="20"/>
                <w:szCs w:val="20"/>
              </w:rPr>
            </w:pPr>
            <w:sdt>
              <w:sdtPr>
                <w:rPr>
                  <w:rFonts w:asciiTheme="majorHAnsi" w:hAnsiTheme="majorHAnsi" w:cstheme="majorHAnsi"/>
                  <w:sz w:val="20"/>
                  <w:szCs w:val="20"/>
                </w:rPr>
                <w:id w:val="-1567639254"/>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 CITATION PAT18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2018)</w:t>
                </w:r>
                <w:r>
                  <w:rPr>
                    <w:rFonts w:asciiTheme="majorHAnsi" w:hAnsiTheme="majorHAnsi" w:cstheme="majorHAnsi"/>
                    <w:sz w:val="20"/>
                    <w:szCs w:val="20"/>
                  </w:rPr>
                  <w:fldChar w:fldCharType="end"/>
                </w:r>
              </w:sdtContent>
            </w:sdt>
          </w:p>
        </w:tc>
      </w:tr>
      <w:tr w:rsidR="00876115" w14:paraId="77870206"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727F5F70"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2.5</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B7D3C75"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Waste management (hazardous materials/chemicals)</w:t>
            </w:r>
          </w:p>
        </w:tc>
        <w:tc>
          <w:tcPr>
            <w:tcW w:w="3232" w:type="dxa"/>
            <w:tcBorders>
              <w:top w:val="single" w:sz="4" w:space="0" w:color="auto"/>
              <w:left w:val="single" w:sz="4" w:space="0" w:color="auto"/>
              <w:bottom w:val="single" w:sz="4" w:space="0" w:color="auto"/>
              <w:right w:val="single" w:sz="4" w:space="0" w:color="auto"/>
            </w:tcBorders>
            <w:vAlign w:val="center"/>
          </w:tcPr>
          <w:p w14:paraId="2E851638" w14:textId="77777777" w:rsidR="00876115" w:rsidRDefault="00876115" w:rsidP="0013571D">
            <w:pPr>
              <w:jc w:val="center"/>
              <w:rPr>
                <w:rFonts w:asciiTheme="majorHAnsi" w:hAnsiTheme="majorHAnsi" w:cstheme="majorHAnsi"/>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42B22149" w14:textId="77777777" w:rsidR="00876115" w:rsidRDefault="00876115" w:rsidP="0013571D">
            <w:pPr>
              <w:jc w:val="center"/>
              <w:rPr>
                <w:rFonts w:asciiTheme="majorHAnsi" w:hAnsiTheme="majorHAnsi" w:cstheme="majorHAnsi"/>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14:paraId="46B3B72D" w14:textId="77777777" w:rsidR="00876115" w:rsidRDefault="00876115" w:rsidP="0013571D">
            <w:pPr>
              <w:jc w:val="center"/>
              <w:rPr>
                <w:rFonts w:asciiTheme="majorHAnsi" w:hAnsiTheme="majorHAnsi" w:cstheme="majorHAnsi"/>
                <w:sz w:val="20"/>
                <w:szCs w:val="20"/>
              </w:rPr>
            </w:pPr>
          </w:p>
        </w:tc>
      </w:tr>
      <w:tr w:rsidR="00876115" w14:paraId="3C9BDBEF"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1165A7BA"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2.6</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3E054AE"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Sterilization requirements</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01D3CF9"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No additional steps required</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CB90B48"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19" w:type="dxa"/>
            <w:tcBorders>
              <w:top w:val="single" w:sz="4" w:space="0" w:color="auto"/>
              <w:left w:val="single" w:sz="4" w:space="0" w:color="auto"/>
              <w:bottom w:val="single" w:sz="4" w:space="0" w:color="auto"/>
              <w:right w:val="single" w:sz="4" w:space="0" w:color="auto"/>
            </w:tcBorders>
            <w:vAlign w:val="center"/>
          </w:tcPr>
          <w:p w14:paraId="31F26F12" w14:textId="77777777" w:rsidR="00876115" w:rsidRDefault="00876115" w:rsidP="0013571D">
            <w:pPr>
              <w:jc w:val="center"/>
              <w:rPr>
                <w:rFonts w:asciiTheme="majorHAnsi" w:hAnsiTheme="majorHAnsi" w:cstheme="majorHAnsi"/>
                <w:sz w:val="20"/>
                <w:szCs w:val="20"/>
              </w:rPr>
            </w:pPr>
          </w:p>
        </w:tc>
      </w:tr>
      <w:tr w:rsidR="00876115" w14:paraId="7835219C"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425123DC"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2.7</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DD98610"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Consumables management</w:t>
            </w:r>
          </w:p>
        </w:tc>
        <w:tc>
          <w:tcPr>
            <w:tcW w:w="3232" w:type="dxa"/>
            <w:tcBorders>
              <w:top w:val="single" w:sz="4" w:space="0" w:color="auto"/>
              <w:left w:val="single" w:sz="4" w:space="0" w:color="auto"/>
              <w:bottom w:val="single" w:sz="4" w:space="0" w:color="auto"/>
              <w:right w:val="single" w:sz="4" w:space="0" w:color="auto"/>
            </w:tcBorders>
            <w:vAlign w:val="center"/>
          </w:tcPr>
          <w:p w14:paraId="5CF8F72A" w14:textId="77777777" w:rsidR="00876115" w:rsidRDefault="00876115" w:rsidP="0013571D">
            <w:pPr>
              <w:jc w:val="center"/>
              <w:rPr>
                <w:rFonts w:asciiTheme="majorHAnsi" w:hAnsiTheme="majorHAnsi" w:cstheme="majorHAnsi"/>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562F00EA" w14:textId="77777777" w:rsidR="00876115" w:rsidRDefault="00876115" w:rsidP="0013571D">
            <w:pPr>
              <w:jc w:val="center"/>
              <w:rPr>
                <w:rFonts w:asciiTheme="majorHAnsi" w:hAnsiTheme="majorHAnsi" w:cstheme="majorHAnsi"/>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14:paraId="6442F81B" w14:textId="77777777" w:rsidR="00876115" w:rsidRDefault="00876115" w:rsidP="0013571D">
            <w:pPr>
              <w:jc w:val="center"/>
              <w:rPr>
                <w:rFonts w:asciiTheme="majorHAnsi" w:hAnsiTheme="majorHAnsi" w:cstheme="majorHAnsi"/>
                <w:sz w:val="20"/>
                <w:szCs w:val="20"/>
              </w:rPr>
            </w:pPr>
          </w:p>
        </w:tc>
      </w:tr>
      <w:tr w:rsidR="00876115" w14:paraId="5A7EA655"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29575CE7"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2.8</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793CDE1"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 xml:space="preserve">Additional devices or technology, such as software, required </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C4E00EA"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None required</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785D21E"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Same as minimum</w:t>
            </w:r>
          </w:p>
        </w:tc>
        <w:tc>
          <w:tcPr>
            <w:tcW w:w="1619" w:type="dxa"/>
            <w:tcBorders>
              <w:top w:val="single" w:sz="4" w:space="0" w:color="auto"/>
              <w:left w:val="single" w:sz="4" w:space="0" w:color="auto"/>
              <w:bottom w:val="single" w:sz="4" w:space="0" w:color="auto"/>
              <w:right w:val="single" w:sz="4" w:space="0" w:color="auto"/>
            </w:tcBorders>
            <w:vAlign w:val="center"/>
          </w:tcPr>
          <w:p w14:paraId="63DAC32E" w14:textId="77777777" w:rsidR="00876115" w:rsidRDefault="00876115" w:rsidP="0013571D">
            <w:pPr>
              <w:jc w:val="center"/>
              <w:rPr>
                <w:rFonts w:asciiTheme="majorHAnsi" w:hAnsiTheme="majorHAnsi" w:cstheme="majorHAnsi"/>
                <w:sz w:val="20"/>
                <w:szCs w:val="20"/>
              </w:rPr>
            </w:pPr>
          </w:p>
        </w:tc>
      </w:tr>
      <w:tr w:rsidR="00876115" w14:paraId="1C1B55C4"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47BFF6ED"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2.9</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A70B917"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Quality control</w:t>
            </w:r>
          </w:p>
        </w:tc>
        <w:tc>
          <w:tcPr>
            <w:tcW w:w="3232" w:type="dxa"/>
            <w:tcBorders>
              <w:top w:val="single" w:sz="4" w:space="0" w:color="auto"/>
              <w:left w:val="single" w:sz="4" w:space="0" w:color="auto"/>
              <w:bottom w:val="single" w:sz="4" w:space="0" w:color="auto"/>
              <w:right w:val="single" w:sz="4" w:space="0" w:color="auto"/>
            </w:tcBorders>
            <w:vAlign w:val="center"/>
          </w:tcPr>
          <w:p w14:paraId="41797CC6" w14:textId="77777777" w:rsidR="00876115" w:rsidRDefault="00876115" w:rsidP="0013571D">
            <w:pPr>
              <w:jc w:val="center"/>
              <w:rPr>
                <w:rFonts w:asciiTheme="majorHAnsi" w:hAnsiTheme="majorHAnsi" w:cstheme="majorHAnsi"/>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6CB49477" w14:textId="77777777" w:rsidR="00876115" w:rsidRDefault="00876115" w:rsidP="0013571D">
            <w:pPr>
              <w:jc w:val="center"/>
              <w:rPr>
                <w:rFonts w:asciiTheme="majorHAnsi" w:hAnsiTheme="majorHAnsi" w:cstheme="majorHAnsi"/>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14:paraId="66B07F95" w14:textId="77777777" w:rsidR="00876115" w:rsidRDefault="00876115" w:rsidP="0013571D">
            <w:pPr>
              <w:jc w:val="center"/>
              <w:rPr>
                <w:rFonts w:asciiTheme="majorHAnsi" w:hAnsiTheme="majorHAnsi" w:cstheme="majorHAnsi"/>
                <w:sz w:val="20"/>
                <w:szCs w:val="20"/>
              </w:rPr>
            </w:pPr>
          </w:p>
        </w:tc>
      </w:tr>
      <w:tr w:rsidR="00876115" w14:paraId="69739D6B" w14:textId="77777777" w:rsidTr="0013571D">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B6037D"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3</w:t>
            </w:r>
          </w:p>
        </w:tc>
        <w:tc>
          <w:tcPr>
            <w:tcW w:w="9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B0B098"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Sample handling</w:t>
            </w:r>
          </w:p>
        </w:tc>
      </w:tr>
      <w:tr w:rsidR="00876115" w14:paraId="77C95D93"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136B08C9"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3.1</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C3CC49D"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Sample type(s) and volumes</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24F7A5A" w14:textId="77777777" w:rsidR="00876115" w:rsidRDefault="00876115" w:rsidP="0013571D">
            <w:pPr>
              <w:pStyle w:val="paragraph"/>
              <w:spacing w:before="0" w:beforeAutospacing="0" w:after="0" w:afterAutospacing="0"/>
              <w:jc w:val="center"/>
              <w:textAlignment w:val="baseline"/>
              <w:rPr>
                <w:rFonts w:ascii="Segoe UI" w:hAnsi="Segoe UI" w:cs="Segoe UI"/>
                <w:sz w:val="20"/>
                <w:szCs w:val="20"/>
              </w:rPr>
            </w:pPr>
            <w:r>
              <w:rPr>
                <w:rStyle w:val="normaltextrun"/>
                <w:rFonts w:ascii="Calibri Light" w:hAnsi="Calibri Light" w:cs="Segoe UI"/>
              </w:rPr>
              <w:t>Capillary blood</w:t>
            </w:r>
            <w:r>
              <w:rPr>
                <w:rStyle w:val="eop"/>
                <w:rFonts w:ascii="Calibri Light" w:hAnsi="Calibri Light" w:cs="Segoe UI"/>
                <w:sz w:val="20"/>
                <w:szCs w:val="20"/>
              </w:rPr>
              <w:t> </w:t>
            </w:r>
          </w:p>
          <w:p w14:paraId="0E1594D5" w14:textId="77777777" w:rsidR="00876115" w:rsidRDefault="00876115" w:rsidP="0013571D">
            <w:pPr>
              <w:pStyle w:val="paragraph"/>
              <w:spacing w:before="0" w:beforeAutospacing="0" w:after="0" w:afterAutospacing="0"/>
              <w:jc w:val="center"/>
              <w:textAlignment w:val="baseline"/>
              <w:rPr>
                <w:rFonts w:ascii="Segoe UI" w:hAnsi="Segoe UI" w:cs="Segoe UI"/>
                <w:b/>
                <w:sz w:val="20"/>
                <w:szCs w:val="20"/>
              </w:rPr>
            </w:pPr>
            <w:r>
              <w:rPr>
                <w:rStyle w:val="normaltextrun"/>
                <w:rFonts w:ascii="Calibri Light" w:hAnsi="Calibri Light" w:cs="Segoe UI"/>
              </w:rPr>
              <w:t>0-2 years: Recommendation needed</w:t>
            </w:r>
          </w:p>
          <w:p w14:paraId="6CFB6374" w14:textId="77777777" w:rsidR="00876115" w:rsidRDefault="00876115" w:rsidP="0013571D">
            <w:pPr>
              <w:pStyle w:val="paragraph"/>
              <w:spacing w:before="0" w:beforeAutospacing="0" w:after="0" w:afterAutospacing="0"/>
              <w:jc w:val="center"/>
              <w:textAlignment w:val="baseline"/>
              <w:rPr>
                <w:rFonts w:ascii="Segoe UI" w:hAnsi="Segoe UI" w:cs="Segoe UI"/>
                <w:sz w:val="20"/>
                <w:szCs w:val="20"/>
              </w:rPr>
            </w:pPr>
            <w:r>
              <w:rPr>
                <w:rStyle w:val="normaltextrun"/>
                <w:rFonts w:ascii="Calibri Light" w:hAnsi="Calibri Light" w:cs="Segoe UI"/>
              </w:rPr>
              <w:t>2-6 years: 50-100 µL (~2 drops)</w:t>
            </w:r>
            <w:r>
              <w:rPr>
                <w:rStyle w:val="eop"/>
                <w:rFonts w:ascii="Calibri Light" w:hAnsi="Calibri Light" w:cs="Segoe UI"/>
                <w:sz w:val="20"/>
                <w:szCs w:val="20"/>
              </w:rPr>
              <w:t> </w:t>
            </w:r>
          </w:p>
          <w:p w14:paraId="03233C33" w14:textId="77777777" w:rsidR="00876115" w:rsidRDefault="00876115" w:rsidP="0013571D">
            <w:pPr>
              <w:pStyle w:val="paragraph"/>
              <w:spacing w:before="0" w:beforeAutospacing="0" w:after="0" w:afterAutospacing="0"/>
              <w:jc w:val="center"/>
              <w:textAlignment w:val="baseline"/>
              <w:rPr>
                <w:rFonts w:asciiTheme="majorHAnsi" w:hAnsiTheme="majorHAnsi"/>
                <w:sz w:val="20"/>
                <w:szCs w:val="20"/>
              </w:rPr>
            </w:pPr>
            <w:r>
              <w:rPr>
                <w:rStyle w:val="normaltextrun"/>
                <w:rFonts w:ascii="Calibri Light" w:hAnsi="Calibri Light" w:cs="Segoe UI"/>
              </w:rPr>
              <w:t>&gt;6 years: 100 µL (~4 drops)</w:t>
            </w:r>
            <w:r>
              <w:rPr>
                <w:rStyle w:val="eop"/>
                <w:rFonts w:ascii="Calibri Light" w:hAnsi="Calibri Light" w:cs="Segoe UI"/>
                <w:sz w:val="20"/>
                <w:szCs w:val="20"/>
              </w:rPr>
              <w:t> </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9C92918" w14:textId="77777777" w:rsidR="00876115" w:rsidRDefault="00876115" w:rsidP="0013571D">
            <w:pPr>
              <w:pStyle w:val="paragraph"/>
              <w:spacing w:before="0" w:beforeAutospacing="0" w:after="0" w:afterAutospacing="0"/>
              <w:jc w:val="center"/>
              <w:textAlignment w:val="baseline"/>
              <w:rPr>
                <w:rFonts w:ascii="Segoe UI" w:hAnsi="Segoe UI" w:cs="Segoe UI"/>
                <w:sz w:val="20"/>
                <w:szCs w:val="20"/>
              </w:rPr>
            </w:pPr>
            <w:r>
              <w:rPr>
                <w:rStyle w:val="normaltextrun"/>
                <w:rFonts w:ascii="Calibri Light" w:hAnsi="Calibri Light" w:cs="Segoe UI"/>
              </w:rPr>
              <w:t>Dried blood spot / matrix</w:t>
            </w:r>
            <w:r>
              <w:rPr>
                <w:rStyle w:val="eop"/>
                <w:rFonts w:ascii="Calibri Light" w:hAnsi="Calibri Light" w:cs="Segoe UI"/>
                <w:sz w:val="20"/>
                <w:szCs w:val="20"/>
              </w:rPr>
              <w:t> </w:t>
            </w:r>
          </w:p>
          <w:p w14:paraId="353A833F" w14:textId="77777777" w:rsidR="00876115" w:rsidRDefault="00876115" w:rsidP="0013571D">
            <w:pPr>
              <w:pStyle w:val="paragraph"/>
              <w:spacing w:before="0" w:beforeAutospacing="0" w:after="0" w:afterAutospacing="0"/>
              <w:jc w:val="center"/>
              <w:textAlignment w:val="baseline"/>
              <w:rPr>
                <w:rFonts w:asciiTheme="majorHAnsi" w:hAnsiTheme="majorHAnsi"/>
                <w:sz w:val="20"/>
                <w:szCs w:val="20"/>
              </w:rPr>
            </w:pPr>
            <w:r>
              <w:rPr>
                <w:rStyle w:val="normaltextrun"/>
                <w:rFonts w:ascii="Calibri Light" w:hAnsi="Calibri Light" w:cs="Segoe UI"/>
              </w:rPr>
              <w:t>10-40 µL (~1 drop)</w:t>
            </w:r>
            <w:r>
              <w:rPr>
                <w:rStyle w:val="eop"/>
                <w:rFonts w:ascii="Calibri Light" w:hAnsi="Calibri Light" w:cs="Segoe UI"/>
                <w:sz w:val="20"/>
                <w:szCs w:val="20"/>
              </w:rPr>
              <w:t> </w:t>
            </w:r>
          </w:p>
        </w:tc>
        <w:tc>
          <w:tcPr>
            <w:tcW w:w="1619" w:type="dxa"/>
            <w:tcBorders>
              <w:top w:val="single" w:sz="4" w:space="0" w:color="auto"/>
              <w:left w:val="single" w:sz="4" w:space="0" w:color="auto"/>
              <w:bottom w:val="single" w:sz="4" w:space="0" w:color="auto"/>
              <w:right w:val="single" w:sz="4" w:space="0" w:color="auto"/>
            </w:tcBorders>
            <w:vAlign w:val="center"/>
          </w:tcPr>
          <w:p w14:paraId="20C9C64E" w14:textId="77777777" w:rsidR="00876115" w:rsidRDefault="00876115" w:rsidP="0013571D">
            <w:pPr>
              <w:jc w:val="center"/>
              <w:rPr>
                <w:rFonts w:asciiTheme="majorHAnsi" w:hAnsiTheme="majorHAnsi" w:cstheme="majorHAnsi"/>
                <w:sz w:val="20"/>
                <w:szCs w:val="20"/>
              </w:rPr>
            </w:pPr>
          </w:p>
        </w:tc>
      </w:tr>
      <w:tr w:rsidR="00876115" w14:paraId="72D0B19C"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0317B5EF"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3.2</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FAB4A19"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Sample collection and transport requirements</w:t>
            </w:r>
          </w:p>
        </w:tc>
        <w:tc>
          <w:tcPr>
            <w:tcW w:w="3232" w:type="dxa"/>
            <w:tcBorders>
              <w:top w:val="single" w:sz="4" w:space="0" w:color="auto"/>
              <w:left w:val="single" w:sz="4" w:space="0" w:color="auto"/>
              <w:bottom w:val="single" w:sz="4" w:space="0" w:color="auto"/>
              <w:right w:val="single" w:sz="4" w:space="0" w:color="auto"/>
            </w:tcBorders>
            <w:vAlign w:val="center"/>
            <w:hideMark/>
          </w:tcPr>
          <w:p w14:paraId="2946645F"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Refrigeration required (0° C)</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C855F57"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Ship without cold chain; should tolerate stress during transport</w:t>
            </w:r>
          </w:p>
        </w:tc>
        <w:tc>
          <w:tcPr>
            <w:tcW w:w="1619" w:type="dxa"/>
            <w:tcBorders>
              <w:top w:val="single" w:sz="4" w:space="0" w:color="auto"/>
              <w:left w:val="single" w:sz="4" w:space="0" w:color="auto"/>
              <w:bottom w:val="single" w:sz="4" w:space="0" w:color="auto"/>
              <w:right w:val="single" w:sz="4" w:space="0" w:color="auto"/>
            </w:tcBorders>
            <w:vAlign w:val="center"/>
            <w:hideMark/>
          </w:tcPr>
          <w:p w14:paraId="73A74360" w14:textId="77777777" w:rsidR="00876115" w:rsidRDefault="00876115" w:rsidP="0013571D">
            <w:pPr>
              <w:jc w:val="center"/>
              <w:rPr>
                <w:rFonts w:asciiTheme="majorHAnsi" w:hAnsiTheme="majorHAnsi" w:cstheme="majorHAnsi"/>
                <w:sz w:val="20"/>
                <w:szCs w:val="20"/>
              </w:rPr>
            </w:pPr>
            <w:sdt>
              <w:sdtPr>
                <w:rPr>
                  <w:rFonts w:asciiTheme="majorHAnsi" w:hAnsiTheme="majorHAnsi" w:cstheme="majorHAnsi"/>
                  <w:sz w:val="20"/>
                  <w:szCs w:val="20"/>
                </w:rPr>
                <w:id w:val="-141194771"/>
                <w:citation/>
              </w:sdtPr>
              <w:sdtContent>
                <w:r>
                  <w:rPr>
                    <w:rFonts w:asciiTheme="majorHAnsi" w:hAnsiTheme="majorHAnsi" w:cstheme="majorHAnsi"/>
                    <w:sz w:val="20"/>
                    <w:szCs w:val="20"/>
                  </w:rPr>
                  <w:fldChar w:fldCharType="begin"/>
                </w:r>
                <w:r>
                  <w:rPr>
                    <w:rFonts w:asciiTheme="majorHAnsi" w:hAnsiTheme="majorHAnsi" w:cstheme="majorHAnsi"/>
                    <w:sz w:val="20"/>
                    <w:szCs w:val="20"/>
                  </w:rPr>
                  <w:instrText xml:space="preserve">CITATION PAT17 \l 1033 </w:instrText>
                </w:r>
                <w:r>
                  <w:rPr>
                    <w:rFonts w:asciiTheme="majorHAnsi" w:hAnsiTheme="majorHAnsi" w:cstheme="majorHAnsi"/>
                    <w:sz w:val="20"/>
                    <w:szCs w:val="20"/>
                  </w:rPr>
                  <w:fldChar w:fldCharType="separate"/>
                </w:r>
                <w:r>
                  <w:rPr>
                    <w:rFonts w:asciiTheme="majorHAnsi" w:hAnsiTheme="majorHAnsi" w:cstheme="majorHAnsi"/>
                    <w:noProof/>
                    <w:sz w:val="20"/>
                    <w:szCs w:val="20"/>
                  </w:rPr>
                  <w:t>(PATH 2017)</w:t>
                </w:r>
                <w:r>
                  <w:rPr>
                    <w:rFonts w:asciiTheme="majorHAnsi" w:hAnsiTheme="majorHAnsi" w:cstheme="majorHAnsi"/>
                    <w:sz w:val="20"/>
                    <w:szCs w:val="20"/>
                  </w:rPr>
                  <w:fldChar w:fldCharType="end"/>
                </w:r>
              </w:sdtContent>
            </w:sdt>
          </w:p>
        </w:tc>
      </w:tr>
      <w:tr w:rsidR="00876115" w14:paraId="590DFFED"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4B3A91B3"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3.3</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0F46CC0"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Sample prep requirements</w:t>
            </w:r>
          </w:p>
        </w:tc>
        <w:tc>
          <w:tcPr>
            <w:tcW w:w="3232" w:type="dxa"/>
            <w:tcBorders>
              <w:top w:val="single" w:sz="4" w:space="0" w:color="auto"/>
              <w:left w:val="single" w:sz="4" w:space="0" w:color="auto"/>
              <w:bottom w:val="single" w:sz="4" w:space="0" w:color="auto"/>
              <w:right w:val="single" w:sz="4" w:space="0" w:color="auto"/>
            </w:tcBorders>
            <w:vAlign w:val="center"/>
            <w:hideMark/>
          </w:tcPr>
          <w:p w14:paraId="5BFCCABB"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Centrifugation and aliquot required</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BFA3EA1"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None required</w:t>
            </w:r>
          </w:p>
        </w:tc>
        <w:tc>
          <w:tcPr>
            <w:tcW w:w="1619" w:type="dxa"/>
            <w:tcBorders>
              <w:top w:val="single" w:sz="4" w:space="0" w:color="auto"/>
              <w:left w:val="single" w:sz="4" w:space="0" w:color="auto"/>
              <w:bottom w:val="single" w:sz="4" w:space="0" w:color="auto"/>
              <w:right w:val="single" w:sz="4" w:space="0" w:color="auto"/>
            </w:tcBorders>
            <w:vAlign w:val="center"/>
          </w:tcPr>
          <w:p w14:paraId="1A416009" w14:textId="77777777" w:rsidR="00876115" w:rsidRDefault="00876115" w:rsidP="0013571D">
            <w:pPr>
              <w:jc w:val="center"/>
              <w:rPr>
                <w:rFonts w:asciiTheme="majorHAnsi" w:hAnsiTheme="majorHAnsi" w:cstheme="majorHAnsi"/>
                <w:sz w:val="20"/>
                <w:szCs w:val="20"/>
              </w:rPr>
            </w:pPr>
          </w:p>
        </w:tc>
      </w:tr>
      <w:tr w:rsidR="00876115" w14:paraId="76857E96"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09200BF4"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3.4</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D7755DA"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Operator parameters, required training</w:t>
            </w:r>
          </w:p>
        </w:tc>
        <w:tc>
          <w:tcPr>
            <w:tcW w:w="3232" w:type="dxa"/>
            <w:tcBorders>
              <w:top w:val="single" w:sz="4" w:space="0" w:color="auto"/>
              <w:left w:val="single" w:sz="4" w:space="0" w:color="auto"/>
              <w:bottom w:val="single" w:sz="4" w:space="0" w:color="auto"/>
              <w:right w:val="single" w:sz="4" w:space="0" w:color="auto"/>
            </w:tcBorders>
            <w:vAlign w:val="center"/>
          </w:tcPr>
          <w:p w14:paraId="5625473D" w14:textId="77777777" w:rsidR="00876115" w:rsidRDefault="00876115" w:rsidP="0013571D">
            <w:pPr>
              <w:jc w:val="center"/>
              <w:rPr>
                <w:rFonts w:asciiTheme="majorHAnsi" w:hAnsiTheme="majorHAnsi" w:cstheme="majorHAnsi"/>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6F2ACE17" w14:textId="77777777" w:rsidR="00876115" w:rsidRDefault="00876115" w:rsidP="0013571D">
            <w:pPr>
              <w:jc w:val="center"/>
              <w:rPr>
                <w:rFonts w:asciiTheme="majorHAnsi" w:hAnsiTheme="majorHAnsi" w:cstheme="majorHAnsi"/>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14:paraId="58314DE0" w14:textId="77777777" w:rsidR="00876115" w:rsidRDefault="00876115" w:rsidP="0013571D">
            <w:pPr>
              <w:jc w:val="center"/>
              <w:rPr>
                <w:rFonts w:asciiTheme="majorHAnsi" w:hAnsiTheme="majorHAnsi" w:cstheme="majorHAnsi"/>
                <w:sz w:val="20"/>
                <w:szCs w:val="20"/>
              </w:rPr>
            </w:pPr>
          </w:p>
        </w:tc>
      </w:tr>
      <w:tr w:rsidR="00876115" w14:paraId="51EFB6ED"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7A563620"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3.5</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86770B8"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Sample processing requirements</w:t>
            </w:r>
          </w:p>
        </w:tc>
        <w:tc>
          <w:tcPr>
            <w:tcW w:w="3232" w:type="dxa"/>
            <w:tcBorders>
              <w:top w:val="single" w:sz="4" w:space="0" w:color="auto"/>
              <w:left w:val="single" w:sz="4" w:space="0" w:color="auto"/>
              <w:bottom w:val="single" w:sz="4" w:space="0" w:color="auto"/>
              <w:right w:val="single" w:sz="4" w:space="0" w:color="auto"/>
            </w:tcBorders>
            <w:vAlign w:val="center"/>
            <w:hideMark/>
          </w:tcPr>
          <w:p w14:paraId="135C2FDE"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In-field processing required</w:t>
            </w:r>
          </w:p>
        </w:tc>
        <w:tc>
          <w:tcPr>
            <w:tcW w:w="2705" w:type="dxa"/>
            <w:tcBorders>
              <w:top w:val="single" w:sz="4" w:space="0" w:color="auto"/>
              <w:left w:val="single" w:sz="4" w:space="0" w:color="auto"/>
              <w:bottom w:val="single" w:sz="4" w:space="0" w:color="auto"/>
              <w:right w:val="single" w:sz="4" w:space="0" w:color="auto"/>
            </w:tcBorders>
            <w:vAlign w:val="center"/>
            <w:hideMark/>
          </w:tcPr>
          <w:p w14:paraId="52A51623"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In-field processing not required</w:t>
            </w:r>
          </w:p>
        </w:tc>
        <w:tc>
          <w:tcPr>
            <w:tcW w:w="1619" w:type="dxa"/>
            <w:tcBorders>
              <w:top w:val="single" w:sz="4" w:space="0" w:color="auto"/>
              <w:left w:val="single" w:sz="4" w:space="0" w:color="auto"/>
              <w:bottom w:val="single" w:sz="4" w:space="0" w:color="auto"/>
              <w:right w:val="single" w:sz="4" w:space="0" w:color="auto"/>
            </w:tcBorders>
            <w:vAlign w:val="center"/>
          </w:tcPr>
          <w:p w14:paraId="224F294A" w14:textId="77777777" w:rsidR="00876115" w:rsidRDefault="00876115" w:rsidP="0013571D">
            <w:pPr>
              <w:jc w:val="center"/>
              <w:rPr>
                <w:rFonts w:asciiTheme="majorHAnsi" w:hAnsiTheme="majorHAnsi" w:cstheme="majorHAnsi"/>
                <w:sz w:val="20"/>
                <w:szCs w:val="20"/>
              </w:rPr>
            </w:pPr>
          </w:p>
        </w:tc>
      </w:tr>
      <w:tr w:rsidR="00876115" w14:paraId="6B4A583C"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74498107"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lastRenderedPageBreak/>
              <w:t>3.6</w:t>
            </w:r>
          </w:p>
        </w:tc>
        <w:tc>
          <w:tcPr>
            <w:tcW w:w="1899" w:type="dxa"/>
            <w:tcBorders>
              <w:top w:val="single" w:sz="4" w:space="0" w:color="auto"/>
              <w:left w:val="single" w:sz="4" w:space="0" w:color="auto"/>
              <w:bottom w:val="single" w:sz="4" w:space="0" w:color="auto"/>
              <w:right w:val="single" w:sz="4" w:space="0" w:color="auto"/>
            </w:tcBorders>
            <w:vAlign w:val="center"/>
            <w:hideMark/>
          </w:tcPr>
          <w:p w14:paraId="42E7EF11"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Types of specimens/assays run in the same facility</w:t>
            </w:r>
          </w:p>
        </w:tc>
        <w:tc>
          <w:tcPr>
            <w:tcW w:w="3232" w:type="dxa"/>
            <w:tcBorders>
              <w:top w:val="single" w:sz="4" w:space="0" w:color="auto"/>
              <w:left w:val="single" w:sz="4" w:space="0" w:color="auto"/>
              <w:bottom w:val="single" w:sz="4" w:space="0" w:color="auto"/>
              <w:right w:val="single" w:sz="4" w:space="0" w:color="auto"/>
            </w:tcBorders>
            <w:vAlign w:val="center"/>
          </w:tcPr>
          <w:p w14:paraId="56CB2D06" w14:textId="77777777" w:rsidR="00876115" w:rsidRDefault="00876115" w:rsidP="0013571D">
            <w:pPr>
              <w:jc w:val="center"/>
              <w:rPr>
                <w:rFonts w:asciiTheme="majorHAnsi" w:hAnsiTheme="majorHAnsi" w:cstheme="majorHAnsi"/>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4B8B34D1" w14:textId="77777777" w:rsidR="00876115" w:rsidRDefault="00876115" w:rsidP="0013571D">
            <w:pPr>
              <w:jc w:val="center"/>
              <w:rPr>
                <w:rFonts w:asciiTheme="majorHAnsi" w:hAnsiTheme="majorHAnsi" w:cstheme="majorHAnsi"/>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14:paraId="36761682" w14:textId="77777777" w:rsidR="00876115" w:rsidRDefault="00876115" w:rsidP="0013571D">
            <w:pPr>
              <w:jc w:val="center"/>
              <w:rPr>
                <w:rFonts w:asciiTheme="majorHAnsi" w:hAnsiTheme="majorHAnsi" w:cstheme="majorHAnsi"/>
                <w:sz w:val="20"/>
                <w:szCs w:val="20"/>
              </w:rPr>
            </w:pPr>
          </w:p>
        </w:tc>
      </w:tr>
      <w:tr w:rsidR="00876115" w14:paraId="261DA0CC" w14:textId="77777777" w:rsidTr="0013571D">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27DBED"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4</w:t>
            </w:r>
          </w:p>
        </w:tc>
        <w:tc>
          <w:tcPr>
            <w:tcW w:w="9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2CDCC0" w14:textId="77777777" w:rsidR="00876115" w:rsidRDefault="00876115" w:rsidP="0013571D">
            <w:pPr>
              <w:jc w:val="center"/>
              <w:rPr>
                <w:rFonts w:asciiTheme="majorHAnsi" w:hAnsiTheme="majorHAnsi" w:cstheme="majorHAnsi"/>
                <w:b/>
                <w:sz w:val="20"/>
                <w:szCs w:val="20"/>
              </w:rPr>
            </w:pPr>
            <w:r>
              <w:rPr>
                <w:rFonts w:asciiTheme="majorHAnsi" w:hAnsiTheme="majorHAnsi" w:cstheme="majorHAnsi"/>
                <w:b/>
                <w:sz w:val="20"/>
                <w:szCs w:val="20"/>
              </w:rPr>
              <w:t>Commercialization</w:t>
            </w:r>
          </w:p>
        </w:tc>
      </w:tr>
      <w:tr w:rsidR="00876115" w14:paraId="60504B84"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59AE6D14"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4.1</w:t>
            </w:r>
          </w:p>
        </w:tc>
        <w:tc>
          <w:tcPr>
            <w:tcW w:w="1899" w:type="dxa"/>
            <w:tcBorders>
              <w:top w:val="single" w:sz="4" w:space="0" w:color="auto"/>
              <w:left w:val="single" w:sz="4" w:space="0" w:color="auto"/>
              <w:bottom w:val="single" w:sz="4" w:space="0" w:color="auto"/>
              <w:right w:val="single" w:sz="4" w:space="0" w:color="auto"/>
            </w:tcBorders>
            <w:vAlign w:val="center"/>
            <w:hideMark/>
          </w:tcPr>
          <w:p w14:paraId="139B703C"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Desired end-user price</w:t>
            </w:r>
          </w:p>
        </w:tc>
        <w:tc>
          <w:tcPr>
            <w:tcW w:w="3232" w:type="dxa"/>
            <w:tcBorders>
              <w:top w:val="single" w:sz="4" w:space="0" w:color="auto"/>
              <w:left w:val="single" w:sz="4" w:space="0" w:color="auto"/>
              <w:bottom w:val="single" w:sz="4" w:space="0" w:color="auto"/>
              <w:right w:val="single" w:sz="4" w:space="0" w:color="auto"/>
            </w:tcBorders>
            <w:vAlign w:val="center"/>
          </w:tcPr>
          <w:p w14:paraId="4D2D6AB7" w14:textId="77777777" w:rsidR="00876115" w:rsidRDefault="00876115" w:rsidP="0013571D">
            <w:pPr>
              <w:jc w:val="center"/>
              <w:rPr>
                <w:rFonts w:asciiTheme="majorHAnsi" w:hAnsiTheme="majorHAnsi" w:cstheme="majorHAnsi"/>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6263BBCE" w14:textId="77777777" w:rsidR="00876115" w:rsidRDefault="00876115" w:rsidP="0013571D">
            <w:pPr>
              <w:jc w:val="center"/>
              <w:rPr>
                <w:rFonts w:asciiTheme="majorHAnsi" w:hAnsiTheme="majorHAnsi" w:cstheme="majorHAnsi"/>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14:paraId="2728B90F" w14:textId="77777777" w:rsidR="00876115" w:rsidRDefault="00876115" w:rsidP="0013571D">
            <w:pPr>
              <w:jc w:val="center"/>
              <w:rPr>
                <w:rFonts w:asciiTheme="majorHAnsi" w:hAnsiTheme="majorHAnsi" w:cstheme="majorHAnsi"/>
                <w:sz w:val="20"/>
                <w:szCs w:val="20"/>
              </w:rPr>
            </w:pPr>
          </w:p>
        </w:tc>
      </w:tr>
      <w:tr w:rsidR="00876115" w14:paraId="2DBEC793"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036DE358"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4.2</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9B75906"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Channels to market</w:t>
            </w:r>
          </w:p>
        </w:tc>
        <w:tc>
          <w:tcPr>
            <w:tcW w:w="3232" w:type="dxa"/>
            <w:tcBorders>
              <w:top w:val="single" w:sz="4" w:space="0" w:color="auto"/>
              <w:left w:val="single" w:sz="4" w:space="0" w:color="auto"/>
              <w:bottom w:val="single" w:sz="4" w:space="0" w:color="auto"/>
              <w:right w:val="single" w:sz="4" w:space="0" w:color="auto"/>
            </w:tcBorders>
            <w:vAlign w:val="center"/>
          </w:tcPr>
          <w:p w14:paraId="79DEFB8A" w14:textId="77777777" w:rsidR="00876115" w:rsidRDefault="00876115" w:rsidP="0013571D">
            <w:pPr>
              <w:jc w:val="center"/>
              <w:rPr>
                <w:rFonts w:asciiTheme="majorHAnsi" w:hAnsiTheme="majorHAnsi" w:cstheme="majorHAnsi"/>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7A64DE75" w14:textId="77777777" w:rsidR="00876115" w:rsidRDefault="00876115" w:rsidP="0013571D">
            <w:pPr>
              <w:jc w:val="center"/>
              <w:rPr>
                <w:rFonts w:asciiTheme="majorHAnsi" w:hAnsiTheme="majorHAnsi" w:cstheme="majorHAnsi"/>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14:paraId="0AB71C21" w14:textId="77777777" w:rsidR="00876115" w:rsidRDefault="00876115" w:rsidP="0013571D">
            <w:pPr>
              <w:jc w:val="center"/>
              <w:rPr>
                <w:rFonts w:asciiTheme="majorHAnsi" w:hAnsiTheme="majorHAnsi" w:cstheme="majorHAnsi"/>
                <w:sz w:val="20"/>
                <w:szCs w:val="20"/>
              </w:rPr>
            </w:pPr>
          </w:p>
        </w:tc>
      </w:tr>
      <w:tr w:rsidR="00876115" w14:paraId="5DC6187A" w14:textId="77777777" w:rsidTr="0013571D">
        <w:tc>
          <w:tcPr>
            <w:tcW w:w="625" w:type="dxa"/>
            <w:tcBorders>
              <w:top w:val="single" w:sz="4" w:space="0" w:color="auto"/>
              <w:left w:val="single" w:sz="4" w:space="0" w:color="auto"/>
              <w:bottom w:val="single" w:sz="4" w:space="0" w:color="auto"/>
              <w:right w:val="single" w:sz="4" w:space="0" w:color="auto"/>
            </w:tcBorders>
            <w:vAlign w:val="center"/>
            <w:hideMark/>
          </w:tcPr>
          <w:p w14:paraId="0AFB24FA" w14:textId="77777777" w:rsidR="00876115" w:rsidRDefault="00876115" w:rsidP="0013571D">
            <w:pPr>
              <w:jc w:val="center"/>
              <w:rPr>
                <w:rFonts w:asciiTheme="majorHAnsi" w:hAnsiTheme="majorHAnsi" w:cstheme="majorHAnsi"/>
                <w:sz w:val="20"/>
                <w:szCs w:val="20"/>
              </w:rPr>
            </w:pPr>
            <w:r>
              <w:rPr>
                <w:rFonts w:asciiTheme="majorHAnsi" w:hAnsiTheme="majorHAnsi" w:cstheme="majorHAnsi"/>
                <w:sz w:val="20"/>
                <w:szCs w:val="20"/>
              </w:rPr>
              <w:t>4.3</w:t>
            </w:r>
          </w:p>
        </w:tc>
        <w:tc>
          <w:tcPr>
            <w:tcW w:w="1899" w:type="dxa"/>
            <w:tcBorders>
              <w:top w:val="single" w:sz="4" w:space="0" w:color="auto"/>
              <w:left w:val="single" w:sz="4" w:space="0" w:color="auto"/>
              <w:bottom w:val="single" w:sz="4" w:space="0" w:color="auto"/>
              <w:right w:val="single" w:sz="4" w:space="0" w:color="auto"/>
            </w:tcBorders>
            <w:vAlign w:val="center"/>
            <w:hideMark/>
          </w:tcPr>
          <w:p w14:paraId="5FC644BD" w14:textId="77777777" w:rsidR="00876115" w:rsidRDefault="00876115" w:rsidP="0013571D">
            <w:pPr>
              <w:rPr>
                <w:rFonts w:asciiTheme="majorHAnsi" w:hAnsiTheme="majorHAnsi" w:cstheme="majorHAnsi"/>
                <w:sz w:val="20"/>
                <w:szCs w:val="20"/>
              </w:rPr>
            </w:pPr>
            <w:r>
              <w:rPr>
                <w:rFonts w:asciiTheme="majorHAnsi" w:hAnsiTheme="majorHAnsi" w:cstheme="majorHAnsi"/>
                <w:sz w:val="20"/>
                <w:szCs w:val="20"/>
              </w:rPr>
              <w:t>Supply, services, and support</w:t>
            </w:r>
          </w:p>
        </w:tc>
        <w:tc>
          <w:tcPr>
            <w:tcW w:w="3232" w:type="dxa"/>
            <w:tcBorders>
              <w:top w:val="single" w:sz="4" w:space="0" w:color="auto"/>
              <w:left w:val="single" w:sz="4" w:space="0" w:color="auto"/>
              <w:bottom w:val="single" w:sz="4" w:space="0" w:color="auto"/>
              <w:right w:val="single" w:sz="4" w:space="0" w:color="auto"/>
            </w:tcBorders>
            <w:vAlign w:val="center"/>
          </w:tcPr>
          <w:p w14:paraId="5447F029" w14:textId="77777777" w:rsidR="00876115" w:rsidRDefault="00876115" w:rsidP="0013571D">
            <w:pPr>
              <w:jc w:val="center"/>
              <w:rPr>
                <w:rFonts w:asciiTheme="majorHAnsi" w:hAnsiTheme="majorHAnsi" w:cstheme="majorHAnsi"/>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66D52524" w14:textId="77777777" w:rsidR="00876115" w:rsidRDefault="00876115" w:rsidP="0013571D">
            <w:pPr>
              <w:jc w:val="center"/>
              <w:rPr>
                <w:rFonts w:asciiTheme="majorHAnsi" w:hAnsiTheme="majorHAnsi" w:cstheme="majorHAnsi"/>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14:paraId="19FEC486" w14:textId="77777777" w:rsidR="00876115" w:rsidRDefault="00876115" w:rsidP="0013571D">
            <w:pPr>
              <w:jc w:val="center"/>
              <w:rPr>
                <w:rFonts w:asciiTheme="majorHAnsi" w:hAnsiTheme="majorHAnsi" w:cstheme="majorHAnsi"/>
                <w:sz w:val="20"/>
                <w:szCs w:val="20"/>
              </w:rPr>
            </w:pPr>
          </w:p>
        </w:tc>
      </w:tr>
    </w:tbl>
    <w:p w14:paraId="13A5EB52" w14:textId="77777777" w:rsidR="00876115" w:rsidRDefault="00876115" w:rsidP="00876115">
      <w:pPr>
        <w:rPr>
          <w:rFonts w:asciiTheme="majorHAnsi" w:eastAsiaTheme="majorEastAsia" w:hAnsiTheme="majorHAnsi" w:cstheme="majorBidi"/>
          <w:color w:val="2F5496" w:themeColor="accent1" w:themeShade="BF"/>
          <w:sz w:val="28"/>
          <w:szCs w:val="28"/>
        </w:rPr>
      </w:pPr>
      <w:r>
        <w:rPr>
          <w:sz w:val="28"/>
          <w:szCs w:val="28"/>
        </w:rPr>
        <w:br w:type="page"/>
      </w:r>
    </w:p>
    <w:sdt>
      <w:sdtPr>
        <w:rPr>
          <w:rFonts w:asciiTheme="minorHAnsi" w:eastAsiaTheme="minorHAnsi" w:hAnsiTheme="minorHAnsi" w:cstheme="minorBidi"/>
          <w:color w:val="auto"/>
          <w:sz w:val="22"/>
          <w:szCs w:val="22"/>
        </w:rPr>
        <w:id w:val="-199326889"/>
        <w:docPartObj>
          <w:docPartGallery w:val="Bibliographies"/>
          <w:docPartUnique/>
        </w:docPartObj>
      </w:sdtPr>
      <w:sdtContent>
        <w:p w14:paraId="5F416AF3" w14:textId="77777777" w:rsidR="00876115" w:rsidRDefault="00876115" w:rsidP="00876115">
          <w:pPr>
            <w:pStyle w:val="Heading1"/>
          </w:pPr>
          <w:r>
            <w:t>References</w:t>
          </w:r>
        </w:p>
        <w:sdt>
          <w:sdtPr>
            <w:id w:val="-63260583"/>
            <w:bibliography/>
          </w:sdtPr>
          <w:sdtContent>
            <w:p w14:paraId="6BB0D506" w14:textId="77777777" w:rsidR="00876115" w:rsidRDefault="00876115" w:rsidP="00876115">
              <w:pPr>
                <w:pStyle w:val="Bibliography"/>
                <w:ind w:left="720" w:hanging="720"/>
                <w:rPr>
                  <w:noProof/>
                </w:rPr>
              </w:pPr>
              <w:r>
                <w:fldChar w:fldCharType="begin"/>
              </w:r>
              <w:r>
                <w:instrText xml:space="preserve"> BIBLIOGRAPHY </w:instrText>
              </w:r>
              <w:r>
                <w:fldChar w:fldCharType="separate"/>
              </w:r>
              <w:r>
                <w:rPr>
                  <w:noProof/>
                </w:rPr>
                <w:t xml:space="preserve">Dittrich, S, BT Tadesse, F Moussey, A Chua, A Zorzet, T Tangden, DL Dolinger, et al. 2016. "Target Product Profile for a Diagnostic Assay to Differentiate between Bacterial and Non-Bacterial Infections and Reduce Antimicrobial Overuse in Resource-Limited Settings: An Expert Consensus." </w:t>
              </w:r>
              <w:r>
                <w:rPr>
                  <w:i/>
                  <w:iCs/>
                  <w:noProof/>
                </w:rPr>
                <w:t>PLOS One</w:t>
              </w:r>
              <w:r>
                <w:rPr>
                  <w:noProof/>
                </w:rPr>
                <w:t xml:space="preserve"> (PLOS One) 11 (8).</w:t>
              </w:r>
            </w:p>
            <w:p w14:paraId="79E944D5" w14:textId="77777777" w:rsidR="00876115" w:rsidRDefault="00876115" w:rsidP="00876115">
              <w:pPr>
                <w:pStyle w:val="Bibliography"/>
                <w:ind w:left="720" w:hanging="720"/>
                <w:rPr>
                  <w:noProof/>
                </w:rPr>
              </w:pPr>
              <w:r>
                <w:rPr>
                  <w:noProof/>
                </w:rPr>
                <w:t xml:space="preserve">Erhardt, JG, JE Estes, CM Pfeiffer, HK Biesalski, and NE Craft. 2004. "Combined Measurement of Ferritin, Soluble Transferrin Receptor, Retinol Binding Protein, and C-Reactive Protein by an Inexpensive, Sensitive, and Simple Sandwich Enzyme-Linked Immunosorbent Assay Technique." </w:t>
              </w:r>
              <w:r>
                <w:rPr>
                  <w:i/>
                  <w:iCs/>
                  <w:noProof/>
                </w:rPr>
                <w:t>Journal of Nutrition</w:t>
              </w:r>
              <w:r>
                <w:rPr>
                  <w:noProof/>
                </w:rPr>
                <w:t xml:space="preserve"> (134): 3127-3132.</w:t>
              </w:r>
            </w:p>
            <w:p w14:paraId="050290C0" w14:textId="77777777" w:rsidR="00876115" w:rsidRDefault="00876115" w:rsidP="00876115">
              <w:pPr>
                <w:pStyle w:val="Bibliography"/>
                <w:ind w:left="720" w:hanging="720"/>
                <w:rPr>
                  <w:noProof/>
                </w:rPr>
              </w:pPr>
              <w:r>
                <w:rPr>
                  <w:noProof/>
                </w:rPr>
                <w:t xml:space="preserve">Garrett, DA, Sangha JK, Kothari MT, and Boyle D. 2011. "Field-friendly techniques for assessment of biomarkers of nutrition for development." </w:t>
              </w:r>
              <w:r>
                <w:rPr>
                  <w:i/>
                  <w:iCs/>
                  <w:noProof/>
                </w:rPr>
                <w:t>The American Journal for Clinical Nutrition</w:t>
              </w:r>
              <w:r>
                <w:rPr>
                  <w:noProof/>
                </w:rPr>
                <w:t xml:space="preserve"> 94 (2): 685S-690S.</w:t>
              </w:r>
            </w:p>
            <w:p w14:paraId="4E77C27B" w14:textId="77777777" w:rsidR="00876115" w:rsidRDefault="00876115" w:rsidP="00876115">
              <w:pPr>
                <w:pStyle w:val="Bibliography"/>
                <w:ind w:left="720" w:hanging="720"/>
                <w:rPr>
                  <w:noProof/>
                </w:rPr>
              </w:pPr>
              <w:r>
                <w:rPr>
                  <w:noProof/>
                </w:rPr>
                <w:t xml:space="preserve">OIE. 2013. </w:t>
              </w:r>
              <w:r>
                <w:rPr>
                  <w:i/>
                  <w:iCs/>
                  <w:noProof/>
                </w:rPr>
                <w:t>Validation Guidelines.</w:t>
              </w:r>
              <w:r>
                <w:rPr>
                  <w:noProof/>
                </w:rPr>
                <w:t xml:space="preserve"> Accessed April 8, 2019. http://www.oie.int/fileadmin/Home/eng/Health_standards/aahm/current/chapitre_validation_diagnostics_assays.pdf.</w:t>
              </w:r>
            </w:p>
            <w:p w14:paraId="636CD361" w14:textId="77777777" w:rsidR="00876115" w:rsidRDefault="00876115" w:rsidP="00876115">
              <w:pPr>
                <w:pStyle w:val="Bibliography"/>
                <w:ind w:left="720" w:hanging="720"/>
                <w:rPr>
                  <w:noProof/>
                </w:rPr>
              </w:pPr>
              <w:r>
                <w:rPr>
                  <w:noProof/>
                </w:rPr>
                <w:t>PATH. 2018. "Assessing hemoglobinometers for maternal care: Target product profile and landscape analysis."</w:t>
              </w:r>
            </w:p>
            <w:p w14:paraId="60F62340" w14:textId="77777777" w:rsidR="00876115" w:rsidRDefault="00876115" w:rsidP="00876115">
              <w:pPr>
                <w:pStyle w:val="Bibliography"/>
                <w:ind w:left="720" w:hanging="720"/>
                <w:rPr>
                  <w:noProof/>
                </w:rPr>
              </w:pPr>
              <w:r>
                <w:rPr>
                  <w:noProof/>
                </w:rPr>
                <w:t>PATH. 2017. "Micronutrient Surveillance Diagnostic: Product Development Road Map Document; Target product profile for adding Folate, Vitamin B-12, and Vitamin D to an existing, commercially available micronutrient assessment tool."</w:t>
              </w:r>
            </w:p>
            <w:p w14:paraId="5DB3477C" w14:textId="77777777" w:rsidR="00876115" w:rsidRDefault="00876115" w:rsidP="00876115">
              <w:r>
                <w:rPr>
                  <w:b/>
                  <w:bCs/>
                  <w:noProof/>
                </w:rPr>
                <w:fldChar w:fldCharType="end"/>
              </w:r>
            </w:p>
          </w:sdtContent>
        </w:sdt>
      </w:sdtContent>
    </w:sdt>
    <w:p w14:paraId="266C3BA7" w14:textId="77777777" w:rsidR="00656415" w:rsidRDefault="00656415"/>
    <w:sectPr w:rsidR="00656415" w:rsidSect="007714F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37B66" w14:textId="77777777" w:rsidR="007F47F0" w:rsidRDefault="007F47F0" w:rsidP="00876115">
      <w:pPr>
        <w:spacing w:after="0" w:line="240" w:lineRule="auto"/>
      </w:pPr>
      <w:r>
        <w:separator/>
      </w:r>
    </w:p>
  </w:endnote>
  <w:endnote w:type="continuationSeparator" w:id="0">
    <w:p w14:paraId="5D4C6090" w14:textId="77777777" w:rsidR="007F47F0" w:rsidRDefault="007F47F0" w:rsidP="0087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6D926" w14:textId="77777777" w:rsidR="007F47F0" w:rsidRDefault="007F47F0" w:rsidP="00876115">
      <w:pPr>
        <w:spacing w:after="0" w:line="240" w:lineRule="auto"/>
      </w:pPr>
      <w:r>
        <w:separator/>
      </w:r>
    </w:p>
  </w:footnote>
  <w:footnote w:type="continuationSeparator" w:id="0">
    <w:p w14:paraId="619C1BB9" w14:textId="77777777" w:rsidR="007F47F0" w:rsidRDefault="007F47F0" w:rsidP="00876115">
      <w:pPr>
        <w:spacing w:after="0" w:line="240" w:lineRule="auto"/>
      </w:pPr>
      <w:r>
        <w:continuationSeparator/>
      </w:r>
    </w:p>
  </w:footnote>
  <w:footnote w:id="1">
    <w:p w14:paraId="41CA35D7" w14:textId="77777777" w:rsidR="00876115" w:rsidRDefault="00876115" w:rsidP="00876115">
      <w:pPr>
        <w:spacing w:after="0" w:line="240" w:lineRule="auto"/>
        <w:rPr>
          <w:rFonts w:asciiTheme="majorHAnsi" w:hAnsiTheme="majorHAnsi" w:cstheme="majorHAnsi"/>
          <w: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Format developed to be consistent with PATH’s </w:t>
      </w:r>
      <w:r>
        <w:rPr>
          <w:rFonts w:asciiTheme="majorHAnsi" w:hAnsiTheme="majorHAnsi" w:cstheme="majorHAnsi"/>
          <w:i/>
          <w:sz w:val="16"/>
          <w:szCs w:val="16"/>
        </w:rPr>
        <w:t xml:space="preserve">Micronutrient Surveillance Diagnostic: Product Development Road Map Document; Target product profile for adding Folate, Vitamin B-12, and Vitamin D to an existing, commercially available micronutrient assessment tool. </w:t>
      </w:r>
      <w:r>
        <w:rPr>
          <w:rFonts w:asciiTheme="majorHAnsi" w:hAnsiTheme="majorHAnsi" w:cstheme="majorHAnsi"/>
          <w:sz w:val="16"/>
          <w:szCs w:val="16"/>
        </w:rPr>
        <w:t>(2017).</w:t>
      </w:r>
    </w:p>
  </w:footnote>
  <w:footnote w:id="2">
    <w:p w14:paraId="05805220" w14:textId="77777777" w:rsidR="00876115" w:rsidRDefault="00876115" w:rsidP="00876115">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Minimal should be considered as a potential go/no-go decision point.</w:t>
      </w:r>
    </w:p>
  </w:footnote>
  <w:footnote w:id="3">
    <w:p w14:paraId="26DB4103" w14:textId="77777777" w:rsidR="00876115" w:rsidRDefault="00876115" w:rsidP="00876115">
      <w:pPr>
        <w:pStyle w:val="FootnoteText"/>
        <w:rPr>
          <w:rFonts w:asciiTheme="majorHAnsi" w:hAnsiTheme="majorHAnsi" w:cstheme="majorHAnsi"/>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Optimistic should reflect what is needed to achieve broader, deeper, quicker global health </w:t>
      </w:r>
      <w:proofErr w:type="gramStart"/>
      <w:r>
        <w:rPr>
          <w:rFonts w:asciiTheme="majorHAnsi" w:hAnsiTheme="majorHAnsi" w:cstheme="majorHAnsi"/>
          <w:sz w:val="16"/>
          <w:szCs w:val="16"/>
        </w:rPr>
        <w:t>impact;</w:t>
      </w:r>
      <w:proofErr w:type="gramEnd"/>
      <w:r>
        <w:rPr>
          <w:rFonts w:asciiTheme="majorHAnsi" w:hAnsiTheme="majorHAnsi" w:cstheme="majorHAnsi"/>
          <w:sz w:val="16"/>
          <w:szCs w:val="16"/>
        </w:rPr>
        <w:t xml:space="preserve"> not only additional or different features than minimum.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15"/>
    <w:rsid w:val="00022199"/>
    <w:rsid w:val="00046A90"/>
    <w:rsid w:val="00084D51"/>
    <w:rsid w:val="00115330"/>
    <w:rsid w:val="001321A2"/>
    <w:rsid w:val="001F0BF4"/>
    <w:rsid w:val="001F7F08"/>
    <w:rsid w:val="002006FA"/>
    <w:rsid w:val="00211C34"/>
    <w:rsid w:val="0023114A"/>
    <w:rsid w:val="002D6D42"/>
    <w:rsid w:val="00370F77"/>
    <w:rsid w:val="00471E3D"/>
    <w:rsid w:val="004753ED"/>
    <w:rsid w:val="005F6618"/>
    <w:rsid w:val="00656415"/>
    <w:rsid w:val="00691BC7"/>
    <w:rsid w:val="006D1FBC"/>
    <w:rsid w:val="006E5D8A"/>
    <w:rsid w:val="007714F6"/>
    <w:rsid w:val="007F47F0"/>
    <w:rsid w:val="008377CF"/>
    <w:rsid w:val="00851ED2"/>
    <w:rsid w:val="00876115"/>
    <w:rsid w:val="00926057"/>
    <w:rsid w:val="00962ABC"/>
    <w:rsid w:val="00A13ACF"/>
    <w:rsid w:val="00A42EBB"/>
    <w:rsid w:val="00A803C8"/>
    <w:rsid w:val="00A93A88"/>
    <w:rsid w:val="00AB7C30"/>
    <w:rsid w:val="00BF0765"/>
    <w:rsid w:val="00C40CBD"/>
    <w:rsid w:val="00C625B4"/>
    <w:rsid w:val="00C96354"/>
    <w:rsid w:val="00E729FB"/>
    <w:rsid w:val="00EC3CE7"/>
    <w:rsid w:val="00EE5142"/>
    <w:rsid w:val="00EF213B"/>
    <w:rsid w:val="00F12420"/>
    <w:rsid w:val="00F3641E"/>
    <w:rsid w:val="00F750EA"/>
    <w:rsid w:val="00FD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B6EB7"/>
  <w15:chartTrackingRefBased/>
  <w15:docId w15:val="{CE02857D-BE4C-2946-B378-F88ABAE8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Calibri (Body)"/>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15"/>
    <w:pPr>
      <w:spacing w:after="160" w:line="259" w:lineRule="auto"/>
    </w:pPr>
    <w:rPr>
      <w:rFonts w:cstheme="minorBidi"/>
    </w:rPr>
  </w:style>
  <w:style w:type="paragraph" w:styleId="Heading1">
    <w:name w:val="heading 1"/>
    <w:basedOn w:val="Normal"/>
    <w:next w:val="Normal"/>
    <w:link w:val="Heading1Char"/>
    <w:uiPriority w:val="9"/>
    <w:qFormat/>
    <w:rsid w:val="00876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115"/>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876115"/>
  </w:style>
  <w:style w:type="paragraph" w:styleId="FootnoteText">
    <w:name w:val="footnote text"/>
    <w:basedOn w:val="Normal"/>
    <w:link w:val="FootnoteTextChar"/>
    <w:uiPriority w:val="99"/>
    <w:semiHidden/>
    <w:unhideWhenUsed/>
    <w:rsid w:val="008761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115"/>
    <w:rPr>
      <w:rFonts w:cstheme="minorBidi"/>
      <w:sz w:val="20"/>
      <w:szCs w:val="20"/>
    </w:rPr>
  </w:style>
  <w:style w:type="character" w:styleId="FootnoteReference">
    <w:name w:val="footnote reference"/>
    <w:basedOn w:val="DefaultParagraphFont"/>
    <w:uiPriority w:val="99"/>
    <w:semiHidden/>
    <w:unhideWhenUsed/>
    <w:rsid w:val="00876115"/>
    <w:rPr>
      <w:vertAlign w:val="superscript"/>
    </w:rPr>
  </w:style>
  <w:style w:type="paragraph" w:styleId="Bibliography">
    <w:name w:val="Bibliography"/>
    <w:basedOn w:val="Normal"/>
    <w:next w:val="Normal"/>
    <w:uiPriority w:val="37"/>
    <w:unhideWhenUsed/>
    <w:rsid w:val="00876115"/>
  </w:style>
  <w:style w:type="paragraph" w:customStyle="1" w:styleId="paragraph">
    <w:name w:val="paragraph"/>
    <w:basedOn w:val="Normal"/>
    <w:rsid w:val="00876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7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PAT17</b:Tag>
    <b:SourceType>Report</b:SourceType>
    <b:Guid>{F9F5E689-D465-4CF1-A7AB-B9F18AE9C679}</b:Guid>
    <b:Title>Micronutrient Surveillance Diagnostic: Product Development Road Map Document; Target product profile for adding Folate, Vitamin B-12, and Vitamin D to an existing, commercially available micronutrient assessment tool</b:Title>
    <b:Year>2017</b:Year>
    <b:Author>
      <b:Author>
        <b:Corporate>PATH</b:Corporate>
      </b:Author>
    </b:Author>
    <b:RefOrder>2</b:RefOrder>
  </b:Source>
  <b:Source>
    <b:Tag>Gar11</b:Tag>
    <b:SourceType>JournalArticle</b:SourceType>
    <b:Guid>{37F9C3D8-5681-4B12-862C-E4EA2FC5E236}</b:Guid>
    <b:Title>Field-friendly techniques for assessment of biomarkers of nutrition for development</b:Title>
    <b:Year>2011</b:Year>
    <b:Author>
      <b:Author>
        <b:NameList>
          <b:Person>
            <b:Last>Garrett</b:Last>
            <b:First>DA</b:First>
          </b:Person>
          <b:Person>
            <b:Last>JK</b:Last>
            <b:First>Sangha</b:First>
          </b:Person>
          <b:Person>
            <b:Last>MT</b:Last>
            <b:First>Kothari</b:First>
          </b:Person>
          <b:Person>
            <b:Last>D</b:Last>
            <b:First>Boyle</b:First>
          </b:Person>
        </b:NameList>
      </b:Author>
    </b:Author>
    <b:JournalName>The American Journal for Clinical Nutrition</b:JournalName>
    <b:Pages>685S-690S</b:Pages>
    <b:Volume>94</b:Volume>
    <b:Issue>2</b:Issue>
    <b:RefOrder>1</b:RefOrder>
  </b:Source>
  <b:Source>
    <b:Tag>BMG18</b:Tag>
    <b:SourceType>Report</b:SourceType>
    <b:Guid>{5C17BCEF-87C7-4BA4-8F45-3B47A219D257}</b:Guid>
    <b:Author>
      <b:Author>
        <b:Corporate>BMGF</b:Corporate>
      </b:Author>
    </b:Author>
    <b:Title>Generic Target Product Profile for Micronutrient Biomarker for Population-Based Surveys</b:Title>
    <b:Year>2018</b:Year>
    <b:RefOrder>3</b:RefOrder>
  </b:Source>
  <b:Source>
    <b:Tag>Dit16</b:Tag>
    <b:SourceType>JournalArticle</b:SourceType>
    <b:Guid>{3C472612-B8C5-4E32-BC10-97F7E5FC549D}</b:Guid>
    <b:Author>
      <b:Author>
        <b:NameList>
          <b:Person>
            <b:Last>Dittrich</b:Last>
            <b:First>S</b:First>
          </b:Person>
          <b:Person>
            <b:Last>Tadesse</b:Last>
            <b:First>BT</b:First>
          </b:Person>
          <b:Person>
            <b:Last>Moussey</b:Last>
            <b:First>F</b:First>
          </b:Person>
          <b:Person>
            <b:Last>Chua</b:Last>
            <b:First>A</b:First>
          </b:Person>
          <b:Person>
            <b:Last>Zorzet</b:Last>
            <b:First>A</b:First>
          </b:Person>
          <b:Person>
            <b:Last>Tangden</b:Last>
            <b:First>T</b:First>
          </b:Person>
          <b:Person>
            <b:Last>Dolinger</b:Last>
            <b:First>DL</b:First>
          </b:Person>
          <b:Person>
            <b:Last>Page</b:Last>
            <b:First>AL</b:First>
          </b:Person>
          <b:Person>
            <b:Last>Crump</b:Last>
            <b:First>JA</b:First>
          </b:Person>
          <b:Person>
            <b:Last>D'Acremont</b:Last>
            <b:First>V</b:First>
          </b:Person>
          <b:Person>
            <b:Last>Quinque</b:Last>
            <b:First>B</b:First>
          </b:Person>
          <b:Person>
            <b:Last>Lubell</b:Last>
            <b:First>Y</b:First>
          </b:Person>
          <b:Person>
            <b:Last>Newton</b:Last>
            <b:First>PN</b:First>
          </b:Person>
          <b:Person>
            <b:Last>Heinrich</b:Last>
            <b:First>N</b:First>
          </b:Person>
          <b:Person>
            <b:Last>Rodwell</b:Last>
            <b:First>TJ</b:First>
          </b:Person>
          <b:Person>
            <b:Last>Gonzalez</b:Last>
            <b:First>IJ</b:First>
          </b:Person>
        </b:NameList>
      </b:Author>
    </b:Author>
    <b:Title>Target Product Profile for a Diagnostic Assay to Differentiate between Bacterial and Non-Bacterial Infections and Reduce Antimicrobial Overuse in Resource-Limited Settings: An Expert Consensus</b:Title>
    <b:Year>2016</b:Year>
    <b:Publisher>PLOS One</b:Publisher>
    <b:JournalName>PLOS One</b:JournalName>
    <b:Volume>11</b:Volume>
    <b:Issue>8</b:Issue>
    <b:RefOrder>4</b:RefOrder>
  </b:Source>
  <b:Source>
    <b:Tag>Erh04</b:Tag>
    <b:SourceType>JournalArticle</b:SourceType>
    <b:Guid>{BC048AC2-A51B-4B91-9465-925EA6BEC4D8}</b:Guid>
    <b:Author>
      <b:Author>
        <b:NameList>
          <b:Person>
            <b:Last>Erhardt</b:Last>
            <b:First>JG</b:First>
          </b:Person>
          <b:Person>
            <b:Last>Estes</b:Last>
            <b:First>JE</b:First>
          </b:Person>
          <b:Person>
            <b:Last>Pfeiffer</b:Last>
            <b:First>CM</b:First>
          </b:Person>
          <b:Person>
            <b:Last>Biesalski</b:Last>
            <b:First>HK</b:First>
          </b:Person>
          <b:Person>
            <b:Last>Craft</b:Last>
            <b:First>NE</b:First>
          </b:Person>
        </b:NameList>
      </b:Author>
    </b:Author>
    <b:Title>Combined Measurement of Ferritin, Soluble Transferrin Receptor, Retinol Binding Protein, and C-Reactive Protein by an Inexpensive, Sensitive, and Simple Sandwich Enzyme-Linked Immunosorbent Assay Technique</b:Title>
    <b:JournalName>Journal of Nutrition</b:JournalName>
    <b:Year>2004</b:Year>
    <b:Pages>3127-3132</b:Pages>
    <b:Issue>134</b:Issue>
    <b:RefOrder>5</b:RefOrder>
  </b:Source>
  <b:Source>
    <b:Tag>OIE13</b:Tag>
    <b:SourceType>InternetSite</b:SourceType>
    <b:Guid>{8691AF9A-CE91-4BBE-A1D2-FDE5F51260E1}</b:Guid>
    <b:Title>Validation Guidelines</b:Title>
    <b:Year>2013</b:Year>
    <b:Author>
      <b:Author>
        <b:NameList>
          <b:Person>
            <b:Last>OIE</b:Last>
          </b:Person>
        </b:NameList>
      </b:Author>
    </b:Author>
    <b:URL>http://www.oie.int/fileadmin/Home/eng/Health_standards/aahm/current/chapitre_validation_diagnostics_assays.pdf</b:URL>
    <b:YearAccessed>2019</b:YearAccessed>
    <b:MonthAccessed>April</b:MonthAccessed>
    <b:DayAccessed>8</b:DayAccessed>
    <b:RefOrder>6</b:RefOrder>
  </b:Source>
  <b:Source>
    <b:Tag>BMG16</b:Tag>
    <b:SourceType>Report</b:SourceType>
    <b:Guid>{99291FF2-B69B-4091-B62F-FBA4DFCAD43C}</b:Guid>
    <b:Title>Diagnostics Assay/Instrument - Target Product Profile: Serum Bilirubin Monitor and Non-invasive Bilirubin Monitor</b:Title>
    <b:Year>2016</b:Year>
    <b:Author>
      <b:Author>
        <b:Corporate>BMGF</b:Corporate>
      </b:Author>
    </b:Author>
    <b:RefOrder>7</b:RefOrder>
  </b:Source>
  <b:Source>
    <b:Tag>BMG181</b:Tag>
    <b:SourceType>Report</b:SourceType>
    <b:Guid>{8803441D-CD73-400B-BFDE-06E377A72E64}</b:Guid>
    <b:Author>
      <b:Author>
        <b:Corporate>BMGF</b:Corporate>
      </b:Author>
    </b:Author>
    <b:Title>Biomarkers for micronutrient assessment: Enough to map deficiency around the world?</b:Title>
    <b:Year>2018</b:Year>
    <b:RefOrder>8</b:RefOrder>
  </b:Source>
  <b:Source>
    <b:Tag>Erh02</b:Tag>
    <b:SourceType>JournalArticle</b:SourceType>
    <b:Guid>{D0762B57-4F9B-4DDC-B555-DC1373023252}</b:Guid>
    <b:Title>Rapid and Simple Measurement of Retinol in Human Dried Whole Bood Spots</b:Title>
    <b:Year>2002</b:Year>
    <b:Author>
      <b:Author>
        <b:NameList>
          <b:Person>
            <b:Last>Erhardt</b:Last>
            <b:First>JG</b:First>
          </b:Person>
          <b:Person>
            <b:Last>Craft</b:Last>
            <b:First>NE</b:First>
          </b:Person>
          <b:Person>
            <b:Last>Heinrich</b:Last>
            <b:First>F</b:First>
          </b:Person>
          <b:Person>
            <b:Last>Biesalski</b:Last>
            <b:First>HK</b:First>
          </b:Person>
        </b:NameList>
      </b:Author>
    </b:Author>
    <b:JournalName>Journal of Nutrition</b:JournalName>
    <b:Pages>318-321</b:Pages>
    <b:Issue>132</b:Issue>
    <b:RefOrder>9</b:RefOrder>
  </b:Source>
  <b:Source>
    <b:Tag>Bri14</b:Tag>
    <b:SourceType>Report</b:SourceType>
    <b:Guid>{E8620B8E-B07E-4F76-B4FC-162EB6E77E9E}</b:Guid>
    <b:Author>
      <b:Author>
        <b:NameList>
          <b:Person>
            <b:Last>Brindle</b:Last>
            <b:First>Eleanor</b:First>
          </b:Person>
        </b:NameList>
      </b:Author>
    </b:Author>
    <b:Title>Biomarkers for Vitamins and Minerals</b:Title>
    <b:Year>2014</b:Year>
    <b:Department>Center for Studies in Demography and Ecology</b:Department>
    <b:Institution>University of Washington</b:Institution>
    <b:RefOrder>10</b:RefOrder>
  </b:Source>
</b:Sources>
</file>

<file path=customXml/itemProps1.xml><?xml version="1.0" encoding="utf-8"?>
<ds:datastoreItem xmlns:ds="http://schemas.openxmlformats.org/officeDocument/2006/customXml" ds:itemID="{384F7838-BC31-9C46-A3A7-4346E606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Baumann</dc:creator>
  <cp:keywords/>
  <dc:description/>
  <cp:lastModifiedBy>Sasha Baumann</cp:lastModifiedBy>
  <cp:revision>1</cp:revision>
  <dcterms:created xsi:type="dcterms:W3CDTF">2021-05-10T20:14:00Z</dcterms:created>
  <dcterms:modified xsi:type="dcterms:W3CDTF">2021-05-10T20:14:00Z</dcterms:modified>
</cp:coreProperties>
</file>