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D00" w:rsidRPr="00BA4EC6" w:rsidRDefault="00192D00" w:rsidP="00192D00">
      <w:pPr>
        <w:jc w:val="left"/>
        <w:rPr>
          <w:rFonts w:ascii="Calibri" w:hAnsi="Calibri" w:cs="Calibri"/>
          <w:b/>
          <w:sz w:val="24"/>
        </w:rPr>
      </w:pPr>
      <w:r w:rsidRPr="00BA4EC6">
        <w:rPr>
          <w:rFonts w:ascii="Calibri" w:hAnsi="Calibri" w:cs="Calibri"/>
          <w:b/>
          <w:sz w:val="24"/>
        </w:rPr>
        <w:t>Table S2: Univariate Logistic Regression Analysis for Willingness and Whether Receive to Vaccines in the including subjects</w:t>
      </w:r>
      <w:r w:rsidR="00056BC9">
        <w:rPr>
          <w:rFonts w:ascii="Calibri" w:hAnsi="Calibri" w:cs="Calibri"/>
          <w:b/>
          <w:sz w:val="24"/>
        </w:rPr>
        <w:t>.</w:t>
      </w:r>
      <w:bookmarkStart w:id="0" w:name="_GoBack"/>
      <w:bookmarkEnd w:id="0"/>
    </w:p>
    <w:tbl>
      <w:tblPr>
        <w:tblStyle w:val="12"/>
        <w:tblW w:w="6493" w:type="pct"/>
        <w:jc w:val="center"/>
        <w:tblLayout w:type="fixed"/>
        <w:tblLook w:val="04A0" w:firstRow="1" w:lastRow="0" w:firstColumn="1" w:lastColumn="0" w:noHBand="0" w:noVBand="1"/>
      </w:tblPr>
      <w:tblGrid>
        <w:gridCol w:w="286"/>
        <w:gridCol w:w="3693"/>
        <w:gridCol w:w="994"/>
        <w:gridCol w:w="1419"/>
        <w:gridCol w:w="992"/>
        <w:gridCol w:w="852"/>
        <w:gridCol w:w="1480"/>
        <w:gridCol w:w="1070"/>
      </w:tblGrid>
      <w:tr w:rsidR="00192D00" w:rsidRPr="00BA4EC6" w:rsidTr="00615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gridSpan w:val="2"/>
            <w:vMerge w:val="restart"/>
            <w:tcBorders>
              <w:top w:val="single" w:sz="4" w:space="0" w:color="666666"/>
              <w:bottom w:val="none" w:sz="0" w:space="0" w:color="auto"/>
            </w:tcBorders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rPr>
                <w:rFonts w:ascii="Calibri" w:eastAsia="宋体" w:hAnsi="Calibri" w:cs="Calibri"/>
                <w:b w:val="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b w:val="0"/>
                <w:color w:val="000000"/>
                <w:kern w:val="0"/>
                <w:sz w:val="24"/>
              </w:rPr>
              <w:t>Item</w:t>
            </w:r>
          </w:p>
        </w:tc>
        <w:tc>
          <w:tcPr>
            <w:tcW w:w="1578" w:type="pct"/>
            <w:gridSpan w:val="3"/>
            <w:tcBorders>
              <w:top w:val="single" w:sz="4" w:space="0" w:color="666666"/>
              <w:bottom w:val="single" w:sz="4" w:space="0" w:color="666666"/>
            </w:tcBorders>
            <w:shd w:val="clear" w:color="auto" w:fill="auto"/>
            <w:vAlign w:val="center"/>
          </w:tcPr>
          <w:p w:rsidR="00192D00" w:rsidRPr="00BA4EC6" w:rsidRDefault="00192D00" w:rsidP="006159C2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b w:val="0"/>
                <w:bCs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b w:val="0"/>
                <w:color w:val="000000"/>
                <w:kern w:val="0"/>
                <w:sz w:val="24"/>
              </w:rPr>
              <w:t>willingness to receive vaccine</w:t>
            </w:r>
          </w:p>
        </w:tc>
        <w:tc>
          <w:tcPr>
            <w:tcW w:w="1578" w:type="pct"/>
            <w:gridSpan w:val="3"/>
            <w:tcBorders>
              <w:top w:val="single" w:sz="4" w:space="0" w:color="666666"/>
              <w:bottom w:val="single" w:sz="4" w:space="0" w:color="666666"/>
            </w:tcBorders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b w:val="0"/>
                <w:bCs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b w:val="0"/>
                <w:color w:val="000000"/>
                <w:kern w:val="0"/>
                <w:sz w:val="24"/>
              </w:rPr>
              <w:t>receive vaccine vs not receive</w:t>
            </w:r>
          </w:p>
        </w:tc>
      </w:tr>
      <w:tr w:rsidR="00192D00" w:rsidRPr="00BA4EC6" w:rsidTr="006159C2">
        <w:trPr>
          <w:trHeight w:val="1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gridSpan w:val="2"/>
            <w:vMerge/>
            <w:tcBorders>
              <w:bottom w:val="single" w:sz="4" w:space="0" w:color="666666"/>
            </w:tcBorders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61" w:type="pct"/>
            <w:tcBorders>
              <w:top w:val="single" w:sz="4" w:space="0" w:color="666666"/>
              <w:bottom w:val="single" w:sz="4" w:space="0" w:color="666666"/>
            </w:tcBorders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OR</w:t>
            </w: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  <w:vertAlign w:val="superscript"/>
              </w:rPr>
              <w:t>a</w:t>
            </w:r>
          </w:p>
        </w:tc>
        <w:tc>
          <w:tcPr>
            <w:tcW w:w="658" w:type="pct"/>
            <w:tcBorders>
              <w:top w:val="single" w:sz="4" w:space="0" w:color="666666"/>
              <w:bottom w:val="single" w:sz="4" w:space="0" w:color="666666"/>
            </w:tcBorders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95%CI</w:t>
            </w:r>
          </w:p>
        </w:tc>
        <w:tc>
          <w:tcPr>
            <w:tcW w:w="460" w:type="pct"/>
            <w:tcBorders>
              <w:top w:val="single" w:sz="4" w:space="0" w:color="666666"/>
              <w:bottom w:val="single" w:sz="4" w:space="0" w:color="666666"/>
            </w:tcBorders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P-value</w:t>
            </w:r>
          </w:p>
        </w:tc>
        <w:tc>
          <w:tcPr>
            <w:tcW w:w="395" w:type="pct"/>
            <w:tcBorders>
              <w:top w:val="single" w:sz="4" w:space="0" w:color="666666"/>
              <w:bottom w:val="single" w:sz="4" w:space="0" w:color="666666"/>
            </w:tcBorders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OR</w:t>
            </w:r>
          </w:p>
        </w:tc>
        <w:tc>
          <w:tcPr>
            <w:tcW w:w="686" w:type="pct"/>
            <w:tcBorders>
              <w:top w:val="single" w:sz="4" w:space="0" w:color="666666"/>
              <w:bottom w:val="single" w:sz="4" w:space="0" w:color="666666"/>
            </w:tcBorders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95%CI</w:t>
            </w:r>
          </w:p>
        </w:tc>
        <w:tc>
          <w:tcPr>
            <w:tcW w:w="497" w:type="pct"/>
            <w:tcBorders>
              <w:top w:val="single" w:sz="4" w:space="0" w:color="666666"/>
            </w:tcBorders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P-value</w:t>
            </w: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666666"/>
            </w:tcBorders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Times New Roman" w:hAnsi="Calibri" w:cs="Calibri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Age</w:t>
            </w: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" w:type="pct"/>
            <w:vMerge w:val="restar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71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&lt;30 (ref</w:t>
            </w: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  <w:vertAlign w:val="superscript"/>
              </w:rPr>
              <w:t>b</w:t>
            </w: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)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1.0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1.0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</w:rPr>
            </w:pP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" w:type="pct"/>
            <w:vMerge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Times New Roman" w:hAnsi="Calibri" w:cs="Calibri"/>
                <w:b w:val="0"/>
                <w:bCs/>
                <w:kern w:val="0"/>
                <w:sz w:val="24"/>
              </w:rPr>
            </w:pPr>
          </w:p>
        </w:tc>
        <w:tc>
          <w:tcPr>
            <w:tcW w:w="171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30-40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1.26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0.91-1.74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0.17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1.23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1.01-1.49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FF0000"/>
                <w:kern w:val="0"/>
                <w:sz w:val="24"/>
              </w:rPr>
              <w:t>0.04</w:t>
            </w: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" w:type="pct"/>
            <w:vMerge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71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40-50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0.99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0.57-1.71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0.97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2.43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1.79-3.30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FF0000"/>
                <w:kern w:val="0"/>
                <w:sz w:val="24"/>
              </w:rPr>
              <w:t>&lt;0.001</w:t>
            </w: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" w:type="pct"/>
            <w:vMerge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71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&gt;50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1.24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0.49-3.15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0.65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2.91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1.78-4.76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FF0000"/>
                <w:kern w:val="0"/>
                <w:sz w:val="24"/>
              </w:rPr>
              <w:t>&lt;0.001</w:t>
            </w: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color w:val="FF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Sex</w:t>
            </w: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171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Male (ref)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1.0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1.0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FF0000"/>
                <w:kern w:val="0"/>
                <w:sz w:val="24"/>
              </w:rPr>
            </w:pP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71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0.88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0.50-1.56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0.67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0.52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0.38-0.71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FF0000"/>
                <w:kern w:val="0"/>
                <w:sz w:val="24"/>
              </w:rPr>
              <w:t>&lt;0.001</w:t>
            </w: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color w:val="FF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Clinical occupation</w:t>
            </w: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171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Clinical Doctor (ref)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1.0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1.0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FF0000"/>
                <w:kern w:val="0"/>
                <w:sz w:val="24"/>
              </w:rPr>
            </w:pP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71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Nurse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0.88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0.53-1.47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0.63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0.47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0.36-0.63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FF0000"/>
                <w:kern w:val="0"/>
                <w:sz w:val="24"/>
              </w:rPr>
              <w:t>&lt;0.001</w:t>
            </w: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Race</w:t>
            </w: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171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Han (ref)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1.0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1.0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71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 xml:space="preserve">Others 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1.63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0.68-3.91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0.27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0.78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0.48-1.27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0.33</w:t>
            </w: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color w:val="FF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Personal religion</w:t>
            </w: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171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No (ref)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1.0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FF0000"/>
                <w:kern w:val="0"/>
                <w:sz w:val="24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1.0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FF0000"/>
                <w:kern w:val="0"/>
                <w:sz w:val="24"/>
              </w:rPr>
            </w:pP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71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Yes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0.72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0.53-0.99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FF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FF0000"/>
                <w:kern w:val="0"/>
                <w:sz w:val="24"/>
              </w:rPr>
              <w:t>0.04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0.60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0.50-0.73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FF0000"/>
                <w:kern w:val="0"/>
                <w:sz w:val="24"/>
              </w:rPr>
              <w:t>&lt;0.001</w:t>
            </w: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Times New Roman" w:hAnsi="Calibri" w:cs="Calibri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Education</w:t>
            </w: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" w:type="pct"/>
            <w:vMerge w:val="restar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71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College or under (ref)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1.0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1.0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</w:rPr>
            </w:pP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" w:type="pct"/>
            <w:vMerge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Times New Roman" w:hAnsi="Calibri" w:cs="Calibri"/>
                <w:b w:val="0"/>
                <w:bCs/>
                <w:kern w:val="0"/>
                <w:sz w:val="24"/>
              </w:rPr>
            </w:pPr>
          </w:p>
        </w:tc>
        <w:tc>
          <w:tcPr>
            <w:tcW w:w="171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Bachelor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1.43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1.05-1.95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FF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FF0000"/>
                <w:kern w:val="0"/>
                <w:sz w:val="24"/>
              </w:rPr>
              <w:t>0.02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1.55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1.29-1.87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FF0000"/>
                <w:kern w:val="0"/>
                <w:sz w:val="24"/>
              </w:rPr>
              <w:t>&lt;0.001</w:t>
            </w: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" w:type="pct"/>
            <w:vMerge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71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Master or above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0.91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0.41-2.05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0.83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1.25-3.18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0.004</w:t>
            </w: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b w:val="0"/>
                <w:bCs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Average monthly income of family, CNY</w:t>
            </w: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  <w:vertAlign w:val="superscript"/>
              </w:rPr>
              <w:t>c</w:t>
            </w: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" w:type="pct"/>
            <w:vMerge w:val="restar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71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≤2000 (ref)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1.0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1.0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</w:rPr>
            </w:pP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" w:type="pct"/>
            <w:vMerge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Times New Roman" w:hAnsi="Calibri" w:cs="Calibri"/>
                <w:b w:val="0"/>
                <w:bCs/>
                <w:kern w:val="0"/>
                <w:sz w:val="24"/>
              </w:rPr>
            </w:pPr>
          </w:p>
        </w:tc>
        <w:tc>
          <w:tcPr>
            <w:tcW w:w="171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2000-4000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1.49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0.77-2.86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0.24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1.36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0.90-2.07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0.14</w:t>
            </w: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" w:type="pct"/>
            <w:vMerge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71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4000-6000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1.47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0.76-2.86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0.26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1.38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0.90-2.10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0.14</w:t>
            </w: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" w:type="pct"/>
            <w:vMerge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71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6000-8000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1.07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0.51-2.26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0.86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1.72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1.08-2.74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FF0000"/>
                <w:kern w:val="0"/>
                <w:sz w:val="24"/>
              </w:rPr>
              <w:t>0.02</w:t>
            </w: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" w:type="pct"/>
            <w:vMerge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71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≥8000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0.82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0.40-1.70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0.59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1.45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0.91-2.30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0.12</w:t>
            </w: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b w:val="0"/>
                <w:bCs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Time of employment</w:t>
            </w: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" w:type="pct"/>
            <w:vMerge w:val="restar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71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≤1 year (ref)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1.0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1.0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</w:rPr>
            </w:pP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" w:type="pct"/>
            <w:vMerge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Times New Roman" w:hAnsi="Calibri" w:cs="Calibri"/>
                <w:b w:val="0"/>
                <w:bCs/>
                <w:kern w:val="0"/>
                <w:sz w:val="24"/>
              </w:rPr>
            </w:pPr>
          </w:p>
        </w:tc>
        <w:tc>
          <w:tcPr>
            <w:tcW w:w="171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1-2 years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0.49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0.22-1.10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0.08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1.62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0.995-2.64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0.05</w:t>
            </w: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" w:type="pct"/>
            <w:vMerge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71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3-5 years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0.819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0.42-1.61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0.56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0.92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0.61-1.39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0.69</w:t>
            </w: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" w:type="pct"/>
            <w:vMerge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71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6-9 years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1.338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0.69-2.61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0.39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0.96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0.64-1.44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0.84</w:t>
            </w: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" w:type="pct"/>
            <w:vMerge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71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≥10 years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0.919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0.49-1.74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0.80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1.71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1.17-2.51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0.006</w:t>
            </w: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color w:val="FF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Work location</w:t>
            </w: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171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Eastern (ref)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1.0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FF0000"/>
                <w:kern w:val="0"/>
                <w:sz w:val="24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1.0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FF0000"/>
                <w:kern w:val="0"/>
                <w:sz w:val="24"/>
              </w:rPr>
            </w:pP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71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Midwest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1.89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1.34-2.67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FF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FF0000"/>
                <w:kern w:val="0"/>
                <w:sz w:val="24"/>
              </w:rPr>
              <w:t>0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1.69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1.40-2.04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FF0000"/>
                <w:kern w:val="0"/>
                <w:sz w:val="24"/>
              </w:rPr>
              <w:t>&lt;0.001</w:t>
            </w: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Risk of location</w:t>
            </w: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171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No (ref)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1.0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1.0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71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Yes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1.60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Inf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Inf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3.50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Inf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0.97</w:t>
            </w: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color w:val="FF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Clinical department</w:t>
            </w: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171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Others (ref)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1.0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1.0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FF0000"/>
                <w:kern w:val="0"/>
                <w:sz w:val="24"/>
              </w:rPr>
            </w:pP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71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Fever clinics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0.56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0.08-4.00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0.56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3.84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1.35-10.94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FF0000"/>
                <w:kern w:val="0"/>
                <w:sz w:val="24"/>
              </w:rPr>
              <w:t>0.01</w:t>
            </w: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b w:val="0"/>
                <w:bCs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 xml:space="preserve">Hospital level </w:t>
            </w: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" w:type="pct"/>
            <w:vMerge w:val="restar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71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County level (ref)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1.0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1.0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</w:rPr>
            </w:pP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" w:type="pct"/>
            <w:vMerge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Times New Roman" w:hAnsi="Calibri" w:cs="Calibri"/>
                <w:b w:val="0"/>
                <w:bCs/>
                <w:kern w:val="0"/>
                <w:sz w:val="24"/>
              </w:rPr>
            </w:pPr>
          </w:p>
        </w:tc>
        <w:tc>
          <w:tcPr>
            <w:tcW w:w="171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Municipal level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1.08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0.58-1.99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0.81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1.91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1.25-2.91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0.003</w:t>
            </w: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" w:type="pct"/>
            <w:vMerge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71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Provincial level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1.34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0.71-2.51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0.36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2.35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1.54-3.59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FF0000"/>
                <w:kern w:val="0"/>
                <w:sz w:val="24"/>
              </w:rPr>
              <w:t>&lt;0.001</w:t>
            </w: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Family history for influenza vaccination</w:t>
            </w: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171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No (ref)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1.0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1.0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FF0000"/>
                <w:kern w:val="0"/>
                <w:sz w:val="24"/>
              </w:rPr>
            </w:pP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71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Yes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1.23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0.83-1.83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0.30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2.13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1.72-2.64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FF0000"/>
                <w:kern w:val="0"/>
                <w:sz w:val="24"/>
              </w:rPr>
              <w:t>&lt;0.001</w:t>
            </w: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Times New Roman" w:hAnsi="Calibri" w:cs="Calibri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Familiarity of COVID-19 vaccine</w:t>
            </w: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  <w:vertAlign w:val="superscript"/>
              </w:rPr>
              <w:t>d</w:t>
            </w: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" w:type="pct"/>
            <w:vMerge w:val="restar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71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Not familiar (ref)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1.0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1.0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</w:rPr>
            </w:pP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" w:type="pct"/>
            <w:vMerge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Times New Roman" w:hAnsi="Calibri" w:cs="Calibri"/>
                <w:b w:val="0"/>
                <w:bCs/>
                <w:kern w:val="0"/>
                <w:sz w:val="24"/>
              </w:rPr>
            </w:pPr>
          </w:p>
        </w:tc>
        <w:tc>
          <w:tcPr>
            <w:tcW w:w="171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 xml:space="preserve">Familiar 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2.03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1.47-2.81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FF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FF0000"/>
                <w:kern w:val="0"/>
                <w:sz w:val="24"/>
              </w:rPr>
              <w:t>&lt;0.001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1.31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1.08-1.60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0.006</w:t>
            </w: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" w:type="pct"/>
            <w:vMerge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71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Strongly familiar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3.13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1.79-5.48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FF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FF0000"/>
                <w:kern w:val="0"/>
                <w:sz w:val="24"/>
              </w:rPr>
              <w:t>&lt;0.001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1.79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1.35-2.39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FF0000"/>
                <w:kern w:val="0"/>
                <w:sz w:val="24"/>
              </w:rPr>
              <w:t>&lt;0.001</w:t>
            </w: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color w:val="FF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Obtained training on vaccine</w:t>
            </w: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171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No (ref)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1.0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FF0000"/>
                <w:kern w:val="0"/>
                <w:sz w:val="24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1.0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FF0000"/>
                <w:kern w:val="0"/>
                <w:sz w:val="24"/>
              </w:rPr>
            </w:pP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71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Yes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1.85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1.26-2.72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FF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FF0000"/>
                <w:kern w:val="0"/>
                <w:sz w:val="24"/>
              </w:rPr>
              <w:t>0.002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1.8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1.40-2.32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FF0000"/>
                <w:kern w:val="0"/>
                <w:sz w:val="24"/>
              </w:rPr>
              <w:t>&lt;0.001</w:t>
            </w: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Confidence on vaccines</w:t>
            </w: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171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Normal (ref)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1.0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FF0000"/>
                <w:kern w:val="0"/>
                <w:sz w:val="24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1.0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71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Strong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4.38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2.48-7.73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FF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FF0000"/>
                <w:kern w:val="0"/>
                <w:sz w:val="24"/>
              </w:rPr>
              <w:t>&lt;0.001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1.57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1.11-2.23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0.01</w:t>
            </w: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color w:val="FF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Health condition</w:t>
            </w: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171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Not well (ref)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1.0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FF0000"/>
                <w:kern w:val="0"/>
                <w:sz w:val="24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1.0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FF0000"/>
                <w:kern w:val="0"/>
                <w:sz w:val="24"/>
              </w:rPr>
            </w:pP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712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Well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2.22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1.45-3.38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FF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FF0000"/>
                <w:kern w:val="0"/>
                <w:sz w:val="24"/>
              </w:rPr>
              <w:t>&lt;0.001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1.85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1.40-2.45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FF0000"/>
                <w:kern w:val="0"/>
                <w:sz w:val="24"/>
              </w:rPr>
              <w:t>&lt;0.001</w:t>
            </w: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gridSpan w:val="2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IHLC</w:t>
            </w: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  <w:vertAlign w:val="superscript"/>
              </w:rPr>
              <w:t>e</w:t>
            </w: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 xml:space="preserve"> (continuous)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1.03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1.004-1.06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FF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FF0000"/>
                <w:kern w:val="0"/>
                <w:sz w:val="24"/>
              </w:rPr>
              <w:t>0.03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1.01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0.99-1.03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0.35</w:t>
            </w: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gridSpan w:val="2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PHLC</w:t>
            </w: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  <w:vertAlign w:val="superscript"/>
              </w:rPr>
              <w:t>f</w:t>
            </w: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 xml:space="preserve"> (continuous)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1.09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1.05-1.12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FF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FF0000"/>
                <w:kern w:val="0"/>
                <w:sz w:val="24"/>
              </w:rPr>
              <w:t>&lt;0.001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1.01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0.99-1.03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0.20</w:t>
            </w:r>
          </w:p>
        </w:tc>
      </w:tr>
      <w:tr w:rsidR="00192D00" w:rsidRPr="00BA4EC6" w:rsidTr="006159C2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gridSpan w:val="2"/>
            <w:tcBorders>
              <w:bottom w:val="single" w:sz="4" w:space="0" w:color="666666"/>
            </w:tcBorders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CHLC</w:t>
            </w: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  <w:vertAlign w:val="superscript"/>
              </w:rPr>
              <w:t>g</w:t>
            </w: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 xml:space="preserve"> (continuous)</w:t>
            </w:r>
          </w:p>
        </w:tc>
        <w:tc>
          <w:tcPr>
            <w:tcW w:w="461" w:type="pct"/>
            <w:tcBorders>
              <w:bottom w:val="single" w:sz="4" w:space="0" w:color="666666"/>
            </w:tcBorders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0.999</w:t>
            </w:r>
          </w:p>
        </w:tc>
        <w:tc>
          <w:tcPr>
            <w:tcW w:w="658" w:type="pct"/>
            <w:tcBorders>
              <w:bottom w:val="single" w:sz="4" w:space="0" w:color="666666"/>
            </w:tcBorders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0.97-1.02</w:t>
            </w:r>
          </w:p>
        </w:tc>
        <w:tc>
          <w:tcPr>
            <w:tcW w:w="460" w:type="pct"/>
            <w:tcBorders>
              <w:bottom w:val="single" w:sz="4" w:space="0" w:color="666666"/>
            </w:tcBorders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0.94</w:t>
            </w:r>
          </w:p>
        </w:tc>
        <w:tc>
          <w:tcPr>
            <w:tcW w:w="395" w:type="pct"/>
            <w:tcBorders>
              <w:bottom w:val="single" w:sz="4" w:space="0" w:color="666666"/>
            </w:tcBorders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0.98</w:t>
            </w:r>
          </w:p>
        </w:tc>
        <w:tc>
          <w:tcPr>
            <w:tcW w:w="686" w:type="pct"/>
            <w:tcBorders>
              <w:bottom w:val="single" w:sz="4" w:space="0" w:color="666666"/>
            </w:tcBorders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0.96-0.995</w:t>
            </w:r>
          </w:p>
        </w:tc>
        <w:tc>
          <w:tcPr>
            <w:tcW w:w="497" w:type="pct"/>
            <w:tcBorders>
              <w:bottom w:val="single" w:sz="4" w:space="0" w:color="666666"/>
            </w:tcBorders>
            <w:shd w:val="clear" w:color="auto" w:fill="auto"/>
            <w:noWrap/>
            <w:vAlign w:val="center"/>
          </w:tcPr>
          <w:p w:rsidR="00192D00" w:rsidRPr="00BA4EC6" w:rsidRDefault="00192D00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BA4EC6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0.02</w:t>
            </w:r>
          </w:p>
        </w:tc>
      </w:tr>
    </w:tbl>
    <w:p w:rsidR="00192D00" w:rsidRPr="00BA4EC6" w:rsidRDefault="00192D00" w:rsidP="00192D00">
      <w:pPr>
        <w:rPr>
          <w:rFonts w:ascii="Calibri" w:hAnsi="Calibri" w:cs="Calibri"/>
          <w:sz w:val="24"/>
        </w:rPr>
      </w:pPr>
      <w:r w:rsidRPr="00BA4EC6">
        <w:rPr>
          <w:rFonts w:ascii="Calibri" w:hAnsi="Calibri" w:cs="Calibri"/>
          <w:sz w:val="24"/>
          <w:vertAlign w:val="superscript"/>
        </w:rPr>
        <w:t>a</w:t>
      </w:r>
      <w:r w:rsidRPr="00BA4EC6">
        <w:rPr>
          <w:rFonts w:ascii="Calibri" w:hAnsi="Calibri" w:cs="Calibri"/>
          <w:sz w:val="24"/>
        </w:rPr>
        <w:t>OR: odds ratio.</w:t>
      </w:r>
    </w:p>
    <w:p w:rsidR="00192D00" w:rsidRPr="00BA4EC6" w:rsidRDefault="00192D00" w:rsidP="00192D00">
      <w:pPr>
        <w:rPr>
          <w:rFonts w:ascii="Calibri" w:hAnsi="Calibri" w:cs="Calibri"/>
          <w:sz w:val="24"/>
        </w:rPr>
      </w:pPr>
      <w:r w:rsidRPr="00BA4EC6">
        <w:rPr>
          <w:rFonts w:ascii="Calibri" w:hAnsi="Calibri" w:cs="Calibri"/>
          <w:sz w:val="24"/>
          <w:vertAlign w:val="superscript"/>
        </w:rPr>
        <w:t>b</w:t>
      </w:r>
      <w:r w:rsidRPr="00BA4EC6">
        <w:rPr>
          <w:rFonts w:ascii="Calibri" w:hAnsi="Calibri" w:cs="Calibri"/>
          <w:sz w:val="24"/>
        </w:rPr>
        <w:t>ref: reference.</w:t>
      </w:r>
    </w:p>
    <w:p w:rsidR="00192D00" w:rsidRPr="00BA4EC6" w:rsidRDefault="00192D00" w:rsidP="00192D00">
      <w:pPr>
        <w:rPr>
          <w:rFonts w:ascii="Calibri" w:hAnsi="Calibri" w:cs="Calibri"/>
          <w:iCs/>
          <w:sz w:val="24"/>
        </w:rPr>
      </w:pPr>
      <w:r w:rsidRPr="00BA4EC6">
        <w:rPr>
          <w:rFonts w:ascii="Calibri" w:hAnsi="Calibri" w:cs="Calibri"/>
          <w:iCs/>
          <w:sz w:val="24"/>
          <w:vertAlign w:val="superscript"/>
        </w:rPr>
        <w:t>c</w:t>
      </w:r>
      <w:r w:rsidRPr="00BA4EC6">
        <w:rPr>
          <w:rFonts w:ascii="Calibri" w:hAnsi="Calibri" w:cs="Calibri"/>
          <w:iCs/>
          <w:sz w:val="24"/>
        </w:rPr>
        <w:t>CNY: Chinese Yuan.</w:t>
      </w:r>
    </w:p>
    <w:p w:rsidR="00192D00" w:rsidRPr="00BA4EC6" w:rsidRDefault="00192D00" w:rsidP="00192D00">
      <w:pPr>
        <w:rPr>
          <w:rFonts w:ascii="Calibri" w:hAnsi="Calibri" w:cs="Calibri"/>
          <w:iCs/>
          <w:sz w:val="24"/>
        </w:rPr>
      </w:pPr>
      <w:r w:rsidRPr="00BA4EC6">
        <w:rPr>
          <w:rFonts w:ascii="Calibri" w:hAnsi="Calibri" w:cs="Calibri"/>
          <w:iCs/>
          <w:sz w:val="24"/>
          <w:vertAlign w:val="superscript"/>
        </w:rPr>
        <w:t>d</w:t>
      </w:r>
      <w:r w:rsidRPr="00BA4EC6">
        <w:rPr>
          <w:rFonts w:ascii="Calibri" w:hAnsi="Calibri" w:cs="Calibri"/>
          <w:iCs/>
          <w:sz w:val="24"/>
        </w:rPr>
        <w:t>Items merged for this variable. “Not familiar” refers to people who have limited or no knowledge on vaccine; “familiar” refers to people who have general knowledge on vaccine; “Strongly familiar” refers to people who have comprehensive or sufficient knowledge on vaccine.</w:t>
      </w:r>
    </w:p>
    <w:p w:rsidR="00192D00" w:rsidRPr="00BA4EC6" w:rsidRDefault="00192D00" w:rsidP="00192D00">
      <w:pPr>
        <w:rPr>
          <w:rFonts w:ascii="Calibri" w:hAnsi="Calibri" w:cs="Calibri"/>
          <w:iCs/>
          <w:sz w:val="24"/>
        </w:rPr>
      </w:pPr>
      <w:r w:rsidRPr="00BA4EC6">
        <w:rPr>
          <w:rFonts w:ascii="Calibri" w:hAnsi="Calibri" w:cs="Calibri"/>
          <w:iCs/>
          <w:sz w:val="24"/>
          <w:vertAlign w:val="superscript"/>
        </w:rPr>
        <w:t>e</w:t>
      </w:r>
      <w:r w:rsidRPr="00BA4EC6">
        <w:rPr>
          <w:rFonts w:ascii="Calibri" w:hAnsi="Calibri" w:cs="Calibri"/>
          <w:iCs/>
          <w:sz w:val="24"/>
        </w:rPr>
        <w:t>IHLC: internal health locus of control.</w:t>
      </w:r>
    </w:p>
    <w:p w:rsidR="00192D00" w:rsidRPr="00BA4EC6" w:rsidRDefault="00192D00" w:rsidP="00192D00">
      <w:pPr>
        <w:rPr>
          <w:rFonts w:ascii="Calibri" w:hAnsi="Calibri" w:cs="Calibri"/>
          <w:iCs/>
          <w:sz w:val="24"/>
        </w:rPr>
      </w:pPr>
      <w:r w:rsidRPr="00BA4EC6">
        <w:rPr>
          <w:rFonts w:ascii="Calibri" w:hAnsi="Calibri" w:cs="Calibri"/>
          <w:iCs/>
          <w:sz w:val="24"/>
          <w:vertAlign w:val="superscript"/>
        </w:rPr>
        <w:t>f</w:t>
      </w:r>
      <w:r w:rsidRPr="00BA4EC6">
        <w:rPr>
          <w:rFonts w:ascii="Calibri" w:hAnsi="Calibri" w:cs="Calibri"/>
          <w:iCs/>
          <w:sz w:val="24"/>
        </w:rPr>
        <w:t>PHLC: powerful others’ health locus of control.</w:t>
      </w:r>
    </w:p>
    <w:p w:rsidR="00192D00" w:rsidRPr="00BA4EC6" w:rsidRDefault="00192D00" w:rsidP="00192D00">
      <w:pPr>
        <w:rPr>
          <w:rFonts w:ascii="Calibri" w:hAnsi="Calibri" w:cs="Calibri"/>
          <w:iCs/>
          <w:sz w:val="24"/>
        </w:rPr>
      </w:pPr>
      <w:r w:rsidRPr="00BA4EC6">
        <w:rPr>
          <w:rFonts w:ascii="Calibri" w:hAnsi="Calibri" w:cs="Calibri"/>
          <w:iCs/>
          <w:sz w:val="24"/>
          <w:vertAlign w:val="superscript"/>
        </w:rPr>
        <w:t>g</w:t>
      </w:r>
      <w:r w:rsidRPr="00BA4EC6">
        <w:rPr>
          <w:rFonts w:ascii="Calibri" w:hAnsi="Calibri" w:cs="Calibri"/>
          <w:iCs/>
          <w:sz w:val="24"/>
        </w:rPr>
        <w:t>CHLC: chance health locus of control.</w:t>
      </w:r>
    </w:p>
    <w:p w:rsidR="00192D00" w:rsidRPr="00BA4EC6" w:rsidRDefault="00192D00" w:rsidP="00192D00">
      <w:pPr>
        <w:rPr>
          <w:rFonts w:ascii="Calibri" w:hAnsi="Calibri" w:cs="Calibri"/>
          <w:b/>
          <w:sz w:val="24"/>
        </w:rPr>
      </w:pPr>
    </w:p>
    <w:p w:rsidR="00AA2E4A" w:rsidRPr="00BA4EC6" w:rsidRDefault="00AA2E4A" w:rsidP="00192D00">
      <w:pPr>
        <w:rPr>
          <w:rFonts w:ascii="Calibri" w:hAnsi="Calibri" w:cs="Calibri"/>
          <w:sz w:val="24"/>
        </w:rPr>
      </w:pPr>
    </w:p>
    <w:sectPr w:rsidR="00AA2E4A" w:rsidRPr="00BA4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61F" w:rsidRDefault="00BE061F" w:rsidP="00192D00">
      <w:r>
        <w:separator/>
      </w:r>
    </w:p>
  </w:endnote>
  <w:endnote w:type="continuationSeparator" w:id="0">
    <w:p w:rsidR="00BE061F" w:rsidRDefault="00BE061F" w:rsidP="0019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61F" w:rsidRDefault="00BE061F" w:rsidP="00192D00">
      <w:r>
        <w:separator/>
      </w:r>
    </w:p>
  </w:footnote>
  <w:footnote w:type="continuationSeparator" w:id="0">
    <w:p w:rsidR="00BE061F" w:rsidRDefault="00BE061F" w:rsidP="00192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50"/>
    <w:rsid w:val="00056BC9"/>
    <w:rsid w:val="00192D00"/>
    <w:rsid w:val="003050E6"/>
    <w:rsid w:val="00933350"/>
    <w:rsid w:val="00AA2E4A"/>
    <w:rsid w:val="00BA4EC6"/>
    <w:rsid w:val="00BA6A7B"/>
    <w:rsid w:val="00BE061F"/>
    <w:rsid w:val="00ED0580"/>
    <w:rsid w:val="00FA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DA422"/>
  <w15:chartTrackingRefBased/>
  <w15:docId w15:val="{D04A04C6-DB9A-443D-954D-53BCEB3D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bCs/>
        <w:color w:val="000000" w:themeColor="text1"/>
        <w:sz w:val="24"/>
        <w:szCs w:val="30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D00"/>
    <w:pPr>
      <w:widowControl w:val="0"/>
      <w:spacing w:line="240" w:lineRule="auto"/>
    </w:pPr>
    <w:rPr>
      <w:rFonts w:asciiTheme="minorHAnsi" w:eastAsiaTheme="minorEastAsia" w:hAnsiTheme="minorHAnsi" w:cstheme="minorBidi"/>
      <w:bCs w:val="0"/>
      <w:color w:val="aut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D00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bCs/>
      <w:color w:val="000000" w:themeColor="text1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2D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2D00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bCs/>
      <w:color w:val="000000" w:themeColor="text1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2D00"/>
    <w:rPr>
      <w:sz w:val="18"/>
      <w:szCs w:val="18"/>
    </w:rPr>
  </w:style>
  <w:style w:type="table" w:customStyle="1" w:styleId="12">
    <w:name w:val="清单表 1 浅色2"/>
    <w:basedOn w:val="a1"/>
    <w:uiPriority w:val="46"/>
    <w:qFormat/>
    <w:rsid w:val="00192D00"/>
    <w:pPr>
      <w:spacing w:line="240" w:lineRule="auto"/>
      <w:jc w:val="left"/>
    </w:pPr>
    <w:rPr>
      <w:rFonts w:asciiTheme="minorHAnsi" w:eastAsiaTheme="minorEastAsia" w:hAnsiTheme="minorHAnsi" w:cstheme="minorBidi"/>
      <w:bCs w:val="0"/>
      <w:color w:val="auto"/>
      <w:sz w:val="20"/>
      <w:szCs w:val="20"/>
    </w:rPr>
    <w:tblPr/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任子扬</dc:creator>
  <cp:keywords/>
  <dc:description/>
  <cp:lastModifiedBy>任子扬</cp:lastModifiedBy>
  <cp:revision>6</cp:revision>
  <dcterms:created xsi:type="dcterms:W3CDTF">2021-05-01T11:54:00Z</dcterms:created>
  <dcterms:modified xsi:type="dcterms:W3CDTF">2021-05-01T15:15:00Z</dcterms:modified>
</cp:coreProperties>
</file>