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FF4" w:rsidRPr="00D91CF8" w:rsidRDefault="00C84FF4" w:rsidP="00C84FF4">
      <w:pPr>
        <w:rPr>
          <w:rFonts w:ascii="Calibri" w:hAnsi="Calibri" w:cs="Calibri" w:hint="eastAsia"/>
          <w:sz w:val="24"/>
        </w:rPr>
      </w:pPr>
      <w:r w:rsidRPr="00594599">
        <w:rPr>
          <w:rFonts w:ascii="Calibri" w:hAnsi="Calibri" w:cs="Calibri"/>
          <w:b/>
          <w:bCs/>
          <w:iCs/>
          <w:sz w:val="24"/>
        </w:rPr>
        <w:t>Table S1: The comparisons in different groups of Willingness and Receiving of vaccines in population</w:t>
      </w:r>
      <w:r w:rsidR="00D91CF8">
        <w:rPr>
          <w:rFonts w:ascii="Calibri" w:hAnsi="Calibri" w:cs="Calibri"/>
          <w:b/>
          <w:bCs/>
          <w:iCs/>
          <w:sz w:val="24"/>
        </w:rPr>
        <w:t>.</w:t>
      </w:r>
      <w:bookmarkStart w:id="0" w:name="_GoBack"/>
      <w:bookmarkEnd w:id="0"/>
    </w:p>
    <w:tbl>
      <w:tblPr>
        <w:tblStyle w:val="112"/>
        <w:tblW w:w="6920" w:type="pct"/>
        <w:tblInd w:w="-1706" w:type="dxa"/>
        <w:tblLayout w:type="fixed"/>
        <w:tblLook w:val="04A0" w:firstRow="1" w:lastRow="0" w:firstColumn="1" w:lastColumn="0" w:noHBand="0" w:noVBand="1"/>
      </w:tblPr>
      <w:tblGrid>
        <w:gridCol w:w="279"/>
        <w:gridCol w:w="1708"/>
        <w:gridCol w:w="1419"/>
        <w:gridCol w:w="1276"/>
        <w:gridCol w:w="853"/>
        <w:gridCol w:w="993"/>
        <w:gridCol w:w="993"/>
        <w:gridCol w:w="993"/>
        <w:gridCol w:w="1136"/>
        <w:gridCol w:w="1138"/>
        <w:gridCol w:w="708"/>
      </w:tblGrid>
      <w:tr w:rsidR="00C84FF4" w:rsidRPr="00594599" w:rsidTr="00EF1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gridSpan w:val="2"/>
            <w:vMerge w:val="restart"/>
            <w:tcBorders>
              <w:top w:val="single" w:sz="4" w:space="0" w:color="666666"/>
            </w:tcBorders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Characteristic and category</w:t>
            </w:r>
          </w:p>
        </w:tc>
        <w:tc>
          <w:tcPr>
            <w:tcW w:w="617" w:type="pct"/>
            <w:vMerge w:val="restart"/>
            <w:tcBorders>
              <w:top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Receive Vaccine(n=1433)</w:t>
            </w:r>
          </w:p>
        </w:tc>
        <w:tc>
          <w:tcPr>
            <w:tcW w:w="555" w:type="pct"/>
            <w:vMerge w:val="restart"/>
            <w:tcBorders>
              <w:top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Not Receive Vaccine(n=723)</w:t>
            </w:r>
          </w:p>
        </w:tc>
        <w:tc>
          <w:tcPr>
            <w:tcW w:w="371" w:type="pct"/>
            <w:vMerge w:val="restart"/>
            <w:tcBorders>
              <w:top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 w:val="0"/>
                <w:i/>
                <w:iCs/>
                <w:color w:val="000000"/>
                <w:kern w:val="0"/>
                <w:sz w:val="24"/>
              </w:rPr>
              <w:t>P1</w:t>
            </w:r>
          </w:p>
        </w:tc>
        <w:tc>
          <w:tcPr>
            <w:tcW w:w="2285" w:type="pct"/>
            <w:gridSpan w:val="5"/>
            <w:tcBorders>
              <w:top w:val="single" w:sz="4" w:space="0" w:color="666666"/>
            </w:tcBorders>
          </w:tcPr>
          <w:p w:rsidR="00C84FF4" w:rsidRPr="00594599" w:rsidRDefault="00C84FF4" w:rsidP="006159C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  <w:t>Willingness to receive vaccine</w:t>
            </w:r>
          </w:p>
        </w:tc>
        <w:tc>
          <w:tcPr>
            <w:tcW w:w="308" w:type="pct"/>
            <w:vMerge w:val="restart"/>
            <w:tcBorders>
              <w:top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 w:val="0"/>
                <w:i/>
                <w:iCs/>
                <w:color w:val="000000"/>
                <w:kern w:val="0"/>
                <w:sz w:val="24"/>
              </w:rPr>
              <w:t>P2</w:t>
            </w:r>
          </w:p>
        </w:tc>
      </w:tr>
      <w:tr w:rsidR="00C84FF4" w:rsidRPr="00594599" w:rsidTr="006159C2">
        <w:trPr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gridSpan w:val="2"/>
            <w:vMerge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617" w:type="pct"/>
            <w:vMerge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555" w:type="pct"/>
            <w:vMerge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vMerge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Cs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Strong Willingness(n=228)</w:t>
            </w:r>
          </w:p>
        </w:tc>
        <w:tc>
          <w:tcPr>
            <w:tcW w:w="432" w:type="pct"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Cs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Relative Willingness(n=235)</w:t>
            </w:r>
          </w:p>
        </w:tc>
        <w:tc>
          <w:tcPr>
            <w:tcW w:w="432" w:type="pct"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Cs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General Willingness(n=181)</w:t>
            </w:r>
          </w:p>
        </w:tc>
        <w:tc>
          <w:tcPr>
            <w:tcW w:w="494" w:type="pct"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Cs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Unwillingness(n=68)</w:t>
            </w:r>
          </w:p>
        </w:tc>
        <w:tc>
          <w:tcPr>
            <w:tcW w:w="495" w:type="pct"/>
            <w:tcBorders>
              <w:bottom w:val="single" w:sz="4" w:space="0" w:color="666666"/>
            </w:tcBorders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Cs w:val="0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Very Unwillingness(n=11)</w:t>
            </w:r>
          </w:p>
        </w:tc>
        <w:tc>
          <w:tcPr>
            <w:tcW w:w="308" w:type="pct"/>
            <w:vMerge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666666"/>
            </w:tcBorders>
            <w:noWrap/>
          </w:tcPr>
          <w:p w:rsidR="00C84FF4" w:rsidRPr="00594599" w:rsidRDefault="00C84FF4" w:rsidP="006159C2">
            <w:pPr>
              <w:rPr>
                <w:rFonts w:ascii="Calibri" w:hAnsi="Calibri" w:cs="Calibri"/>
                <w:i/>
                <w:sz w:val="24"/>
              </w:rPr>
            </w:pPr>
            <w:r w:rsidRPr="00594599">
              <w:rPr>
                <w:rFonts w:ascii="Calibri" w:hAnsi="Calibri" w:cs="Calibri"/>
                <w:i/>
                <w:sz w:val="24"/>
              </w:rPr>
              <w:t>Demographic Characteristics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Sex,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Men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203(14.2)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57(7.9)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24(10.5)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14(6.0)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13(7.2)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4(5.9)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0.24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Women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1230(85.8)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666(92.1)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204(89.5)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221(94.0)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168(92.8)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64(94.1)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9(81.8)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gridSpan w:val="2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Age (year, mean (SD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a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))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33.86(8.65)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31.04(7.19)</w:t>
            </w:r>
          </w:p>
        </w:tc>
        <w:tc>
          <w:tcPr>
            <w:tcW w:w="371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31.06(6.68)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31.29(7.20)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30.87(7.63)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30.62(7.57)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30.64(8.36)</w:t>
            </w:r>
          </w:p>
        </w:tc>
        <w:tc>
          <w:tcPr>
            <w:tcW w:w="308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0.96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Clinical occupation, n(%)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Clinical doctor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271(18.9)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72(10.0)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21(9.2)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27(11.5)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16(8.8)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5(7.4)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3(27.3)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0.27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Nurse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1162(81.1)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651(90.0)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207(90.8)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208(88.5)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165(91.2)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63(92.6)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8(72.7)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Race, n(%)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Han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1391(97.1)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696(96.3)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0.38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217(95.2)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226(96.2)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176(97.2)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66(97.1)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11(100.0)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0.78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Others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42(2.9)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27(3.7)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11(4.8)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9(3.8)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5(2.8)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2(2.9)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Personal religion, n(%)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1062(74.1)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458(63.3)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158(69.3)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148(63.0)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108(59.7)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34(50.0)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10(90.9)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0.01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371(25.9)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265(36.7)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70(30.7)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87(37.0)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73(40.3)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34(50.0)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Education, n(%)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College or under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487(34.0)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324(44.8)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88(38.6)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106(45.1)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88(48.6)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36(52.9)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6(54.5)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0.27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Bachelor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868(60.6)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373(51.6)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134(58.8)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120(51.1)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86(47.5)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29(42.6)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4(36.4)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Master or above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78(5.4)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26(3.6)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6(2.6)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9(3.8)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7(3.9)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3(4.4)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Average monthly income of family, CNY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b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, n(%)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≤2000 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61(4.3)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43(5.9)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0.23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14(6.1)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11(4.7)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10(5.5)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6(8.8)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0.20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2000-4000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540(37.7)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279(38.6)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90(39.5)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98(41.7)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61(33.7)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25(36.8)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5(45.5)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4000-6000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439(30.6)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225(31.1)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72(31.6)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79(33.6)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56(30.9)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16(23.5)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6000-8000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200(14.0)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82(11.3)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25(11.0)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24(10.2)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27(14.9)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5(7.4)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≥8000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193(13.5)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94(13.0)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27(11.8)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23(9.8)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27(14.9)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16(23.5)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Health condition, n(%)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Not well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118(8.2)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103(14.2)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24(10.5)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25(10.6)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37(20.4)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15(22.1)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0.006</w:t>
            </w:r>
          </w:p>
        </w:tc>
      </w:tr>
      <w:tr w:rsidR="00C84FF4" w:rsidRPr="00594599" w:rsidTr="00971BC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Well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1315(91.8)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620(85.8)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204(89.5)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210(89.4)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144(79.6)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53(77.9)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9(81.8)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i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i/>
                <w:color w:val="000000"/>
                <w:kern w:val="0"/>
                <w:sz w:val="24"/>
              </w:rPr>
              <w:t>Work Environment</w:t>
            </w:r>
          </w:p>
        </w:tc>
      </w:tr>
      <w:tr w:rsidR="00C84FF4" w:rsidRPr="00594599" w:rsidTr="00971BC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Time of employment, n(%)</w:t>
            </w:r>
          </w:p>
        </w:tc>
      </w:tr>
      <w:tr w:rsidR="00C84FF4" w:rsidRPr="00594599" w:rsidTr="00971BC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≤1years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75(5.2)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49(6.8)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15(6.6)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17(7.2)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10(5.5)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6(8.8)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0.24</w:t>
            </w: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1-2years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124(8.7)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50(6.9)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10(4.4)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14(6.0)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21(11.6)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4(5.9)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3-5years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211(14.7)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150(20.7)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51(22.4)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40(17.0)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38(21.0)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19(27.9)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6-9years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279(19.5)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190(26.3)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61(26.8)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75(31.9)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40(22.1)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12(17.6)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≥10years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744(51.9)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284(39.3)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91(39.9)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89(37.9)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72(39.8)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27(39.7)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5(45.5)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Work location,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Eastern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799(55.8)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492(68.0)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132(57.9)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161(68.5)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142(78.5)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51(75.0)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6(54.5)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Midwestern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634(44.2)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231(32.0)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96(42.1)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74(31.5)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39(21.5)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17(25.0)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5(45.5)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Risk level of location,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High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1(0.1)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0.20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1(0.4)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0.44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Median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11(0.8)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9(1.2)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2(0.9)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3(1.3)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2(1.1)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1(1.5)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Low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1422(99.2)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713(98.6)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225(98.7)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232(98.7)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179(98.9)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67(98.5)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10(90.9)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Clinical department,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Fever clinics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30(2.1)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4(0.6)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0.01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2(0.9)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2(1.1)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0.54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Others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1403(97.9)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719(99.4)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228(100.0)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233(99.1)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179(98.9)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68(100.0)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11(100.0)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Hospital level,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County level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47(3.3)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48(6.6)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10(4.4)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19(8.1)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13(7.2)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5(7.4)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0.68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Municipal level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728(50.8)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389(53.8)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123(53.9)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119(50.6)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101(55.8)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41(60.3)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5(45.5)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Provincial level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658(45.9)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286(39.6)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95(41.7)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97(41.3)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67(37.0)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22(32.4)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5(45.5)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i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i/>
                <w:color w:val="000000"/>
                <w:kern w:val="0"/>
                <w:sz w:val="24"/>
              </w:rPr>
              <w:t>Familiarity and Beliefs for Vaccine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Family history for influenza vaccination,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485(33.8)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140(19.4)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53(23.2)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42(17.9)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29(16.0)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15(22.1)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0.52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855(59.7)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514(71.1)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153(67.1)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172(73.2)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134(74.0)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45(66.2)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10(90.9)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93(6.5)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69(9.5)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22(9.6)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21(8.9)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18(9.9)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8(11.8)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Familiarity of COVID-19 vaccine,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Comprehensive knowledge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245(17.1)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86(11.9)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47(20.6)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20(8.5)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15(8.3)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3(4.4)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1(9.1)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Sufficient knowledge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735(51.3)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352(48.7)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125(54.8)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120(51.1)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80(44.2)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23(33.8)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4(36.4)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General knowledge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415(29.0)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242(33.5)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52(22.8)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83(35.3)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74(40.9)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29(42.6)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4(36.4)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Limited knowledge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35(2.4)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42(5.8)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4(1.8)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12(5.1)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12(6.6)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12(17.6)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971BC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Not known at all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3(0.2)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1(0.1)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1(1.5)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971BCD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Obtained training on vaccine,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1279(89.3)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594(82.2)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201(88.2)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195(83.0)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135(74.6)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55(80.9)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8(72.7)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0.03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139(9.7)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117(16.2)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26(11.4)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34(14.5)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43(23.8)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11(16.2)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3(27.3)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15(1.0)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12(1.7)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1(0.4)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6(2.6)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3(1.7)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2(2.9)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0(0.0)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b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Confidence of vaccines, n(%)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 w:val="restart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Yes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813(56.7)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362(50.1)</w:t>
            </w:r>
          </w:p>
        </w:tc>
        <w:tc>
          <w:tcPr>
            <w:tcW w:w="371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bCs w:val="0"/>
                <w:color w:val="FF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0.003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172(75.4)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117(49.8)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50(27.6)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18(26.5)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5(45.5)</w:t>
            </w:r>
          </w:p>
        </w:tc>
        <w:tc>
          <w:tcPr>
            <w:tcW w:w="308" w:type="pct"/>
            <w:vMerge w:val="restar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b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b/>
                <w:color w:val="FF0000"/>
                <w:kern w:val="0"/>
                <w:sz w:val="24"/>
              </w:rPr>
              <w:t>&lt;0.001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No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542(37.8)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301(41.6)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46(20.2)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109(46.4)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112(61.9)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32(47.1)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2(18.2)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" w:type="pct"/>
            <w:vMerge/>
            <w:noWrap/>
          </w:tcPr>
          <w:p w:rsidR="00C84FF4" w:rsidRPr="00594599" w:rsidRDefault="00C84FF4" w:rsidP="006159C2">
            <w:pPr>
              <w:widowControl/>
              <w:rPr>
                <w:rFonts w:ascii="Calibri" w:eastAsia="Times New Roman" w:hAnsi="Calibri" w:cs="Calibri"/>
                <w:kern w:val="0"/>
                <w:sz w:val="24"/>
              </w:rPr>
            </w:pPr>
          </w:p>
        </w:tc>
        <w:tc>
          <w:tcPr>
            <w:tcW w:w="743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Unknown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78(5.4)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60(8.3)</w:t>
            </w:r>
          </w:p>
        </w:tc>
        <w:tc>
          <w:tcPr>
            <w:tcW w:w="371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FF0000"/>
                <w:kern w:val="0"/>
                <w:sz w:val="24"/>
              </w:rPr>
            </w:pP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10(4.4)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9(3.8)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19(10.5)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18(26.5)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4(36.4)</w:t>
            </w:r>
          </w:p>
        </w:tc>
        <w:tc>
          <w:tcPr>
            <w:tcW w:w="308" w:type="pct"/>
            <w:vMerge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gridSpan w:val="2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IHLC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c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(mean(SD))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23.64(5.28)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23.42(5.29)</w:t>
            </w:r>
          </w:p>
        </w:tc>
        <w:tc>
          <w:tcPr>
            <w:tcW w:w="371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0.35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24.20(5.86)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23.31(4.88)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22.87(4.60)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22.46(5.64)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24.55(8.08)</w:t>
            </w:r>
          </w:p>
        </w:tc>
        <w:tc>
          <w:tcPr>
            <w:tcW w:w="308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0.045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gridSpan w:val="2"/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PHLC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>d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 xml:space="preserve"> (mean(SD))</w:t>
            </w:r>
          </w:p>
        </w:tc>
        <w:tc>
          <w:tcPr>
            <w:tcW w:w="617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24.11(4.74)</w:t>
            </w:r>
          </w:p>
        </w:tc>
        <w:tc>
          <w:tcPr>
            <w:tcW w:w="55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23.84(4.69)</w:t>
            </w:r>
          </w:p>
        </w:tc>
        <w:tc>
          <w:tcPr>
            <w:tcW w:w="371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0.20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25.01(4.75)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23.92(4.51)</w:t>
            </w:r>
          </w:p>
        </w:tc>
        <w:tc>
          <w:tcPr>
            <w:tcW w:w="432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22.76(4.48)</w:t>
            </w:r>
          </w:p>
        </w:tc>
        <w:tc>
          <w:tcPr>
            <w:tcW w:w="494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22.85(4.05)</w:t>
            </w:r>
          </w:p>
        </w:tc>
        <w:tc>
          <w:tcPr>
            <w:tcW w:w="495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21.45(7.98)</w:t>
            </w:r>
          </w:p>
        </w:tc>
        <w:tc>
          <w:tcPr>
            <w:tcW w:w="308" w:type="pct"/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&lt;0.001</w:t>
            </w:r>
          </w:p>
        </w:tc>
      </w:tr>
      <w:tr w:rsidR="00C84FF4" w:rsidRPr="00594599" w:rsidTr="006159C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" w:type="pct"/>
            <w:gridSpan w:val="2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lastRenderedPageBreak/>
              <w:t>CHLC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  <w:vertAlign w:val="superscript"/>
              </w:rPr>
              <w:t xml:space="preserve">e </w:t>
            </w: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(mean(SD))</w:t>
            </w:r>
          </w:p>
        </w:tc>
        <w:tc>
          <w:tcPr>
            <w:tcW w:w="617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16.04(5.36)</w:t>
            </w:r>
          </w:p>
        </w:tc>
        <w:tc>
          <w:tcPr>
            <w:tcW w:w="555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16.63(5.26)</w:t>
            </w:r>
          </w:p>
        </w:tc>
        <w:tc>
          <w:tcPr>
            <w:tcW w:w="371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0.02</w:t>
            </w:r>
          </w:p>
        </w:tc>
        <w:tc>
          <w:tcPr>
            <w:tcW w:w="432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16.30(6.20)</w:t>
            </w:r>
          </w:p>
        </w:tc>
        <w:tc>
          <w:tcPr>
            <w:tcW w:w="432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16.93(5.00)</w:t>
            </w:r>
          </w:p>
        </w:tc>
        <w:tc>
          <w:tcPr>
            <w:tcW w:w="432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16.48(4.19)</w:t>
            </w:r>
          </w:p>
        </w:tc>
        <w:tc>
          <w:tcPr>
            <w:tcW w:w="494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16.97(4.79)</w:t>
            </w:r>
          </w:p>
        </w:tc>
        <w:tc>
          <w:tcPr>
            <w:tcW w:w="495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17.45(8.08)</w:t>
            </w:r>
          </w:p>
        </w:tc>
        <w:tc>
          <w:tcPr>
            <w:tcW w:w="308" w:type="pct"/>
            <w:tcBorders>
              <w:bottom w:val="single" w:sz="4" w:space="0" w:color="666666"/>
            </w:tcBorders>
            <w:noWrap/>
          </w:tcPr>
          <w:p w:rsidR="00C84FF4" w:rsidRPr="00594599" w:rsidRDefault="00C84FF4" w:rsidP="006159C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等线" w:hAnsi="Calibri" w:cs="Calibri"/>
                <w:color w:val="000000"/>
                <w:kern w:val="0"/>
                <w:sz w:val="24"/>
              </w:rPr>
            </w:pPr>
            <w:r w:rsidRPr="00594599">
              <w:rPr>
                <w:rFonts w:ascii="Calibri" w:eastAsia="等线" w:hAnsi="Calibri" w:cs="Calibri"/>
                <w:color w:val="000000"/>
                <w:kern w:val="0"/>
                <w:sz w:val="24"/>
              </w:rPr>
              <w:t>0.68</w:t>
            </w:r>
          </w:p>
        </w:tc>
      </w:tr>
    </w:tbl>
    <w:p w:rsidR="00C84FF4" w:rsidRPr="00594599" w:rsidRDefault="00C84FF4" w:rsidP="00C84FF4">
      <w:pPr>
        <w:rPr>
          <w:rFonts w:ascii="Calibri" w:eastAsia="宋体" w:hAnsi="Calibri" w:cs="Calibri"/>
          <w:iCs/>
          <w:sz w:val="24"/>
          <w:szCs w:val="16"/>
        </w:rPr>
      </w:pPr>
      <w:r w:rsidRPr="00594599">
        <w:rPr>
          <w:rFonts w:ascii="Calibri" w:eastAsia="宋体" w:hAnsi="Calibri" w:cs="Calibri"/>
          <w:iCs/>
          <w:sz w:val="24"/>
          <w:szCs w:val="16"/>
          <w:vertAlign w:val="superscript"/>
        </w:rPr>
        <w:t>a</w:t>
      </w:r>
      <w:r w:rsidRPr="00594599">
        <w:rPr>
          <w:rFonts w:ascii="Calibri" w:eastAsia="等线" w:hAnsi="Calibri" w:cs="Calibri"/>
          <w:color w:val="000000"/>
          <w:kern w:val="0"/>
          <w:sz w:val="24"/>
          <w:szCs w:val="16"/>
        </w:rPr>
        <w:t>SD</w:t>
      </w:r>
      <w:r w:rsidRPr="00594599">
        <w:rPr>
          <w:rFonts w:ascii="Calibri" w:eastAsia="宋体" w:hAnsi="Calibri" w:cs="Calibri"/>
          <w:iCs/>
          <w:sz w:val="24"/>
          <w:szCs w:val="16"/>
        </w:rPr>
        <w:t>: standard deviation.</w:t>
      </w:r>
    </w:p>
    <w:p w:rsidR="00C84FF4" w:rsidRPr="00594599" w:rsidRDefault="00C84FF4" w:rsidP="00C84FF4">
      <w:pPr>
        <w:rPr>
          <w:rFonts w:ascii="Calibri" w:eastAsia="宋体" w:hAnsi="Calibri" w:cs="Calibri"/>
          <w:iCs/>
          <w:sz w:val="24"/>
          <w:szCs w:val="16"/>
        </w:rPr>
      </w:pPr>
      <w:r w:rsidRPr="00594599">
        <w:rPr>
          <w:rFonts w:ascii="Calibri" w:eastAsia="宋体" w:hAnsi="Calibri" w:cs="Calibri"/>
          <w:iCs/>
          <w:sz w:val="24"/>
          <w:szCs w:val="16"/>
          <w:vertAlign w:val="superscript"/>
        </w:rPr>
        <w:t>b</w:t>
      </w:r>
      <w:r w:rsidRPr="00594599">
        <w:rPr>
          <w:rFonts w:ascii="Calibri" w:eastAsia="宋体" w:hAnsi="Calibri" w:cs="Calibri"/>
          <w:iCs/>
          <w:sz w:val="24"/>
          <w:szCs w:val="16"/>
        </w:rPr>
        <w:t>CNY: Chinese Yuan.</w:t>
      </w:r>
    </w:p>
    <w:p w:rsidR="00C84FF4" w:rsidRPr="00594599" w:rsidRDefault="00C84FF4" w:rsidP="00C84FF4">
      <w:pPr>
        <w:rPr>
          <w:rFonts w:ascii="Calibri" w:eastAsia="宋体" w:hAnsi="Calibri" w:cs="Calibri"/>
          <w:iCs/>
          <w:sz w:val="24"/>
          <w:szCs w:val="16"/>
        </w:rPr>
      </w:pPr>
      <w:r w:rsidRPr="00594599">
        <w:rPr>
          <w:rFonts w:ascii="Calibri" w:eastAsia="宋体" w:hAnsi="Calibri" w:cs="Calibri"/>
          <w:iCs/>
          <w:sz w:val="24"/>
          <w:szCs w:val="16"/>
          <w:vertAlign w:val="superscript"/>
        </w:rPr>
        <w:t>c</w:t>
      </w:r>
      <w:r w:rsidRPr="00594599">
        <w:rPr>
          <w:rFonts w:ascii="Calibri" w:eastAsia="宋体" w:hAnsi="Calibri" w:cs="Calibri"/>
          <w:iCs/>
          <w:sz w:val="24"/>
          <w:szCs w:val="16"/>
        </w:rPr>
        <w:t>IHLC: internal health locus of control.</w:t>
      </w:r>
    </w:p>
    <w:p w:rsidR="00C84FF4" w:rsidRPr="00594599" w:rsidRDefault="00C84FF4" w:rsidP="00C84FF4">
      <w:pPr>
        <w:rPr>
          <w:rFonts w:ascii="Calibri" w:eastAsia="宋体" w:hAnsi="Calibri" w:cs="Calibri"/>
          <w:iCs/>
          <w:sz w:val="24"/>
          <w:szCs w:val="16"/>
        </w:rPr>
      </w:pPr>
      <w:r w:rsidRPr="00594599">
        <w:rPr>
          <w:rFonts w:ascii="Calibri" w:eastAsia="宋体" w:hAnsi="Calibri" w:cs="Calibri"/>
          <w:iCs/>
          <w:sz w:val="24"/>
          <w:szCs w:val="16"/>
        </w:rPr>
        <w:t>dPHLC: powerful other’s health locus of control.</w:t>
      </w:r>
    </w:p>
    <w:p w:rsidR="00C84FF4" w:rsidRPr="00594599" w:rsidRDefault="00C84FF4" w:rsidP="00C84FF4">
      <w:pPr>
        <w:rPr>
          <w:rFonts w:ascii="Calibri" w:eastAsia="宋体" w:hAnsi="Calibri" w:cs="Calibri"/>
          <w:sz w:val="32"/>
          <w:szCs w:val="22"/>
        </w:rPr>
      </w:pPr>
      <w:r w:rsidRPr="00594599">
        <w:rPr>
          <w:rFonts w:ascii="Calibri" w:eastAsia="宋体" w:hAnsi="Calibri" w:cs="Calibri"/>
          <w:iCs/>
          <w:sz w:val="24"/>
          <w:szCs w:val="16"/>
        </w:rPr>
        <w:t>eCHLC: chance health locus of control.</w:t>
      </w:r>
    </w:p>
    <w:p w:rsidR="00AA2E4A" w:rsidRPr="00594599" w:rsidRDefault="00AA2E4A" w:rsidP="00C84FF4">
      <w:pPr>
        <w:rPr>
          <w:rFonts w:ascii="Calibri" w:hAnsi="Calibri" w:cs="Calibri"/>
        </w:rPr>
      </w:pPr>
    </w:p>
    <w:sectPr w:rsidR="00AA2E4A" w:rsidRPr="0059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8D" w:rsidRDefault="00E6448D" w:rsidP="00C84FF4">
      <w:r>
        <w:separator/>
      </w:r>
    </w:p>
  </w:endnote>
  <w:endnote w:type="continuationSeparator" w:id="0">
    <w:p w:rsidR="00E6448D" w:rsidRDefault="00E6448D" w:rsidP="00C84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8D" w:rsidRDefault="00E6448D" w:rsidP="00C84FF4">
      <w:r>
        <w:separator/>
      </w:r>
    </w:p>
  </w:footnote>
  <w:footnote w:type="continuationSeparator" w:id="0">
    <w:p w:rsidR="00E6448D" w:rsidRDefault="00E6448D" w:rsidP="00C84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B8"/>
    <w:rsid w:val="000B3203"/>
    <w:rsid w:val="00450C95"/>
    <w:rsid w:val="00594599"/>
    <w:rsid w:val="008339B8"/>
    <w:rsid w:val="00971BCD"/>
    <w:rsid w:val="00AA2E4A"/>
    <w:rsid w:val="00AB0611"/>
    <w:rsid w:val="00C84FF4"/>
    <w:rsid w:val="00D91CF8"/>
    <w:rsid w:val="00E6448D"/>
    <w:rsid w:val="00E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C02C"/>
  <w15:chartTrackingRefBased/>
  <w15:docId w15:val="{BDFC8BB9-E40D-4514-8FFA-D8B38785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bCs/>
        <w:color w:val="000000" w:themeColor="text1"/>
        <w:sz w:val="24"/>
        <w:szCs w:val="3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F4"/>
    <w:pPr>
      <w:widowControl w:val="0"/>
      <w:spacing w:line="240" w:lineRule="auto"/>
    </w:pPr>
    <w:rPr>
      <w:rFonts w:asciiTheme="minorHAnsi" w:eastAsiaTheme="minorEastAsia" w:hAnsiTheme="minorHAnsi" w:cstheme="minorBidi"/>
      <w:bCs w:val="0"/>
      <w:color w:val="aut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FF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bCs/>
      <w:color w:val="000000" w:themeColor="text1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4F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4FF4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bCs/>
      <w:color w:val="000000" w:themeColor="text1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4FF4"/>
    <w:rPr>
      <w:sz w:val="18"/>
      <w:szCs w:val="18"/>
    </w:rPr>
  </w:style>
  <w:style w:type="table" w:customStyle="1" w:styleId="112">
    <w:name w:val="清单表 1 浅色12"/>
    <w:basedOn w:val="a1"/>
    <w:uiPriority w:val="46"/>
    <w:qFormat/>
    <w:rsid w:val="00C84FF4"/>
    <w:pPr>
      <w:spacing w:line="240" w:lineRule="auto"/>
      <w:jc w:val="left"/>
    </w:pPr>
    <w:rPr>
      <w:rFonts w:ascii="Calibri" w:hAnsi="Calibri"/>
      <w:bCs w:val="0"/>
      <w:color w:val="auto"/>
      <w:sz w:val="20"/>
      <w:szCs w:val="20"/>
    </w:rPr>
    <w:tblPr/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任子扬</dc:creator>
  <cp:keywords/>
  <dc:description/>
  <cp:lastModifiedBy>任子扬</cp:lastModifiedBy>
  <cp:revision>9</cp:revision>
  <dcterms:created xsi:type="dcterms:W3CDTF">2021-05-01T11:54:00Z</dcterms:created>
  <dcterms:modified xsi:type="dcterms:W3CDTF">2021-05-01T15:15:00Z</dcterms:modified>
</cp:coreProperties>
</file>