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A82B8" w14:textId="77777777" w:rsidR="0027393C" w:rsidRPr="00191EEE" w:rsidRDefault="0027393C" w:rsidP="0027393C">
      <w:pPr>
        <w:jc w:val="center"/>
        <w:rPr>
          <w:b/>
          <w:bCs/>
        </w:rPr>
      </w:pPr>
      <w:bookmarkStart w:id="0" w:name="_Hlk35261346"/>
      <w:r w:rsidRPr="00191EEE">
        <w:rPr>
          <w:b/>
          <w:bCs/>
        </w:rPr>
        <w:t>Supplementary Appendix</w:t>
      </w:r>
    </w:p>
    <w:p w14:paraId="2F759740" w14:textId="77777777" w:rsidR="0027393C" w:rsidRDefault="0027393C" w:rsidP="0027393C"/>
    <w:p w14:paraId="002B69CE" w14:textId="6E461653" w:rsidR="0027393C" w:rsidRPr="00755632" w:rsidRDefault="0027393C" w:rsidP="0027393C">
      <w:pPr>
        <w:rPr>
          <w:sz w:val="20"/>
          <w:szCs w:val="20"/>
        </w:rPr>
      </w:pPr>
      <w:r w:rsidRPr="00755632">
        <w:rPr>
          <w:sz w:val="20"/>
          <w:szCs w:val="20"/>
        </w:rPr>
        <w:t>This appendix has been provided by the authors to give readers additional information about their work.</w:t>
      </w:r>
    </w:p>
    <w:p w14:paraId="68960D04" w14:textId="30966D9A" w:rsidR="003659A0" w:rsidRDefault="007A0950" w:rsidP="00AD20E9">
      <w:pPr>
        <w:rPr>
          <w:sz w:val="20"/>
          <w:szCs w:val="20"/>
        </w:rPr>
      </w:pPr>
      <w:r w:rsidRPr="00C91BB9">
        <w:rPr>
          <w:sz w:val="20"/>
          <w:szCs w:val="20"/>
        </w:rPr>
        <w:t xml:space="preserve">Supplement to: </w:t>
      </w:r>
      <w:r w:rsidR="00AD20E9" w:rsidRPr="00AD20E9">
        <w:rPr>
          <w:sz w:val="20"/>
          <w:szCs w:val="20"/>
        </w:rPr>
        <w:t>Efficacy of the NVX-CoV2373 Covid-19 Vaccine Against the B.1.1.7 Variant</w:t>
      </w:r>
    </w:p>
    <w:p w14:paraId="078FBE3F" w14:textId="77777777" w:rsidR="003659A0" w:rsidRDefault="003659A0">
      <w:pPr>
        <w:spacing w:after="1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94515E0" w14:textId="77777777" w:rsidR="003659A0" w:rsidRPr="00E22427" w:rsidRDefault="003659A0" w:rsidP="003659A0">
      <w:pPr>
        <w:jc w:val="center"/>
        <w:rPr>
          <w:rFonts w:asciiTheme="minorHAnsi" w:hAnsiTheme="minorHAnsi" w:cstheme="minorHAnsi"/>
          <w:szCs w:val="22"/>
        </w:rPr>
      </w:pPr>
      <w:r w:rsidRPr="00E22427">
        <w:rPr>
          <w:rFonts w:asciiTheme="minorHAnsi" w:hAnsiTheme="minorHAnsi" w:cstheme="minorHAnsi"/>
          <w:szCs w:val="22"/>
        </w:rPr>
        <w:lastRenderedPageBreak/>
        <w:t>Supplementary Appendix to Manuscript Entitled</w:t>
      </w:r>
    </w:p>
    <w:p w14:paraId="5A650B04" w14:textId="15F782AB" w:rsidR="003659A0" w:rsidRDefault="003659A0" w:rsidP="003659A0">
      <w:pPr>
        <w:jc w:val="center"/>
        <w:rPr>
          <w:rFonts w:cstheme="minorHAnsi"/>
          <w:b/>
        </w:rPr>
      </w:pPr>
      <w:r w:rsidRPr="00AD20E9">
        <w:rPr>
          <w:b/>
        </w:rPr>
        <w:t>Efficacy of the NVX-CoV2373 Covid-19 Vaccine Against the B.1.1.7 Variant</w:t>
      </w:r>
    </w:p>
    <w:p w14:paraId="34D220CF" w14:textId="77777777" w:rsidR="003659A0" w:rsidRDefault="003659A0" w:rsidP="003659A0">
      <w:pPr>
        <w:spacing w:after="0" w:line="360" w:lineRule="auto"/>
        <w:rPr>
          <w:b/>
          <w:bCs/>
          <w:u w:val="single"/>
        </w:rPr>
      </w:pPr>
    </w:p>
    <w:p w14:paraId="773E8895" w14:textId="71646DB8" w:rsidR="003659A0" w:rsidRPr="00BA5BF6" w:rsidRDefault="003659A0" w:rsidP="003659A0">
      <w:pPr>
        <w:spacing w:after="0" w:line="360" w:lineRule="auto"/>
        <w:rPr>
          <w:b/>
          <w:bCs/>
          <w:u w:val="single"/>
        </w:rPr>
      </w:pPr>
      <w:r w:rsidRPr="00BA5BF6">
        <w:rPr>
          <w:b/>
          <w:bCs/>
          <w:u w:val="single"/>
        </w:rPr>
        <w:t>Table of Contents</w:t>
      </w:r>
    </w:p>
    <w:p w14:paraId="350AA627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</w:pPr>
      <w:r w:rsidRPr="00BA5BF6">
        <w:t>NVX-CoV2373 Study Team Members</w:t>
      </w:r>
      <w:r>
        <w:t xml:space="preserve"> …………………………………………………………….……………………………….</w:t>
      </w:r>
      <w:r>
        <w:tab/>
        <w:t xml:space="preserve">  3</w:t>
      </w:r>
    </w:p>
    <w:p w14:paraId="749500E7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</w:pPr>
      <w:r>
        <w:t>Supplemental Methods ………………………………………………………………………………….………………………………</w:t>
      </w:r>
      <w:r>
        <w:tab/>
        <w:t xml:space="preserve">  6</w:t>
      </w:r>
      <w:r>
        <w:tab/>
      </w:r>
      <w:r>
        <w:tab/>
        <w:t>Vaccination Pause Rules …………………………………………………………………………….………………………………</w:t>
      </w:r>
      <w:r>
        <w:tab/>
        <w:t xml:space="preserve">  6</w:t>
      </w:r>
    </w:p>
    <w:p w14:paraId="13509CD9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</w:pPr>
      <w:r>
        <w:tab/>
        <w:t>RT-PCR Testing Assays ………………………………………………………………………………….……………………………</w:t>
      </w:r>
      <w:r>
        <w:tab/>
        <w:t xml:space="preserve">  6</w:t>
      </w:r>
    </w:p>
    <w:p w14:paraId="169DFF49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</w:pPr>
      <w:r>
        <w:tab/>
        <w:t>Swabbing …………………………………………………………………………………………………………………….…………….</w:t>
      </w:r>
      <w:r>
        <w:tab/>
        <w:t xml:space="preserve">  7</w:t>
      </w:r>
    </w:p>
    <w:p w14:paraId="46574DD0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</w:pPr>
      <w:r>
        <w:t>Supplemental Tables and Figure  …………………………………………………………………………………….…………….</w:t>
      </w:r>
      <w:r>
        <w:tab/>
        <w:t xml:space="preserve">  8</w:t>
      </w:r>
    </w:p>
    <w:p w14:paraId="1E510A8B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</w:pPr>
      <w:r>
        <w:tab/>
        <w:t>Primary Efficacy Endpoint …………………………………………………………………………………………….…………..</w:t>
      </w:r>
      <w:r>
        <w:tab/>
        <w:t xml:space="preserve">  8</w:t>
      </w:r>
    </w:p>
    <w:p w14:paraId="260E3224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</w:pPr>
      <w:r>
        <w:tab/>
      </w:r>
      <w:r>
        <w:tab/>
        <w:t>Table S1.</w:t>
      </w:r>
      <w:r w:rsidRPr="00BA5BF6">
        <w:t xml:space="preserve"> </w:t>
      </w:r>
      <w:r w:rsidRPr="000C3E50">
        <w:rPr>
          <w:szCs w:val="22"/>
        </w:rPr>
        <w:t>Endpoint Definitions of Covid-19 Severity</w:t>
      </w:r>
      <w:r>
        <w:t xml:space="preserve"> …………………………………………………….……</w:t>
      </w:r>
      <w:r>
        <w:tab/>
        <w:t xml:space="preserve">  8</w:t>
      </w:r>
    </w:p>
    <w:p w14:paraId="09A65909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</w:pPr>
      <w:r>
        <w:tab/>
      </w:r>
      <w:r>
        <w:tab/>
        <w:t>Table S2.</w:t>
      </w:r>
      <w:r w:rsidRPr="00BA5BF6">
        <w:t xml:space="preserve"> </w:t>
      </w:r>
      <w:r>
        <w:t>Q</w:t>
      </w:r>
      <w:r w:rsidRPr="000C3E50">
        <w:rPr>
          <w:szCs w:val="22"/>
        </w:rPr>
        <w:t>ualifying Symptoms of Suspected Covid-19</w:t>
      </w:r>
      <w:r>
        <w:t xml:space="preserve"> ………………………………………………….…. </w:t>
      </w:r>
      <w:r>
        <w:tab/>
        <w:t xml:space="preserve">  9</w:t>
      </w:r>
      <w:r>
        <w:tab/>
      </w:r>
    </w:p>
    <w:p w14:paraId="4DB26C76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</w:pPr>
      <w:r>
        <w:tab/>
        <w:t xml:space="preserve">Unsolicited Adverse Events ………………………………………………………………………………………………………. </w:t>
      </w:r>
      <w:r>
        <w:tab/>
        <w:t>10</w:t>
      </w:r>
    </w:p>
    <w:p w14:paraId="50F7BB90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  <w:rPr>
          <w:bCs/>
        </w:rPr>
      </w:pPr>
      <w:r>
        <w:tab/>
      </w:r>
      <w:r>
        <w:tab/>
        <w:t xml:space="preserve">Table S3. </w:t>
      </w:r>
      <w:r w:rsidRPr="000C3E50">
        <w:rPr>
          <w:bCs/>
          <w:szCs w:val="22"/>
        </w:rPr>
        <w:t xml:space="preserve">Overall Summary of Unsolicited Adverse Events — Excluding Reactogenicity </w:t>
      </w:r>
    </w:p>
    <w:p w14:paraId="4AE37534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0C3E50">
        <w:rPr>
          <w:bCs/>
          <w:szCs w:val="22"/>
        </w:rPr>
        <w:t xml:space="preserve">Adverse Events (Specific Preferred Terms) and Events Reported Post Unblinding or </w:t>
      </w:r>
    </w:p>
    <w:p w14:paraId="13142954" w14:textId="77777777" w:rsidR="003659A0" w:rsidRPr="00FE1693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0C3E50">
        <w:rPr>
          <w:bCs/>
          <w:szCs w:val="22"/>
        </w:rPr>
        <w:t>Post Receipt of an Approved or Deployed SARS-CoV-2 Vaccine (Safety Analysis Set</w:t>
      </w:r>
      <w:r w:rsidRPr="000C3E50">
        <w:rPr>
          <w:szCs w:val="22"/>
        </w:rPr>
        <w:t>)</w:t>
      </w:r>
      <w:r>
        <w:t xml:space="preserve"> ….…….</w:t>
      </w:r>
      <w:r>
        <w:tab/>
        <w:t>10</w:t>
      </w:r>
    </w:p>
    <w:p w14:paraId="07824267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  <w:rPr>
          <w:szCs w:val="22"/>
        </w:rPr>
      </w:pPr>
      <w:r>
        <w:tab/>
      </w:r>
      <w:r>
        <w:tab/>
        <w:t>Table S4.</w:t>
      </w:r>
      <w:r w:rsidRPr="00BA5BF6">
        <w:t xml:space="preserve"> </w:t>
      </w:r>
      <w:r w:rsidRPr="000C3E50">
        <w:rPr>
          <w:szCs w:val="22"/>
        </w:rPr>
        <w:t xml:space="preserve">Summary of Unsolicited Treatment-Emergent Adverse Events (Excluding </w:t>
      </w:r>
    </w:p>
    <w:p w14:paraId="2B3A1674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  <w:rPr>
          <w:szCs w:val="22"/>
        </w:rPr>
      </w:pPr>
      <w:r>
        <w:tab/>
      </w:r>
      <w:r>
        <w:tab/>
      </w:r>
      <w:r w:rsidRPr="000C3E50">
        <w:rPr>
          <w:szCs w:val="22"/>
        </w:rPr>
        <w:t xml:space="preserve">Reactogenicity Adverse Events) Reported in </w:t>
      </w:r>
      <w:r w:rsidRPr="000C3E50">
        <w:rPr>
          <w:rFonts w:cs="Calibri"/>
          <w:szCs w:val="22"/>
        </w:rPr>
        <w:t>≥</w:t>
      </w:r>
      <w:r w:rsidRPr="000C3E50">
        <w:rPr>
          <w:szCs w:val="22"/>
        </w:rPr>
        <w:t xml:space="preserve">1% of Participants in Any Group </w:t>
      </w:r>
    </w:p>
    <w:p w14:paraId="6E7C19FC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</w:pPr>
      <w:r>
        <w:tab/>
      </w:r>
      <w:r>
        <w:tab/>
      </w:r>
      <w:r w:rsidRPr="000C3E50">
        <w:rPr>
          <w:szCs w:val="22"/>
        </w:rPr>
        <w:t>(Safety Analysis Set)</w:t>
      </w:r>
      <w:r>
        <w:t xml:space="preserve"> ………………………………………………………………………………………………………….</w:t>
      </w:r>
      <w:r>
        <w:tab/>
        <w:t>11</w:t>
      </w:r>
    </w:p>
    <w:p w14:paraId="29FDBB14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</w:pPr>
      <w:r>
        <w:tab/>
        <w:t>Efficacy Against UK Variant ……………………………………………………………………………….….…….……….……</w:t>
      </w:r>
      <w:r>
        <w:tab/>
        <w:t>11</w:t>
      </w:r>
    </w:p>
    <w:p w14:paraId="05FEC2B7" w14:textId="77777777" w:rsidR="003659A0" w:rsidRDefault="003659A0" w:rsidP="003659A0">
      <w:pPr>
        <w:pStyle w:val="DocumentText"/>
        <w:tabs>
          <w:tab w:val="left" w:pos="270"/>
          <w:tab w:val="left" w:pos="720"/>
          <w:tab w:val="left" w:pos="8820"/>
        </w:tabs>
        <w:spacing w:after="0" w:line="360" w:lineRule="auto"/>
        <w:rPr>
          <w:rFonts w:asciiTheme="minorHAnsi" w:hAnsiTheme="minorHAnsi" w:cstheme="minorBidi"/>
          <w:szCs w:val="22"/>
        </w:rPr>
      </w:pPr>
      <w:r>
        <w:tab/>
      </w:r>
      <w:r>
        <w:tab/>
        <w:t xml:space="preserve">Table S5. </w:t>
      </w:r>
      <w:r w:rsidRPr="00B60425">
        <w:rPr>
          <w:rFonts w:asciiTheme="minorHAnsi" w:hAnsiTheme="minorHAnsi" w:cstheme="minorBidi"/>
          <w:szCs w:val="22"/>
        </w:rPr>
        <w:t>Vaccine Efficacy Against PCR-Confirmed Symptomatic Mild, Moderate,</w:t>
      </w:r>
      <w:r>
        <w:rPr>
          <w:rFonts w:asciiTheme="minorHAnsi" w:hAnsiTheme="minorHAnsi" w:cstheme="minorBidi"/>
          <w:szCs w:val="22"/>
        </w:rPr>
        <w:t xml:space="preserve"> </w:t>
      </w:r>
      <w:r w:rsidRPr="00B60425">
        <w:rPr>
          <w:rFonts w:asciiTheme="minorHAnsi" w:hAnsiTheme="minorHAnsi" w:cstheme="minorBidi"/>
          <w:szCs w:val="22"/>
        </w:rPr>
        <w:t>or Severe</w:t>
      </w:r>
      <w:r>
        <w:rPr>
          <w:rFonts w:asciiTheme="minorHAnsi" w:hAnsiTheme="minorHAnsi" w:cstheme="minorBidi"/>
          <w:szCs w:val="22"/>
        </w:rPr>
        <w:t xml:space="preserve"> </w:t>
      </w:r>
    </w:p>
    <w:p w14:paraId="19808ECB" w14:textId="77777777" w:rsidR="003659A0" w:rsidRDefault="003659A0" w:rsidP="003659A0">
      <w:pPr>
        <w:pStyle w:val="DocumentText"/>
        <w:tabs>
          <w:tab w:val="left" w:pos="270"/>
          <w:tab w:val="left" w:pos="720"/>
          <w:tab w:val="left" w:pos="8820"/>
        </w:tabs>
        <w:spacing w:after="0" w:line="360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ab/>
      </w:r>
      <w:r>
        <w:rPr>
          <w:rFonts w:asciiTheme="minorHAnsi" w:hAnsiTheme="minorHAnsi" w:cstheme="minorBidi"/>
          <w:szCs w:val="22"/>
        </w:rPr>
        <w:tab/>
      </w:r>
      <w:r w:rsidRPr="00B60425">
        <w:rPr>
          <w:rFonts w:asciiTheme="minorHAnsi" w:hAnsiTheme="minorHAnsi" w:cstheme="minorBidi"/>
          <w:szCs w:val="22"/>
        </w:rPr>
        <w:t xml:space="preserve">Covid-19 With an Onset at Least 7 Days After Second Study Vaccination in Serologically </w:t>
      </w:r>
    </w:p>
    <w:p w14:paraId="73F2D0F1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</w:pPr>
      <w:r>
        <w:tab/>
      </w:r>
      <w:r>
        <w:tab/>
      </w:r>
      <w:r w:rsidRPr="00B60425">
        <w:rPr>
          <w:rFonts w:asciiTheme="minorHAnsi" w:hAnsiTheme="minorHAnsi" w:cstheme="minorBidi"/>
          <w:szCs w:val="22"/>
        </w:rPr>
        <w:t>Negative Adult Participants by SARS-CoV-2 Strain (PP-EFF Analysis Set)</w:t>
      </w:r>
      <w:r>
        <w:t xml:space="preserve"> ……………………………</w:t>
      </w:r>
      <w:r>
        <w:tab/>
        <w:t>12</w:t>
      </w:r>
    </w:p>
    <w:p w14:paraId="4546AD87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</w:pPr>
      <w:r>
        <w:tab/>
        <w:t>Demographics: Intention-to-Treat Population …………………………………………………………………………..</w:t>
      </w:r>
      <w:r>
        <w:tab/>
        <w:t>13</w:t>
      </w:r>
    </w:p>
    <w:p w14:paraId="437BF72C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</w:pPr>
      <w:r>
        <w:tab/>
      </w:r>
      <w:r>
        <w:tab/>
        <w:t xml:space="preserve">Table S6. </w:t>
      </w:r>
      <w:r w:rsidRPr="004D603E">
        <w:rPr>
          <w:rFonts w:asciiTheme="minorHAnsi" w:hAnsiTheme="minorHAnsi" w:cstheme="minorHAnsi"/>
        </w:rPr>
        <w:t>Demographics and Baseline Characteristics (Intention-to-Treat Analysis Set</w:t>
      </w:r>
      <w:r>
        <w:rPr>
          <w:rFonts w:cstheme="minorHAnsi"/>
        </w:rPr>
        <w:t>) …….</w:t>
      </w:r>
      <w:r>
        <w:rPr>
          <w:rFonts w:cstheme="minorHAnsi"/>
        </w:rPr>
        <w:tab/>
        <w:t>13</w:t>
      </w:r>
    </w:p>
    <w:p w14:paraId="05C638BE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  <w:rPr>
          <w:rFonts w:asciiTheme="minorHAnsi" w:hAnsiTheme="minorHAnsi" w:cstheme="minorHAnsi"/>
          <w:szCs w:val="22"/>
        </w:rPr>
      </w:pPr>
      <w:r>
        <w:tab/>
      </w:r>
      <w:r>
        <w:tab/>
        <w:t xml:space="preserve">Table S7. </w:t>
      </w:r>
      <w:r w:rsidRPr="003A1535">
        <w:rPr>
          <w:rFonts w:asciiTheme="minorHAnsi" w:hAnsiTheme="minorHAnsi" w:cstheme="minorHAnsi"/>
          <w:szCs w:val="22"/>
        </w:rPr>
        <w:t>Summary of Unsolicited Serious Treatment-Emergent Adverse Events</w:t>
      </w:r>
      <w:r>
        <w:rPr>
          <w:rFonts w:cstheme="minorHAnsi"/>
        </w:rPr>
        <w:t xml:space="preserve"> </w:t>
      </w:r>
    </w:p>
    <w:p w14:paraId="207B77C3" w14:textId="20CA721C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3A1535">
        <w:rPr>
          <w:rFonts w:asciiTheme="minorHAnsi" w:hAnsiTheme="minorHAnsi" w:cstheme="minorHAnsi"/>
          <w:szCs w:val="22"/>
        </w:rPr>
        <w:t>(Safety Analysis Set)</w:t>
      </w:r>
      <w:r>
        <w:rPr>
          <w:rFonts w:cstheme="minorHAnsi"/>
        </w:rPr>
        <w:t xml:space="preserve">  ………………………………………………………………………………………….……………</w:t>
      </w:r>
      <w:r w:rsidR="00D44C3A">
        <w:rPr>
          <w:rFonts w:cstheme="minorHAnsi"/>
        </w:rPr>
        <w:t>…</w:t>
      </w:r>
      <w:r>
        <w:rPr>
          <w:rFonts w:cstheme="minorHAnsi"/>
        </w:rPr>
        <w:tab/>
        <w:t>14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t>B1.1.1.7 Variant</w:t>
      </w:r>
      <w:r w:rsidR="00D44C3A">
        <w:t xml:space="preserve"> .</w:t>
      </w:r>
      <w:r>
        <w:t>…………………………………………………………………………………………………………….....</w:t>
      </w:r>
      <w:r w:rsidR="00D44C3A">
        <w:t>........</w:t>
      </w:r>
      <w:r>
        <w:tab/>
        <w:t>16</w:t>
      </w:r>
    </w:p>
    <w:p w14:paraId="3BAE4A28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</w:pPr>
      <w:r>
        <w:tab/>
      </w:r>
      <w:r>
        <w:tab/>
        <w:t>Figure S1. Evolution</w:t>
      </w:r>
      <w:r w:rsidRPr="000C3E50">
        <w:rPr>
          <w:szCs w:val="22"/>
        </w:rPr>
        <w:t xml:space="preserve"> of Covid-19 Variants During the Endpoint Period</w:t>
      </w:r>
      <w:r>
        <w:t xml:space="preserve"> ………………………………</w:t>
      </w:r>
      <w:r>
        <w:tab/>
        <w:t>17</w:t>
      </w:r>
    </w:p>
    <w:p w14:paraId="285FC3F6" w14:textId="77777777" w:rsidR="003659A0" w:rsidRDefault="003659A0" w:rsidP="003659A0">
      <w:pPr>
        <w:tabs>
          <w:tab w:val="left" w:pos="270"/>
          <w:tab w:val="left" w:pos="720"/>
          <w:tab w:val="left" w:pos="8820"/>
        </w:tabs>
        <w:spacing w:after="0" w:line="360" w:lineRule="auto"/>
      </w:pPr>
      <w:r>
        <w:t>References ……………………………………………………………………………………………………………………………………..</w:t>
      </w:r>
      <w:r>
        <w:tab/>
        <w:t>17</w:t>
      </w:r>
    </w:p>
    <w:p w14:paraId="6D42C667" w14:textId="34905015" w:rsidR="00C332E8" w:rsidRPr="005C5A6C" w:rsidRDefault="00C332E8" w:rsidP="005C5A6C">
      <w:pPr>
        <w:pStyle w:val="Heading1"/>
      </w:pPr>
      <w:bookmarkStart w:id="1" w:name="_Toc69801132"/>
      <w:r w:rsidRPr="005C5A6C">
        <w:lastRenderedPageBreak/>
        <w:t>NVX-CoV2373 Study Team Members</w:t>
      </w:r>
      <w:bookmarkEnd w:id="1"/>
    </w:p>
    <w:p w14:paraId="35C24100" w14:textId="7E3AC1A0" w:rsidR="00C332E8" w:rsidRDefault="00C332E8" w:rsidP="00E26DBE">
      <w:pPr>
        <w:spacing w:after="0" w:line="360" w:lineRule="auto"/>
        <w:rPr>
          <w:rFonts w:cstheme="minorHAnsi"/>
        </w:rPr>
      </w:pPr>
      <w:r>
        <w:rPr>
          <w:rFonts w:cstheme="minorHAnsi"/>
        </w:rPr>
        <w:t>The NVX-CoV2373 clinical trial was a collective group effort across multiple institutions and locations. Below is a list of sites and staff that significantly contributed to the implementation and conduct of the NVX-CoV2373-2019nCoV-</w:t>
      </w:r>
      <w:r w:rsidR="00AD20E9">
        <w:rPr>
          <w:rFonts w:cstheme="minorHAnsi"/>
        </w:rPr>
        <w:t xml:space="preserve">302 </w:t>
      </w:r>
      <w:r>
        <w:rPr>
          <w:rFonts w:cstheme="minorHAnsi"/>
        </w:rPr>
        <w:t>clinical trial.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1D11" w14:paraId="51234348" w14:textId="77777777" w:rsidTr="00E31D11">
        <w:tc>
          <w:tcPr>
            <w:tcW w:w="4675" w:type="dxa"/>
            <w:shd w:val="clear" w:color="auto" w:fill="auto"/>
          </w:tcPr>
          <w:p w14:paraId="1F5D8F31" w14:textId="24CE1E5A" w:rsidR="00E31D11" w:rsidRPr="005A4276" w:rsidRDefault="00E31D11" w:rsidP="00E31D11">
            <w:pPr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5A4276">
              <w:rPr>
                <w:rFonts w:cstheme="minorHAnsi"/>
                <w:b/>
                <w:bCs/>
              </w:rPr>
              <w:t>Site</w:t>
            </w:r>
          </w:p>
        </w:tc>
        <w:tc>
          <w:tcPr>
            <w:tcW w:w="4675" w:type="dxa"/>
            <w:shd w:val="clear" w:color="auto" w:fill="auto"/>
          </w:tcPr>
          <w:p w14:paraId="634B0C49" w14:textId="126F32DF" w:rsidR="00E31D11" w:rsidRPr="005A4276" w:rsidRDefault="00E31D11" w:rsidP="00E31D11">
            <w:pPr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5A4276">
              <w:rPr>
                <w:rFonts w:cstheme="minorHAnsi"/>
                <w:b/>
                <w:bCs/>
              </w:rPr>
              <w:t>Investigators</w:t>
            </w:r>
          </w:p>
        </w:tc>
      </w:tr>
      <w:tr w:rsidR="00E31D11" w14:paraId="48B9C9AA" w14:textId="77777777" w:rsidTr="0083592D">
        <w:tc>
          <w:tcPr>
            <w:tcW w:w="4675" w:type="dxa"/>
          </w:tcPr>
          <w:p w14:paraId="50D8F72C" w14:textId="4EFF5620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BC46C7">
              <w:rPr>
                <w:rFonts w:cstheme="minorHAnsi"/>
              </w:rPr>
              <w:t xml:space="preserve">Aberdeen Royal Infirmary, NHS Grampian </w:t>
            </w:r>
          </w:p>
        </w:tc>
        <w:tc>
          <w:tcPr>
            <w:tcW w:w="4675" w:type="dxa"/>
          </w:tcPr>
          <w:p w14:paraId="2E8F40E8" w14:textId="3497DD8C" w:rsidR="00E31D11" w:rsidRPr="00180625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BC46C7">
              <w:rPr>
                <w:rFonts w:cstheme="minorHAnsi"/>
              </w:rPr>
              <w:t>Robin Brittain-Long</w:t>
            </w:r>
            <w:r>
              <w:rPr>
                <w:rFonts w:cstheme="minorHAnsi"/>
              </w:rPr>
              <w:t xml:space="preserve">, </w:t>
            </w:r>
            <w:r>
              <w:rPr>
                <w:rFonts w:cs="Calibri"/>
                <w:color w:val="000000"/>
                <w:szCs w:val="22"/>
              </w:rPr>
              <w:t>Chiara Scicluna, Carole Edwards, Lynn Mackay, Mariella D’Allesandro, Amy Nicol, Karen Norris, Sandra Mann, Heather Lawrence, Ruth Valentine</w:t>
            </w:r>
          </w:p>
        </w:tc>
      </w:tr>
      <w:tr w:rsidR="00E31D11" w14:paraId="7A8242D9" w14:textId="77777777" w:rsidTr="0083592D">
        <w:tc>
          <w:tcPr>
            <w:tcW w:w="4675" w:type="dxa"/>
          </w:tcPr>
          <w:p w14:paraId="1A7A603E" w14:textId="411B081F" w:rsidR="00E31D11" w:rsidRPr="00BC46C7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9E76EA">
              <w:rPr>
                <w:rFonts w:cstheme="minorHAnsi"/>
              </w:rPr>
              <w:t>Accelerated Enrol</w:t>
            </w:r>
            <w:r>
              <w:rPr>
                <w:rFonts w:cstheme="minorHAnsi"/>
              </w:rPr>
              <w:t>l</w:t>
            </w:r>
            <w:r w:rsidRPr="009E76EA">
              <w:rPr>
                <w:rFonts w:cstheme="minorHAnsi"/>
              </w:rPr>
              <w:t xml:space="preserve">ment Solutions </w:t>
            </w:r>
          </w:p>
        </w:tc>
        <w:tc>
          <w:tcPr>
            <w:tcW w:w="4675" w:type="dxa"/>
          </w:tcPr>
          <w:p w14:paraId="63CAEA10" w14:textId="3FE110E2" w:rsidR="00E31D11" w:rsidRPr="00BC46C7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9E76EA">
              <w:rPr>
                <w:rFonts w:cstheme="minorHAnsi"/>
              </w:rPr>
              <w:t>Nick Richards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Helen Price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Bridie Rowbotham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Danielle Bird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Karen Smith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Olga Littler</w:t>
            </w:r>
            <w:r>
              <w:rPr>
                <w:rFonts w:cstheme="minorHAnsi"/>
              </w:rPr>
              <w:t>, K</w:t>
            </w:r>
            <w:r w:rsidRPr="009E76EA">
              <w:rPr>
                <w:rFonts w:cstheme="minorHAnsi"/>
              </w:rPr>
              <w:t>irsty Fielding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Anna Townsend-Rose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Karen Miller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Jessica Davis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Alison Elliot-Garwood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Lauren Trottier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 xml:space="preserve">Paul Edwards </w:t>
            </w:r>
          </w:p>
        </w:tc>
      </w:tr>
      <w:tr w:rsidR="00E31D11" w14:paraId="2372BEED" w14:textId="77777777" w:rsidTr="0083592D">
        <w:tc>
          <w:tcPr>
            <w:tcW w:w="4675" w:type="dxa"/>
          </w:tcPr>
          <w:p w14:paraId="724B7345" w14:textId="385172A9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Belfast Health and Trust</w:t>
            </w:r>
          </w:p>
        </w:tc>
        <w:tc>
          <w:tcPr>
            <w:tcW w:w="4675" w:type="dxa"/>
          </w:tcPr>
          <w:p w14:paraId="53920265" w14:textId="27A89EF4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180625">
              <w:rPr>
                <w:rFonts w:cstheme="minorHAnsi"/>
              </w:rPr>
              <w:t xml:space="preserve">Margaret McFarland  </w:t>
            </w:r>
          </w:p>
        </w:tc>
      </w:tr>
      <w:tr w:rsidR="00E31D11" w14:paraId="698022F7" w14:textId="77777777" w:rsidTr="0083592D">
        <w:tc>
          <w:tcPr>
            <w:tcW w:w="4675" w:type="dxa"/>
          </w:tcPr>
          <w:p w14:paraId="04134299" w14:textId="0AE6BD27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9E76EA">
              <w:rPr>
                <w:rFonts w:cstheme="minorHAnsi"/>
              </w:rPr>
              <w:t xml:space="preserve">Betsi Cadwaladr University Health Board </w:t>
            </w:r>
          </w:p>
        </w:tc>
        <w:tc>
          <w:tcPr>
            <w:tcW w:w="4675" w:type="dxa"/>
          </w:tcPr>
          <w:p w14:paraId="71EE9968" w14:textId="24C82AE8" w:rsidR="00E31D11" w:rsidRPr="00180625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9E76EA">
              <w:rPr>
                <w:rFonts w:cstheme="minorHAnsi"/>
              </w:rPr>
              <w:t>Laura Longshaw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Jane Stockport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Victoria Saul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Alice Thomas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 xml:space="preserve">Lynne Grundy </w:t>
            </w:r>
          </w:p>
        </w:tc>
      </w:tr>
      <w:tr w:rsidR="00E31D11" w14:paraId="64116CF9" w14:textId="77777777" w:rsidTr="0083592D">
        <w:tc>
          <w:tcPr>
            <w:tcW w:w="4675" w:type="dxa"/>
          </w:tcPr>
          <w:p w14:paraId="73CA450E" w14:textId="2E22C9A5" w:rsidR="00E31D11" w:rsidRPr="005A4276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>Blandford Group Practice</w:t>
            </w:r>
          </w:p>
        </w:tc>
        <w:tc>
          <w:tcPr>
            <w:tcW w:w="4675" w:type="dxa"/>
          </w:tcPr>
          <w:p w14:paraId="31C8166F" w14:textId="079E7DBC" w:rsidR="00E31D11" w:rsidRPr="005A4276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 xml:space="preserve">Katharine Lucy Broad </w:t>
            </w:r>
          </w:p>
        </w:tc>
      </w:tr>
      <w:tr w:rsidR="00E31D11" w14:paraId="166BE00C" w14:textId="77777777" w:rsidTr="0083592D">
        <w:tc>
          <w:tcPr>
            <w:tcW w:w="4675" w:type="dxa"/>
          </w:tcPr>
          <w:p w14:paraId="529D06D9" w14:textId="77777777" w:rsidR="00E31D11" w:rsidRPr="005A4276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5A4276">
              <w:rPr>
                <w:rFonts w:cstheme="minorHAnsi"/>
              </w:rPr>
              <w:t xml:space="preserve">Bradford Teaching Hospitals NHS Foundation Trust </w:t>
            </w:r>
          </w:p>
          <w:p w14:paraId="75ABAD17" w14:textId="77777777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561C4ABC" w14:textId="741922CA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5A4276">
              <w:rPr>
                <w:rFonts w:cstheme="minorHAnsi"/>
              </w:rPr>
              <w:t>Karen Regan</w:t>
            </w:r>
            <w:r>
              <w:rPr>
                <w:rFonts w:cstheme="minorHAnsi"/>
              </w:rPr>
              <w:t>,</w:t>
            </w:r>
            <w:r w:rsidRPr="005A4276">
              <w:rPr>
                <w:rFonts w:cstheme="minorHAnsi"/>
              </w:rPr>
              <w:t xml:space="preserve"> Kim Storton</w:t>
            </w:r>
            <w:r>
              <w:rPr>
                <w:rFonts w:cstheme="minorHAnsi"/>
              </w:rPr>
              <w:t xml:space="preserve">, </w:t>
            </w:r>
            <w:r w:rsidRPr="005A4276">
              <w:rPr>
                <w:rFonts w:cstheme="minorHAnsi"/>
              </w:rPr>
              <w:t>Declan Ryan-Wakeling</w:t>
            </w:r>
            <w:r>
              <w:rPr>
                <w:rFonts w:cstheme="minorHAnsi"/>
              </w:rPr>
              <w:t xml:space="preserve">, </w:t>
            </w:r>
            <w:r w:rsidRPr="005A4276">
              <w:rPr>
                <w:rFonts w:cstheme="minorHAnsi"/>
              </w:rPr>
              <w:t>Brad Wilson</w:t>
            </w:r>
            <w:r>
              <w:rPr>
                <w:rFonts w:cstheme="minorHAnsi"/>
              </w:rPr>
              <w:t xml:space="preserve">, </w:t>
            </w:r>
            <w:r w:rsidRPr="005A4276">
              <w:rPr>
                <w:rFonts w:cstheme="minorHAnsi"/>
              </w:rPr>
              <w:t>Malathy Munisamy</w:t>
            </w:r>
            <w:r>
              <w:rPr>
                <w:rFonts w:cstheme="minorHAnsi"/>
              </w:rPr>
              <w:t xml:space="preserve">, </w:t>
            </w:r>
            <w:r w:rsidRPr="005A4276">
              <w:rPr>
                <w:rFonts w:cstheme="minorHAnsi"/>
              </w:rPr>
              <w:t>John Wright</w:t>
            </w:r>
            <w:r>
              <w:rPr>
                <w:rFonts w:cstheme="minorHAnsi"/>
              </w:rPr>
              <w:t xml:space="preserve">, </w:t>
            </w:r>
            <w:r w:rsidRPr="005A4276">
              <w:rPr>
                <w:rFonts w:cstheme="minorHAnsi"/>
              </w:rPr>
              <w:t>Anil Shenoy</w:t>
            </w:r>
            <w:r>
              <w:rPr>
                <w:rFonts w:cstheme="minorHAnsi"/>
              </w:rPr>
              <w:t xml:space="preserve">, </w:t>
            </w:r>
            <w:r w:rsidRPr="005A4276">
              <w:rPr>
                <w:rFonts w:cstheme="minorHAnsi"/>
              </w:rPr>
              <w:t>Beverley English</w:t>
            </w:r>
            <w:r>
              <w:rPr>
                <w:rFonts w:cstheme="minorHAnsi"/>
              </w:rPr>
              <w:t xml:space="preserve">, </w:t>
            </w:r>
            <w:r w:rsidRPr="005A4276">
              <w:rPr>
                <w:rFonts w:cstheme="minorHAnsi"/>
              </w:rPr>
              <w:t>Lucy Brear</w:t>
            </w:r>
          </w:p>
        </w:tc>
      </w:tr>
      <w:tr w:rsidR="00E31D11" w14:paraId="284B4663" w14:textId="77777777" w:rsidTr="0083592D">
        <w:tc>
          <w:tcPr>
            <w:tcW w:w="4675" w:type="dxa"/>
          </w:tcPr>
          <w:p w14:paraId="437EE65B" w14:textId="035894E0" w:rsidR="00E31D11" w:rsidRPr="005A4276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033205">
              <w:t>Centre for Clinical Vaccinology and Tropical Medicine, University of Oxford</w:t>
            </w:r>
          </w:p>
        </w:tc>
        <w:tc>
          <w:tcPr>
            <w:tcW w:w="4675" w:type="dxa"/>
          </w:tcPr>
          <w:p w14:paraId="7657FB29" w14:textId="5C96BCAF" w:rsidR="00E31D11" w:rsidRPr="00687617" w:rsidRDefault="00E31D11" w:rsidP="00E31D11">
            <w:pPr>
              <w:spacing w:after="120" w:line="240" w:lineRule="auto"/>
            </w:pPr>
            <w:r w:rsidRPr="00687617">
              <w:t>Paola Cicconi</w:t>
            </w:r>
            <w:r>
              <w:t xml:space="preserve"> </w:t>
            </w:r>
            <w:r w:rsidRPr="00687617">
              <w:t xml:space="preserve"> </w:t>
            </w:r>
          </w:p>
        </w:tc>
      </w:tr>
      <w:tr w:rsidR="00E31D11" w14:paraId="1A671322" w14:textId="77777777" w:rsidTr="0083592D">
        <w:tc>
          <w:tcPr>
            <w:tcW w:w="4675" w:type="dxa"/>
          </w:tcPr>
          <w:p w14:paraId="6AD80C6B" w14:textId="1DD16423" w:rsidR="00E31D11" w:rsidRPr="00033205" w:rsidRDefault="00E31D11" w:rsidP="00E31D11">
            <w:pPr>
              <w:spacing w:after="120" w:line="240" w:lineRule="auto"/>
            </w:pPr>
            <w:r w:rsidRPr="0068633D">
              <w:t>Chelsea and Westminster Hospital</w:t>
            </w:r>
          </w:p>
        </w:tc>
        <w:tc>
          <w:tcPr>
            <w:tcW w:w="4675" w:type="dxa"/>
          </w:tcPr>
          <w:p w14:paraId="77299139" w14:textId="77777777" w:rsidR="00E31D11" w:rsidRPr="0044453E" w:rsidRDefault="00E31D11" w:rsidP="00E31D11">
            <w:pPr>
              <w:spacing w:after="0" w:line="240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en-GB" w:eastAsia="en-GB"/>
              </w:rPr>
            </w:pPr>
            <w:r w:rsidRPr="0044453E">
              <w:rPr>
                <w:rFonts w:asciiTheme="minorHAnsi" w:hAnsiTheme="minorHAnsi" w:cstheme="minorHAnsi"/>
                <w:szCs w:val="22"/>
              </w:rPr>
              <w:t>Ana Milinkovic, Ruth Byrne, Roya Movahedi,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44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Rosalie Housman</w:t>
            </w:r>
          </w:p>
          <w:p w14:paraId="7D615782" w14:textId="04FB4F09" w:rsidR="00E31D11" w:rsidRPr="00687617" w:rsidRDefault="00E31D11" w:rsidP="00E31D11">
            <w:pPr>
              <w:spacing w:after="120" w:line="240" w:lineRule="auto"/>
            </w:pPr>
          </w:p>
        </w:tc>
      </w:tr>
      <w:tr w:rsidR="00E31D11" w14:paraId="65893CDE" w14:textId="77777777" w:rsidTr="0083592D">
        <w:tc>
          <w:tcPr>
            <w:tcW w:w="4675" w:type="dxa"/>
          </w:tcPr>
          <w:p w14:paraId="7F55D165" w14:textId="3813C837" w:rsidR="00E31D11" w:rsidRPr="00033205" w:rsidRDefault="00E31D11" w:rsidP="00E31D11">
            <w:pPr>
              <w:spacing w:after="120" w:line="240" w:lineRule="auto"/>
            </w:pPr>
            <w:r w:rsidRPr="0068633D">
              <w:t xml:space="preserve">County Durham &amp; Darlington NHS Foundation Trust </w:t>
            </w:r>
          </w:p>
        </w:tc>
        <w:tc>
          <w:tcPr>
            <w:tcW w:w="4675" w:type="dxa"/>
          </w:tcPr>
          <w:p w14:paraId="1A4F0BED" w14:textId="4F79993E" w:rsidR="00E31D11" w:rsidRPr="00687617" w:rsidRDefault="00E31D11" w:rsidP="00E31D11">
            <w:pPr>
              <w:spacing w:after="120" w:line="240" w:lineRule="auto"/>
            </w:pPr>
            <w:r w:rsidRPr="0068633D">
              <w:t>Naveed Kara</w:t>
            </w:r>
            <w:r>
              <w:t xml:space="preserve">, </w:t>
            </w:r>
            <w:r w:rsidRPr="0068633D">
              <w:t xml:space="preserve">Ellen Brown  </w:t>
            </w:r>
          </w:p>
        </w:tc>
      </w:tr>
      <w:tr w:rsidR="00E31D11" w14:paraId="78B17580" w14:textId="77777777" w:rsidTr="0083592D">
        <w:tc>
          <w:tcPr>
            <w:tcW w:w="4675" w:type="dxa"/>
          </w:tcPr>
          <w:p w14:paraId="5CF0EC36" w14:textId="06F8C355" w:rsidR="00E31D11" w:rsidRPr="00033205" w:rsidRDefault="00E31D11" w:rsidP="00E31D11">
            <w:pPr>
              <w:spacing w:after="120" w:line="240" w:lineRule="auto"/>
            </w:pPr>
            <w:r w:rsidRPr="00687617">
              <w:t xml:space="preserve">CRN Thames Valley and South Midlands, Oxford University Hospitals NHS Foundation Trust </w:t>
            </w:r>
          </w:p>
        </w:tc>
        <w:tc>
          <w:tcPr>
            <w:tcW w:w="4675" w:type="dxa"/>
          </w:tcPr>
          <w:p w14:paraId="21A2AC1C" w14:textId="106A4543" w:rsidR="00E31D11" w:rsidRPr="00687617" w:rsidRDefault="00E31D11" w:rsidP="00E31D11">
            <w:pPr>
              <w:spacing w:after="120" w:line="240" w:lineRule="auto"/>
            </w:pPr>
            <w:r w:rsidRPr="00877099">
              <w:t xml:space="preserve">Helen Collins </w:t>
            </w:r>
          </w:p>
        </w:tc>
      </w:tr>
      <w:tr w:rsidR="00E31D11" w14:paraId="73C1B971" w14:textId="77777777" w:rsidTr="0083592D">
        <w:tc>
          <w:tcPr>
            <w:tcW w:w="4675" w:type="dxa"/>
          </w:tcPr>
          <w:p w14:paraId="4AF5ACB4" w14:textId="67A7F2B3" w:rsidR="00E31D11" w:rsidRPr="005A4276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2C0609">
              <w:rPr>
                <w:rFonts w:cstheme="minorHAnsi"/>
              </w:rPr>
              <w:t>Department of Psychiatry, University of Oxfor</w:t>
            </w:r>
            <w:r>
              <w:rPr>
                <w:rFonts w:cstheme="minorHAnsi"/>
              </w:rPr>
              <w:t>d</w:t>
            </w:r>
            <w:r w:rsidRPr="002C0609">
              <w:rPr>
                <w:rFonts w:cstheme="minorHAnsi"/>
              </w:rPr>
              <w:t xml:space="preserve"> </w:t>
            </w:r>
          </w:p>
        </w:tc>
        <w:tc>
          <w:tcPr>
            <w:tcW w:w="4675" w:type="dxa"/>
          </w:tcPr>
          <w:p w14:paraId="4DEF634F" w14:textId="387FD6CC" w:rsidR="00E31D11" w:rsidRPr="005A4276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2C0609">
              <w:rPr>
                <w:rFonts w:cstheme="minorHAnsi"/>
              </w:rPr>
              <w:t>Andrea Cipriani</w:t>
            </w:r>
            <w:r>
              <w:rPr>
                <w:rFonts w:cstheme="minorHAnsi"/>
              </w:rPr>
              <w:t xml:space="preserve">, </w:t>
            </w:r>
            <w:r w:rsidRPr="00877099">
              <w:rPr>
                <w:rFonts w:cstheme="minorHAnsi"/>
              </w:rPr>
              <w:t>Mary-Jane Attenburrow</w:t>
            </w:r>
            <w:r>
              <w:rPr>
                <w:rFonts w:cstheme="minorHAnsi"/>
              </w:rPr>
              <w:t xml:space="preserve">, </w:t>
            </w:r>
            <w:r w:rsidRPr="00877099">
              <w:rPr>
                <w:rFonts w:cstheme="minorHAnsi"/>
              </w:rPr>
              <w:t xml:space="preserve">Katharine A Smith </w:t>
            </w:r>
          </w:p>
        </w:tc>
      </w:tr>
      <w:tr w:rsidR="00E31D11" w14:paraId="06D911A2" w14:textId="77777777" w:rsidTr="0083592D">
        <w:tc>
          <w:tcPr>
            <w:tcW w:w="4675" w:type="dxa"/>
          </w:tcPr>
          <w:p w14:paraId="69F42BE5" w14:textId="1B6033FE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>Dorset Research Hub, Royal Bournemouth Hospital, University Hospitals Dorset NHS Foundation Trust</w:t>
            </w:r>
          </w:p>
        </w:tc>
        <w:tc>
          <w:tcPr>
            <w:tcW w:w="4675" w:type="dxa"/>
          </w:tcPr>
          <w:p w14:paraId="5744D62B" w14:textId="54B74F9E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 xml:space="preserve">Geoff Sparrow </w:t>
            </w:r>
          </w:p>
        </w:tc>
      </w:tr>
      <w:tr w:rsidR="00E31D11" w14:paraId="438EC102" w14:textId="77777777" w:rsidTr="0083592D">
        <w:tc>
          <w:tcPr>
            <w:tcW w:w="4675" w:type="dxa"/>
          </w:tcPr>
          <w:p w14:paraId="50861771" w14:textId="17765105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3E77BA">
              <w:rPr>
                <w:rFonts w:cstheme="minorHAnsi"/>
              </w:rPr>
              <w:t>East Suffolk and North Essex NHS Foundation Trust</w:t>
            </w:r>
          </w:p>
        </w:tc>
        <w:tc>
          <w:tcPr>
            <w:tcW w:w="4675" w:type="dxa"/>
          </w:tcPr>
          <w:p w14:paraId="5B63DDFC" w14:textId="77777777" w:rsidR="00E31D11" w:rsidRPr="0044453E" w:rsidRDefault="00E31D11" w:rsidP="00E31D1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lang w:val="en-GB" w:eastAsia="en-GB"/>
              </w:rPr>
            </w:pPr>
            <w:r w:rsidRPr="003E77BA">
              <w:rPr>
                <w:rFonts w:cstheme="minorHAnsi"/>
              </w:rPr>
              <w:t>Josephine M Rosier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Khalid Saja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Nyasha Nago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Brian Camilleri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Anita Immanuel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Mike Hamblin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Rawlings Osagie</w:t>
            </w:r>
            <w:r>
              <w:rPr>
                <w:rFonts w:cstheme="minorHAnsi"/>
              </w:rPr>
              <w:t xml:space="preserve">, </w:t>
            </w:r>
            <w:r w:rsidRPr="0044453E">
              <w:rPr>
                <w:rFonts w:cs="Calibri"/>
                <w:szCs w:val="22"/>
              </w:rPr>
              <w:t>Mahalakshmi Mohan</w:t>
            </w:r>
          </w:p>
          <w:p w14:paraId="433E2E9B" w14:textId="1BED6387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E31D11" w14:paraId="08D8A59C" w14:textId="77777777" w:rsidTr="0083592D">
        <w:tc>
          <w:tcPr>
            <w:tcW w:w="4675" w:type="dxa"/>
          </w:tcPr>
          <w:p w14:paraId="568F3541" w14:textId="7D0FF39A" w:rsidR="00E31D11" w:rsidRPr="003E77BA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9E76EA">
              <w:rPr>
                <w:rFonts w:cstheme="minorHAnsi"/>
              </w:rPr>
              <w:t>Epsom and St Helier University Hospitals NHS Trust</w:t>
            </w:r>
          </w:p>
        </w:tc>
        <w:tc>
          <w:tcPr>
            <w:tcW w:w="4675" w:type="dxa"/>
          </w:tcPr>
          <w:p w14:paraId="4EFADC0C" w14:textId="3A61336E" w:rsidR="00E31D11" w:rsidRPr="003E77BA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9E76EA">
              <w:rPr>
                <w:rFonts w:cstheme="minorHAnsi"/>
              </w:rPr>
              <w:t>Hilary Floyd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Suzanne Goddard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Sanjay Mutgi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John Evans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Sean McKeon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Neringa Vilimiene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Rosavic Chicano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Rachel Hayre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Alice Pandaan</w:t>
            </w:r>
            <w:r>
              <w:rPr>
                <w:rFonts w:cstheme="minorHAnsi"/>
              </w:rPr>
              <w:t xml:space="preserve"> </w:t>
            </w:r>
          </w:p>
        </w:tc>
      </w:tr>
      <w:tr w:rsidR="00E31D11" w14:paraId="6EDE131C" w14:textId="77777777" w:rsidTr="0083592D">
        <w:tc>
          <w:tcPr>
            <w:tcW w:w="4675" w:type="dxa"/>
          </w:tcPr>
          <w:p w14:paraId="7A55FEB3" w14:textId="3DFED54F" w:rsidR="00E31D11" w:rsidRPr="003E77BA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7D14B9">
              <w:t xml:space="preserve">Health and Care Research Wales </w:t>
            </w:r>
          </w:p>
        </w:tc>
        <w:tc>
          <w:tcPr>
            <w:tcW w:w="4675" w:type="dxa"/>
          </w:tcPr>
          <w:p w14:paraId="50191F99" w14:textId="744A0313" w:rsidR="00E31D11" w:rsidRPr="00922469" w:rsidRDefault="00E31D11" w:rsidP="00E31D11">
            <w:pPr>
              <w:spacing w:after="120" w:line="240" w:lineRule="auto"/>
            </w:pPr>
            <w:r>
              <w:t xml:space="preserve">Nicola Williams, Jayne Goodwin </w:t>
            </w:r>
          </w:p>
        </w:tc>
      </w:tr>
      <w:tr w:rsidR="00E31D11" w14:paraId="1E45E6F9" w14:textId="77777777" w:rsidTr="0083592D">
        <w:tc>
          <w:tcPr>
            <w:tcW w:w="4675" w:type="dxa"/>
          </w:tcPr>
          <w:p w14:paraId="589013E7" w14:textId="5664E5C3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>Highcliffe Medical Centre</w:t>
            </w:r>
          </w:p>
        </w:tc>
        <w:tc>
          <w:tcPr>
            <w:tcW w:w="4675" w:type="dxa"/>
          </w:tcPr>
          <w:p w14:paraId="2A587324" w14:textId="77CF5F66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 xml:space="preserve">Zelda Cheng </w:t>
            </w:r>
          </w:p>
        </w:tc>
      </w:tr>
      <w:tr w:rsidR="00E31D11" w14:paraId="34BE8D73" w14:textId="77777777" w:rsidTr="0083592D">
        <w:tc>
          <w:tcPr>
            <w:tcW w:w="4675" w:type="dxa"/>
          </w:tcPr>
          <w:p w14:paraId="7ABAAF74" w14:textId="698BCC08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2C0609">
              <w:rPr>
                <w:rFonts w:cstheme="minorHAnsi"/>
              </w:rPr>
              <w:lastRenderedPageBreak/>
              <w:t xml:space="preserve">Keele University </w:t>
            </w:r>
          </w:p>
        </w:tc>
        <w:tc>
          <w:tcPr>
            <w:tcW w:w="4675" w:type="dxa"/>
          </w:tcPr>
          <w:p w14:paraId="66E9DC8A" w14:textId="05FCD849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2C0609">
              <w:rPr>
                <w:rFonts w:cstheme="minorHAnsi"/>
              </w:rPr>
              <w:t>Toby Helliwell</w:t>
            </w:r>
            <w:r>
              <w:rPr>
                <w:rFonts w:cstheme="minorHAnsi"/>
              </w:rPr>
              <w:t xml:space="preserve">, </w:t>
            </w:r>
            <w:r w:rsidRPr="002C0609">
              <w:rPr>
                <w:rFonts w:cstheme="minorHAnsi"/>
              </w:rPr>
              <w:t xml:space="preserve">Adrian Chudyk </w:t>
            </w:r>
          </w:p>
        </w:tc>
      </w:tr>
      <w:tr w:rsidR="00E31D11" w14:paraId="71B83570" w14:textId="77777777" w:rsidTr="0083592D">
        <w:tc>
          <w:tcPr>
            <w:tcW w:w="4675" w:type="dxa"/>
          </w:tcPr>
          <w:p w14:paraId="29C3CC03" w14:textId="77777777" w:rsidR="00E31D11" w:rsidRPr="00BC46C7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BC46C7">
              <w:rPr>
                <w:rFonts w:cstheme="minorHAnsi"/>
              </w:rPr>
              <w:t xml:space="preserve">Kings College London </w:t>
            </w:r>
          </w:p>
          <w:p w14:paraId="34481334" w14:textId="77777777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4C158C67" w14:textId="05C649E8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BC46C7">
              <w:rPr>
                <w:rFonts w:cstheme="minorHAnsi"/>
              </w:rPr>
              <w:t>Rafaela Giemza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John Lord Villajin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Noah Yogo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Esther Makanju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Pearl Dulawan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Deepak Nagra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April Buazon</w:t>
            </w:r>
            <w:r>
              <w:rPr>
                <w:rFonts w:cstheme="minorHAnsi"/>
              </w:rPr>
              <w:t>,</w:t>
            </w:r>
            <w:r w:rsidRPr="00BC46C7">
              <w:rPr>
                <w:rFonts w:cstheme="minorHAnsi"/>
              </w:rPr>
              <w:t xml:space="preserve"> Alice Russell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 xml:space="preserve">Georgie Bird </w:t>
            </w:r>
          </w:p>
        </w:tc>
      </w:tr>
      <w:tr w:rsidR="00E31D11" w14:paraId="01B0F16F" w14:textId="77777777" w:rsidTr="0083592D">
        <w:tc>
          <w:tcPr>
            <w:tcW w:w="4675" w:type="dxa"/>
          </w:tcPr>
          <w:p w14:paraId="42E70AB7" w14:textId="6BDFC20D" w:rsidR="00E31D11" w:rsidRPr="00BC46C7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9E76EA">
              <w:rPr>
                <w:rFonts w:cstheme="minorHAnsi"/>
              </w:rPr>
              <w:t>Lakeside Healthcare Research, Lakeside Surgery</w:t>
            </w:r>
          </w:p>
        </w:tc>
        <w:tc>
          <w:tcPr>
            <w:tcW w:w="4675" w:type="dxa"/>
          </w:tcPr>
          <w:p w14:paraId="3492E03A" w14:textId="3F00BAA5" w:rsidR="00E31D11" w:rsidRPr="00BC46C7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9E76EA">
              <w:rPr>
                <w:rFonts w:cstheme="minorHAnsi"/>
              </w:rPr>
              <w:t>Rex Sarmiento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Balraj Sanghera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Melanie Mullin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Adam Champion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Aisling Bevan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Kinzah Iqbal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 xml:space="preserve">Alshia Johnson </w:t>
            </w:r>
          </w:p>
        </w:tc>
      </w:tr>
      <w:tr w:rsidR="00E31D11" w14:paraId="3F2232DF" w14:textId="77777777" w:rsidTr="0083592D">
        <w:tc>
          <w:tcPr>
            <w:tcW w:w="4675" w:type="dxa"/>
          </w:tcPr>
          <w:p w14:paraId="7C2AD310" w14:textId="1A051C1E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 xml:space="preserve">Layton Medical Centre </w:t>
            </w:r>
          </w:p>
        </w:tc>
        <w:tc>
          <w:tcPr>
            <w:tcW w:w="4675" w:type="dxa"/>
          </w:tcPr>
          <w:p w14:paraId="11EFFF4F" w14:textId="508A7F8B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>Sarah Shaw</w:t>
            </w:r>
            <w:r>
              <w:rPr>
                <w:rFonts w:cstheme="minorHAnsi"/>
              </w:rPr>
              <w:t xml:space="preserve">, </w:t>
            </w:r>
            <w:r w:rsidRPr="00E472B1">
              <w:rPr>
                <w:rFonts w:cstheme="minorHAnsi"/>
              </w:rPr>
              <w:t>Steven Shaw</w:t>
            </w:r>
            <w:r>
              <w:rPr>
                <w:rFonts w:cstheme="minorHAnsi"/>
              </w:rPr>
              <w:t xml:space="preserve">, </w:t>
            </w:r>
            <w:r w:rsidRPr="00E472B1">
              <w:rPr>
                <w:rFonts w:cstheme="minorHAnsi"/>
              </w:rPr>
              <w:t>Amanda Chalk</w:t>
            </w:r>
            <w:r>
              <w:rPr>
                <w:rFonts w:cstheme="minorHAnsi"/>
              </w:rPr>
              <w:t xml:space="preserve">, </w:t>
            </w:r>
            <w:r w:rsidRPr="00E472B1">
              <w:rPr>
                <w:rFonts w:cstheme="minorHAnsi"/>
              </w:rPr>
              <w:t>Martin Lovatt</w:t>
            </w:r>
            <w:r>
              <w:rPr>
                <w:rFonts w:cstheme="minorHAnsi"/>
              </w:rPr>
              <w:t xml:space="preserve">, </w:t>
            </w:r>
            <w:r w:rsidRPr="00E472B1">
              <w:rPr>
                <w:rFonts w:cstheme="minorHAnsi"/>
              </w:rPr>
              <w:t>Caroline Lillicrap</w:t>
            </w:r>
            <w:r>
              <w:rPr>
                <w:rFonts w:cstheme="minorHAnsi"/>
              </w:rPr>
              <w:t xml:space="preserve">, </w:t>
            </w:r>
            <w:r w:rsidRPr="00E472B1">
              <w:rPr>
                <w:rFonts w:cstheme="minorHAnsi"/>
              </w:rPr>
              <w:t>Angela Parker</w:t>
            </w:r>
            <w:r>
              <w:rPr>
                <w:rFonts w:cstheme="minorHAnsi"/>
              </w:rPr>
              <w:t xml:space="preserve">, </w:t>
            </w:r>
            <w:r w:rsidRPr="00E472B1">
              <w:rPr>
                <w:rFonts w:cstheme="minorHAnsi"/>
              </w:rPr>
              <w:t>Jan Hansel</w:t>
            </w:r>
            <w:r>
              <w:rPr>
                <w:rFonts w:cstheme="minorHAnsi"/>
              </w:rPr>
              <w:t xml:space="preserve">, </w:t>
            </w:r>
            <w:r w:rsidRPr="00E472B1">
              <w:rPr>
                <w:rFonts w:cstheme="minorHAnsi"/>
              </w:rPr>
              <w:t>Zhi Wong</w:t>
            </w:r>
            <w:r>
              <w:rPr>
                <w:rFonts w:cstheme="minorHAnsi"/>
              </w:rPr>
              <w:t xml:space="preserve">, </w:t>
            </w:r>
            <w:r w:rsidRPr="00E472B1">
              <w:rPr>
                <w:rFonts w:cstheme="minorHAnsi"/>
              </w:rPr>
              <w:t>Galvin Gan</w:t>
            </w:r>
            <w:r>
              <w:rPr>
                <w:rFonts w:cstheme="minorHAnsi"/>
              </w:rPr>
              <w:t xml:space="preserve">, </w:t>
            </w:r>
            <w:r w:rsidRPr="00E472B1">
              <w:rPr>
                <w:rFonts w:cstheme="minorHAnsi"/>
              </w:rPr>
              <w:t xml:space="preserve">Eyad Tuma </w:t>
            </w:r>
          </w:p>
        </w:tc>
      </w:tr>
      <w:tr w:rsidR="00E31D11" w14:paraId="17E214E4" w14:textId="77777777" w:rsidTr="0083592D">
        <w:tc>
          <w:tcPr>
            <w:tcW w:w="4675" w:type="dxa"/>
          </w:tcPr>
          <w:p w14:paraId="1E065F31" w14:textId="6C4BE6D6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7B2A51">
              <w:rPr>
                <w:rFonts w:cstheme="minorHAnsi"/>
              </w:rPr>
              <w:t>Leeds Teaching Hospitals NHS Trust</w:t>
            </w:r>
          </w:p>
        </w:tc>
        <w:tc>
          <w:tcPr>
            <w:tcW w:w="4675" w:type="dxa"/>
          </w:tcPr>
          <w:p w14:paraId="757EADE5" w14:textId="0419D568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7B2A51">
              <w:rPr>
                <w:rFonts w:cstheme="minorHAnsi"/>
              </w:rPr>
              <w:t>Jennifer Murira</w:t>
            </w:r>
            <w:r>
              <w:rPr>
                <w:rFonts w:cstheme="minorHAnsi"/>
              </w:rPr>
              <w:t xml:space="preserve">, </w:t>
            </w:r>
            <w:r w:rsidRPr="007B2A51">
              <w:rPr>
                <w:rFonts w:cstheme="minorHAnsi"/>
              </w:rPr>
              <w:t>Razan Saman</w:t>
            </w:r>
            <w:r>
              <w:rPr>
                <w:rFonts w:cstheme="minorHAnsi"/>
              </w:rPr>
              <w:t xml:space="preserve">, </w:t>
            </w:r>
            <w:r w:rsidRPr="007B2A51">
              <w:rPr>
                <w:rFonts w:cstheme="minorHAnsi"/>
              </w:rPr>
              <w:t>Alistair Hall</w:t>
            </w:r>
            <w:r>
              <w:rPr>
                <w:rFonts w:cstheme="minorHAnsi"/>
              </w:rPr>
              <w:t xml:space="preserve">, </w:t>
            </w:r>
            <w:r w:rsidRPr="007B2A51">
              <w:rPr>
                <w:rFonts w:cstheme="minorHAnsi"/>
              </w:rPr>
              <w:t>Kyra Holliday</w:t>
            </w:r>
            <w:r>
              <w:rPr>
                <w:rFonts w:cstheme="minorHAnsi"/>
              </w:rPr>
              <w:t xml:space="preserve">, </w:t>
            </w:r>
            <w:r w:rsidRPr="007B2A51">
              <w:rPr>
                <w:rFonts w:cstheme="minorHAnsi"/>
              </w:rPr>
              <w:t>Zara Khan</w:t>
            </w:r>
            <w:r>
              <w:rPr>
                <w:rFonts w:cstheme="minorHAnsi"/>
              </w:rPr>
              <w:t xml:space="preserve">, </w:t>
            </w:r>
            <w:r w:rsidRPr="007B2A51">
              <w:rPr>
                <w:rFonts w:cstheme="minorHAnsi"/>
              </w:rPr>
              <w:t>James Calderwood</w:t>
            </w:r>
            <w:r>
              <w:rPr>
                <w:rFonts w:cstheme="minorHAnsi"/>
              </w:rPr>
              <w:t xml:space="preserve">, </w:t>
            </w:r>
            <w:r w:rsidRPr="007B2A51">
              <w:rPr>
                <w:rFonts w:cstheme="minorHAnsi"/>
              </w:rPr>
              <w:t>George Twigg</w:t>
            </w:r>
            <w:r>
              <w:rPr>
                <w:rFonts w:cstheme="minorHAnsi"/>
              </w:rPr>
              <w:t xml:space="preserve">, </w:t>
            </w:r>
            <w:r w:rsidRPr="007B2A51">
              <w:rPr>
                <w:rFonts w:cstheme="minorHAnsi"/>
              </w:rPr>
              <w:t>Helena Baker</w:t>
            </w:r>
            <w:r>
              <w:rPr>
                <w:rFonts w:cstheme="minorHAnsi"/>
              </w:rPr>
              <w:t xml:space="preserve">, </w:t>
            </w:r>
            <w:r w:rsidRPr="007B2A51">
              <w:rPr>
                <w:rFonts w:cstheme="minorHAnsi"/>
              </w:rPr>
              <w:t>Julie Corrigan</w:t>
            </w:r>
            <w:r>
              <w:rPr>
                <w:rFonts w:cstheme="minorHAnsi"/>
              </w:rPr>
              <w:t xml:space="preserve">, </w:t>
            </w:r>
            <w:r w:rsidRPr="007B2A51">
              <w:rPr>
                <w:rFonts w:cstheme="minorHAnsi"/>
              </w:rPr>
              <w:t xml:space="preserve">Katy Houseman </w:t>
            </w:r>
          </w:p>
        </w:tc>
      </w:tr>
      <w:tr w:rsidR="00E31D11" w14:paraId="27D61B41" w14:textId="77777777" w:rsidTr="0083592D">
        <w:tc>
          <w:tcPr>
            <w:tcW w:w="4675" w:type="dxa"/>
          </w:tcPr>
          <w:p w14:paraId="5BDB9128" w14:textId="77777777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2C0609">
              <w:rPr>
                <w:rFonts w:cstheme="minorHAnsi"/>
              </w:rPr>
              <w:t xml:space="preserve">Midlands Partnership NHS Foundation Trust </w:t>
            </w:r>
          </w:p>
          <w:p w14:paraId="091EB08F" w14:textId="77777777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79680D60" w14:textId="4117AE18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2C0609">
              <w:rPr>
                <w:rFonts w:cstheme="minorHAnsi"/>
              </w:rPr>
              <w:t>Subhra Raguvanshi</w:t>
            </w:r>
            <w:r>
              <w:rPr>
                <w:rFonts w:cstheme="minorHAnsi"/>
              </w:rPr>
              <w:t xml:space="preserve">, </w:t>
            </w:r>
            <w:r w:rsidRPr="002C0609">
              <w:rPr>
                <w:rFonts w:cstheme="minorHAnsi"/>
              </w:rPr>
              <w:t>Dominic Heining</w:t>
            </w:r>
            <w:r>
              <w:rPr>
                <w:rFonts w:cstheme="minorHAnsi"/>
              </w:rPr>
              <w:t xml:space="preserve">, </w:t>
            </w:r>
            <w:r w:rsidRPr="002C0609">
              <w:rPr>
                <w:rFonts w:cstheme="minorHAnsi"/>
              </w:rPr>
              <w:t>Jake Weddell</w:t>
            </w:r>
            <w:r>
              <w:rPr>
                <w:rFonts w:cstheme="minorHAnsi"/>
              </w:rPr>
              <w:t xml:space="preserve">, </w:t>
            </w:r>
            <w:r w:rsidRPr="002C0609">
              <w:rPr>
                <w:rFonts w:cstheme="minorHAnsi"/>
              </w:rPr>
              <w:t>Liz Glaves</w:t>
            </w:r>
            <w:r>
              <w:rPr>
                <w:rFonts w:cstheme="minorHAnsi"/>
              </w:rPr>
              <w:t xml:space="preserve">, </w:t>
            </w:r>
            <w:r w:rsidRPr="002C0609">
              <w:rPr>
                <w:rFonts w:cstheme="minorHAnsi"/>
              </w:rPr>
              <w:t>Kim Thompson</w:t>
            </w:r>
            <w:r>
              <w:rPr>
                <w:rFonts w:cstheme="minorHAnsi"/>
              </w:rPr>
              <w:t xml:space="preserve">, </w:t>
            </w:r>
            <w:r w:rsidRPr="002C0609">
              <w:rPr>
                <w:rFonts w:cstheme="minorHAnsi"/>
              </w:rPr>
              <w:t>Francis Davies</w:t>
            </w:r>
            <w:r>
              <w:rPr>
                <w:rFonts w:cstheme="minorHAnsi"/>
              </w:rPr>
              <w:t xml:space="preserve">, </w:t>
            </w:r>
            <w:r w:rsidRPr="002C0609">
              <w:rPr>
                <w:rFonts w:cstheme="minorHAnsi"/>
              </w:rPr>
              <w:t xml:space="preserve">Ruth Lambley Burke </w:t>
            </w:r>
          </w:p>
        </w:tc>
      </w:tr>
      <w:tr w:rsidR="00E31D11" w14:paraId="537FF5C2" w14:textId="77777777" w:rsidTr="0083592D">
        <w:tc>
          <w:tcPr>
            <w:tcW w:w="4675" w:type="dxa"/>
          </w:tcPr>
          <w:p w14:paraId="02477378" w14:textId="77777777" w:rsidR="00E31D11" w:rsidRPr="0044453E" w:rsidRDefault="00E31D11" w:rsidP="00E31D11">
            <w:pPr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lang w:val="en-GB" w:eastAsia="en-GB"/>
              </w:rPr>
            </w:pPr>
            <w:r w:rsidRPr="0044453E">
              <w:rPr>
                <w:rFonts w:asciiTheme="minorHAnsi" w:hAnsiTheme="minorHAnsi" w:cstheme="minorHAnsi"/>
                <w:color w:val="000000"/>
                <w:szCs w:val="22"/>
              </w:rPr>
              <w:t>Guy's and St Thomas' NHS Foundation Trust NIHR BRC</w:t>
            </w:r>
          </w:p>
          <w:p w14:paraId="5BE05E5C" w14:textId="447E9DC5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4990CFC8" w14:textId="538FE0CB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180625">
              <w:rPr>
                <w:rFonts w:cstheme="minorHAnsi"/>
              </w:rPr>
              <w:t>Sonia Serrano</w:t>
            </w:r>
            <w:r>
              <w:rPr>
                <w:rFonts w:cstheme="minorHAnsi"/>
              </w:rPr>
              <w:t xml:space="preserve">, </w:t>
            </w:r>
            <w:r w:rsidRPr="00180625">
              <w:rPr>
                <w:rFonts w:cstheme="minorHAnsi"/>
              </w:rPr>
              <w:t>Andrea Mazzella</w:t>
            </w:r>
            <w:r>
              <w:rPr>
                <w:rFonts w:cstheme="minorHAnsi"/>
              </w:rPr>
              <w:t xml:space="preserve">, </w:t>
            </w:r>
            <w:r w:rsidRPr="00180625">
              <w:rPr>
                <w:rFonts w:cstheme="minorHAnsi"/>
              </w:rPr>
              <w:t>Thurkka Rajeswaran</w:t>
            </w:r>
            <w:r>
              <w:rPr>
                <w:rFonts w:cstheme="minorHAnsi"/>
              </w:rPr>
              <w:t xml:space="preserve">, </w:t>
            </w:r>
            <w:r w:rsidRPr="00180625">
              <w:rPr>
                <w:rFonts w:cstheme="minorHAnsi"/>
              </w:rPr>
              <w:t>Moncy Mathew</w:t>
            </w:r>
            <w:r>
              <w:rPr>
                <w:rFonts w:cstheme="minorHAnsi"/>
              </w:rPr>
              <w:t xml:space="preserve">, </w:t>
            </w:r>
            <w:r w:rsidRPr="00180625">
              <w:rPr>
                <w:rFonts w:cstheme="minorHAnsi"/>
              </w:rPr>
              <w:t>Karen Bisnauthsing</w:t>
            </w:r>
            <w:r>
              <w:rPr>
                <w:rFonts w:cstheme="minorHAnsi"/>
              </w:rPr>
              <w:t xml:space="preserve">, </w:t>
            </w:r>
            <w:r w:rsidRPr="00180625">
              <w:rPr>
                <w:rFonts w:cstheme="minorHAnsi"/>
              </w:rPr>
              <w:t>Laura Bremner</w:t>
            </w:r>
            <w:r>
              <w:rPr>
                <w:rFonts w:cstheme="minorHAnsi"/>
              </w:rPr>
              <w:t xml:space="preserve">, </w:t>
            </w:r>
            <w:r w:rsidRPr="00180625">
              <w:rPr>
                <w:rFonts w:cstheme="minorHAnsi"/>
              </w:rPr>
              <w:t>Henry Fok</w:t>
            </w:r>
            <w:r>
              <w:rPr>
                <w:rFonts w:cstheme="minorHAnsi"/>
              </w:rPr>
              <w:t xml:space="preserve">, </w:t>
            </w:r>
            <w:r w:rsidRPr="00180625">
              <w:rPr>
                <w:rFonts w:cstheme="minorHAnsi"/>
              </w:rPr>
              <w:t>Franca Morselli</w:t>
            </w:r>
            <w:r>
              <w:rPr>
                <w:rFonts w:cstheme="minorHAnsi"/>
              </w:rPr>
              <w:t xml:space="preserve">, </w:t>
            </w:r>
            <w:r w:rsidRPr="00180625">
              <w:rPr>
                <w:rFonts w:cstheme="minorHAnsi"/>
              </w:rPr>
              <w:t>Paola Cinardo</w:t>
            </w:r>
            <w:r>
              <w:rPr>
                <w:rFonts w:cstheme="minorHAnsi"/>
              </w:rPr>
              <w:t xml:space="preserve">, </w:t>
            </w:r>
            <w:r w:rsidRPr="00180625">
              <w:rPr>
                <w:rFonts w:cstheme="minorHAnsi"/>
              </w:rPr>
              <w:t>Blair Merrick</w:t>
            </w:r>
            <w:r>
              <w:rPr>
                <w:rFonts w:cstheme="minorHAnsi"/>
              </w:rPr>
              <w:t xml:space="preserve">, </w:t>
            </w:r>
            <w:r w:rsidRPr="00180625">
              <w:rPr>
                <w:rFonts w:cstheme="minorHAnsi"/>
              </w:rPr>
              <w:t xml:space="preserve">Lucy Sowole </w:t>
            </w:r>
          </w:p>
        </w:tc>
      </w:tr>
      <w:tr w:rsidR="00E31D11" w14:paraId="430BC493" w14:textId="77777777" w:rsidTr="0083592D">
        <w:tc>
          <w:tcPr>
            <w:tcW w:w="4675" w:type="dxa"/>
          </w:tcPr>
          <w:p w14:paraId="6F0405F7" w14:textId="51AF9FE4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>NIHR Clinical Research Facility, University Hospital Southampton NHS Foundation Trust</w:t>
            </w:r>
          </w:p>
        </w:tc>
        <w:tc>
          <w:tcPr>
            <w:tcW w:w="4675" w:type="dxa"/>
          </w:tcPr>
          <w:p w14:paraId="0865C38E" w14:textId="5995C6FE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 xml:space="preserve">Lisa Berry </w:t>
            </w:r>
          </w:p>
        </w:tc>
      </w:tr>
      <w:tr w:rsidR="00E31D11" w14:paraId="3F67CF57" w14:textId="77777777" w:rsidTr="0083592D">
        <w:tc>
          <w:tcPr>
            <w:tcW w:w="4675" w:type="dxa"/>
          </w:tcPr>
          <w:p w14:paraId="358118C4" w14:textId="2FF2D81F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>NIHR Southampton Clinical Research Facility and NIHR Wessex Local Clinical Research Network, University Hospital Southampton NHS Foundation Trust</w:t>
            </w:r>
          </w:p>
        </w:tc>
        <w:tc>
          <w:tcPr>
            <w:tcW w:w="4675" w:type="dxa"/>
          </w:tcPr>
          <w:p w14:paraId="20D4BA53" w14:textId="77777777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>Mihaela Pacurar</w:t>
            </w:r>
            <w:r>
              <w:rPr>
                <w:rFonts w:cstheme="minorHAnsi"/>
              </w:rPr>
              <w:t xml:space="preserve">, </w:t>
            </w:r>
            <w:r w:rsidRPr="00E472B1">
              <w:rPr>
                <w:rFonts w:cstheme="minorHAnsi"/>
              </w:rPr>
              <w:t xml:space="preserve">Saul N Faust </w:t>
            </w:r>
          </w:p>
          <w:p w14:paraId="730C7169" w14:textId="00CA3F21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 xml:space="preserve"> </w:t>
            </w:r>
          </w:p>
        </w:tc>
      </w:tr>
      <w:tr w:rsidR="00E31D11" w14:paraId="3EFC2C73" w14:textId="77777777" w:rsidTr="0083592D">
        <w:tc>
          <w:tcPr>
            <w:tcW w:w="4675" w:type="dxa"/>
          </w:tcPr>
          <w:p w14:paraId="0C8A22BC" w14:textId="69E48AC9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2C0609">
              <w:rPr>
                <w:rFonts w:cstheme="minorHAnsi"/>
              </w:rPr>
              <w:t xml:space="preserve">NIHR Clinical Research Network, Thames Valley and South Midlands </w:t>
            </w:r>
          </w:p>
        </w:tc>
        <w:tc>
          <w:tcPr>
            <w:tcW w:w="4675" w:type="dxa"/>
          </w:tcPr>
          <w:p w14:paraId="2A634FE1" w14:textId="684B607F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2C0609">
              <w:rPr>
                <w:rFonts w:cstheme="minorHAnsi"/>
              </w:rPr>
              <w:t>Nancy Hopewell</w:t>
            </w:r>
            <w:r>
              <w:rPr>
                <w:rFonts w:cstheme="minorHAnsi"/>
              </w:rPr>
              <w:t xml:space="preserve">, </w:t>
            </w:r>
            <w:r w:rsidRPr="002C0609">
              <w:rPr>
                <w:rFonts w:cstheme="minorHAnsi"/>
              </w:rPr>
              <w:t xml:space="preserve">Leigh Gerdes </w:t>
            </w:r>
          </w:p>
        </w:tc>
      </w:tr>
      <w:tr w:rsidR="00E31D11" w14:paraId="76AD5146" w14:textId="77777777" w:rsidTr="0083592D">
        <w:tc>
          <w:tcPr>
            <w:tcW w:w="4675" w:type="dxa"/>
          </w:tcPr>
          <w:p w14:paraId="6B421D14" w14:textId="5D4C222F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A31E6F">
              <w:t>Norfolk and Norwich University Hospital NHS Foundation Trust</w:t>
            </w:r>
          </w:p>
        </w:tc>
        <w:tc>
          <w:tcPr>
            <w:tcW w:w="4675" w:type="dxa"/>
          </w:tcPr>
          <w:p w14:paraId="62627848" w14:textId="77B79340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9E76EA">
              <w:rPr>
                <w:rFonts w:cstheme="minorHAnsi"/>
              </w:rPr>
              <w:t>Adele Cooper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Jocelyn Keshet-Price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Lou Coke</w:t>
            </w:r>
            <w:r>
              <w:rPr>
                <w:rFonts w:cstheme="minorHAnsi"/>
              </w:rPr>
              <w:t xml:space="preserve">, </w:t>
            </w:r>
            <w:r w:rsidRPr="0044453E">
              <w:rPr>
                <w:rFonts w:asciiTheme="minorHAnsi" w:hAnsiTheme="minorHAnsi" w:cstheme="minorHAnsi"/>
                <w:szCs w:val="22"/>
              </w:rPr>
              <w:t xml:space="preserve">Melissa Cambell-Kelly, Ketan Dhatariya, Claire Williams , Georgina Marks, James Sudbury, Lisa </w:t>
            </w:r>
            <w:r w:rsidRPr="0044453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Rodolico</w:t>
            </w:r>
          </w:p>
        </w:tc>
      </w:tr>
      <w:tr w:rsidR="00E31D11" w14:paraId="0E4A58FC" w14:textId="77777777" w:rsidTr="0083592D">
        <w:tc>
          <w:tcPr>
            <w:tcW w:w="4675" w:type="dxa"/>
          </w:tcPr>
          <w:p w14:paraId="7213D294" w14:textId="002CFC7A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1E079B">
              <w:rPr>
                <w:rFonts w:cstheme="minorHAnsi"/>
              </w:rPr>
              <w:t>Northern Ireland Clinical Research Facility, Queen's University Belfast and Belfast Health and Social Care Trust</w:t>
            </w:r>
          </w:p>
        </w:tc>
        <w:tc>
          <w:tcPr>
            <w:tcW w:w="4675" w:type="dxa"/>
          </w:tcPr>
          <w:p w14:paraId="7D82642F" w14:textId="2B8F0E94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180625">
              <w:rPr>
                <w:rFonts w:cstheme="minorHAnsi"/>
              </w:rPr>
              <w:t>Judy Bradley</w:t>
            </w:r>
            <w:r>
              <w:rPr>
                <w:rFonts w:cstheme="minorHAnsi"/>
              </w:rPr>
              <w:t xml:space="preserve">, </w:t>
            </w:r>
            <w:r w:rsidRPr="00180625">
              <w:rPr>
                <w:rFonts w:cstheme="minorHAnsi"/>
              </w:rPr>
              <w:t>Sharon Carr</w:t>
            </w:r>
            <w:r>
              <w:rPr>
                <w:rFonts w:cstheme="minorHAnsi"/>
              </w:rPr>
              <w:t xml:space="preserve">, </w:t>
            </w:r>
            <w:r w:rsidRPr="00180625">
              <w:rPr>
                <w:rFonts w:cstheme="minorHAnsi"/>
              </w:rPr>
              <w:t>Roisin Martin</w:t>
            </w:r>
            <w:r>
              <w:rPr>
                <w:rFonts w:cstheme="minorHAnsi"/>
              </w:rPr>
              <w:t xml:space="preserve">, </w:t>
            </w:r>
            <w:r w:rsidRPr="00180625">
              <w:rPr>
                <w:rFonts w:cstheme="minorHAnsi"/>
              </w:rPr>
              <w:t>Angelina Madden</w:t>
            </w:r>
            <w:r>
              <w:rPr>
                <w:rFonts w:cstheme="minorHAnsi"/>
              </w:rPr>
              <w:t xml:space="preserve">, </w:t>
            </w:r>
            <w:r w:rsidRPr="00180625">
              <w:rPr>
                <w:rFonts w:cstheme="minorHAnsi"/>
              </w:rPr>
              <w:t>Paul Biagioni</w:t>
            </w:r>
            <w:r>
              <w:rPr>
                <w:rFonts w:cstheme="minorHAnsi"/>
              </w:rPr>
              <w:t xml:space="preserve">, </w:t>
            </w:r>
            <w:r w:rsidRPr="00180625">
              <w:rPr>
                <w:rFonts w:cstheme="minorHAnsi"/>
              </w:rPr>
              <w:t>Sonia McKenna</w:t>
            </w:r>
            <w:r>
              <w:rPr>
                <w:rFonts w:cstheme="minorHAnsi"/>
              </w:rPr>
              <w:t xml:space="preserve">, </w:t>
            </w:r>
            <w:r w:rsidRPr="00180625">
              <w:rPr>
                <w:rFonts w:cstheme="minorHAnsi"/>
              </w:rPr>
              <w:t xml:space="preserve">Alison Clinton  </w:t>
            </w:r>
          </w:p>
        </w:tc>
      </w:tr>
      <w:tr w:rsidR="00E31D11" w14:paraId="6CD1A8D8" w14:textId="77777777" w:rsidTr="0083592D">
        <w:tc>
          <w:tcPr>
            <w:tcW w:w="4675" w:type="dxa"/>
          </w:tcPr>
          <w:p w14:paraId="55448367" w14:textId="2A2F05EE" w:rsidR="00E31D11" w:rsidRPr="00180625" w:rsidRDefault="00E31D11" w:rsidP="00E31D11">
            <w:pPr>
              <w:spacing w:after="120" w:line="240" w:lineRule="auto"/>
              <w:rPr>
                <w:rFonts w:asciiTheme="minorHAnsi" w:hAnsiTheme="minorHAnsi" w:cstheme="minorHAnsi"/>
                <w:kern w:val="0"/>
                <w:szCs w:val="20"/>
                <w:lang w:eastAsia="en-US"/>
              </w:rPr>
            </w:pPr>
            <w:r w:rsidRPr="00180625">
              <w:rPr>
                <w:rFonts w:asciiTheme="minorHAnsi" w:hAnsiTheme="minorHAnsi" w:cstheme="minorHAnsi"/>
                <w:kern w:val="0"/>
                <w:lang w:eastAsia="en-US"/>
              </w:rPr>
              <w:t xml:space="preserve">Northern Ireland Clinical Research Network </w:t>
            </w:r>
          </w:p>
        </w:tc>
        <w:tc>
          <w:tcPr>
            <w:tcW w:w="4675" w:type="dxa"/>
          </w:tcPr>
          <w:p w14:paraId="4071E7AD" w14:textId="69033DD8" w:rsidR="00E31D11" w:rsidRPr="00180625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BC46C7">
              <w:rPr>
                <w:rFonts w:cstheme="minorHAnsi"/>
              </w:rPr>
              <w:t xml:space="preserve">Maurice O’Kane  </w:t>
            </w:r>
          </w:p>
        </w:tc>
      </w:tr>
      <w:tr w:rsidR="00E31D11" w14:paraId="77FA3C1C" w14:textId="77777777" w:rsidTr="0083592D">
        <w:tc>
          <w:tcPr>
            <w:tcW w:w="4675" w:type="dxa"/>
          </w:tcPr>
          <w:p w14:paraId="42474DDF" w14:textId="3C688520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68633D">
              <w:rPr>
                <w:rFonts w:cstheme="minorHAnsi"/>
              </w:rPr>
              <w:t xml:space="preserve">North Tees </w:t>
            </w:r>
            <w:r>
              <w:rPr>
                <w:rFonts w:cstheme="minorHAnsi"/>
              </w:rPr>
              <w:t>and</w:t>
            </w:r>
            <w:r w:rsidRPr="0068633D">
              <w:rPr>
                <w:rFonts w:cstheme="minorHAnsi"/>
              </w:rPr>
              <w:t xml:space="preserve"> Hartlepool NHS Foundation Trust </w:t>
            </w:r>
          </w:p>
        </w:tc>
        <w:tc>
          <w:tcPr>
            <w:tcW w:w="4675" w:type="dxa"/>
          </w:tcPr>
          <w:p w14:paraId="448330F7" w14:textId="5316FC6B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68633D">
              <w:rPr>
                <w:rFonts w:cstheme="minorHAnsi"/>
              </w:rPr>
              <w:t>Justin Carter</w:t>
            </w:r>
            <w:r>
              <w:rPr>
                <w:rFonts w:cstheme="minorHAnsi"/>
              </w:rPr>
              <w:t xml:space="preserve">, </w:t>
            </w:r>
            <w:r w:rsidRPr="0068633D">
              <w:rPr>
                <w:rFonts w:cstheme="minorHAnsi"/>
              </w:rPr>
              <w:t>Matthew Dewhurst</w:t>
            </w:r>
            <w:r>
              <w:rPr>
                <w:rFonts w:cstheme="minorHAnsi"/>
              </w:rPr>
              <w:t xml:space="preserve">, </w:t>
            </w:r>
            <w:r w:rsidRPr="0068633D">
              <w:rPr>
                <w:rFonts w:cstheme="minorHAnsi"/>
              </w:rPr>
              <w:t xml:space="preserve">Bill Wetherill </w:t>
            </w:r>
          </w:p>
        </w:tc>
      </w:tr>
      <w:tr w:rsidR="00E31D11" w14:paraId="5A05C5CE" w14:textId="77777777" w:rsidTr="0083592D">
        <w:tc>
          <w:tcPr>
            <w:tcW w:w="4675" w:type="dxa"/>
          </w:tcPr>
          <w:p w14:paraId="733750A5" w14:textId="77777777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2C0609">
              <w:rPr>
                <w:rFonts w:cstheme="minorHAnsi"/>
              </w:rPr>
              <w:t>Oxford Health NHS Foundation Trust, Warneford Hospital</w:t>
            </w:r>
          </w:p>
          <w:p w14:paraId="3077DE0F" w14:textId="77777777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018EB015" w14:textId="78BA369D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2C0609">
              <w:rPr>
                <w:rFonts w:cstheme="minorHAnsi"/>
              </w:rPr>
              <w:t>Catherine Henshall</w:t>
            </w:r>
            <w:r>
              <w:rPr>
                <w:rFonts w:cstheme="minorHAnsi"/>
              </w:rPr>
              <w:t xml:space="preserve">, </w:t>
            </w:r>
            <w:r w:rsidRPr="002C0609">
              <w:rPr>
                <w:rFonts w:cstheme="minorHAnsi"/>
              </w:rPr>
              <w:t>Jennifer Potts</w:t>
            </w:r>
            <w:r>
              <w:rPr>
                <w:rFonts w:cstheme="minorHAnsi"/>
              </w:rPr>
              <w:t xml:space="preserve">, </w:t>
            </w:r>
            <w:r w:rsidRPr="002C0609">
              <w:rPr>
                <w:rFonts w:cstheme="minorHAnsi"/>
              </w:rPr>
              <w:t>Sarah McCartney</w:t>
            </w:r>
            <w:r>
              <w:rPr>
                <w:rFonts w:cstheme="minorHAnsi"/>
              </w:rPr>
              <w:t xml:space="preserve">, </w:t>
            </w:r>
            <w:r w:rsidRPr="002C0609">
              <w:rPr>
                <w:rFonts w:cstheme="minorHAnsi"/>
              </w:rPr>
              <w:t>Katrina Lennon Collins</w:t>
            </w:r>
            <w:r>
              <w:rPr>
                <w:rFonts w:cstheme="minorHAnsi"/>
              </w:rPr>
              <w:t xml:space="preserve">, </w:t>
            </w:r>
            <w:r w:rsidRPr="002C0609">
              <w:rPr>
                <w:rFonts w:cstheme="minorHAnsi"/>
              </w:rPr>
              <w:t>Marie Chowdhury</w:t>
            </w:r>
            <w:r>
              <w:rPr>
                <w:rFonts w:cstheme="minorHAnsi"/>
              </w:rPr>
              <w:t xml:space="preserve">, </w:t>
            </w:r>
            <w:r w:rsidRPr="002C0609">
              <w:rPr>
                <w:rFonts w:cstheme="minorHAnsi"/>
              </w:rPr>
              <w:t>Adil Nathoo</w:t>
            </w:r>
            <w:r>
              <w:rPr>
                <w:rFonts w:cstheme="minorHAnsi"/>
              </w:rPr>
              <w:t xml:space="preserve">, Anna Heinen, Orla MacDonald, Claudia Hurducas, </w:t>
            </w:r>
            <w:r w:rsidRPr="00877099">
              <w:rPr>
                <w:rFonts w:cstheme="minorHAnsi"/>
              </w:rPr>
              <w:t>Liliana Cifuentes</w:t>
            </w:r>
            <w:r>
              <w:rPr>
                <w:rFonts w:cstheme="minorHAnsi"/>
              </w:rPr>
              <w:t xml:space="preserve">, </w:t>
            </w:r>
            <w:r w:rsidRPr="00877099">
              <w:rPr>
                <w:rFonts w:cstheme="minorHAnsi"/>
              </w:rPr>
              <w:t>Thomas Rawlinson</w:t>
            </w:r>
            <w:r>
              <w:rPr>
                <w:rFonts w:cstheme="minorHAnsi"/>
              </w:rPr>
              <w:t xml:space="preserve">, </w:t>
            </w:r>
            <w:r w:rsidRPr="00877099">
              <w:rPr>
                <w:rFonts w:cstheme="minorHAnsi"/>
              </w:rPr>
              <w:t xml:space="preserve">Harjeevan Gill </w:t>
            </w:r>
          </w:p>
        </w:tc>
      </w:tr>
      <w:tr w:rsidR="00E31D11" w14:paraId="1342446C" w14:textId="77777777" w:rsidTr="0083592D">
        <w:tc>
          <w:tcPr>
            <w:tcW w:w="4675" w:type="dxa"/>
          </w:tcPr>
          <w:p w14:paraId="2A82682C" w14:textId="1ACE0DCA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9E76EA">
              <w:rPr>
                <w:rFonts w:cstheme="minorHAnsi"/>
              </w:rPr>
              <w:t>Quadr</w:t>
            </w:r>
            <w:r>
              <w:rPr>
                <w:rFonts w:cstheme="minorHAnsi"/>
              </w:rPr>
              <w:t>a</w:t>
            </w:r>
            <w:r w:rsidRPr="009E76EA">
              <w:rPr>
                <w:rFonts w:cstheme="minorHAnsi"/>
              </w:rPr>
              <w:t>m Institute</w:t>
            </w:r>
          </w:p>
        </w:tc>
        <w:tc>
          <w:tcPr>
            <w:tcW w:w="4675" w:type="dxa"/>
          </w:tcPr>
          <w:p w14:paraId="67E33A59" w14:textId="6DF3AF75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9E76EA">
              <w:rPr>
                <w:rFonts w:cstheme="minorHAnsi"/>
              </w:rPr>
              <w:t xml:space="preserve">Jane Ewing </w:t>
            </w:r>
          </w:p>
        </w:tc>
      </w:tr>
      <w:tr w:rsidR="00E31D11" w14:paraId="77604C9D" w14:textId="77777777" w:rsidTr="0083592D">
        <w:tc>
          <w:tcPr>
            <w:tcW w:w="4675" w:type="dxa"/>
          </w:tcPr>
          <w:p w14:paraId="70479FC6" w14:textId="389F1ABC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3E77BA">
              <w:rPr>
                <w:rFonts w:cstheme="minorHAnsi"/>
              </w:rPr>
              <w:t xml:space="preserve">Queen Elizabeth University Hospital, NHS Greater Glasgow </w:t>
            </w:r>
            <w:r>
              <w:rPr>
                <w:rFonts w:cstheme="minorHAnsi"/>
              </w:rPr>
              <w:t>and</w:t>
            </w:r>
            <w:r w:rsidRPr="003E77BA">
              <w:rPr>
                <w:rFonts w:cstheme="minorHAnsi"/>
              </w:rPr>
              <w:t xml:space="preserve"> Clyde </w:t>
            </w:r>
          </w:p>
        </w:tc>
        <w:tc>
          <w:tcPr>
            <w:tcW w:w="4675" w:type="dxa"/>
          </w:tcPr>
          <w:p w14:paraId="06C96625" w14:textId="624AA72A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3E77BA">
              <w:rPr>
                <w:rFonts w:cstheme="minorHAnsi"/>
              </w:rPr>
              <w:t>Guy Mollett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Rachel Blacow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John Haughney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Jonathan MacDonald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John Paul Seenan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Stewart Webb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Colin O'Leary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Scott Muir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Beth White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 xml:space="preserve">Neil Ritchie </w:t>
            </w:r>
          </w:p>
        </w:tc>
      </w:tr>
      <w:tr w:rsidR="00E31D11" w14:paraId="43ABD31F" w14:textId="77777777" w:rsidTr="0083592D">
        <w:tc>
          <w:tcPr>
            <w:tcW w:w="4675" w:type="dxa"/>
          </w:tcPr>
          <w:p w14:paraId="4468258F" w14:textId="64FBD93C" w:rsidR="00E31D11" w:rsidRPr="003E77BA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60552">
              <w:lastRenderedPageBreak/>
              <w:t xml:space="preserve">Queen's University Belfast and Belfast Health and Social Care Trust </w:t>
            </w:r>
          </w:p>
        </w:tc>
        <w:tc>
          <w:tcPr>
            <w:tcW w:w="4675" w:type="dxa"/>
          </w:tcPr>
          <w:p w14:paraId="6A75C8F8" w14:textId="2CC9D0FA" w:rsidR="00E31D11" w:rsidRPr="003E77BA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180625">
              <w:rPr>
                <w:rFonts w:cstheme="minorHAnsi"/>
              </w:rPr>
              <w:t xml:space="preserve">Jonathan Stewart </w:t>
            </w:r>
          </w:p>
        </w:tc>
      </w:tr>
      <w:tr w:rsidR="00E31D11" w14:paraId="6DBF2950" w14:textId="77777777" w:rsidTr="0083592D">
        <w:tc>
          <w:tcPr>
            <w:tcW w:w="4675" w:type="dxa"/>
          </w:tcPr>
          <w:p w14:paraId="31CF1DDC" w14:textId="5562DC2A" w:rsidR="00E31D11" w:rsidRPr="00E60552" w:rsidRDefault="00E31D11" w:rsidP="00E31D11">
            <w:pPr>
              <w:spacing w:after="120" w:line="240" w:lineRule="auto"/>
            </w:pPr>
            <w:r>
              <w:t xml:space="preserve">Research and Development, NHS Grampian </w:t>
            </w:r>
          </w:p>
        </w:tc>
        <w:tc>
          <w:tcPr>
            <w:tcW w:w="4675" w:type="dxa"/>
          </w:tcPr>
          <w:p w14:paraId="71B95357" w14:textId="3D772492" w:rsidR="00E31D11" w:rsidRPr="00180625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BC46C7">
              <w:rPr>
                <w:rFonts w:cstheme="minorHAnsi"/>
              </w:rPr>
              <w:t>Chiara Scicluna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Mariella D'Alessandro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Carole Edwards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Lynn MacKay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Amy Nicol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Karen Norris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Heather Lawrence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Sandra Mann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 xml:space="preserve">Ruth Valentine </w:t>
            </w:r>
          </w:p>
        </w:tc>
      </w:tr>
      <w:tr w:rsidR="00E31D11" w14:paraId="6C21DD20" w14:textId="77777777" w:rsidTr="0083592D">
        <w:tc>
          <w:tcPr>
            <w:tcW w:w="4675" w:type="dxa"/>
          </w:tcPr>
          <w:p w14:paraId="59A0D3E1" w14:textId="1EC2DBFE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>Royal Bournemouth Hospital, University Hospitals Dorset NHS Foundation Trust</w:t>
            </w:r>
          </w:p>
        </w:tc>
        <w:tc>
          <w:tcPr>
            <w:tcW w:w="4675" w:type="dxa"/>
          </w:tcPr>
          <w:p w14:paraId="09ED3549" w14:textId="7238E17A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>Nicki Lakeman</w:t>
            </w:r>
            <w:r>
              <w:rPr>
                <w:rFonts w:cstheme="minorHAnsi"/>
              </w:rPr>
              <w:t xml:space="preserve">, </w:t>
            </w:r>
            <w:r w:rsidRPr="00E472B1">
              <w:rPr>
                <w:rFonts w:cstheme="minorHAnsi"/>
              </w:rPr>
              <w:t xml:space="preserve">Laura Purandare </w:t>
            </w:r>
          </w:p>
        </w:tc>
      </w:tr>
      <w:tr w:rsidR="00E31D11" w14:paraId="48D0F007" w14:textId="77777777" w:rsidTr="0083592D">
        <w:tc>
          <w:tcPr>
            <w:tcW w:w="4675" w:type="dxa"/>
          </w:tcPr>
          <w:p w14:paraId="7F4CC5B6" w14:textId="77777777" w:rsidR="00E31D11" w:rsidRPr="00BC46C7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BC46C7">
              <w:rPr>
                <w:rFonts w:cstheme="minorHAnsi"/>
              </w:rPr>
              <w:t xml:space="preserve">Royal Cornwall Hospital NHS Trust  </w:t>
            </w:r>
          </w:p>
          <w:p w14:paraId="5CE12DA4" w14:textId="77777777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45A0E729" w14:textId="50AABD08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BC46C7">
              <w:rPr>
                <w:rFonts w:cstheme="minorHAnsi"/>
              </w:rPr>
              <w:t>David Tucker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Peter Luck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Angharad Everden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Lisa Trembath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Michael Visick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Nick Morley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Laura Reid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Helen Chenoweth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 xml:space="preserve">Kirsty Maclean </w:t>
            </w:r>
          </w:p>
        </w:tc>
      </w:tr>
      <w:tr w:rsidR="00E31D11" w14:paraId="03DAFD4F" w14:textId="77777777" w:rsidTr="0083592D">
        <w:tc>
          <w:tcPr>
            <w:tcW w:w="4675" w:type="dxa"/>
          </w:tcPr>
          <w:p w14:paraId="1295181C" w14:textId="0FD41692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7C4564">
              <w:t xml:space="preserve">Royal Devon </w:t>
            </w:r>
            <w:r>
              <w:t>and</w:t>
            </w:r>
            <w:r w:rsidRPr="007C4564">
              <w:t xml:space="preserve"> Exeter Ho</w:t>
            </w:r>
            <w:r>
              <w:t>sp</w:t>
            </w:r>
            <w:r w:rsidRPr="007C4564">
              <w:t>ital</w:t>
            </w:r>
          </w:p>
        </w:tc>
        <w:tc>
          <w:tcPr>
            <w:tcW w:w="4675" w:type="dxa"/>
          </w:tcPr>
          <w:p w14:paraId="7CCA9C4C" w14:textId="37280EFC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BC46C7">
              <w:rPr>
                <w:rFonts w:cstheme="minorHAnsi"/>
              </w:rPr>
              <w:t>Tom Burden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Craig Francis Lunt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Shirley Todd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Stephanie Estcourt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Jasmine Marie Pearce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Suzanne Wilkins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 xml:space="preserve">Cathryn Love-Rouse </w:t>
            </w:r>
          </w:p>
        </w:tc>
      </w:tr>
      <w:tr w:rsidR="00E31D11" w14:paraId="279DA895" w14:textId="77777777" w:rsidTr="0083592D">
        <w:tc>
          <w:tcPr>
            <w:tcW w:w="4675" w:type="dxa"/>
          </w:tcPr>
          <w:p w14:paraId="0334702F" w14:textId="16D3A0E2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7B2A51">
              <w:rPr>
                <w:rFonts w:cstheme="minorHAnsi"/>
              </w:rPr>
              <w:t xml:space="preserve">Royal Free London NHS Foundation Trust </w:t>
            </w:r>
          </w:p>
        </w:tc>
        <w:tc>
          <w:tcPr>
            <w:tcW w:w="4675" w:type="dxa"/>
          </w:tcPr>
          <w:p w14:paraId="0DC05C32" w14:textId="355E34CC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7B2A51">
              <w:rPr>
                <w:rFonts w:cstheme="minorHAnsi"/>
              </w:rPr>
              <w:t>Eva Torok-Pollok</w:t>
            </w:r>
            <w:r>
              <w:rPr>
                <w:rFonts w:cstheme="minorHAnsi"/>
              </w:rPr>
              <w:t xml:space="preserve">, </w:t>
            </w:r>
            <w:r w:rsidRPr="007B2A51">
              <w:rPr>
                <w:rFonts w:cstheme="minorHAnsi"/>
              </w:rPr>
              <w:t>Mike Youle</w:t>
            </w:r>
            <w:r>
              <w:rPr>
                <w:rFonts w:cstheme="minorHAnsi"/>
              </w:rPr>
              <w:t xml:space="preserve">, </w:t>
            </w:r>
            <w:r w:rsidRPr="007B2A51">
              <w:rPr>
                <w:rFonts w:cstheme="minorHAnsi"/>
              </w:rPr>
              <w:t>Sara Madge</w:t>
            </w:r>
            <w:r>
              <w:rPr>
                <w:rFonts w:cstheme="minorHAnsi"/>
              </w:rPr>
              <w:t xml:space="preserve">, Danielle Solomon, </w:t>
            </w:r>
            <w:r w:rsidRPr="007B2A51">
              <w:rPr>
                <w:rFonts w:cstheme="minorHAnsi"/>
              </w:rPr>
              <w:t>Melissa Chowdhury</w:t>
            </w:r>
            <w:r>
              <w:rPr>
                <w:rFonts w:cstheme="minorHAnsi"/>
              </w:rPr>
              <w:t xml:space="preserve">, </w:t>
            </w:r>
            <w:r w:rsidRPr="007B2A51">
              <w:rPr>
                <w:rFonts w:cstheme="minorHAnsi"/>
              </w:rPr>
              <w:t>Aarti Nandani</w:t>
            </w:r>
            <w:r>
              <w:rPr>
                <w:rFonts w:cstheme="minorHAnsi"/>
              </w:rPr>
              <w:t xml:space="preserve">, Janet North, </w:t>
            </w:r>
            <w:r w:rsidRPr="007B2A51">
              <w:rPr>
                <w:rFonts w:cstheme="minorHAnsi"/>
              </w:rPr>
              <w:t>Nargis Hemat</w:t>
            </w:r>
            <w:r>
              <w:rPr>
                <w:rFonts w:cstheme="minorHAnsi"/>
              </w:rPr>
              <w:t xml:space="preserve">, </w:t>
            </w:r>
            <w:r w:rsidRPr="007B2A51">
              <w:rPr>
                <w:rFonts w:cstheme="minorHAnsi"/>
              </w:rPr>
              <w:t>Suluma Mohamed</w:t>
            </w:r>
          </w:p>
        </w:tc>
      </w:tr>
      <w:tr w:rsidR="00E31D11" w14:paraId="7D8C29D6" w14:textId="77777777" w:rsidTr="0083592D">
        <w:tc>
          <w:tcPr>
            <w:tcW w:w="4675" w:type="dxa"/>
          </w:tcPr>
          <w:p w14:paraId="6659325F" w14:textId="2AC0F420" w:rsidR="00E31D11" w:rsidRPr="007B2A5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BC46C7">
              <w:rPr>
                <w:rFonts w:cstheme="minorHAnsi"/>
              </w:rPr>
              <w:t xml:space="preserve">Royal Oldham Hospital, Northern Care Alliance, Greater Manchester </w:t>
            </w:r>
          </w:p>
        </w:tc>
        <w:tc>
          <w:tcPr>
            <w:tcW w:w="4675" w:type="dxa"/>
          </w:tcPr>
          <w:p w14:paraId="06EE42FA" w14:textId="47622E31" w:rsidR="00E31D11" w:rsidRPr="007B2A5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BC46C7">
              <w:rPr>
                <w:rFonts w:cstheme="minorHAnsi"/>
              </w:rPr>
              <w:t xml:space="preserve">Rachel Newport </w:t>
            </w:r>
          </w:p>
        </w:tc>
      </w:tr>
      <w:tr w:rsidR="00E31D11" w14:paraId="34F88017" w14:textId="77777777" w:rsidTr="0083592D">
        <w:tc>
          <w:tcPr>
            <w:tcW w:w="4675" w:type="dxa"/>
          </w:tcPr>
          <w:p w14:paraId="052DFFB7" w14:textId="1C92DAFB" w:rsidR="00E31D11" w:rsidRPr="007B2A5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BC46C7">
              <w:rPr>
                <w:rFonts w:cstheme="minorHAnsi"/>
              </w:rPr>
              <w:t xml:space="preserve">Salford Royal Hospital, Northern Care Alliance, Greater Manchester </w:t>
            </w:r>
          </w:p>
        </w:tc>
        <w:tc>
          <w:tcPr>
            <w:tcW w:w="4675" w:type="dxa"/>
          </w:tcPr>
          <w:p w14:paraId="50B7C474" w14:textId="048EF559" w:rsidR="00E31D11" w:rsidRPr="007B2A5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BC46C7">
              <w:rPr>
                <w:rFonts w:cstheme="minorHAnsi"/>
              </w:rPr>
              <w:t>Chukwuma Chukwu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Olivia Wickens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Vikki O'loughlin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Hema Mistry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Louise Harrison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Robert Oliver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Anne-Marie Peers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>Jess Zadik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 xml:space="preserve">Katie Doyle </w:t>
            </w:r>
          </w:p>
        </w:tc>
      </w:tr>
      <w:tr w:rsidR="00E31D11" w14:paraId="4B7BDF19" w14:textId="77777777" w:rsidTr="0083592D">
        <w:tc>
          <w:tcPr>
            <w:tcW w:w="4675" w:type="dxa"/>
          </w:tcPr>
          <w:p w14:paraId="3C56C60D" w14:textId="3D555F02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877099">
              <w:rPr>
                <w:rFonts w:cstheme="minorHAnsi"/>
              </w:rPr>
              <w:t xml:space="preserve">South Tees Hospitals NHS Foundation Trust </w:t>
            </w:r>
          </w:p>
        </w:tc>
        <w:tc>
          <w:tcPr>
            <w:tcW w:w="4675" w:type="dxa"/>
          </w:tcPr>
          <w:p w14:paraId="67F8B670" w14:textId="46548E36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68633D">
              <w:rPr>
                <w:rFonts w:cstheme="minorHAnsi"/>
              </w:rPr>
              <w:t>Kerry Colling</w:t>
            </w:r>
            <w:r>
              <w:rPr>
                <w:rFonts w:cstheme="minorHAnsi"/>
              </w:rPr>
              <w:t xml:space="preserve">, </w:t>
            </w:r>
            <w:r w:rsidRPr="0068633D">
              <w:rPr>
                <w:rFonts w:cstheme="minorHAnsi"/>
              </w:rPr>
              <w:t>Caroline Wroe</w:t>
            </w:r>
            <w:r>
              <w:rPr>
                <w:rFonts w:cstheme="minorHAnsi"/>
              </w:rPr>
              <w:t xml:space="preserve">, </w:t>
            </w:r>
            <w:r w:rsidRPr="0068633D">
              <w:rPr>
                <w:rFonts w:cstheme="minorHAnsi"/>
              </w:rPr>
              <w:t>Marie Branch</w:t>
            </w:r>
            <w:r>
              <w:rPr>
                <w:rFonts w:cstheme="minorHAnsi"/>
              </w:rPr>
              <w:t xml:space="preserve">, </w:t>
            </w:r>
            <w:r w:rsidRPr="0068633D">
              <w:rPr>
                <w:rFonts w:cstheme="minorHAnsi"/>
              </w:rPr>
              <w:t>Alison Chilvers</w:t>
            </w:r>
            <w:r>
              <w:rPr>
                <w:rFonts w:cstheme="minorHAnsi"/>
              </w:rPr>
              <w:t xml:space="preserve">, </w:t>
            </w:r>
            <w:r w:rsidRPr="0068633D">
              <w:rPr>
                <w:rFonts w:cstheme="minorHAnsi"/>
              </w:rPr>
              <w:t>Sarah Essex</w:t>
            </w:r>
          </w:p>
        </w:tc>
      </w:tr>
      <w:tr w:rsidR="00E31D11" w14:paraId="42E648F7" w14:textId="77777777" w:rsidTr="0083592D">
        <w:tc>
          <w:tcPr>
            <w:tcW w:w="4675" w:type="dxa"/>
          </w:tcPr>
          <w:p w14:paraId="6A2A97F3" w14:textId="34E0849C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2C0609">
              <w:rPr>
                <w:rFonts w:cstheme="minorHAnsi"/>
              </w:rPr>
              <w:t xml:space="preserve">Stafford Town Primary Care Network  </w:t>
            </w:r>
          </w:p>
        </w:tc>
        <w:tc>
          <w:tcPr>
            <w:tcW w:w="4675" w:type="dxa"/>
          </w:tcPr>
          <w:p w14:paraId="7F142542" w14:textId="244C2A18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2C0609">
              <w:rPr>
                <w:rFonts w:cstheme="minorHAnsi"/>
              </w:rPr>
              <w:t xml:space="preserve">Mark Stone </w:t>
            </w:r>
          </w:p>
        </w:tc>
      </w:tr>
      <w:tr w:rsidR="00E31D11" w14:paraId="5A8BC472" w14:textId="77777777" w:rsidTr="0083592D">
        <w:tc>
          <w:tcPr>
            <w:tcW w:w="4675" w:type="dxa"/>
          </w:tcPr>
          <w:p w14:paraId="178A0C77" w14:textId="18F790E5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Vaccine Institute, St George’s University of London &amp; </w:t>
            </w:r>
            <w:r w:rsidRPr="009E76EA">
              <w:rPr>
                <w:rFonts w:cstheme="minorHAnsi"/>
              </w:rPr>
              <w:t>St. George's University Hospitals NHS Foundation Trust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75" w:type="dxa"/>
          </w:tcPr>
          <w:p w14:paraId="260CF7D1" w14:textId="1302D105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9E76EA">
              <w:rPr>
                <w:rFonts w:cstheme="minorHAnsi"/>
              </w:rPr>
              <w:t>Emily Beales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Olivia Bird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Zsofia Danos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Hazel Fofie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Cecilia Hultin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Sabina Ikram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Fran Mabesa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Aoife Mescall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Josyanne Pereira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Jennifer Pearce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 xml:space="preserve">Natalina Sutton </w:t>
            </w:r>
          </w:p>
        </w:tc>
      </w:tr>
      <w:tr w:rsidR="00E31D11" w14:paraId="6436608F" w14:textId="77777777" w:rsidTr="0083592D">
        <w:tc>
          <w:tcPr>
            <w:tcW w:w="4675" w:type="dxa"/>
          </w:tcPr>
          <w:p w14:paraId="3EFC3A1B" w14:textId="58113562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9E76EA">
              <w:rPr>
                <w:rFonts w:cstheme="minorHAnsi"/>
              </w:rPr>
              <w:t xml:space="preserve">St Helens and Knowsley Teaching Hospitals NHS Trust </w:t>
            </w:r>
          </w:p>
        </w:tc>
        <w:tc>
          <w:tcPr>
            <w:tcW w:w="4675" w:type="dxa"/>
          </w:tcPr>
          <w:p w14:paraId="6D4DFED7" w14:textId="2739D96E" w:rsidR="00E31D11" w:rsidRPr="002C0609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9E76EA">
              <w:rPr>
                <w:rFonts w:cstheme="minorHAnsi"/>
              </w:rPr>
              <w:t xml:space="preserve">Emma Snashall </w:t>
            </w:r>
          </w:p>
        </w:tc>
      </w:tr>
      <w:tr w:rsidR="00E31D11" w14:paraId="6C3CDE6C" w14:textId="77777777" w:rsidTr="0083592D">
        <w:tc>
          <w:tcPr>
            <w:tcW w:w="4675" w:type="dxa"/>
          </w:tcPr>
          <w:p w14:paraId="152341DE" w14:textId="32FBA6BB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3E77BA">
              <w:rPr>
                <w:rFonts w:cstheme="minorHAnsi"/>
              </w:rPr>
              <w:t>Stockport NHS Foundation Trust, Stepping Hill Hospital</w:t>
            </w:r>
          </w:p>
        </w:tc>
        <w:tc>
          <w:tcPr>
            <w:tcW w:w="4675" w:type="dxa"/>
          </w:tcPr>
          <w:p w14:paraId="04A2950E" w14:textId="5B36D784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3E77BA">
              <w:rPr>
                <w:rFonts w:cstheme="minorHAnsi"/>
              </w:rPr>
              <w:t>Sara Bennett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Debbie Suggitt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Kerry Hughes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Wiesia Woodyatt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Lynsey Beacon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Alissa Kent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Chris Cooper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Milan Rudic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>Simon Tunstall</w:t>
            </w:r>
            <w:r>
              <w:rPr>
                <w:rFonts w:cstheme="minorHAnsi"/>
              </w:rPr>
              <w:t xml:space="preserve">, </w:t>
            </w:r>
            <w:r w:rsidRPr="003E77BA">
              <w:rPr>
                <w:rFonts w:cstheme="minorHAnsi"/>
              </w:rPr>
              <w:t xml:space="preserve">Matthew Jackson </w:t>
            </w:r>
          </w:p>
        </w:tc>
      </w:tr>
      <w:tr w:rsidR="00E31D11" w14:paraId="006F1688" w14:textId="77777777" w:rsidTr="0083592D">
        <w:tc>
          <w:tcPr>
            <w:tcW w:w="4675" w:type="dxa"/>
          </w:tcPr>
          <w:p w14:paraId="762DD91B" w14:textId="61F6C136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>Swanage Medical Practice</w:t>
            </w:r>
          </w:p>
        </w:tc>
        <w:tc>
          <w:tcPr>
            <w:tcW w:w="4675" w:type="dxa"/>
          </w:tcPr>
          <w:p w14:paraId="57EED505" w14:textId="525F21C9" w:rsidR="00E31D11" w:rsidRPr="00E472B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 xml:space="preserve">Claire Hombersley </w:t>
            </w:r>
          </w:p>
        </w:tc>
      </w:tr>
      <w:tr w:rsidR="00E31D11" w14:paraId="4F87F7C6" w14:textId="77777777" w:rsidTr="0083592D">
        <w:tc>
          <w:tcPr>
            <w:tcW w:w="4675" w:type="dxa"/>
          </w:tcPr>
          <w:p w14:paraId="40C02098" w14:textId="26A00ED0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>The Adam Practice</w:t>
            </w:r>
          </w:p>
        </w:tc>
        <w:tc>
          <w:tcPr>
            <w:tcW w:w="4675" w:type="dxa"/>
          </w:tcPr>
          <w:p w14:paraId="25AF421C" w14:textId="6EABC032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E472B1">
              <w:rPr>
                <w:rFonts w:cstheme="minorHAnsi"/>
              </w:rPr>
              <w:t xml:space="preserve">Rebecca Cutts </w:t>
            </w:r>
          </w:p>
        </w:tc>
      </w:tr>
      <w:tr w:rsidR="00E31D11" w14:paraId="4E5D2B22" w14:textId="77777777" w:rsidTr="0083592D">
        <w:tc>
          <w:tcPr>
            <w:tcW w:w="4675" w:type="dxa"/>
          </w:tcPr>
          <w:p w14:paraId="2E394B56" w14:textId="4DF93C6B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7B2A51">
              <w:rPr>
                <w:rFonts w:cstheme="minorHAnsi"/>
              </w:rPr>
              <w:t xml:space="preserve">University College London </w:t>
            </w:r>
          </w:p>
        </w:tc>
        <w:tc>
          <w:tcPr>
            <w:tcW w:w="4675" w:type="dxa"/>
          </w:tcPr>
          <w:p w14:paraId="670BE500" w14:textId="7CC5280D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7B2A51">
              <w:rPr>
                <w:rFonts w:cstheme="minorHAnsi"/>
              </w:rPr>
              <w:t>Danielle Solomon</w:t>
            </w:r>
            <w:r>
              <w:rPr>
                <w:rFonts w:cstheme="minorHAnsi"/>
              </w:rPr>
              <w:t xml:space="preserve">, </w:t>
            </w:r>
            <w:r w:rsidRPr="007B2A51">
              <w:rPr>
                <w:rFonts w:cstheme="minorHAnsi"/>
              </w:rPr>
              <w:t xml:space="preserve">Janet M. North </w:t>
            </w:r>
          </w:p>
        </w:tc>
      </w:tr>
      <w:tr w:rsidR="00E31D11" w14:paraId="1F267132" w14:textId="77777777" w:rsidTr="0083592D">
        <w:tc>
          <w:tcPr>
            <w:tcW w:w="4675" w:type="dxa"/>
          </w:tcPr>
          <w:p w14:paraId="674C9409" w14:textId="62FCFE0E" w:rsidR="00E31D11" w:rsidRPr="007B2A5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9E76EA">
              <w:rPr>
                <w:rFonts w:cstheme="minorHAnsi"/>
              </w:rPr>
              <w:t xml:space="preserve">University Hospitals </w:t>
            </w:r>
            <w:r>
              <w:rPr>
                <w:rFonts w:cstheme="minorHAnsi"/>
              </w:rPr>
              <w:t>o</w:t>
            </w:r>
            <w:r w:rsidRPr="009E76EA">
              <w:rPr>
                <w:rFonts w:cstheme="minorHAnsi"/>
              </w:rPr>
              <w:t xml:space="preserve">f Morecambe Bay NHS Foundation Trust </w:t>
            </w:r>
          </w:p>
        </w:tc>
        <w:tc>
          <w:tcPr>
            <w:tcW w:w="4675" w:type="dxa"/>
          </w:tcPr>
          <w:p w14:paraId="7FD8118E" w14:textId="23450F9D" w:rsidR="00E31D11" w:rsidRPr="007B2A5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9E76EA">
              <w:rPr>
                <w:rFonts w:cstheme="minorHAnsi"/>
              </w:rPr>
              <w:t>Marwan Bukhari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Mohamed Elnaggar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Michelle Glover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Fiona Richardson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Alexandra Dent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Shahzeb Mirza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>Rajiv Ark</w:t>
            </w:r>
            <w:r>
              <w:rPr>
                <w:rFonts w:cstheme="minorHAnsi"/>
              </w:rPr>
              <w:t xml:space="preserve">, </w:t>
            </w:r>
            <w:r w:rsidRPr="009E76EA">
              <w:rPr>
                <w:rFonts w:cstheme="minorHAnsi"/>
              </w:rPr>
              <w:t xml:space="preserve">Jennie Han </w:t>
            </w:r>
          </w:p>
        </w:tc>
      </w:tr>
      <w:tr w:rsidR="00E31D11" w14:paraId="07A0B3B5" w14:textId="77777777" w:rsidTr="0083592D">
        <w:tc>
          <w:tcPr>
            <w:tcW w:w="4675" w:type="dxa"/>
          </w:tcPr>
          <w:p w14:paraId="20D14157" w14:textId="1F79B653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BC46C7">
              <w:rPr>
                <w:rFonts w:cstheme="minorHAnsi"/>
              </w:rPr>
              <w:t xml:space="preserve">University of Exeter Medical School, William Wright House, Royal Devon </w:t>
            </w:r>
            <w:r>
              <w:rPr>
                <w:rFonts w:cstheme="minorHAnsi"/>
              </w:rPr>
              <w:t>and</w:t>
            </w:r>
            <w:r w:rsidRPr="00BC46C7">
              <w:rPr>
                <w:rFonts w:cstheme="minorHAnsi"/>
              </w:rPr>
              <w:t xml:space="preserve"> Exeter Ho</w:t>
            </w:r>
            <w:r>
              <w:rPr>
                <w:rFonts w:cstheme="minorHAnsi"/>
              </w:rPr>
              <w:t>sp</w:t>
            </w:r>
            <w:r w:rsidRPr="00BC46C7">
              <w:rPr>
                <w:rFonts w:cstheme="minorHAnsi"/>
              </w:rPr>
              <w:t>ital</w:t>
            </w:r>
          </w:p>
        </w:tc>
        <w:tc>
          <w:tcPr>
            <w:tcW w:w="4675" w:type="dxa"/>
          </w:tcPr>
          <w:p w14:paraId="16C46699" w14:textId="406C8D24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 w:rsidRPr="00BC46C7">
              <w:rPr>
                <w:rFonts w:cstheme="minorHAnsi"/>
              </w:rPr>
              <w:t>Suzy V Hope</w:t>
            </w:r>
            <w:r>
              <w:rPr>
                <w:rFonts w:cstheme="minorHAnsi"/>
              </w:rPr>
              <w:t xml:space="preserve">, </w:t>
            </w:r>
            <w:r w:rsidRPr="00BC46C7">
              <w:rPr>
                <w:rFonts w:cstheme="minorHAnsi"/>
              </w:rPr>
              <w:t xml:space="preserve">Philip J Mitchelmore  </w:t>
            </w:r>
          </w:p>
        </w:tc>
      </w:tr>
      <w:tr w:rsidR="00E31D11" w14:paraId="4EECCB77" w14:textId="77777777" w:rsidTr="0083592D">
        <w:tc>
          <w:tcPr>
            <w:tcW w:w="4675" w:type="dxa"/>
          </w:tcPr>
          <w:p w14:paraId="3B1ADC1A" w14:textId="1F6F675C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University of Liverpool</w:t>
            </w:r>
          </w:p>
        </w:tc>
        <w:tc>
          <w:tcPr>
            <w:tcW w:w="4675" w:type="dxa"/>
          </w:tcPr>
          <w:p w14:paraId="1EF7D5B4" w14:textId="77777777" w:rsidR="00E31D11" w:rsidRPr="0044453E" w:rsidRDefault="00E31D11" w:rsidP="00E31D1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lang w:val="en-GB" w:eastAsia="en-GB"/>
              </w:rPr>
            </w:pPr>
            <w:r w:rsidRPr="009E76EA">
              <w:rPr>
                <w:rFonts w:cstheme="minorHAnsi"/>
              </w:rPr>
              <w:t>Rostam Osanlou</w:t>
            </w:r>
            <w:r>
              <w:rPr>
                <w:rFonts w:cstheme="minorHAnsi"/>
              </w:rPr>
              <w:t xml:space="preserve">, </w:t>
            </w:r>
            <w:r w:rsidRPr="0044453E">
              <w:rPr>
                <w:rFonts w:cs="Calibri"/>
                <w:szCs w:val="22"/>
              </w:rPr>
              <w:t>Thomas Heseltine</w:t>
            </w:r>
          </w:p>
          <w:p w14:paraId="107AB7E0" w14:textId="0AD9EE62" w:rsidR="00E31D11" w:rsidRDefault="00E31D11" w:rsidP="00E31D11">
            <w:pPr>
              <w:spacing w:after="120" w:line="240" w:lineRule="auto"/>
              <w:rPr>
                <w:rFonts w:cstheme="minorHAnsi"/>
              </w:rPr>
            </w:pPr>
          </w:p>
        </w:tc>
      </w:tr>
    </w:tbl>
    <w:p w14:paraId="72E46165" w14:textId="0C059B8D" w:rsidR="00F37E91" w:rsidRPr="005C5A6C" w:rsidRDefault="00F37E91" w:rsidP="005C5A6C">
      <w:pPr>
        <w:pStyle w:val="Heading1"/>
      </w:pPr>
      <w:bookmarkStart w:id="2" w:name="_Toc69801133"/>
      <w:r w:rsidRPr="005C5A6C">
        <w:lastRenderedPageBreak/>
        <w:t>Supplemental Methods</w:t>
      </w:r>
      <w:bookmarkEnd w:id="2"/>
    </w:p>
    <w:p w14:paraId="7BEFCEBE" w14:textId="1189F31C" w:rsidR="006E17D9" w:rsidRPr="005C5A6C" w:rsidRDefault="006E17D9" w:rsidP="005C5A6C">
      <w:pPr>
        <w:pStyle w:val="Heading2"/>
      </w:pPr>
      <w:bookmarkStart w:id="3" w:name="_Toc69801134"/>
      <w:r w:rsidRPr="005C5A6C">
        <w:t>Vaccination Pause Rules</w:t>
      </w:r>
      <w:bookmarkEnd w:id="3"/>
    </w:p>
    <w:p w14:paraId="25E0E5D8" w14:textId="743EBF9A" w:rsidR="0067791B" w:rsidRPr="0067791B" w:rsidRDefault="0067791B" w:rsidP="0095595E">
      <w:pPr>
        <w:pStyle w:val="DocumentText"/>
        <w:spacing w:after="0" w:line="360" w:lineRule="auto"/>
        <w:rPr>
          <w:lang w:val="x-none"/>
        </w:rPr>
      </w:pPr>
      <w:r w:rsidRPr="0067791B">
        <w:rPr>
          <w:lang w:val="x-none"/>
        </w:rPr>
        <w:t xml:space="preserve">Study vaccination pause rules based on reactogenicity, </w:t>
      </w:r>
      <w:r w:rsidR="007338A0">
        <w:t>adverse events (</w:t>
      </w:r>
      <w:r w:rsidRPr="0067791B">
        <w:rPr>
          <w:lang w:val="x-none"/>
        </w:rPr>
        <w:t>AEs</w:t>
      </w:r>
      <w:r w:rsidR="007338A0">
        <w:t>)</w:t>
      </w:r>
      <w:r w:rsidRPr="0067791B">
        <w:rPr>
          <w:lang w:val="x-none"/>
        </w:rPr>
        <w:t xml:space="preserve">, and </w:t>
      </w:r>
      <w:r w:rsidR="007338A0">
        <w:t>serious adverse events (</w:t>
      </w:r>
      <w:r w:rsidRPr="0067791B">
        <w:rPr>
          <w:lang w:val="x-none"/>
        </w:rPr>
        <w:t>SAEs</w:t>
      </w:r>
      <w:r w:rsidR="007338A0">
        <w:t>)</w:t>
      </w:r>
      <w:r w:rsidRPr="0067791B">
        <w:rPr>
          <w:lang w:val="x-none"/>
        </w:rPr>
        <w:t xml:space="preserve"> related to study participation </w:t>
      </w:r>
      <w:r w:rsidR="001342A1">
        <w:t xml:space="preserve">were </w:t>
      </w:r>
      <w:r w:rsidRPr="0067791B">
        <w:rPr>
          <w:lang w:val="x-none"/>
        </w:rPr>
        <w:t>in place to monitor participant safety for the initial set of vaccinations only.</w:t>
      </w:r>
    </w:p>
    <w:p w14:paraId="3FDE5574" w14:textId="1F5A858B" w:rsidR="0067791B" w:rsidRPr="0067791B" w:rsidRDefault="0067791B" w:rsidP="0067791B">
      <w:pPr>
        <w:pStyle w:val="DocumentText"/>
        <w:spacing w:after="0" w:line="360" w:lineRule="auto"/>
      </w:pPr>
      <w:r>
        <w:t>AEs meeting any one of the following criteria result</w:t>
      </w:r>
      <w:r w:rsidR="001342A1">
        <w:t>ed</w:t>
      </w:r>
      <w:r>
        <w:t xml:space="preserve"> in a hold being placed on subsequent study vaccinations pending further review by the </w:t>
      </w:r>
      <w:r w:rsidR="004F22B3">
        <w:t>safety monitoring committee</w:t>
      </w:r>
      <w:r w:rsidR="00E72119">
        <w:t xml:space="preserve"> (</w:t>
      </w:r>
      <w:r>
        <w:t>SMC</w:t>
      </w:r>
      <w:r w:rsidR="00E72119">
        <w:t>)</w:t>
      </w:r>
      <w:r>
        <w:t xml:space="preserve"> at the direction of the SMC chair:</w:t>
      </w:r>
    </w:p>
    <w:p w14:paraId="4F810FA4" w14:textId="6EC1F55E" w:rsidR="0067791B" w:rsidRPr="0067791B" w:rsidRDefault="0067791B" w:rsidP="001934BE">
      <w:pPr>
        <w:pStyle w:val="DocumentText"/>
        <w:numPr>
          <w:ilvl w:val="0"/>
          <w:numId w:val="20"/>
        </w:numPr>
        <w:spacing w:after="0" w:line="360" w:lineRule="auto"/>
        <w:rPr>
          <w:lang w:val="x-none"/>
        </w:rPr>
      </w:pPr>
      <w:r w:rsidRPr="0067791B">
        <w:rPr>
          <w:lang w:val="x-none"/>
        </w:rPr>
        <w:t>Any toxicity grade 3 or higher (severe or potentially life-threatening) solicited (local or systemic) single AE term occurring in ≥10% of participants (after a minimum of 100 subjects are enro</w:t>
      </w:r>
      <w:r w:rsidR="00903E08">
        <w:t>l</w:t>
      </w:r>
      <w:r w:rsidRPr="0067791B">
        <w:rPr>
          <w:lang w:val="x-none"/>
        </w:rPr>
        <w:t>led) in the SARS-CoV-2 rS with Matrix-M1 adjuvant group within the first 7 days after study vaccination.</w:t>
      </w:r>
    </w:p>
    <w:p w14:paraId="2541F1E1" w14:textId="21EF091E" w:rsidR="0067791B" w:rsidRDefault="0067791B" w:rsidP="001934BE">
      <w:pPr>
        <w:pStyle w:val="DocumentText"/>
        <w:numPr>
          <w:ilvl w:val="0"/>
          <w:numId w:val="20"/>
        </w:numPr>
        <w:spacing w:after="0" w:line="360" w:lineRule="auto"/>
        <w:rPr>
          <w:lang w:val="x-none"/>
        </w:rPr>
      </w:pPr>
      <w:r w:rsidRPr="0067791B">
        <w:rPr>
          <w:lang w:val="x-none"/>
        </w:rPr>
        <w:t xml:space="preserve">Any severe unsolicited single AE preferred term </w:t>
      </w:r>
      <w:r w:rsidR="00903E08">
        <w:t>that</w:t>
      </w:r>
      <w:r w:rsidRPr="0067791B">
        <w:rPr>
          <w:lang w:val="x-none"/>
        </w:rPr>
        <w:t xml:space="preserve"> the investigator assesses as related that occurs in ≥5% of participants (after a minimum of 100 subjects are enrol</w:t>
      </w:r>
      <w:r w:rsidR="00903E08">
        <w:t>l</w:t>
      </w:r>
      <w:r w:rsidRPr="0067791B">
        <w:rPr>
          <w:lang w:val="x-none"/>
        </w:rPr>
        <w:t xml:space="preserve">ed) in the </w:t>
      </w:r>
      <w:r w:rsidR="00903E08">
        <w:t>NVX2373 group</w:t>
      </w:r>
      <w:r w:rsidRPr="0067791B">
        <w:rPr>
          <w:lang w:val="x-none"/>
        </w:rPr>
        <w:t xml:space="preserve"> within the first 7 days after study vaccination.</w:t>
      </w:r>
    </w:p>
    <w:p w14:paraId="3375CAEC" w14:textId="77777777" w:rsidR="0067791B" w:rsidRPr="0067791B" w:rsidRDefault="0067791B" w:rsidP="0067791B">
      <w:pPr>
        <w:pStyle w:val="DocumentText"/>
        <w:spacing w:after="0" w:line="360" w:lineRule="auto"/>
        <w:rPr>
          <w:lang w:val="x-none"/>
        </w:rPr>
      </w:pPr>
    </w:p>
    <w:p w14:paraId="6DE8FC68" w14:textId="543DB004" w:rsidR="0067791B" w:rsidRPr="0067791B" w:rsidRDefault="0067791B" w:rsidP="0095595E">
      <w:pPr>
        <w:pStyle w:val="DocumentText"/>
        <w:spacing w:after="0" w:line="360" w:lineRule="auto"/>
      </w:pPr>
      <w:r>
        <w:t xml:space="preserve">In addition, any SAE assessed as related to vaccine (final assessment by the Sponsor) </w:t>
      </w:r>
      <w:r w:rsidR="001342A1">
        <w:t>was</w:t>
      </w:r>
      <w:r>
        <w:t xml:space="preserve"> reported by the Sponsor to the SMC Chair as soon as possible, and within 24 hours of the </w:t>
      </w:r>
      <w:r w:rsidR="00903E08">
        <w:t xml:space="preserve">Sponsor’s </w:t>
      </w:r>
      <w:r>
        <w:t xml:space="preserve">awareness of the event. Based on this initial report of the event to the SMC Chair, the Chair </w:t>
      </w:r>
      <w:r w:rsidR="000A396E">
        <w:t xml:space="preserve">could </w:t>
      </w:r>
      <w:r>
        <w:t>advise the Sponsor to immediately pause enrol</w:t>
      </w:r>
      <w:r w:rsidR="00903E08">
        <w:t>l</w:t>
      </w:r>
      <w:r>
        <w:t xml:space="preserve">ment and further dosing in either some or all participants in the study and to convene an ad hoc meeting </w:t>
      </w:r>
      <w:r w:rsidR="2B8B9AE6">
        <w:t>or</w:t>
      </w:r>
      <w:r>
        <w:t xml:space="preserve"> make alternative recommendations. The SMC Charter defines processes for how this review occur</w:t>
      </w:r>
      <w:r w:rsidR="35DBCF94">
        <w:t>red</w:t>
      </w:r>
      <w:r>
        <w:t xml:space="preserve"> and how the Chair’s recommendations </w:t>
      </w:r>
      <w:r w:rsidR="001934BE">
        <w:t>were</w:t>
      </w:r>
      <w:r>
        <w:t xml:space="preserve"> documented.</w:t>
      </w:r>
    </w:p>
    <w:p w14:paraId="1E28206A" w14:textId="54B19D2E" w:rsidR="0067791B" w:rsidRDefault="0067791B" w:rsidP="00E26DBE">
      <w:pPr>
        <w:pStyle w:val="DocumentText"/>
        <w:spacing w:after="0" w:line="360" w:lineRule="auto"/>
        <w:rPr>
          <w:lang w:val="x-none"/>
        </w:rPr>
      </w:pPr>
      <w:r w:rsidRPr="0067791B">
        <w:rPr>
          <w:lang w:val="x-none"/>
        </w:rPr>
        <w:t xml:space="preserve">The </w:t>
      </w:r>
      <w:r w:rsidR="00903E08">
        <w:t>S</w:t>
      </w:r>
      <w:r w:rsidR="00903E08" w:rsidRPr="0067791B">
        <w:rPr>
          <w:lang w:val="x-none"/>
        </w:rPr>
        <w:t>ponsor</w:t>
      </w:r>
      <w:r w:rsidRPr="0067791B">
        <w:rPr>
          <w:lang w:val="x-none"/>
        </w:rPr>
        <w:t xml:space="preserve">, along with </w:t>
      </w:r>
      <w:r w:rsidR="00C44B88">
        <w:t>the M</w:t>
      </w:r>
      <w:r w:rsidR="00C44B88" w:rsidRPr="0067791B">
        <w:rPr>
          <w:lang w:val="x-none"/>
        </w:rPr>
        <w:t xml:space="preserve">edical </w:t>
      </w:r>
      <w:r w:rsidR="00C44B88">
        <w:t>M</w:t>
      </w:r>
      <w:r w:rsidR="00C44B88" w:rsidRPr="0067791B">
        <w:rPr>
          <w:lang w:val="x-none"/>
        </w:rPr>
        <w:t>onitor</w:t>
      </w:r>
      <w:r w:rsidRPr="0067791B">
        <w:rPr>
          <w:lang w:val="x-none"/>
        </w:rPr>
        <w:t xml:space="preserve">, </w:t>
      </w:r>
      <w:r w:rsidR="002B024B">
        <w:t xml:space="preserve">were </w:t>
      </w:r>
      <w:r w:rsidR="001934BE">
        <w:t>able to</w:t>
      </w:r>
      <w:r w:rsidR="001934BE" w:rsidRPr="0067791B">
        <w:rPr>
          <w:lang w:val="x-none"/>
        </w:rPr>
        <w:t xml:space="preserve"> </w:t>
      </w:r>
      <w:r w:rsidRPr="0067791B">
        <w:rPr>
          <w:lang w:val="x-none"/>
        </w:rPr>
        <w:t xml:space="preserve">request an SMC review for any safety concerns that </w:t>
      </w:r>
      <w:r w:rsidR="00C44B88">
        <w:t>arose</w:t>
      </w:r>
      <w:r w:rsidRPr="0067791B">
        <w:rPr>
          <w:lang w:val="x-none"/>
        </w:rPr>
        <w:t xml:space="preserve"> in the study, even if they </w:t>
      </w:r>
      <w:r w:rsidR="001934BE">
        <w:t>we</w:t>
      </w:r>
      <w:r w:rsidR="001934BE" w:rsidRPr="0067791B">
        <w:rPr>
          <w:lang w:val="x-none"/>
        </w:rPr>
        <w:t xml:space="preserve">re </w:t>
      </w:r>
      <w:r w:rsidRPr="0067791B">
        <w:rPr>
          <w:lang w:val="x-none"/>
        </w:rPr>
        <w:t>not associated with any specific pause rule</w:t>
      </w:r>
      <w:r w:rsidR="004F22B3">
        <w:t>,</w:t>
      </w:r>
      <w:r w:rsidRPr="0067791B">
        <w:rPr>
          <w:lang w:val="x-none"/>
        </w:rPr>
        <w:t xml:space="preserve"> for example, any SAE for which causality </w:t>
      </w:r>
      <w:r w:rsidR="00C44B88">
        <w:t>was</w:t>
      </w:r>
      <w:r w:rsidR="00C44B88" w:rsidRPr="0067791B">
        <w:rPr>
          <w:lang w:val="x-none"/>
        </w:rPr>
        <w:t xml:space="preserve"> </w:t>
      </w:r>
      <w:r w:rsidRPr="0067791B">
        <w:rPr>
          <w:lang w:val="x-none"/>
        </w:rPr>
        <w:t>at least possibly related.</w:t>
      </w:r>
    </w:p>
    <w:p w14:paraId="335AFD05" w14:textId="77777777" w:rsidR="0067791B" w:rsidRPr="0067791B" w:rsidRDefault="0067791B" w:rsidP="0067791B">
      <w:pPr>
        <w:pStyle w:val="DocumentText"/>
        <w:spacing w:after="0" w:line="360" w:lineRule="auto"/>
        <w:rPr>
          <w:lang w:val="x-none"/>
        </w:rPr>
      </w:pPr>
    </w:p>
    <w:p w14:paraId="278DFA3C" w14:textId="4AD4A1D7" w:rsidR="008D0523" w:rsidRPr="005C5A6C" w:rsidRDefault="008D0523" w:rsidP="005C5A6C">
      <w:pPr>
        <w:pStyle w:val="Heading2"/>
      </w:pPr>
      <w:bookmarkStart w:id="4" w:name="_Toc69801135"/>
      <w:r w:rsidRPr="005C5A6C">
        <w:t xml:space="preserve">RT-PCR Testing </w:t>
      </w:r>
      <w:r w:rsidR="007C7FD1" w:rsidRPr="005C5A6C">
        <w:t>Assays</w:t>
      </w:r>
      <w:bookmarkEnd w:id="4"/>
    </w:p>
    <w:p w14:paraId="503DA7FD" w14:textId="3CE7E3B9" w:rsidR="00F444FB" w:rsidRDefault="0067791B" w:rsidP="001934BE">
      <w:pPr>
        <w:pStyle w:val="paragraph"/>
        <w:spacing w:line="360" w:lineRule="auto"/>
        <w:textAlignment w:val="baseline"/>
        <w:rPr>
          <w:rStyle w:val="normaltextrun1"/>
          <w:rFonts w:asciiTheme="minorHAnsi" w:hAnsiTheme="minorHAnsi" w:cstheme="minorHAnsi"/>
          <w:color w:val="000000"/>
          <w:sz w:val="22"/>
          <w:szCs w:val="22"/>
        </w:rPr>
      </w:pPr>
      <w:r w:rsidRPr="0067791B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Virological confirmation was performed using polymerase chain reaction </w:t>
      </w:r>
      <w:r w:rsidR="00C44B88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(PCR) </w:t>
      </w:r>
      <w:r w:rsidRPr="0067791B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testing </w:t>
      </w:r>
      <w:r w:rsidR="00EE58EE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at the United Kingdom</w:t>
      </w:r>
      <w:r w:rsidRPr="0067791B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38A0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(UK) </w:t>
      </w:r>
      <w:r w:rsidRPr="0067791B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D</w:t>
      </w:r>
      <w:r w:rsidR="00EE58EE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epartment of </w:t>
      </w:r>
      <w:r w:rsidRPr="0067791B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H</w:t>
      </w:r>
      <w:r w:rsidR="00EE58EE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ealth and </w:t>
      </w:r>
      <w:r w:rsidRPr="0067791B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S</w:t>
      </w:r>
      <w:r w:rsidR="00EE58EE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ocial </w:t>
      </w:r>
      <w:r w:rsidRPr="0067791B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C</w:t>
      </w:r>
      <w:r w:rsidR="00EE58EE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are (DHSC)</w:t>
      </w:r>
      <w:r w:rsidRPr="0067791B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 laboratories</w:t>
      </w:r>
      <w:r w:rsidR="001934BE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,</w:t>
      </w:r>
      <w:r w:rsidRPr="0067791B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 w</w:t>
      </w:r>
      <w:r w:rsidR="00EE58EE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hich utilized</w:t>
      </w:r>
      <w:r w:rsidRPr="0067791B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 the TaqPath</w:t>
      </w:r>
      <w:r w:rsidR="00E82E15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™</w:t>
      </w:r>
      <w:r w:rsidRPr="0067791B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 system</w:t>
      </w:r>
      <w:r w:rsidR="001934BE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E58EE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(Thermo Fisher Scientific, Waltham, Massachusetts, USA).</w:t>
      </w:r>
      <w:r w:rsidRPr="0067791B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2E4B" w:rsidRPr="005C5A6C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Testing using </w:t>
      </w:r>
      <w:r w:rsidR="00EE58EE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this</w:t>
      </w:r>
      <w:r w:rsidR="00362E4B" w:rsidRPr="005C5A6C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 system in the UK has shown a close correlation between VOC-202012/1 cases confirmed by genomic sequencing and TaqPath</w:t>
      </w:r>
      <w:r w:rsidR="00E82E15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>™</w:t>
      </w:r>
      <w:r w:rsidR="00362E4B" w:rsidRPr="005C5A6C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 PCR results where the spike protein gene PCR target has not been detected but other PCR </w:t>
      </w:r>
      <w:r w:rsidR="00362E4B" w:rsidRPr="005C5A6C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targets (N gene and ORF1ab gene) have been detected. Such a result is referred to as S gene negative, or S gene target failure, and has a strong association to infection with the B.1.1.7 variant in the UK. S gene negative results are therefore used as a proxy for this variant. </w:t>
      </w:r>
    </w:p>
    <w:p w14:paraId="2587132C" w14:textId="77777777" w:rsidR="00F444FB" w:rsidRDefault="00F444FB" w:rsidP="00362E4B">
      <w:pPr>
        <w:pStyle w:val="paragraph"/>
        <w:textAlignment w:val="baseline"/>
        <w:rPr>
          <w:rStyle w:val="normaltextrun1"/>
          <w:rFonts w:asciiTheme="minorHAnsi" w:hAnsiTheme="minorHAnsi" w:cstheme="minorHAnsi"/>
          <w:color w:val="000000"/>
          <w:sz w:val="22"/>
          <w:szCs w:val="22"/>
        </w:rPr>
      </w:pPr>
    </w:p>
    <w:p w14:paraId="18DFFD4E" w14:textId="64056529" w:rsidR="00F444FB" w:rsidRPr="0060621D" w:rsidRDefault="00F444FB" w:rsidP="00F1175D">
      <w:pPr>
        <w:pStyle w:val="Heading2"/>
        <w:rPr>
          <w:rStyle w:val="normaltextrun1"/>
        </w:rPr>
      </w:pPr>
      <w:bookmarkStart w:id="5" w:name="_Toc69801136"/>
      <w:r w:rsidRPr="0060621D">
        <w:rPr>
          <w:rStyle w:val="normaltextrun1"/>
        </w:rPr>
        <w:t>Swabbing</w:t>
      </w:r>
      <w:bookmarkEnd w:id="5"/>
    </w:p>
    <w:p w14:paraId="3E06CF34" w14:textId="77777777" w:rsidR="00F444FB" w:rsidRPr="001934BE" w:rsidRDefault="00F444FB" w:rsidP="00362E4B">
      <w:pPr>
        <w:pStyle w:val="paragraph"/>
        <w:textAlignment w:val="baseline"/>
        <w:rPr>
          <w:rStyle w:val="normaltextrun1"/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19A1D704" w14:textId="07E71599" w:rsidR="00362E4B" w:rsidRPr="005C5A6C" w:rsidRDefault="00362E4B" w:rsidP="7DF5C7C6">
      <w:pPr>
        <w:pStyle w:val="paragraph"/>
        <w:spacing w:line="360" w:lineRule="auto"/>
        <w:textAlignment w:val="baseline"/>
        <w:rPr>
          <w:rFonts w:asciiTheme="minorHAnsi" w:hAnsiTheme="minorHAnsi" w:cstheme="minorBidi"/>
          <w:sz w:val="22"/>
          <w:szCs w:val="22"/>
        </w:rPr>
      </w:pPr>
      <w:r w:rsidRPr="7DF5C7C6">
        <w:rPr>
          <w:rStyle w:val="normaltextrun1"/>
          <w:rFonts w:asciiTheme="minorHAnsi" w:hAnsiTheme="minorHAnsi" w:cstheme="minorBidi"/>
          <w:sz w:val="22"/>
          <w:szCs w:val="22"/>
        </w:rPr>
        <w:t>Education and assistance with the self-swab technique was provided at the initial study visit. </w:t>
      </w:r>
      <w:r w:rsidR="00F444FB" w:rsidRPr="7DF5C7C6">
        <w:rPr>
          <w:rStyle w:val="normaltextrun1"/>
          <w:rFonts w:asciiTheme="minorHAnsi" w:hAnsiTheme="minorHAnsi" w:cstheme="minorBidi"/>
          <w:sz w:val="22"/>
          <w:szCs w:val="22"/>
        </w:rPr>
        <w:t xml:space="preserve">An online National Health Service (NHS) video guide </w:t>
      </w:r>
      <w:r w:rsidR="00C50B6F" w:rsidRPr="7DF5C7C6">
        <w:rPr>
          <w:rStyle w:val="normaltextrun1"/>
          <w:rFonts w:asciiTheme="minorHAnsi" w:hAnsiTheme="minorHAnsi" w:cstheme="minorBidi"/>
          <w:sz w:val="22"/>
          <w:szCs w:val="22"/>
        </w:rPr>
        <w:t>(</w:t>
      </w:r>
      <w:hyperlink r:id="rId8">
        <w:r w:rsidR="00C50B6F" w:rsidRPr="7DF5C7C6">
          <w:rPr>
            <w:rStyle w:val="Hyperlink"/>
            <w:rFonts w:asciiTheme="minorHAnsi" w:hAnsiTheme="minorHAnsi" w:cstheme="minorBidi"/>
            <w:sz w:val="22"/>
            <w:szCs w:val="22"/>
          </w:rPr>
          <w:t>https://www.youtube.com/watch?v=zCqo7MhQT6U</w:t>
        </w:r>
      </w:hyperlink>
      <w:r w:rsidR="00C50B6F" w:rsidRPr="7DF5C7C6">
        <w:rPr>
          <w:rStyle w:val="normaltextrun1"/>
          <w:rFonts w:asciiTheme="minorHAnsi" w:hAnsiTheme="minorHAnsi" w:cstheme="minorBidi"/>
          <w:sz w:val="22"/>
          <w:szCs w:val="22"/>
        </w:rPr>
        <w:t xml:space="preserve">) </w:t>
      </w:r>
      <w:r w:rsidR="00F444FB" w:rsidRPr="7DF5C7C6">
        <w:rPr>
          <w:rStyle w:val="normaltextrun1"/>
          <w:rFonts w:asciiTheme="minorHAnsi" w:hAnsiTheme="minorHAnsi" w:cstheme="minorBidi"/>
          <w:sz w:val="22"/>
          <w:szCs w:val="22"/>
        </w:rPr>
        <w:t>was also recommended to participants</w:t>
      </w:r>
      <w:r w:rsidR="00EE58EE" w:rsidRPr="7DF5C7C6">
        <w:rPr>
          <w:rStyle w:val="normaltextrun1"/>
          <w:rFonts w:asciiTheme="minorHAnsi" w:hAnsiTheme="minorHAnsi" w:cstheme="minorBidi"/>
          <w:sz w:val="22"/>
          <w:szCs w:val="22"/>
        </w:rPr>
        <w:t xml:space="preserve"> and played at some sites when </w:t>
      </w:r>
      <w:r w:rsidR="001934BE" w:rsidRPr="7DF5C7C6">
        <w:rPr>
          <w:rStyle w:val="normaltextrun1"/>
          <w:rFonts w:asciiTheme="minorHAnsi" w:hAnsiTheme="minorHAnsi" w:cstheme="minorBidi"/>
          <w:sz w:val="22"/>
          <w:szCs w:val="22"/>
        </w:rPr>
        <w:t>available</w:t>
      </w:r>
      <w:r w:rsidR="00F444FB" w:rsidRPr="7DF5C7C6">
        <w:rPr>
          <w:rStyle w:val="normaltextrun1"/>
          <w:rFonts w:asciiTheme="minorHAnsi" w:hAnsiTheme="minorHAnsi" w:cstheme="minorBidi"/>
          <w:sz w:val="22"/>
          <w:szCs w:val="22"/>
        </w:rPr>
        <w:t xml:space="preserve">. </w:t>
      </w:r>
      <w:r w:rsidRPr="7DF5C7C6">
        <w:rPr>
          <w:rStyle w:val="normaltextrun1"/>
          <w:rFonts w:asciiTheme="minorHAnsi" w:hAnsiTheme="minorHAnsi" w:cstheme="minorBidi"/>
          <w:sz w:val="22"/>
          <w:szCs w:val="22"/>
        </w:rPr>
        <w:t>Swabbing was to be performed by participants and swabs mailed to the DHSC testing laboratories. </w:t>
      </w:r>
      <w:r w:rsidR="00EE58EE" w:rsidRPr="7DF5C7C6">
        <w:rPr>
          <w:rStyle w:val="normaltextrun1"/>
          <w:rFonts w:asciiTheme="minorHAnsi" w:hAnsiTheme="minorHAnsi" w:cstheme="minorBidi"/>
          <w:sz w:val="22"/>
          <w:szCs w:val="22"/>
        </w:rPr>
        <w:t>The nose/throat swab involved swabbing the back of the t</w:t>
      </w:r>
      <w:r w:rsidR="001934BE" w:rsidRPr="7DF5C7C6">
        <w:rPr>
          <w:rStyle w:val="normaltextrun1"/>
          <w:rFonts w:asciiTheme="minorHAnsi" w:hAnsiTheme="minorHAnsi" w:cstheme="minorBidi"/>
          <w:sz w:val="22"/>
          <w:szCs w:val="22"/>
        </w:rPr>
        <w:t>h</w:t>
      </w:r>
      <w:r w:rsidR="00EE58EE" w:rsidRPr="7DF5C7C6">
        <w:rPr>
          <w:rStyle w:val="normaltextrun1"/>
          <w:rFonts w:asciiTheme="minorHAnsi" w:hAnsiTheme="minorHAnsi" w:cstheme="minorBidi"/>
          <w:sz w:val="22"/>
          <w:szCs w:val="22"/>
        </w:rPr>
        <w:t>roat for 10 seconds and then swabbing the nose at a depth of approx</w:t>
      </w:r>
      <w:r w:rsidR="001934BE" w:rsidRPr="7DF5C7C6">
        <w:rPr>
          <w:rStyle w:val="normaltextrun1"/>
          <w:rFonts w:asciiTheme="minorHAnsi" w:hAnsiTheme="minorHAnsi" w:cstheme="minorBidi"/>
          <w:sz w:val="22"/>
          <w:szCs w:val="22"/>
        </w:rPr>
        <w:t>imately</w:t>
      </w:r>
      <w:r w:rsidR="00EE58EE" w:rsidRPr="7DF5C7C6">
        <w:rPr>
          <w:rStyle w:val="normaltextrun1"/>
          <w:rFonts w:asciiTheme="minorHAnsi" w:hAnsiTheme="minorHAnsi" w:cstheme="minorBidi"/>
          <w:sz w:val="22"/>
          <w:szCs w:val="22"/>
        </w:rPr>
        <w:t xml:space="preserve"> 2.5 cm for 10 to 15 seconds. </w:t>
      </w:r>
      <w:r w:rsidR="00583A6D" w:rsidRPr="7DF5C7C6">
        <w:rPr>
          <w:rStyle w:val="normaltextrun1"/>
          <w:rFonts w:asciiTheme="minorHAnsi" w:hAnsiTheme="minorHAnsi" w:cstheme="minorBidi"/>
          <w:sz w:val="22"/>
          <w:szCs w:val="22"/>
        </w:rPr>
        <w:t xml:space="preserve">All kits were registered online prior to posting. </w:t>
      </w:r>
      <w:r w:rsidRPr="7DF5C7C6">
        <w:rPr>
          <w:rStyle w:val="normaltextrun1"/>
          <w:rFonts w:asciiTheme="minorHAnsi" w:hAnsiTheme="minorHAnsi" w:cstheme="minorBidi"/>
          <w:sz w:val="22"/>
          <w:szCs w:val="22"/>
        </w:rPr>
        <w:t xml:space="preserve">Participants were directly informed of their results by text or email from the </w:t>
      </w:r>
      <w:r w:rsidR="00F444FB" w:rsidRPr="7DF5C7C6">
        <w:rPr>
          <w:rStyle w:val="normaltextrun1"/>
          <w:rFonts w:asciiTheme="minorHAnsi" w:hAnsiTheme="minorHAnsi" w:cstheme="minorBidi"/>
          <w:sz w:val="22"/>
          <w:szCs w:val="22"/>
        </w:rPr>
        <w:t xml:space="preserve">NHS. </w:t>
      </w:r>
    </w:p>
    <w:p w14:paraId="70C27929" w14:textId="77777777" w:rsidR="00362E4B" w:rsidRDefault="00362E4B" w:rsidP="00C50B6F">
      <w:pPr>
        <w:pStyle w:val="paragraph"/>
        <w:spacing w:line="360" w:lineRule="auto"/>
        <w:textAlignment w:val="baseline"/>
      </w:pPr>
      <w:r>
        <w:rPr>
          <w:rStyle w:val="eop"/>
        </w:rPr>
        <w:t> </w:t>
      </w:r>
    </w:p>
    <w:p w14:paraId="4578859F" w14:textId="1C966F7A" w:rsidR="00695658" w:rsidRDefault="00695658">
      <w:pPr>
        <w:spacing w:after="160"/>
        <w:rPr>
          <w:rFonts w:cstheme="minorHAnsi"/>
        </w:rPr>
      </w:pPr>
      <w:r>
        <w:rPr>
          <w:rFonts w:cstheme="minorHAnsi"/>
        </w:rPr>
        <w:br w:type="page"/>
      </w:r>
    </w:p>
    <w:p w14:paraId="523F620D" w14:textId="77777777" w:rsidR="00E71014" w:rsidRDefault="00E71014" w:rsidP="00860E52">
      <w:pPr>
        <w:spacing w:after="60"/>
        <w:ind w:left="180" w:hanging="180"/>
        <w:rPr>
          <w:rFonts w:cstheme="minorHAnsi"/>
        </w:rPr>
      </w:pPr>
    </w:p>
    <w:p w14:paraId="09A9DBE7" w14:textId="0ECC5E3F" w:rsidR="005C5A6C" w:rsidRPr="00D44C3A" w:rsidRDefault="00695658" w:rsidP="0060621D">
      <w:pPr>
        <w:pStyle w:val="Heading1"/>
        <w:rPr>
          <w:lang w:val="en-US"/>
        </w:rPr>
      </w:pPr>
      <w:bookmarkStart w:id="6" w:name="_Toc69801137"/>
      <w:r w:rsidRPr="00F1175D">
        <w:t>Supplemental Tables</w:t>
      </w:r>
      <w:bookmarkEnd w:id="6"/>
      <w:r w:rsidR="00D44C3A">
        <w:rPr>
          <w:lang w:val="en-US"/>
        </w:rPr>
        <w:t xml:space="preserve"> and Figure</w:t>
      </w:r>
    </w:p>
    <w:p w14:paraId="005E9FCB" w14:textId="13868DA7" w:rsidR="008B580B" w:rsidRDefault="00E31344" w:rsidP="40CBF516">
      <w:pPr>
        <w:pStyle w:val="Normal-text"/>
        <w:spacing w:before="0" w:after="0" w:line="360" w:lineRule="auto"/>
        <w:rPr>
          <w:rStyle w:val="DocumentTextChar"/>
          <w:rFonts w:asciiTheme="minorHAnsi" w:hAnsiTheme="minorHAnsi" w:cstheme="minorBidi"/>
          <w:sz w:val="22"/>
          <w:szCs w:val="22"/>
        </w:rPr>
      </w:pPr>
      <w:bookmarkStart w:id="7" w:name="_Toc69801138"/>
      <w:r w:rsidRPr="40CBF516">
        <w:rPr>
          <w:rStyle w:val="Heading2Char"/>
        </w:rPr>
        <w:t>Primary Efficacy Endpoint</w:t>
      </w:r>
      <w:bookmarkEnd w:id="7"/>
      <w:r>
        <w:br/>
      </w:r>
      <w:r w:rsidRPr="40CBF516">
        <w:rPr>
          <w:rStyle w:val="DocumentTextChar"/>
          <w:rFonts w:asciiTheme="minorHAnsi" w:hAnsiTheme="minorHAnsi" w:cstheme="minorBidi"/>
          <w:sz w:val="22"/>
          <w:szCs w:val="22"/>
        </w:rPr>
        <w:t xml:space="preserve">The primary efficacy endpoint was the first occurrence of virologically confirmed (by PCR to SARS-CoV-2), symptomatic mild, moderate, or severe </w:t>
      </w:r>
      <w:r w:rsidR="00692B8E">
        <w:rPr>
          <w:rStyle w:val="DocumentTextChar"/>
          <w:rFonts w:asciiTheme="minorHAnsi" w:hAnsiTheme="minorHAnsi" w:cstheme="minorBidi"/>
          <w:sz w:val="22"/>
          <w:szCs w:val="22"/>
        </w:rPr>
        <w:t>Covid-19</w:t>
      </w:r>
      <w:r w:rsidRPr="40CBF516">
        <w:rPr>
          <w:rStyle w:val="DocumentTextChar"/>
          <w:rFonts w:asciiTheme="minorHAnsi" w:hAnsiTheme="minorHAnsi" w:cstheme="minorBidi"/>
          <w:sz w:val="22"/>
          <w:szCs w:val="22"/>
        </w:rPr>
        <w:t xml:space="preserve"> (see definitions in Table </w:t>
      </w:r>
      <w:r w:rsidR="00BB2CA7" w:rsidRPr="40CBF516">
        <w:rPr>
          <w:rStyle w:val="DocumentTextChar"/>
          <w:rFonts w:asciiTheme="minorHAnsi" w:hAnsiTheme="minorHAnsi" w:cstheme="minorBidi"/>
          <w:sz w:val="22"/>
          <w:szCs w:val="22"/>
        </w:rPr>
        <w:t>S</w:t>
      </w:r>
      <w:r w:rsidRPr="40CBF516">
        <w:rPr>
          <w:rStyle w:val="DocumentTextChar"/>
          <w:rFonts w:asciiTheme="minorHAnsi" w:hAnsiTheme="minorHAnsi" w:cstheme="minorBidi"/>
          <w:sz w:val="22"/>
          <w:szCs w:val="22"/>
        </w:rPr>
        <w:t xml:space="preserve">1), with onset at least 7 days after second study vaccination in serologically negative (to SARS-CoV-2) participants at baseline. </w:t>
      </w:r>
    </w:p>
    <w:p w14:paraId="3FA82C2B" w14:textId="77777777" w:rsidR="00F444FB" w:rsidRPr="007A6D0E" w:rsidRDefault="00F444FB" w:rsidP="007A6D0E">
      <w:pPr>
        <w:pStyle w:val="Normal-text"/>
        <w:rPr>
          <w:rStyle w:val="DocumentTextChar"/>
          <w:rFonts w:asciiTheme="minorHAnsi" w:hAnsiTheme="minorHAnsi" w:cstheme="minorHAnsi"/>
          <w:sz w:val="22"/>
          <w:szCs w:val="22"/>
        </w:rPr>
      </w:pPr>
    </w:p>
    <w:tbl>
      <w:tblPr>
        <w:tblStyle w:val="TableGrid5"/>
        <w:tblW w:w="9000" w:type="dxa"/>
        <w:tblLook w:val="04A0" w:firstRow="1" w:lastRow="0" w:firstColumn="1" w:lastColumn="0" w:noHBand="0" w:noVBand="1"/>
      </w:tblPr>
      <w:tblGrid>
        <w:gridCol w:w="1316"/>
        <w:gridCol w:w="7684"/>
      </w:tblGrid>
      <w:tr w:rsidR="00E31344" w:rsidRPr="00C20CBE" w14:paraId="26B4474C" w14:textId="77777777" w:rsidTr="004F22B3">
        <w:trPr>
          <w:tblHeader/>
        </w:trPr>
        <w:tc>
          <w:tcPr>
            <w:tcW w:w="90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413C55" w14:textId="709C130A" w:rsidR="00E31344" w:rsidRPr="004F22B3" w:rsidRDefault="00E31344" w:rsidP="007D5ECA">
            <w:pPr>
              <w:pStyle w:val="Title"/>
              <w:rPr>
                <w:sz w:val="22"/>
                <w:szCs w:val="22"/>
                <w:u w:val="none"/>
              </w:rPr>
            </w:pPr>
            <w:bookmarkStart w:id="8" w:name="_Hlk62805770"/>
            <w:r w:rsidRPr="004F22B3">
              <w:rPr>
                <w:sz w:val="22"/>
                <w:szCs w:val="22"/>
                <w:u w:val="none"/>
              </w:rPr>
              <w:t xml:space="preserve">Table S1. Endpoint Definitions of </w:t>
            </w:r>
            <w:r w:rsidR="00692B8E">
              <w:rPr>
                <w:sz w:val="22"/>
                <w:szCs w:val="22"/>
                <w:u w:val="none"/>
              </w:rPr>
              <w:t>Covid-19</w:t>
            </w:r>
            <w:r w:rsidRPr="004F22B3">
              <w:rPr>
                <w:sz w:val="22"/>
                <w:szCs w:val="22"/>
                <w:u w:val="none"/>
              </w:rPr>
              <w:t xml:space="preserve"> Severity  </w:t>
            </w:r>
            <w:bookmarkEnd w:id="8"/>
          </w:p>
        </w:tc>
      </w:tr>
      <w:tr w:rsidR="00E31344" w:rsidRPr="00C20CBE" w14:paraId="4B603F0E" w14:textId="77777777" w:rsidTr="000E2A54">
        <w:trPr>
          <w:tblHeader/>
        </w:trPr>
        <w:tc>
          <w:tcPr>
            <w:tcW w:w="1316" w:type="dxa"/>
            <w:shd w:val="clear" w:color="auto" w:fill="auto"/>
            <w:vAlign w:val="center"/>
          </w:tcPr>
          <w:p w14:paraId="6D1FEDD9" w14:textId="66C33E29" w:rsidR="00E31344" w:rsidRPr="00C20CBE" w:rsidRDefault="00692B8E" w:rsidP="0083592D">
            <w:pPr>
              <w:spacing w:before="40" w:after="40" w:line="240" w:lineRule="auto"/>
              <w:jc w:val="center"/>
              <w:rPr>
                <w:rFonts w:eastAsia="MS Mincho"/>
                <w:b/>
                <w:bCs/>
                <w:iCs/>
                <w:sz w:val="18"/>
                <w:szCs w:val="18"/>
              </w:rPr>
            </w:pPr>
            <w:r>
              <w:rPr>
                <w:rFonts w:eastAsia="MS Mincho"/>
                <w:b/>
                <w:bCs/>
                <w:iCs/>
                <w:sz w:val="18"/>
                <w:szCs w:val="18"/>
              </w:rPr>
              <w:t>Covid-19</w:t>
            </w:r>
            <w:r w:rsidR="00E31344" w:rsidRPr="00C20CBE">
              <w:rPr>
                <w:rFonts w:eastAsia="MS Mincho"/>
                <w:b/>
                <w:bCs/>
                <w:iCs/>
                <w:sz w:val="18"/>
                <w:szCs w:val="18"/>
              </w:rPr>
              <w:t xml:space="preserve"> Severity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7CF4835B" w14:textId="77777777" w:rsidR="00E31344" w:rsidRPr="00C20CBE" w:rsidRDefault="00E31344" w:rsidP="0083592D">
            <w:pPr>
              <w:spacing w:before="40" w:after="40" w:line="240" w:lineRule="auto"/>
              <w:jc w:val="center"/>
              <w:rPr>
                <w:rFonts w:eastAsia="MS Mincho"/>
                <w:b/>
                <w:bCs/>
                <w:iCs/>
                <w:sz w:val="18"/>
                <w:szCs w:val="18"/>
              </w:rPr>
            </w:pPr>
            <w:r w:rsidRPr="00C20CBE">
              <w:rPr>
                <w:rFonts w:eastAsia="MS Mincho"/>
                <w:b/>
                <w:bCs/>
                <w:iCs/>
                <w:sz w:val="18"/>
                <w:szCs w:val="18"/>
              </w:rPr>
              <w:t>Endpoint Definitions</w:t>
            </w:r>
          </w:p>
        </w:tc>
      </w:tr>
      <w:tr w:rsidR="00E31344" w:rsidRPr="00C20CBE" w14:paraId="67262DC6" w14:textId="77777777" w:rsidTr="40CBF516">
        <w:tc>
          <w:tcPr>
            <w:tcW w:w="1316" w:type="dxa"/>
            <w:vAlign w:val="center"/>
          </w:tcPr>
          <w:p w14:paraId="465FE5CF" w14:textId="77777777" w:rsidR="00E31344" w:rsidRPr="00C20CBE" w:rsidRDefault="00E31344" w:rsidP="0083592D">
            <w:pPr>
              <w:spacing w:before="20" w:after="20" w:line="240" w:lineRule="auto"/>
              <w:rPr>
                <w:rFonts w:eastAsia="MS Mincho"/>
                <w:b/>
                <w:iCs/>
                <w:sz w:val="18"/>
                <w:szCs w:val="18"/>
              </w:rPr>
            </w:pPr>
          </w:p>
        </w:tc>
        <w:tc>
          <w:tcPr>
            <w:tcW w:w="7684" w:type="dxa"/>
          </w:tcPr>
          <w:p w14:paraId="68001B5A" w14:textId="5CD723CC" w:rsidR="00E31344" w:rsidRPr="00C20CBE" w:rsidRDefault="00E31344" w:rsidP="0083592D">
            <w:pPr>
              <w:spacing w:before="20" w:after="20" w:line="240" w:lineRule="auto"/>
              <w:rPr>
                <w:rFonts w:eastAsia="MS Mincho"/>
                <w:iCs/>
                <w:sz w:val="18"/>
                <w:szCs w:val="18"/>
              </w:rPr>
            </w:pPr>
            <w:r w:rsidRPr="00C20CBE">
              <w:rPr>
                <w:rFonts w:eastAsia="MS Mincho"/>
                <w:iCs/>
                <w:sz w:val="18"/>
                <w:szCs w:val="18"/>
              </w:rPr>
              <w:t xml:space="preserve">First episode of PCR-positive nasal swab and ≥1 of symptomatic mild, moderate, or severe </w:t>
            </w:r>
            <w:r w:rsidR="00692B8E">
              <w:rPr>
                <w:rFonts w:eastAsia="MS Mincho"/>
                <w:iCs/>
                <w:sz w:val="18"/>
                <w:szCs w:val="18"/>
              </w:rPr>
              <w:t>Covid-19</w:t>
            </w:r>
            <w:r w:rsidRPr="00C20CBE">
              <w:rPr>
                <w:rFonts w:eastAsia="MS Mincho"/>
                <w:iCs/>
                <w:sz w:val="18"/>
                <w:szCs w:val="18"/>
              </w:rPr>
              <w:t>:</w:t>
            </w:r>
          </w:p>
        </w:tc>
      </w:tr>
      <w:tr w:rsidR="00E31344" w:rsidRPr="00C20CBE" w14:paraId="68D87F28" w14:textId="77777777" w:rsidTr="40CBF516">
        <w:tc>
          <w:tcPr>
            <w:tcW w:w="1316" w:type="dxa"/>
            <w:vAlign w:val="center"/>
          </w:tcPr>
          <w:p w14:paraId="3EB6FC37" w14:textId="77777777" w:rsidR="00E31344" w:rsidRPr="00C20CBE" w:rsidRDefault="00E31344" w:rsidP="0083592D">
            <w:pPr>
              <w:spacing w:before="20" w:after="20" w:line="240" w:lineRule="auto"/>
              <w:rPr>
                <w:rFonts w:eastAsia="MS Mincho"/>
                <w:b/>
                <w:iCs/>
                <w:sz w:val="18"/>
                <w:szCs w:val="18"/>
              </w:rPr>
            </w:pPr>
            <w:r w:rsidRPr="00C20CBE">
              <w:rPr>
                <w:rFonts w:eastAsia="MS Mincho"/>
                <w:b/>
                <w:iCs/>
                <w:sz w:val="18"/>
                <w:szCs w:val="18"/>
              </w:rPr>
              <w:t>Mild</w:t>
            </w:r>
          </w:p>
        </w:tc>
        <w:tc>
          <w:tcPr>
            <w:tcW w:w="7684" w:type="dxa"/>
          </w:tcPr>
          <w:p w14:paraId="0CF6AA6B" w14:textId="57DF4B1C" w:rsidR="00E31344" w:rsidRPr="00C20CBE" w:rsidRDefault="00E31344" w:rsidP="0083592D">
            <w:pPr>
              <w:spacing w:before="20" w:after="20" w:line="240" w:lineRule="auto"/>
              <w:rPr>
                <w:rFonts w:eastAsia="MS Mincho"/>
                <w:iCs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Virologically confirmed SARS-CoV-2 infection plus ≥1 of:</w:t>
            </w:r>
          </w:p>
          <w:p w14:paraId="6DF47594" w14:textId="77777777" w:rsidR="00E31344" w:rsidRPr="00C20CBE" w:rsidRDefault="00E31344" w:rsidP="00E31344">
            <w:pPr>
              <w:numPr>
                <w:ilvl w:val="0"/>
                <w:numId w:val="15"/>
              </w:numPr>
              <w:spacing w:before="20" w:after="20" w:line="240" w:lineRule="auto"/>
              <w:rPr>
                <w:rFonts w:eastAsia="MS Mincho"/>
                <w:iCs/>
                <w:sz w:val="18"/>
                <w:szCs w:val="18"/>
              </w:rPr>
            </w:pPr>
            <w:r w:rsidRPr="00C20CBE">
              <w:rPr>
                <w:rFonts w:eastAsia="MS Mincho"/>
                <w:iCs/>
                <w:sz w:val="18"/>
                <w:szCs w:val="18"/>
              </w:rPr>
              <w:t>Fever (defined by subjective or objective measure, regardless of use of anti-pyretic medications)</w:t>
            </w:r>
          </w:p>
          <w:p w14:paraId="564F9D22" w14:textId="77777777" w:rsidR="00E31344" w:rsidRPr="00C20CBE" w:rsidRDefault="00E31344" w:rsidP="00E31344">
            <w:pPr>
              <w:numPr>
                <w:ilvl w:val="0"/>
                <w:numId w:val="15"/>
              </w:numPr>
              <w:spacing w:before="20" w:after="20" w:line="240" w:lineRule="auto"/>
              <w:rPr>
                <w:rFonts w:eastAsia="MS Mincho"/>
                <w:iCs/>
                <w:sz w:val="18"/>
                <w:szCs w:val="18"/>
              </w:rPr>
            </w:pPr>
            <w:r w:rsidRPr="00C20CBE">
              <w:rPr>
                <w:rFonts w:eastAsia="MS Mincho"/>
                <w:iCs/>
                <w:sz w:val="18"/>
                <w:szCs w:val="18"/>
              </w:rPr>
              <w:t>New onset cough</w:t>
            </w:r>
          </w:p>
          <w:p w14:paraId="474C109F" w14:textId="46496B88" w:rsidR="00E31344" w:rsidRPr="00C20CBE" w:rsidRDefault="00E31344" w:rsidP="00E31344">
            <w:pPr>
              <w:numPr>
                <w:ilvl w:val="0"/>
                <w:numId w:val="15"/>
              </w:numPr>
              <w:spacing w:before="20" w:after="20" w:line="240" w:lineRule="auto"/>
              <w:rPr>
                <w:rFonts w:eastAsia="MS Mincho"/>
                <w:iCs/>
                <w:sz w:val="18"/>
                <w:szCs w:val="18"/>
              </w:rPr>
            </w:pPr>
            <w:r w:rsidRPr="00C20CBE">
              <w:rPr>
                <w:rFonts w:eastAsia="MS Mincho"/>
                <w:iCs/>
                <w:sz w:val="18"/>
                <w:szCs w:val="18"/>
              </w:rPr>
              <w:t xml:space="preserve">≥2 additional </w:t>
            </w:r>
            <w:r w:rsidR="00692B8E">
              <w:rPr>
                <w:rFonts w:eastAsia="MS Mincho"/>
                <w:iCs/>
                <w:sz w:val="18"/>
                <w:szCs w:val="18"/>
              </w:rPr>
              <w:t>Covid-19</w:t>
            </w:r>
            <w:r w:rsidRPr="00C20CBE">
              <w:rPr>
                <w:rFonts w:eastAsia="MS Mincho"/>
                <w:iCs/>
                <w:sz w:val="18"/>
                <w:szCs w:val="18"/>
              </w:rPr>
              <w:t xml:space="preserve"> symptoms:</w:t>
            </w:r>
          </w:p>
          <w:p w14:paraId="4C26737C" w14:textId="77777777" w:rsidR="00E31344" w:rsidRPr="00C20CBE" w:rsidRDefault="00E31344" w:rsidP="00E31344">
            <w:pPr>
              <w:numPr>
                <w:ilvl w:val="1"/>
                <w:numId w:val="15"/>
              </w:numPr>
              <w:spacing w:before="20" w:after="20" w:line="240" w:lineRule="auto"/>
              <w:ind w:left="730"/>
              <w:rPr>
                <w:rFonts w:eastAsia="MS Mincho"/>
                <w:iCs/>
                <w:sz w:val="18"/>
                <w:szCs w:val="18"/>
              </w:rPr>
            </w:pPr>
            <w:r w:rsidRPr="00C20CBE">
              <w:rPr>
                <w:rFonts w:eastAsia="MS Mincho"/>
                <w:iCs/>
                <w:sz w:val="18"/>
                <w:szCs w:val="18"/>
              </w:rPr>
              <w:t>New onset or worsening of shortness of breath or difficulty breathing compared to baseline.</w:t>
            </w:r>
          </w:p>
          <w:p w14:paraId="7A294013" w14:textId="77777777" w:rsidR="00E31344" w:rsidRPr="00C20CBE" w:rsidRDefault="00E31344" w:rsidP="00E31344">
            <w:pPr>
              <w:numPr>
                <w:ilvl w:val="1"/>
                <w:numId w:val="15"/>
              </w:numPr>
              <w:spacing w:before="20" w:after="20" w:line="240" w:lineRule="auto"/>
              <w:ind w:left="730"/>
              <w:rPr>
                <w:rFonts w:eastAsia="MS Mincho"/>
                <w:iCs/>
                <w:sz w:val="18"/>
                <w:szCs w:val="18"/>
              </w:rPr>
            </w:pPr>
            <w:r w:rsidRPr="00C20CBE">
              <w:rPr>
                <w:rFonts w:eastAsia="MS Mincho"/>
                <w:iCs/>
                <w:sz w:val="18"/>
                <w:szCs w:val="18"/>
              </w:rPr>
              <w:t>New onset fatigue.</w:t>
            </w:r>
          </w:p>
          <w:p w14:paraId="1B8C058D" w14:textId="77777777" w:rsidR="00E31344" w:rsidRPr="00C20CBE" w:rsidRDefault="00E31344" w:rsidP="00E31344">
            <w:pPr>
              <w:numPr>
                <w:ilvl w:val="1"/>
                <w:numId w:val="15"/>
              </w:numPr>
              <w:spacing w:before="20" w:after="20" w:line="240" w:lineRule="auto"/>
              <w:ind w:left="730"/>
              <w:rPr>
                <w:rFonts w:eastAsia="MS Mincho"/>
                <w:iCs/>
                <w:sz w:val="18"/>
                <w:szCs w:val="18"/>
              </w:rPr>
            </w:pPr>
            <w:r w:rsidRPr="00C20CBE">
              <w:rPr>
                <w:rFonts w:eastAsia="MS Mincho"/>
                <w:iCs/>
                <w:sz w:val="18"/>
                <w:szCs w:val="18"/>
              </w:rPr>
              <w:t>New onset generalized muscle or body aches.</w:t>
            </w:r>
          </w:p>
          <w:p w14:paraId="65BDB462" w14:textId="77777777" w:rsidR="00E31344" w:rsidRPr="00C20CBE" w:rsidRDefault="00E31344" w:rsidP="00E31344">
            <w:pPr>
              <w:numPr>
                <w:ilvl w:val="1"/>
                <w:numId w:val="15"/>
              </w:numPr>
              <w:spacing w:before="20" w:after="20" w:line="240" w:lineRule="auto"/>
              <w:ind w:left="730"/>
              <w:rPr>
                <w:rFonts w:eastAsia="MS Mincho"/>
                <w:iCs/>
                <w:sz w:val="18"/>
                <w:szCs w:val="18"/>
              </w:rPr>
            </w:pPr>
            <w:r w:rsidRPr="00C20CBE">
              <w:rPr>
                <w:rFonts w:eastAsia="MS Mincho"/>
                <w:iCs/>
                <w:sz w:val="18"/>
                <w:szCs w:val="18"/>
              </w:rPr>
              <w:t>New onset headache.</w:t>
            </w:r>
          </w:p>
          <w:p w14:paraId="39BDFC5A" w14:textId="77777777" w:rsidR="00E31344" w:rsidRPr="00C20CBE" w:rsidRDefault="00E31344" w:rsidP="00E31344">
            <w:pPr>
              <w:numPr>
                <w:ilvl w:val="1"/>
                <w:numId w:val="15"/>
              </w:numPr>
              <w:spacing w:before="20" w:after="20" w:line="240" w:lineRule="auto"/>
              <w:ind w:left="730"/>
              <w:rPr>
                <w:rFonts w:eastAsia="MS Mincho"/>
                <w:iCs/>
                <w:sz w:val="18"/>
                <w:szCs w:val="18"/>
              </w:rPr>
            </w:pPr>
            <w:r w:rsidRPr="00C20CBE">
              <w:rPr>
                <w:rFonts w:eastAsia="MS Mincho"/>
                <w:iCs/>
                <w:sz w:val="18"/>
                <w:szCs w:val="18"/>
              </w:rPr>
              <w:t>New loss of taste or smell.</w:t>
            </w:r>
          </w:p>
          <w:p w14:paraId="4886DFFD" w14:textId="46024066" w:rsidR="00E31344" w:rsidRPr="00C20CBE" w:rsidRDefault="00E31344" w:rsidP="00E31344">
            <w:pPr>
              <w:numPr>
                <w:ilvl w:val="1"/>
                <w:numId w:val="15"/>
              </w:numPr>
              <w:spacing w:before="20" w:after="20" w:line="240" w:lineRule="auto"/>
              <w:ind w:left="730"/>
              <w:rPr>
                <w:rFonts w:eastAsia="MS Mincho"/>
                <w:iCs/>
                <w:sz w:val="18"/>
                <w:szCs w:val="18"/>
              </w:rPr>
            </w:pPr>
            <w:r w:rsidRPr="00C20CBE">
              <w:rPr>
                <w:rFonts w:eastAsia="MS Mincho"/>
                <w:iCs/>
                <w:sz w:val="18"/>
                <w:szCs w:val="18"/>
              </w:rPr>
              <w:t>Acute onset of sore throat, congestion</w:t>
            </w:r>
            <w:r w:rsidR="004F22B3">
              <w:rPr>
                <w:rFonts w:eastAsia="MS Mincho"/>
                <w:iCs/>
                <w:sz w:val="18"/>
                <w:szCs w:val="18"/>
              </w:rPr>
              <w:t>,</w:t>
            </w:r>
            <w:r w:rsidRPr="00C20CBE">
              <w:rPr>
                <w:rFonts w:eastAsia="MS Mincho"/>
                <w:iCs/>
                <w:sz w:val="18"/>
                <w:szCs w:val="18"/>
              </w:rPr>
              <w:t xml:space="preserve"> or runny nose.</w:t>
            </w:r>
          </w:p>
          <w:p w14:paraId="794BB7D6" w14:textId="5F6D6A63" w:rsidR="00E31344" w:rsidRPr="00C20CBE" w:rsidRDefault="00E31344" w:rsidP="00E31344">
            <w:pPr>
              <w:numPr>
                <w:ilvl w:val="1"/>
                <w:numId w:val="15"/>
              </w:numPr>
              <w:spacing w:before="20" w:after="20" w:line="240" w:lineRule="auto"/>
              <w:ind w:left="730"/>
              <w:rPr>
                <w:rFonts w:eastAsia="MS Mincho"/>
                <w:iCs/>
                <w:sz w:val="18"/>
                <w:szCs w:val="18"/>
              </w:rPr>
            </w:pPr>
            <w:r w:rsidRPr="00C20CBE">
              <w:rPr>
                <w:rFonts w:eastAsia="MS Mincho"/>
                <w:iCs/>
                <w:sz w:val="18"/>
                <w:szCs w:val="18"/>
              </w:rPr>
              <w:t>New onset nausea, vomiting</w:t>
            </w:r>
            <w:r w:rsidR="004F22B3">
              <w:rPr>
                <w:rFonts w:eastAsia="MS Mincho"/>
                <w:iCs/>
                <w:sz w:val="18"/>
                <w:szCs w:val="18"/>
              </w:rPr>
              <w:t>,</w:t>
            </w:r>
            <w:r w:rsidRPr="00C20CBE">
              <w:rPr>
                <w:rFonts w:eastAsia="MS Mincho"/>
                <w:iCs/>
                <w:sz w:val="18"/>
                <w:szCs w:val="18"/>
              </w:rPr>
              <w:t xml:space="preserve"> or diarrhea.</w:t>
            </w:r>
          </w:p>
        </w:tc>
      </w:tr>
      <w:tr w:rsidR="00E31344" w:rsidRPr="00C20CBE" w14:paraId="6BD2C529" w14:textId="77777777" w:rsidTr="40CBF516">
        <w:trPr>
          <w:trHeight w:val="197"/>
        </w:trPr>
        <w:tc>
          <w:tcPr>
            <w:tcW w:w="1316" w:type="dxa"/>
            <w:vAlign w:val="center"/>
          </w:tcPr>
          <w:p w14:paraId="54930975" w14:textId="77777777" w:rsidR="00E31344" w:rsidRPr="00C20CBE" w:rsidRDefault="00E31344" w:rsidP="0083592D">
            <w:pPr>
              <w:spacing w:before="20" w:after="20" w:line="240" w:lineRule="auto"/>
              <w:rPr>
                <w:rFonts w:eastAsia="MS Mincho"/>
                <w:b/>
                <w:iCs/>
                <w:sz w:val="18"/>
                <w:szCs w:val="18"/>
              </w:rPr>
            </w:pPr>
            <w:r w:rsidRPr="00C20CBE">
              <w:rPr>
                <w:rFonts w:eastAsia="MS Mincho"/>
                <w:b/>
                <w:iCs/>
                <w:sz w:val="18"/>
                <w:szCs w:val="18"/>
              </w:rPr>
              <w:t>Moderate</w:t>
            </w:r>
          </w:p>
        </w:tc>
        <w:tc>
          <w:tcPr>
            <w:tcW w:w="7684" w:type="dxa"/>
          </w:tcPr>
          <w:p w14:paraId="27DEA4DF" w14:textId="5A16A0BD" w:rsidR="00E31344" w:rsidRPr="00C20CBE" w:rsidRDefault="00E31344" w:rsidP="00E31344">
            <w:pPr>
              <w:numPr>
                <w:ilvl w:val="0"/>
                <w:numId w:val="16"/>
              </w:numPr>
              <w:spacing w:before="20" w:after="20" w:line="240" w:lineRule="auto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High fever (≥38.4°C) for ≥3 days (regardless of use of anti-pyretic medications, need not be contiguous days).</w:t>
            </w:r>
          </w:p>
          <w:p w14:paraId="2367D0E9" w14:textId="77777777" w:rsidR="00E31344" w:rsidRPr="00C20CBE" w:rsidRDefault="00E31344" w:rsidP="00E31344">
            <w:pPr>
              <w:numPr>
                <w:ilvl w:val="0"/>
                <w:numId w:val="16"/>
              </w:numPr>
              <w:spacing w:before="20" w:after="20" w:line="240" w:lineRule="auto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Any evidence of significant lower respiratory tract infection (LRTI):</w:t>
            </w:r>
          </w:p>
          <w:p w14:paraId="60C64293" w14:textId="77777777" w:rsidR="00E31344" w:rsidRPr="00C20CBE" w:rsidRDefault="00E31344" w:rsidP="00E31344">
            <w:pPr>
              <w:numPr>
                <w:ilvl w:val="1"/>
                <w:numId w:val="16"/>
              </w:numPr>
              <w:spacing w:before="20" w:after="20" w:line="240" w:lineRule="auto"/>
              <w:ind w:left="730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Shortness of breath (or breathlessness or difficulty breathing) with or without exertion (greater than baseline).</w:t>
            </w:r>
          </w:p>
          <w:p w14:paraId="30F4E9A1" w14:textId="77777777" w:rsidR="00E31344" w:rsidRPr="00C20CBE" w:rsidRDefault="00E31344" w:rsidP="00E31344">
            <w:pPr>
              <w:numPr>
                <w:ilvl w:val="1"/>
                <w:numId w:val="16"/>
              </w:numPr>
              <w:spacing w:before="20" w:after="20" w:line="240" w:lineRule="auto"/>
              <w:ind w:left="730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Tachypnea: 20 to 29 breaths per minute at rest.</w:t>
            </w:r>
          </w:p>
          <w:p w14:paraId="3EB3925D" w14:textId="77777777" w:rsidR="00E31344" w:rsidRPr="00C20CBE" w:rsidRDefault="00E31344" w:rsidP="00E31344">
            <w:pPr>
              <w:numPr>
                <w:ilvl w:val="1"/>
                <w:numId w:val="16"/>
              </w:numPr>
              <w:spacing w:before="20" w:after="20" w:line="240" w:lineRule="auto"/>
              <w:ind w:left="730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SpO</w:t>
            </w:r>
            <w:r w:rsidRPr="004F22B3">
              <w:rPr>
                <w:rFonts w:eastAsia="MS Mincho"/>
                <w:sz w:val="18"/>
                <w:szCs w:val="18"/>
                <w:vertAlign w:val="subscript"/>
              </w:rPr>
              <w:t>2</w:t>
            </w:r>
            <w:r w:rsidRPr="00C20CBE">
              <w:rPr>
                <w:rFonts w:eastAsia="MS Mincho"/>
                <w:sz w:val="18"/>
                <w:szCs w:val="18"/>
              </w:rPr>
              <w:t>: 94% to 95% on room air.</w:t>
            </w:r>
          </w:p>
          <w:p w14:paraId="0A02E191" w14:textId="77777777" w:rsidR="00E31344" w:rsidRPr="00C20CBE" w:rsidRDefault="00E31344" w:rsidP="00E31344">
            <w:pPr>
              <w:numPr>
                <w:ilvl w:val="1"/>
                <w:numId w:val="16"/>
              </w:numPr>
              <w:spacing w:before="20" w:after="20" w:line="240" w:lineRule="auto"/>
              <w:ind w:left="730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Abnormal chest X-ray or chest computerized tomography (CT) consistent with pneumonia or LRTI.</w:t>
            </w:r>
          </w:p>
          <w:p w14:paraId="2B941ABE" w14:textId="77777777" w:rsidR="00E31344" w:rsidRPr="00C20CBE" w:rsidRDefault="00E31344" w:rsidP="00E31344">
            <w:pPr>
              <w:numPr>
                <w:ilvl w:val="0"/>
                <w:numId w:val="16"/>
              </w:numPr>
              <w:spacing w:before="20" w:after="20" w:line="240" w:lineRule="auto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Adventitious sounds on lung auscultation (eg, crackles/rales, wheeze, rhonchi, pleural rub, stridor).</w:t>
            </w:r>
          </w:p>
        </w:tc>
      </w:tr>
      <w:tr w:rsidR="00E31344" w:rsidRPr="00C20CBE" w14:paraId="411AF58F" w14:textId="77777777" w:rsidTr="40CBF516">
        <w:tc>
          <w:tcPr>
            <w:tcW w:w="1316" w:type="dxa"/>
            <w:vAlign w:val="center"/>
          </w:tcPr>
          <w:p w14:paraId="0FE2A371" w14:textId="77777777" w:rsidR="00E31344" w:rsidRPr="00C20CBE" w:rsidRDefault="00E31344" w:rsidP="0083592D">
            <w:pPr>
              <w:spacing w:before="20" w:after="20" w:line="240" w:lineRule="auto"/>
              <w:rPr>
                <w:rFonts w:eastAsia="MS Mincho"/>
                <w:b/>
                <w:iCs/>
                <w:sz w:val="18"/>
                <w:szCs w:val="18"/>
              </w:rPr>
            </w:pPr>
            <w:r w:rsidRPr="00C20CBE">
              <w:rPr>
                <w:rFonts w:eastAsia="MS Mincho"/>
                <w:b/>
                <w:iCs/>
                <w:sz w:val="18"/>
                <w:szCs w:val="18"/>
              </w:rPr>
              <w:t>Severe</w:t>
            </w:r>
          </w:p>
        </w:tc>
        <w:tc>
          <w:tcPr>
            <w:tcW w:w="7684" w:type="dxa"/>
          </w:tcPr>
          <w:p w14:paraId="04A4EF1C" w14:textId="3121665A" w:rsidR="00E31344" w:rsidRPr="00C20CBE" w:rsidRDefault="00E31344" w:rsidP="00E31344">
            <w:pPr>
              <w:numPr>
                <w:ilvl w:val="0"/>
                <w:numId w:val="17"/>
              </w:numPr>
              <w:spacing w:before="20" w:after="20" w:line="240" w:lineRule="auto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Tachypnea: ≥30 breaths per minute at rest.</w:t>
            </w:r>
          </w:p>
          <w:p w14:paraId="4675BC78" w14:textId="69604F8D" w:rsidR="00E31344" w:rsidRPr="00C20CBE" w:rsidRDefault="00E31344" w:rsidP="00E31344">
            <w:pPr>
              <w:numPr>
                <w:ilvl w:val="0"/>
                <w:numId w:val="17"/>
              </w:numPr>
              <w:spacing w:before="20" w:after="20" w:line="240" w:lineRule="auto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Resting heart rate ≥125 beats per minute.</w:t>
            </w:r>
          </w:p>
          <w:p w14:paraId="2DCC2362" w14:textId="18345D2D" w:rsidR="00E31344" w:rsidRPr="00C20CBE" w:rsidRDefault="00E31344" w:rsidP="00E31344">
            <w:pPr>
              <w:numPr>
                <w:ilvl w:val="0"/>
                <w:numId w:val="17"/>
              </w:numPr>
              <w:spacing w:before="20" w:after="20" w:line="240" w:lineRule="auto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SpO</w:t>
            </w:r>
            <w:r w:rsidRPr="004F22B3">
              <w:rPr>
                <w:rFonts w:eastAsia="MS Mincho"/>
                <w:sz w:val="18"/>
                <w:szCs w:val="18"/>
                <w:vertAlign w:val="subscript"/>
              </w:rPr>
              <w:t>2</w:t>
            </w:r>
            <w:r w:rsidRPr="00C20CBE">
              <w:rPr>
                <w:rFonts w:eastAsia="MS Mincho"/>
                <w:sz w:val="18"/>
                <w:szCs w:val="18"/>
              </w:rPr>
              <w:t>: ≤93% on room air or PaO</w:t>
            </w:r>
            <w:r w:rsidRPr="00692B8E">
              <w:rPr>
                <w:rFonts w:eastAsia="MS Mincho"/>
                <w:sz w:val="18"/>
                <w:szCs w:val="18"/>
                <w:vertAlign w:val="subscript"/>
              </w:rPr>
              <w:t>2</w:t>
            </w:r>
            <w:r w:rsidRPr="00C20CBE">
              <w:rPr>
                <w:rFonts w:eastAsia="MS Mincho"/>
                <w:sz w:val="18"/>
                <w:szCs w:val="18"/>
              </w:rPr>
              <w:t>/FiO</w:t>
            </w:r>
            <w:r w:rsidRPr="00692B8E">
              <w:rPr>
                <w:rFonts w:eastAsia="MS Mincho"/>
                <w:sz w:val="18"/>
                <w:szCs w:val="18"/>
                <w:vertAlign w:val="subscript"/>
              </w:rPr>
              <w:t>2</w:t>
            </w:r>
            <w:r w:rsidRPr="00C20CBE">
              <w:rPr>
                <w:rFonts w:eastAsia="MS Mincho"/>
                <w:sz w:val="18"/>
                <w:szCs w:val="18"/>
              </w:rPr>
              <w:t xml:space="preserve"> &lt;300 mmHg.</w:t>
            </w:r>
          </w:p>
          <w:p w14:paraId="0B762DA3" w14:textId="77777777" w:rsidR="00E31344" w:rsidRPr="00C20CBE" w:rsidRDefault="00E31344" w:rsidP="00E31344">
            <w:pPr>
              <w:numPr>
                <w:ilvl w:val="0"/>
                <w:numId w:val="17"/>
              </w:numPr>
              <w:spacing w:before="20" w:after="20" w:line="240" w:lineRule="auto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High flow oxygen (O</w:t>
            </w:r>
            <w:r w:rsidRPr="00692B8E">
              <w:rPr>
                <w:rFonts w:eastAsia="MS Mincho"/>
                <w:sz w:val="18"/>
                <w:szCs w:val="18"/>
                <w:vertAlign w:val="subscript"/>
              </w:rPr>
              <w:t>2</w:t>
            </w:r>
            <w:r w:rsidRPr="00C20CBE">
              <w:rPr>
                <w:rFonts w:eastAsia="MS Mincho"/>
                <w:sz w:val="18"/>
                <w:szCs w:val="18"/>
              </w:rPr>
              <w:t>) therapy or non-invasive ventilation (NIV)/non-invasive positive pressure ventilation (NIPPV) (eg, continuous positive airway pressure [CPAP] or bilevel positive airway pressure [BiPAP]).</w:t>
            </w:r>
          </w:p>
          <w:p w14:paraId="4FC1812F" w14:textId="77777777" w:rsidR="00E31344" w:rsidRPr="00C20CBE" w:rsidRDefault="00E31344" w:rsidP="00E31344">
            <w:pPr>
              <w:numPr>
                <w:ilvl w:val="0"/>
                <w:numId w:val="17"/>
              </w:numPr>
              <w:spacing w:before="20" w:after="20" w:line="240" w:lineRule="auto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Mechanical ventilation or extracorporeal membrane oxygenation (ECMO).</w:t>
            </w:r>
          </w:p>
          <w:p w14:paraId="4D85C00A" w14:textId="77777777" w:rsidR="00E31344" w:rsidRPr="00C20CBE" w:rsidRDefault="00E31344" w:rsidP="00E31344">
            <w:pPr>
              <w:numPr>
                <w:ilvl w:val="0"/>
                <w:numId w:val="17"/>
              </w:numPr>
              <w:spacing w:before="20" w:after="20" w:line="240" w:lineRule="auto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One or more major organ system dysfunction or failure to be defined by diagnostic testing/clinical syndrome/interventions, including any of the following:</w:t>
            </w:r>
          </w:p>
          <w:p w14:paraId="1F2522EA" w14:textId="77777777" w:rsidR="00E31344" w:rsidRPr="00C20CBE" w:rsidRDefault="00E31344" w:rsidP="00E31344">
            <w:pPr>
              <w:numPr>
                <w:ilvl w:val="1"/>
                <w:numId w:val="17"/>
              </w:numPr>
              <w:spacing w:before="20" w:after="20" w:line="240" w:lineRule="auto"/>
              <w:ind w:left="730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Acute respiratory failure, including acute respiratory distress syndrome (ARDS).</w:t>
            </w:r>
          </w:p>
          <w:p w14:paraId="6EB93855" w14:textId="77777777" w:rsidR="00E31344" w:rsidRPr="00C20CBE" w:rsidRDefault="00E31344" w:rsidP="00E31344">
            <w:pPr>
              <w:numPr>
                <w:ilvl w:val="1"/>
                <w:numId w:val="17"/>
              </w:numPr>
              <w:spacing w:before="20" w:after="20" w:line="240" w:lineRule="auto"/>
              <w:ind w:left="730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Acute renal failure.</w:t>
            </w:r>
          </w:p>
          <w:p w14:paraId="52B3001A" w14:textId="77777777" w:rsidR="00E31344" w:rsidRPr="00C20CBE" w:rsidRDefault="00E31344" w:rsidP="00E31344">
            <w:pPr>
              <w:numPr>
                <w:ilvl w:val="1"/>
                <w:numId w:val="17"/>
              </w:numPr>
              <w:spacing w:before="20" w:after="20" w:line="240" w:lineRule="auto"/>
              <w:ind w:left="730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Acute hepatic failure.</w:t>
            </w:r>
          </w:p>
          <w:p w14:paraId="3817BC96" w14:textId="77777777" w:rsidR="00E31344" w:rsidRPr="00C20CBE" w:rsidRDefault="00E31344" w:rsidP="00E31344">
            <w:pPr>
              <w:numPr>
                <w:ilvl w:val="1"/>
                <w:numId w:val="17"/>
              </w:numPr>
              <w:spacing w:before="20" w:after="20" w:line="240" w:lineRule="auto"/>
              <w:ind w:left="730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Acute right or left heart failure.</w:t>
            </w:r>
          </w:p>
          <w:p w14:paraId="01AAA9DA" w14:textId="02F246FE" w:rsidR="00E31344" w:rsidRPr="00C20CBE" w:rsidRDefault="00E31344" w:rsidP="00E31344">
            <w:pPr>
              <w:numPr>
                <w:ilvl w:val="1"/>
                <w:numId w:val="17"/>
              </w:numPr>
              <w:spacing w:before="20" w:after="20" w:line="240" w:lineRule="auto"/>
              <w:ind w:left="730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lastRenderedPageBreak/>
              <w:t>Septic or cardiogenic shock (with shock defined as systolic blood pressure [SBP] &lt;90 mm Hg OR diastolic blood pressure [DBP] &lt;60 mm Hg).</w:t>
            </w:r>
          </w:p>
          <w:p w14:paraId="0B42BE21" w14:textId="77777777" w:rsidR="00E31344" w:rsidRPr="00C20CBE" w:rsidRDefault="00E31344" w:rsidP="00E31344">
            <w:pPr>
              <w:numPr>
                <w:ilvl w:val="1"/>
                <w:numId w:val="17"/>
              </w:numPr>
              <w:spacing w:before="20" w:after="20" w:line="240" w:lineRule="auto"/>
              <w:ind w:left="730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Acute stroke (ischemic or hemorrhagic).</w:t>
            </w:r>
          </w:p>
          <w:p w14:paraId="1A84B8BB" w14:textId="77777777" w:rsidR="00E31344" w:rsidRPr="00C20CBE" w:rsidRDefault="00E31344" w:rsidP="00E31344">
            <w:pPr>
              <w:numPr>
                <w:ilvl w:val="1"/>
                <w:numId w:val="17"/>
              </w:numPr>
              <w:spacing w:before="20" w:after="20" w:line="240" w:lineRule="auto"/>
              <w:ind w:left="730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Acute thrombotic event: acute myocardial infarction (AMI), deep vein thrombosis (DVT), pulmonary embolism (PE).</w:t>
            </w:r>
          </w:p>
          <w:p w14:paraId="70AFA601" w14:textId="77777777" w:rsidR="00E31344" w:rsidRPr="00C20CBE" w:rsidRDefault="00E31344" w:rsidP="00E31344">
            <w:pPr>
              <w:numPr>
                <w:ilvl w:val="1"/>
                <w:numId w:val="17"/>
              </w:numPr>
              <w:spacing w:before="20" w:after="20" w:line="240" w:lineRule="auto"/>
              <w:ind w:left="730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Requirement for: vasopressors, systemic corticosteroids, or hemodialysis.</w:t>
            </w:r>
          </w:p>
          <w:p w14:paraId="1D805B48" w14:textId="77777777" w:rsidR="00E31344" w:rsidRPr="00C20CBE" w:rsidRDefault="00E31344" w:rsidP="00E31344">
            <w:pPr>
              <w:numPr>
                <w:ilvl w:val="0"/>
                <w:numId w:val="17"/>
              </w:numPr>
              <w:spacing w:before="20" w:after="20" w:line="240" w:lineRule="auto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Admission to an intensive care unit (ICU).</w:t>
            </w:r>
          </w:p>
          <w:p w14:paraId="603A8C08" w14:textId="77777777" w:rsidR="00E31344" w:rsidRPr="00C20CBE" w:rsidRDefault="00E31344" w:rsidP="00E31344">
            <w:pPr>
              <w:numPr>
                <w:ilvl w:val="0"/>
                <w:numId w:val="17"/>
              </w:numPr>
              <w:spacing w:before="20" w:after="20" w:line="240" w:lineRule="auto"/>
              <w:rPr>
                <w:rFonts w:eastAsia="MS Mincho"/>
                <w:sz w:val="18"/>
                <w:szCs w:val="18"/>
              </w:rPr>
            </w:pPr>
            <w:r w:rsidRPr="00C20CBE">
              <w:rPr>
                <w:rFonts w:eastAsia="MS Mincho"/>
                <w:sz w:val="18"/>
                <w:szCs w:val="18"/>
              </w:rPr>
              <w:t>Death.</w:t>
            </w:r>
          </w:p>
        </w:tc>
      </w:tr>
    </w:tbl>
    <w:p w14:paraId="0A99FBBC" w14:textId="19E0B9EE" w:rsidR="00E31344" w:rsidRPr="00E83782" w:rsidRDefault="19B61CB1" w:rsidP="00F1038F">
      <w:pPr>
        <w:pStyle w:val="TableFootnote"/>
        <w:rPr>
          <w:sz w:val="18"/>
          <w:szCs w:val="18"/>
        </w:rPr>
      </w:pPr>
      <w:r w:rsidRPr="00E83782">
        <w:rPr>
          <w:sz w:val="18"/>
          <w:szCs w:val="18"/>
        </w:rPr>
        <w:lastRenderedPageBreak/>
        <w:t>Abbreviations: AMI = acute myocardial infarction; ARDS = acute respiratory distress syndrome; BiPAP = bi-level positive airway pressure; CPAP = continuous positive air pressure; CT = computed tomography; DBP = diastolic blood pressure; DVT = deep vein thrombosis; ECMO = extracorporeal membrane oxygenation; FiO</w:t>
      </w:r>
      <w:r w:rsidRPr="00E31D11">
        <w:rPr>
          <w:sz w:val="18"/>
          <w:szCs w:val="18"/>
          <w:vertAlign w:val="subscript"/>
        </w:rPr>
        <w:t>2</w:t>
      </w:r>
      <w:r w:rsidRPr="00E83782">
        <w:rPr>
          <w:sz w:val="18"/>
          <w:szCs w:val="18"/>
        </w:rPr>
        <w:t xml:space="preserve"> = fraction of inspired oxygen; ICU = intensive care unit; LRTI = lower respiratory tract infection; NIV = non-invasive ventilation;</w:t>
      </w:r>
      <w:r w:rsidR="6A8660CA" w:rsidRPr="00E83782">
        <w:rPr>
          <w:sz w:val="18"/>
          <w:szCs w:val="18"/>
        </w:rPr>
        <w:t xml:space="preserve"> </w:t>
      </w:r>
      <w:r w:rsidRPr="00E83782">
        <w:rPr>
          <w:sz w:val="18"/>
          <w:szCs w:val="18"/>
        </w:rPr>
        <w:t>NIPPV = non-invasive positive pressure ventilation; PAO</w:t>
      </w:r>
      <w:r w:rsidRPr="00E31D11">
        <w:rPr>
          <w:sz w:val="18"/>
          <w:szCs w:val="18"/>
          <w:vertAlign w:val="subscript"/>
        </w:rPr>
        <w:t xml:space="preserve">2 </w:t>
      </w:r>
      <w:r w:rsidRPr="00E83782">
        <w:rPr>
          <w:sz w:val="18"/>
          <w:szCs w:val="18"/>
        </w:rPr>
        <w:t xml:space="preserve"> = partial pressure of oxygen in the alveolus; PE = pulmonary embolism; SBP = systolic blood pressure; SpO</w:t>
      </w:r>
      <w:r w:rsidRPr="00E31D11">
        <w:rPr>
          <w:sz w:val="18"/>
          <w:szCs w:val="18"/>
          <w:vertAlign w:val="subscript"/>
        </w:rPr>
        <w:t>2</w:t>
      </w:r>
      <w:r w:rsidRPr="00E83782">
        <w:rPr>
          <w:sz w:val="18"/>
          <w:szCs w:val="18"/>
        </w:rPr>
        <w:t xml:space="preserve">  = oxygen saturation.</w:t>
      </w:r>
    </w:p>
    <w:p w14:paraId="1ED4CFD8" w14:textId="1C2484DB" w:rsidR="00E31344" w:rsidRPr="00E83782" w:rsidRDefault="19B61CB1" w:rsidP="00F1038F">
      <w:pPr>
        <w:pStyle w:val="TableFootnote"/>
        <w:rPr>
          <w:sz w:val="18"/>
          <w:szCs w:val="18"/>
        </w:rPr>
      </w:pPr>
      <w:r w:rsidRPr="00E83782">
        <w:rPr>
          <w:sz w:val="18"/>
          <w:szCs w:val="18"/>
        </w:rPr>
        <w:t>*Participants with a single vital sign abnormality placing them in the moderate or severe categories must also meet the</w:t>
      </w:r>
      <w:r w:rsidR="1F1B7F2F" w:rsidRPr="00E83782">
        <w:rPr>
          <w:sz w:val="18"/>
          <w:szCs w:val="18"/>
        </w:rPr>
        <w:t xml:space="preserve"> </w:t>
      </w:r>
      <w:r w:rsidRPr="00E83782">
        <w:rPr>
          <w:sz w:val="18"/>
          <w:szCs w:val="18"/>
        </w:rPr>
        <w:t xml:space="preserve">criteria for mild </w:t>
      </w:r>
      <w:r w:rsidR="00692B8E">
        <w:rPr>
          <w:sz w:val="18"/>
          <w:szCs w:val="18"/>
        </w:rPr>
        <w:t>Covid-19</w:t>
      </w:r>
      <w:r w:rsidRPr="00E83782">
        <w:rPr>
          <w:sz w:val="18"/>
          <w:szCs w:val="18"/>
        </w:rPr>
        <w:t>.</w:t>
      </w:r>
    </w:p>
    <w:p w14:paraId="4B7D1669" w14:textId="1D9C8C2D" w:rsidR="00E31344" w:rsidRDefault="00E31344" w:rsidP="00E83782">
      <w:pPr>
        <w:pStyle w:val="DocumentText"/>
      </w:pPr>
    </w:p>
    <w:p w14:paraId="2FE6C536" w14:textId="49777D48" w:rsidR="00E31344" w:rsidRDefault="00E31344" w:rsidP="00E31344">
      <w:pPr>
        <w:pStyle w:val="DocumentText"/>
      </w:pPr>
      <w:r>
        <w:t xml:space="preserve">Table </w:t>
      </w:r>
      <w:r w:rsidR="00BB2CA7">
        <w:t>S</w:t>
      </w:r>
      <w:r>
        <w:t xml:space="preserve">2 shows the qualifying symptoms of suspected </w:t>
      </w:r>
      <w:r w:rsidR="00692B8E">
        <w:t>Covid-19</w:t>
      </w:r>
      <w:r>
        <w:t xml:space="preserve">. </w:t>
      </w:r>
    </w:p>
    <w:p w14:paraId="7E27423D" w14:textId="1F3A971F" w:rsidR="00E31344" w:rsidRPr="00692B8E" w:rsidRDefault="00E31344" w:rsidP="007D5ECA">
      <w:pPr>
        <w:pStyle w:val="Title"/>
        <w:rPr>
          <w:u w:val="none"/>
        </w:rPr>
      </w:pPr>
      <w:r w:rsidRPr="00692B8E">
        <w:rPr>
          <w:u w:val="none"/>
        </w:rPr>
        <w:t xml:space="preserve">Table S2. Qualifying Symptoms of Suspected </w:t>
      </w:r>
      <w:r w:rsidR="00692B8E">
        <w:rPr>
          <w:u w:val="none"/>
        </w:rPr>
        <w:t>Covid-19</w:t>
      </w:r>
      <w:r w:rsidRPr="00692B8E">
        <w:rPr>
          <w:u w:val="none"/>
        </w:rPr>
        <w:t xml:space="preserve">  </w:t>
      </w:r>
    </w:p>
    <w:tbl>
      <w:tblPr>
        <w:tblStyle w:val="TableGrid1"/>
        <w:tblW w:w="9006" w:type="dxa"/>
        <w:tblInd w:w="-5" w:type="dxa"/>
        <w:tblLook w:val="04A0" w:firstRow="1" w:lastRow="0" w:firstColumn="1" w:lastColumn="0" w:noHBand="0" w:noVBand="1"/>
      </w:tblPr>
      <w:tblGrid>
        <w:gridCol w:w="9000"/>
        <w:gridCol w:w="6"/>
      </w:tblGrid>
      <w:tr w:rsidR="00E31344" w:rsidRPr="00C20CBE" w14:paraId="47C65F1F" w14:textId="77777777" w:rsidTr="0083592D">
        <w:trPr>
          <w:gridAfter w:val="1"/>
          <w:wAfter w:w="6" w:type="dxa"/>
        </w:trPr>
        <w:tc>
          <w:tcPr>
            <w:tcW w:w="9000" w:type="dxa"/>
            <w:shd w:val="clear" w:color="auto" w:fill="auto"/>
          </w:tcPr>
          <w:p w14:paraId="4E348414" w14:textId="239A1FD8" w:rsidR="00E31344" w:rsidRPr="00BA2E85" w:rsidRDefault="00E31344" w:rsidP="00E31344">
            <w:pPr>
              <w:keepNext/>
              <w:keepLines/>
              <w:numPr>
                <w:ilvl w:val="0"/>
                <w:numId w:val="18"/>
              </w:numPr>
              <w:spacing w:before="20" w:after="20" w:line="240" w:lineRule="auto"/>
              <w:ind w:left="691"/>
              <w:rPr>
                <w:rFonts w:eastAsia="MS Mincho"/>
                <w:bCs/>
                <w:iCs/>
                <w:sz w:val="18"/>
                <w:szCs w:val="18"/>
                <w:lang w:val="en-GB"/>
              </w:rPr>
            </w:pPr>
            <w:r w:rsidRPr="00BA2E85">
              <w:rPr>
                <w:rFonts w:eastAsia="MS Mincho"/>
                <w:bCs/>
                <w:iCs/>
                <w:sz w:val="18"/>
                <w:szCs w:val="18"/>
                <w:lang w:val="en-GB"/>
              </w:rPr>
              <w:t>Fever (body temperature &gt;38°C, in the absence of other symptoms) or chills</w:t>
            </w:r>
          </w:p>
          <w:p w14:paraId="4FBBBFEB" w14:textId="77777777" w:rsidR="00E31344" w:rsidRPr="00BA2E85" w:rsidRDefault="00E31344" w:rsidP="00E31344">
            <w:pPr>
              <w:keepNext/>
              <w:keepLines/>
              <w:numPr>
                <w:ilvl w:val="0"/>
                <w:numId w:val="18"/>
              </w:numPr>
              <w:spacing w:before="20" w:after="20" w:line="240" w:lineRule="auto"/>
              <w:ind w:left="691"/>
              <w:rPr>
                <w:rFonts w:eastAsia="MS Mincho"/>
                <w:bCs/>
                <w:iCs/>
                <w:sz w:val="18"/>
                <w:szCs w:val="18"/>
                <w:lang w:val="en-GB"/>
              </w:rPr>
            </w:pPr>
            <w:r w:rsidRPr="00BA2E85">
              <w:rPr>
                <w:rFonts w:eastAsia="MS Mincho"/>
                <w:bCs/>
                <w:iCs/>
                <w:sz w:val="18"/>
                <w:szCs w:val="18"/>
                <w:lang w:val="en-GB"/>
              </w:rPr>
              <w:t>New onset or worsening of cough compared with baseline</w:t>
            </w:r>
          </w:p>
          <w:p w14:paraId="70BE6D3D" w14:textId="77777777" w:rsidR="00E31344" w:rsidRPr="00BA2E85" w:rsidRDefault="00E31344" w:rsidP="00E31344">
            <w:pPr>
              <w:keepNext/>
              <w:keepLines/>
              <w:numPr>
                <w:ilvl w:val="0"/>
                <w:numId w:val="18"/>
              </w:numPr>
              <w:spacing w:before="20" w:after="20" w:line="240" w:lineRule="auto"/>
              <w:ind w:left="691"/>
              <w:rPr>
                <w:rFonts w:eastAsia="MS Mincho"/>
                <w:bCs/>
                <w:iCs/>
                <w:sz w:val="18"/>
                <w:szCs w:val="18"/>
                <w:lang w:val="en-GB"/>
              </w:rPr>
            </w:pPr>
            <w:r w:rsidRPr="00BA2E85">
              <w:rPr>
                <w:rFonts w:eastAsia="MS Mincho"/>
                <w:bCs/>
                <w:iCs/>
                <w:sz w:val="18"/>
                <w:szCs w:val="18"/>
                <w:lang w:val="en-GB"/>
              </w:rPr>
              <w:t>New onset or worsening of shortness of breath or difficulty breathing over baseline</w:t>
            </w:r>
          </w:p>
          <w:p w14:paraId="5471B951" w14:textId="77777777" w:rsidR="00E31344" w:rsidRPr="00BA2E85" w:rsidRDefault="00E31344" w:rsidP="00E31344">
            <w:pPr>
              <w:keepNext/>
              <w:keepLines/>
              <w:numPr>
                <w:ilvl w:val="0"/>
                <w:numId w:val="18"/>
              </w:numPr>
              <w:spacing w:before="20" w:after="20" w:line="240" w:lineRule="auto"/>
              <w:ind w:left="691"/>
              <w:rPr>
                <w:rFonts w:eastAsia="MS Mincho"/>
                <w:bCs/>
                <w:iCs/>
                <w:sz w:val="18"/>
                <w:szCs w:val="18"/>
                <w:lang w:val="en-GB"/>
              </w:rPr>
            </w:pPr>
            <w:r w:rsidRPr="00BA2E85">
              <w:rPr>
                <w:rFonts w:eastAsia="MS Mincho"/>
                <w:bCs/>
                <w:iCs/>
                <w:sz w:val="18"/>
                <w:szCs w:val="18"/>
                <w:lang w:val="en-GB"/>
              </w:rPr>
              <w:t>Severe fatigue</w:t>
            </w:r>
          </w:p>
          <w:p w14:paraId="29DF3184" w14:textId="77777777" w:rsidR="00E31344" w:rsidRPr="00BA2E85" w:rsidRDefault="00E31344" w:rsidP="00E31344">
            <w:pPr>
              <w:keepNext/>
              <w:keepLines/>
              <w:numPr>
                <w:ilvl w:val="0"/>
                <w:numId w:val="18"/>
              </w:numPr>
              <w:spacing w:before="20" w:after="20" w:line="240" w:lineRule="auto"/>
              <w:ind w:left="691"/>
              <w:rPr>
                <w:rFonts w:eastAsia="MS Mincho"/>
                <w:bCs/>
                <w:iCs/>
                <w:sz w:val="18"/>
                <w:szCs w:val="18"/>
                <w:lang w:val="en-GB"/>
              </w:rPr>
            </w:pPr>
            <w:r w:rsidRPr="00BA2E85">
              <w:rPr>
                <w:rFonts w:eastAsia="MS Mincho"/>
                <w:bCs/>
                <w:iCs/>
                <w:sz w:val="18"/>
                <w:szCs w:val="18"/>
                <w:lang w:val="en-GB"/>
              </w:rPr>
              <w:t>New onset generalized muscle or body aches</w:t>
            </w:r>
          </w:p>
          <w:p w14:paraId="727B6DAA" w14:textId="77777777" w:rsidR="00E31344" w:rsidRPr="00BA2E85" w:rsidRDefault="00E31344" w:rsidP="00E31344">
            <w:pPr>
              <w:keepNext/>
              <w:keepLines/>
              <w:numPr>
                <w:ilvl w:val="0"/>
                <w:numId w:val="18"/>
              </w:numPr>
              <w:spacing w:before="20" w:after="20" w:line="240" w:lineRule="auto"/>
              <w:ind w:left="691"/>
              <w:rPr>
                <w:rFonts w:eastAsia="MS Mincho"/>
                <w:bCs/>
                <w:iCs/>
                <w:sz w:val="18"/>
                <w:szCs w:val="18"/>
                <w:lang w:val="en-GB"/>
              </w:rPr>
            </w:pPr>
            <w:r w:rsidRPr="00BA2E85">
              <w:rPr>
                <w:rFonts w:eastAsia="MS Mincho"/>
                <w:bCs/>
                <w:iCs/>
                <w:sz w:val="18"/>
                <w:szCs w:val="18"/>
                <w:lang w:val="en-GB"/>
              </w:rPr>
              <w:t>Headache</w:t>
            </w:r>
          </w:p>
          <w:p w14:paraId="042B155D" w14:textId="77777777" w:rsidR="00E31344" w:rsidRPr="00BA2E85" w:rsidRDefault="00E31344" w:rsidP="00E31344">
            <w:pPr>
              <w:keepNext/>
              <w:keepLines/>
              <w:numPr>
                <w:ilvl w:val="0"/>
                <w:numId w:val="18"/>
              </w:numPr>
              <w:spacing w:before="20" w:after="20" w:line="240" w:lineRule="auto"/>
              <w:ind w:left="691"/>
              <w:rPr>
                <w:rFonts w:eastAsia="MS Mincho"/>
                <w:bCs/>
                <w:iCs/>
                <w:sz w:val="18"/>
                <w:szCs w:val="18"/>
                <w:lang w:val="en-GB"/>
              </w:rPr>
            </w:pPr>
            <w:r w:rsidRPr="00BA2E85">
              <w:rPr>
                <w:rFonts w:eastAsia="MS Mincho"/>
                <w:bCs/>
                <w:iCs/>
                <w:sz w:val="18"/>
                <w:szCs w:val="18"/>
                <w:lang w:val="en-GB"/>
              </w:rPr>
              <w:t>New loss of taste or smell</w:t>
            </w:r>
          </w:p>
          <w:p w14:paraId="03DF34FB" w14:textId="77777777" w:rsidR="00E31344" w:rsidRPr="00BA2E85" w:rsidRDefault="00E31344" w:rsidP="00E31344">
            <w:pPr>
              <w:keepNext/>
              <w:keepLines/>
              <w:numPr>
                <w:ilvl w:val="0"/>
                <w:numId w:val="18"/>
              </w:numPr>
              <w:spacing w:before="20" w:after="20" w:line="240" w:lineRule="auto"/>
              <w:ind w:left="691"/>
              <w:rPr>
                <w:rFonts w:eastAsia="MS Mincho"/>
                <w:bCs/>
                <w:iCs/>
                <w:sz w:val="18"/>
                <w:szCs w:val="18"/>
                <w:lang w:val="en-GB"/>
              </w:rPr>
            </w:pPr>
            <w:r w:rsidRPr="00BA2E85">
              <w:rPr>
                <w:rFonts w:eastAsia="MS Mincho"/>
                <w:bCs/>
                <w:iCs/>
                <w:sz w:val="18"/>
                <w:szCs w:val="18"/>
                <w:lang w:val="en-GB"/>
              </w:rPr>
              <w:t>Sore throat</w:t>
            </w:r>
          </w:p>
          <w:p w14:paraId="25002A65" w14:textId="77777777" w:rsidR="00E31344" w:rsidRPr="00BA2E85" w:rsidRDefault="00E31344" w:rsidP="00E31344">
            <w:pPr>
              <w:keepNext/>
              <w:keepLines/>
              <w:numPr>
                <w:ilvl w:val="0"/>
                <w:numId w:val="18"/>
              </w:numPr>
              <w:spacing w:before="20" w:after="20" w:line="240" w:lineRule="auto"/>
              <w:ind w:left="691"/>
              <w:rPr>
                <w:rFonts w:eastAsia="MS Mincho"/>
                <w:bCs/>
                <w:iCs/>
                <w:sz w:val="18"/>
                <w:szCs w:val="18"/>
                <w:lang w:val="en-GB"/>
              </w:rPr>
            </w:pPr>
            <w:r w:rsidRPr="00BA2E85">
              <w:rPr>
                <w:rFonts w:eastAsia="MS Mincho"/>
                <w:bCs/>
                <w:iCs/>
                <w:sz w:val="18"/>
                <w:szCs w:val="18"/>
                <w:lang w:val="en-GB"/>
              </w:rPr>
              <w:t>Congestion or runny nose</w:t>
            </w:r>
          </w:p>
          <w:p w14:paraId="12673ACA" w14:textId="77777777" w:rsidR="00E31344" w:rsidRPr="00BA2E85" w:rsidRDefault="00E31344" w:rsidP="00E31344">
            <w:pPr>
              <w:keepNext/>
              <w:keepLines/>
              <w:numPr>
                <w:ilvl w:val="0"/>
                <w:numId w:val="18"/>
              </w:numPr>
              <w:spacing w:before="20" w:after="20" w:line="240" w:lineRule="auto"/>
              <w:ind w:left="691"/>
              <w:rPr>
                <w:rFonts w:eastAsia="MS Mincho"/>
                <w:bCs/>
                <w:iCs/>
                <w:sz w:val="18"/>
                <w:szCs w:val="18"/>
                <w:lang w:val="en-GB"/>
              </w:rPr>
            </w:pPr>
            <w:r w:rsidRPr="00BA2E85">
              <w:rPr>
                <w:rFonts w:eastAsia="MS Mincho"/>
                <w:bCs/>
                <w:iCs/>
                <w:sz w:val="18"/>
                <w:szCs w:val="18"/>
                <w:lang w:val="en-GB"/>
              </w:rPr>
              <w:t xml:space="preserve">Nausea or vomiting </w:t>
            </w:r>
          </w:p>
          <w:p w14:paraId="1D46FF8C" w14:textId="77777777" w:rsidR="00E31344" w:rsidRPr="00BA2E85" w:rsidRDefault="00E31344" w:rsidP="00E31344">
            <w:pPr>
              <w:keepNext/>
              <w:keepLines/>
              <w:numPr>
                <w:ilvl w:val="0"/>
                <w:numId w:val="18"/>
              </w:numPr>
              <w:spacing w:before="20" w:after="20" w:line="240" w:lineRule="auto"/>
              <w:ind w:left="691"/>
              <w:rPr>
                <w:rFonts w:eastAsia="MS Mincho"/>
                <w:bCs/>
                <w:iCs/>
                <w:sz w:val="18"/>
                <w:szCs w:val="18"/>
                <w:lang w:val="en-GB"/>
              </w:rPr>
            </w:pPr>
            <w:r w:rsidRPr="00BA2E85">
              <w:rPr>
                <w:rFonts w:eastAsia="MS Mincho"/>
                <w:bCs/>
                <w:iCs/>
                <w:sz w:val="18"/>
                <w:szCs w:val="18"/>
                <w:lang w:val="en-GB"/>
              </w:rPr>
              <w:t>Diarrhea</w:t>
            </w:r>
          </w:p>
        </w:tc>
      </w:tr>
      <w:tr w:rsidR="00E31344" w:rsidRPr="00C20CBE" w14:paraId="3A5D0348" w14:textId="77777777" w:rsidTr="0083592D">
        <w:tc>
          <w:tcPr>
            <w:tcW w:w="9006" w:type="dxa"/>
            <w:gridSpan w:val="2"/>
            <w:tcBorders>
              <w:left w:val="nil"/>
              <w:bottom w:val="nil"/>
              <w:right w:val="nil"/>
            </w:tcBorders>
          </w:tcPr>
          <w:p w14:paraId="203C0A1F" w14:textId="732FA943" w:rsidR="00E31344" w:rsidRPr="00C20CBE" w:rsidRDefault="00E31344" w:rsidP="0083592D">
            <w:pPr>
              <w:spacing w:after="60" w:line="240" w:lineRule="auto"/>
              <w:ind w:left="187" w:hanging="187"/>
              <w:rPr>
                <w:rFonts w:eastAsia="MS Mincho"/>
                <w:kern w:val="20"/>
                <w:sz w:val="18"/>
                <w:lang w:val="en-GB"/>
              </w:rPr>
            </w:pPr>
            <w:r w:rsidRPr="00C20CBE">
              <w:rPr>
                <w:rFonts w:eastAsia="MS Mincho"/>
                <w:kern w:val="20"/>
                <w:sz w:val="18"/>
                <w:lang w:val="en-GB"/>
              </w:rPr>
              <w:t xml:space="preserve">Abbreviations: </w:t>
            </w:r>
            <w:r w:rsidR="00692B8E">
              <w:rPr>
                <w:rFonts w:eastAsia="MS Mincho"/>
                <w:kern w:val="20"/>
                <w:sz w:val="18"/>
                <w:lang w:val="en-GB"/>
              </w:rPr>
              <w:t>Covid-19</w:t>
            </w:r>
            <w:r w:rsidRPr="00C20CBE">
              <w:rPr>
                <w:rFonts w:eastAsia="MS Mincho"/>
                <w:kern w:val="20"/>
                <w:sz w:val="18"/>
                <w:lang w:val="en-GB"/>
              </w:rPr>
              <w:t xml:space="preserve"> = coronavirus disease 2019.</w:t>
            </w:r>
          </w:p>
        </w:tc>
      </w:tr>
    </w:tbl>
    <w:p w14:paraId="3E8DF509" w14:textId="77777777" w:rsidR="00E31344" w:rsidRPr="00E31344" w:rsidRDefault="00E31344" w:rsidP="00E31344">
      <w:pPr>
        <w:pStyle w:val="DocumentText"/>
      </w:pPr>
    </w:p>
    <w:p w14:paraId="7E7AB3F2" w14:textId="77777777" w:rsidR="004069CC" w:rsidRDefault="004069CC" w:rsidP="00E26DBE">
      <w:pPr>
        <w:spacing w:after="0" w:line="360" w:lineRule="auto"/>
      </w:pPr>
    </w:p>
    <w:p w14:paraId="30AEA8B0" w14:textId="77777777" w:rsidR="004069CC" w:rsidRDefault="004069CC" w:rsidP="004069CC">
      <w:pPr>
        <w:sectPr w:rsidR="004069CC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8F8297" w14:textId="40912555" w:rsidR="00702C6F" w:rsidRDefault="00702C6F" w:rsidP="00702C6F">
      <w:pPr>
        <w:pStyle w:val="Heading2"/>
      </w:pPr>
      <w:bookmarkStart w:id="9" w:name="_Toc69801139"/>
      <w:r>
        <w:lastRenderedPageBreak/>
        <w:t xml:space="preserve">Unsolicited </w:t>
      </w:r>
      <w:r w:rsidR="00692B8E">
        <w:t>Adverse Events</w:t>
      </w:r>
      <w:bookmarkEnd w:id="9"/>
    </w:p>
    <w:p w14:paraId="59327906" w14:textId="1B51F690" w:rsidR="00D95788" w:rsidRDefault="00EE460A" w:rsidP="00E26DBE">
      <w:pPr>
        <w:pStyle w:val="DocumentText"/>
        <w:spacing w:after="0" w:line="360" w:lineRule="auto"/>
      </w:pPr>
      <w:r>
        <w:t xml:space="preserve">Unsolicited TEAEs classified as severe, medically attended, serious, leading to vaccination or study discontinuation, potential immune-mediated medical conditions, or adverse events of special interest were reported at similar frequencies between the NVX-CoV2373 and placebo groups (Table </w:t>
      </w:r>
      <w:r w:rsidR="00F1038F">
        <w:t>S3</w:t>
      </w:r>
      <w:r>
        <w:t xml:space="preserve">).  </w:t>
      </w:r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4495"/>
        <w:gridCol w:w="1350"/>
        <w:gridCol w:w="1175"/>
        <w:gridCol w:w="1255"/>
        <w:gridCol w:w="1080"/>
      </w:tblGrid>
      <w:tr w:rsidR="000F03C6" w14:paraId="3F789EBC" w14:textId="77777777" w:rsidTr="00692B8E">
        <w:tc>
          <w:tcPr>
            <w:tcW w:w="9355" w:type="dxa"/>
            <w:gridSpan w:val="5"/>
            <w:tcBorders>
              <w:top w:val="nil"/>
              <w:left w:val="nil"/>
              <w:right w:val="nil"/>
            </w:tcBorders>
          </w:tcPr>
          <w:p w14:paraId="2641A58B" w14:textId="25E0A810" w:rsidR="000F03C6" w:rsidRPr="00EE460A" w:rsidRDefault="000F03C6" w:rsidP="00BD2F46">
            <w:pPr>
              <w:pStyle w:val="DocumentText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E460A">
              <w:rPr>
                <w:b/>
                <w:sz w:val="22"/>
                <w:szCs w:val="22"/>
              </w:rPr>
              <w:t xml:space="preserve">Table </w:t>
            </w:r>
            <w:r w:rsidR="00F1038F" w:rsidRPr="00692B8E">
              <w:rPr>
                <w:b/>
                <w:sz w:val="22"/>
                <w:szCs w:val="22"/>
              </w:rPr>
              <w:t>S3</w:t>
            </w:r>
            <w:r w:rsidRPr="00692B8E">
              <w:rPr>
                <w:b/>
                <w:sz w:val="22"/>
                <w:szCs w:val="22"/>
              </w:rPr>
              <w:t>. Overall Summary of Unsolicited Adverse Events — Excluding Reactogenicity Adverse</w:t>
            </w:r>
            <w:r w:rsidRPr="00EE460A">
              <w:rPr>
                <w:b/>
                <w:sz w:val="22"/>
                <w:szCs w:val="22"/>
              </w:rPr>
              <w:t xml:space="preserve"> Events (</w:t>
            </w:r>
            <w:r w:rsidR="0096716A" w:rsidRPr="00EE460A">
              <w:rPr>
                <w:b/>
                <w:sz w:val="22"/>
                <w:szCs w:val="22"/>
              </w:rPr>
              <w:t>Specific Preferred Terms</w:t>
            </w:r>
            <w:r w:rsidRPr="00EE460A">
              <w:rPr>
                <w:b/>
                <w:sz w:val="22"/>
                <w:szCs w:val="22"/>
              </w:rPr>
              <w:t>)</w:t>
            </w:r>
            <w:r w:rsidR="00EE460A">
              <w:rPr>
                <w:b/>
                <w:sz w:val="22"/>
                <w:szCs w:val="22"/>
              </w:rPr>
              <w:t xml:space="preserve"> and </w:t>
            </w:r>
            <w:r w:rsidRPr="00EE460A">
              <w:rPr>
                <w:b/>
                <w:sz w:val="22"/>
                <w:szCs w:val="22"/>
              </w:rPr>
              <w:t>Events Reported Post Unblinding or Post Receipt of an Approved or Deployed SARS-CoV-2 Vaccine (Safety Analysis Set)</w:t>
            </w:r>
          </w:p>
        </w:tc>
      </w:tr>
      <w:tr w:rsidR="00DF2775" w14:paraId="705D175D" w14:textId="77777777" w:rsidTr="00DF2775">
        <w:tc>
          <w:tcPr>
            <w:tcW w:w="4495" w:type="dxa"/>
            <w:vMerge w:val="restart"/>
            <w:vAlign w:val="center"/>
          </w:tcPr>
          <w:p w14:paraId="1F163770" w14:textId="0DEA7F95" w:rsidR="00DF2775" w:rsidRPr="00DF2775" w:rsidRDefault="00DF2775" w:rsidP="00DF2775">
            <w:pPr>
              <w:pStyle w:val="Document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F2775">
              <w:rPr>
                <w:rFonts w:asciiTheme="minorHAnsi" w:hAnsiTheme="minorHAnsi" w:cstheme="minorHAnsi"/>
                <w:b/>
                <w:szCs w:val="20"/>
              </w:rPr>
              <w:t>Parameters</w:t>
            </w:r>
          </w:p>
        </w:tc>
        <w:tc>
          <w:tcPr>
            <w:tcW w:w="2525" w:type="dxa"/>
            <w:gridSpan w:val="2"/>
            <w:shd w:val="clear" w:color="auto" w:fill="FFFFFF"/>
            <w:vAlign w:val="center"/>
          </w:tcPr>
          <w:p w14:paraId="2F739E74" w14:textId="63E69CA1" w:rsidR="00DF2775" w:rsidRPr="00DF2775" w:rsidRDefault="00DF2775" w:rsidP="00DF2775">
            <w:pPr>
              <w:pStyle w:val="Document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F2775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NVX-CoV2373</w:t>
            </w:r>
            <w:r w:rsidRPr="00DF2775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br/>
              <w:t>N=7569</w:t>
            </w:r>
          </w:p>
        </w:tc>
        <w:tc>
          <w:tcPr>
            <w:tcW w:w="2335" w:type="dxa"/>
            <w:gridSpan w:val="2"/>
            <w:shd w:val="clear" w:color="auto" w:fill="FFFFFF"/>
            <w:vAlign w:val="center"/>
          </w:tcPr>
          <w:p w14:paraId="01929B51" w14:textId="0F24D989" w:rsidR="00DF2775" w:rsidRPr="00DF2775" w:rsidRDefault="00DF2775" w:rsidP="00DF2775">
            <w:pPr>
              <w:pStyle w:val="Document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DF2775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Placebo</w:t>
            </w:r>
            <w:r w:rsidRPr="00DF2775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br/>
              <w:t>N=7570</w:t>
            </w:r>
          </w:p>
        </w:tc>
      </w:tr>
      <w:tr w:rsidR="00DF2775" w14:paraId="36D3CD16" w14:textId="77777777" w:rsidTr="00DF2775">
        <w:tc>
          <w:tcPr>
            <w:tcW w:w="4495" w:type="dxa"/>
            <w:vMerge/>
            <w:vAlign w:val="center"/>
          </w:tcPr>
          <w:p w14:paraId="0059C98E" w14:textId="77777777" w:rsidR="00DF2775" w:rsidRPr="00DF2775" w:rsidRDefault="00DF2775" w:rsidP="00DF2775">
            <w:pPr>
              <w:pStyle w:val="Document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4BE66A7D" w14:textId="06A3B030" w:rsidR="00DF2775" w:rsidRPr="00DF2775" w:rsidRDefault="00DF2775" w:rsidP="00DF2775">
            <w:pPr>
              <w:pStyle w:val="Document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F2775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n (%)</w:t>
            </w:r>
          </w:p>
        </w:tc>
        <w:tc>
          <w:tcPr>
            <w:tcW w:w="1175" w:type="dxa"/>
            <w:shd w:val="clear" w:color="auto" w:fill="FFFFFF"/>
            <w:vAlign w:val="center"/>
          </w:tcPr>
          <w:p w14:paraId="0F95EF0E" w14:textId="718B21EA" w:rsidR="00DF2775" w:rsidRPr="00DF2775" w:rsidRDefault="00DF2775" w:rsidP="00DF2775">
            <w:pPr>
              <w:pStyle w:val="Document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F2775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[E]</w:t>
            </w:r>
          </w:p>
        </w:tc>
        <w:tc>
          <w:tcPr>
            <w:tcW w:w="1255" w:type="dxa"/>
            <w:shd w:val="clear" w:color="auto" w:fill="FFFFFF"/>
            <w:vAlign w:val="center"/>
          </w:tcPr>
          <w:p w14:paraId="5B449792" w14:textId="0880280D" w:rsidR="00DF2775" w:rsidRPr="00DF2775" w:rsidRDefault="00DF2775" w:rsidP="00DF2775">
            <w:pPr>
              <w:pStyle w:val="Document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F2775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n (%)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426929F" w14:textId="01A0F962" w:rsidR="00DF2775" w:rsidRPr="00DF2775" w:rsidRDefault="00DF2775" w:rsidP="00DF2775">
            <w:pPr>
              <w:pStyle w:val="DocumentText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F2775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[E]</w:t>
            </w:r>
          </w:p>
        </w:tc>
      </w:tr>
      <w:tr w:rsidR="00DF2775" w14:paraId="213883C3" w14:textId="77777777" w:rsidTr="00EE460A">
        <w:tc>
          <w:tcPr>
            <w:tcW w:w="4495" w:type="dxa"/>
            <w:shd w:val="clear" w:color="auto" w:fill="FFF2CC" w:themeFill="accent4" w:themeFillTint="33"/>
          </w:tcPr>
          <w:p w14:paraId="7E92208A" w14:textId="77777777" w:rsidR="00DF2775" w:rsidRPr="005C11C0" w:rsidRDefault="00DF2775" w:rsidP="00DF2775">
            <w:pPr>
              <w:pStyle w:val="DocumentText"/>
              <w:spacing w:before="40" w:after="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Any TEAEs</w:t>
            </w:r>
          </w:p>
        </w:tc>
        <w:tc>
          <w:tcPr>
            <w:tcW w:w="1350" w:type="dxa"/>
            <w:shd w:val="clear" w:color="auto" w:fill="FFF2CC" w:themeFill="accent4" w:themeFillTint="33"/>
            <w:vAlign w:val="bottom"/>
          </w:tcPr>
          <w:p w14:paraId="52590D20" w14:textId="10809ED9" w:rsidR="00DF2775" w:rsidRPr="005C11C0" w:rsidRDefault="00DF2775" w:rsidP="00DF2775">
            <w:pPr>
              <w:pStyle w:val="DocumentText"/>
              <w:spacing w:before="40" w:after="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1912 (25.3)</w:t>
            </w:r>
          </w:p>
        </w:tc>
        <w:tc>
          <w:tcPr>
            <w:tcW w:w="1175" w:type="dxa"/>
            <w:shd w:val="clear" w:color="auto" w:fill="FFF2CC" w:themeFill="accent4" w:themeFillTint="33"/>
            <w:vAlign w:val="center"/>
          </w:tcPr>
          <w:p w14:paraId="46F73B61" w14:textId="64777FF9" w:rsidR="00DF2775" w:rsidRPr="005C11C0" w:rsidRDefault="00DF2775" w:rsidP="00DF2775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[2916]</w:t>
            </w:r>
          </w:p>
        </w:tc>
        <w:tc>
          <w:tcPr>
            <w:tcW w:w="1255" w:type="dxa"/>
            <w:shd w:val="clear" w:color="auto" w:fill="FFF2CC" w:themeFill="accent4" w:themeFillTint="33"/>
            <w:vAlign w:val="center"/>
          </w:tcPr>
          <w:p w14:paraId="4F99ABB7" w14:textId="7D14EA5C" w:rsidR="00DF2775" w:rsidRPr="005C11C0" w:rsidRDefault="00DF2775" w:rsidP="00DF2775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1551 (20.5)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476FA5CD" w14:textId="266FC016" w:rsidR="00DF2775" w:rsidRPr="005C11C0" w:rsidRDefault="00DF2775" w:rsidP="00DF2775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[2514]</w:t>
            </w:r>
          </w:p>
        </w:tc>
      </w:tr>
      <w:tr w:rsidR="00DF2775" w14:paraId="342A2CB0" w14:textId="77777777" w:rsidTr="00DF2775">
        <w:tc>
          <w:tcPr>
            <w:tcW w:w="4495" w:type="dxa"/>
            <w:shd w:val="clear" w:color="auto" w:fill="FFFFFF"/>
          </w:tcPr>
          <w:p w14:paraId="30155BFC" w14:textId="07805BCC" w:rsidR="00DF2775" w:rsidRPr="005C11C0" w:rsidRDefault="00DF2775" w:rsidP="0061672E">
            <w:pPr>
              <w:pStyle w:val="DocumentText"/>
              <w:spacing w:before="40" w:after="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Any </w:t>
            </w:r>
            <w:r w:rsidR="0061672E"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</w:t>
            </w: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evere TEAEs</w:t>
            </w:r>
          </w:p>
        </w:tc>
        <w:tc>
          <w:tcPr>
            <w:tcW w:w="1350" w:type="dxa"/>
            <w:shd w:val="clear" w:color="auto" w:fill="FFFFFF"/>
            <w:vAlign w:val="bottom"/>
          </w:tcPr>
          <w:p w14:paraId="54DAE37B" w14:textId="7512ABB9" w:rsidR="00DF2775" w:rsidRPr="005C11C0" w:rsidRDefault="00DF2775" w:rsidP="00DF2775">
            <w:pPr>
              <w:pStyle w:val="DocumentText"/>
              <w:spacing w:before="40" w:after="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76 ( 1.0)</w:t>
            </w:r>
          </w:p>
        </w:tc>
        <w:tc>
          <w:tcPr>
            <w:tcW w:w="1175" w:type="dxa"/>
            <w:shd w:val="clear" w:color="auto" w:fill="FFFFFF"/>
            <w:vAlign w:val="center"/>
          </w:tcPr>
          <w:p w14:paraId="3E76B082" w14:textId="2B86382C" w:rsidR="00DF2775" w:rsidRPr="005C11C0" w:rsidRDefault="00DF2775" w:rsidP="00DF2775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[92]</w:t>
            </w:r>
          </w:p>
        </w:tc>
        <w:tc>
          <w:tcPr>
            <w:tcW w:w="1255" w:type="dxa"/>
            <w:shd w:val="clear" w:color="auto" w:fill="FFFFFF"/>
            <w:vAlign w:val="center"/>
          </w:tcPr>
          <w:p w14:paraId="416CA7BE" w14:textId="34AF6064" w:rsidR="00DF2775" w:rsidRPr="005C11C0" w:rsidRDefault="00DF2775" w:rsidP="00DF2775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 ( 0.8)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C44BD97" w14:textId="4711ADB3" w:rsidR="00DF2775" w:rsidRPr="005C11C0" w:rsidRDefault="00DF2775" w:rsidP="00DF2775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[88]</w:t>
            </w:r>
          </w:p>
        </w:tc>
      </w:tr>
      <w:tr w:rsidR="00DF2775" w14:paraId="14DBEDC9" w14:textId="77777777" w:rsidTr="00EE460A">
        <w:tc>
          <w:tcPr>
            <w:tcW w:w="4495" w:type="dxa"/>
            <w:shd w:val="clear" w:color="auto" w:fill="FFF2CC" w:themeFill="accent4" w:themeFillTint="33"/>
          </w:tcPr>
          <w:p w14:paraId="1625372B" w14:textId="3C6F63D3" w:rsidR="00DF2775" w:rsidRPr="005C11C0" w:rsidRDefault="00DF2775" w:rsidP="0061672E">
            <w:pPr>
              <w:pStyle w:val="DocumentText"/>
              <w:spacing w:before="40" w:after="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Any </w:t>
            </w:r>
            <w:r w:rsidR="0061672E"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</w:t>
            </w: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reatment-</w:t>
            </w:r>
            <w:r w:rsidR="0061672E"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elated TEAEs</w:t>
            </w:r>
          </w:p>
        </w:tc>
        <w:tc>
          <w:tcPr>
            <w:tcW w:w="1350" w:type="dxa"/>
            <w:shd w:val="clear" w:color="auto" w:fill="FFF2CC" w:themeFill="accent4" w:themeFillTint="33"/>
            <w:vAlign w:val="bottom"/>
          </w:tcPr>
          <w:p w14:paraId="6D43A253" w14:textId="25455738" w:rsidR="00DF2775" w:rsidRPr="005C11C0" w:rsidRDefault="00DF2775" w:rsidP="00DF2775">
            <w:pPr>
              <w:pStyle w:val="DocumentText"/>
              <w:spacing w:before="40" w:after="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824 (10.9)</w:t>
            </w:r>
          </w:p>
        </w:tc>
        <w:tc>
          <w:tcPr>
            <w:tcW w:w="1175" w:type="dxa"/>
            <w:shd w:val="clear" w:color="auto" w:fill="FFF2CC" w:themeFill="accent4" w:themeFillTint="33"/>
            <w:vAlign w:val="center"/>
          </w:tcPr>
          <w:p w14:paraId="2CC217DB" w14:textId="5D35B26C" w:rsidR="00DF2775" w:rsidRPr="005C11C0" w:rsidRDefault="00DF2775" w:rsidP="00DF2775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[1071]</w:t>
            </w:r>
          </w:p>
        </w:tc>
        <w:tc>
          <w:tcPr>
            <w:tcW w:w="1255" w:type="dxa"/>
            <w:shd w:val="clear" w:color="auto" w:fill="FFF2CC" w:themeFill="accent4" w:themeFillTint="33"/>
            <w:vAlign w:val="center"/>
          </w:tcPr>
          <w:p w14:paraId="02D3D5EB" w14:textId="4498FB87" w:rsidR="00DF2775" w:rsidRPr="005C11C0" w:rsidRDefault="00DF2775" w:rsidP="00DF2775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344 ( 4.5)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5957B587" w14:textId="3BF6441B" w:rsidR="00DF2775" w:rsidRPr="005C11C0" w:rsidRDefault="00DF2775" w:rsidP="00DF2775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[464]</w:t>
            </w:r>
          </w:p>
        </w:tc>
      </w:tr>
      <w:tr w:rsidR="0061672E" w14:paraId="1360374D" w14:textId="77777777" w:rsidTr="0061672E">
        <w:tc>
          <w:tcPr>
            <w:tcW w:w="4495" w:type="dxa"/>
            <w:shd w:val="clear" w:color="auto" w:fill="FFFFFF"/>
          </w:tcPr>
          <w:p w14:paraId="1DA358EB" w14:textId="433879C1" w:rsidR="0061672E" w:rsidRPr="005C11C0" w:rsidRDefault="0061672E" w:rsidP="0061672E">
            <w:pPr>
              <w:pStyle w:val="DocumentText"/>
              <w:spacing w:before="40"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Any severe treatment-related TEAEs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E96F32F" w14:textId="26C45773" w:rsidR="0061672E" w:rsidRPr="005C11C0" w:rsidRDefault="006C0BA1" w:rsidP="006C0BA1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 ( 0.2)</w:t>
            </w:r>
          </w:p>
        </w:tc>
        <w:tc>
          <w:tcPr>
            <w:tcW w:w="1175" w:type="dxa"/>
            <w:shd w:val="clear" w:color="auto" w:fill="FFFFFF"/>
            <w:vAlign w:val="center"/>
          </w:tcPr>
          <w:p w14:paraId="1FFC1450" w14:textId="67C4F275" w:rsidR="0061672E" w:rsidRPr="005C11C0" w:rsidRDefault="006C0BA1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[14]</w:t>
            </w:r>
          </w:p>
        </w:tc>
        <w:tc>
          <w:tcPr>
            <w:tcW w:w="1255" w:type="dxa"/>
            <w:shd w:val="clear" w:color="auto" w:fill="FFFFFF"/>
            <w:vAlign w:val="center"/>
          </w:tcPr>
          <w:p w14:paraId="24A40A6B" w14:textId="70BBC916" w:rsidR="0061672E" w:rsidRPr="005C11C0" w:rsidRDefault="006C0BA1" w:rsidP="006C0BA1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(&lt;0.1)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4307E0B" w14:textId="097B172A" w:rsidR="0061672E" w:rsidRPr="005C11C0" w:rsidRDefault="006C0BA1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[3]</w:t>
            </w:r>
          </w:p>
        </w:tc>
      </w:tr>
      <w:tr w:rsidR="0061672E" w14:paraId="16FC4E8A" w14:textId="77777777" w:rsidTr="00EE460A">
        <w:tc>
          <w:tcPr>
            <w:tcW w:w="4495" w:type="dxa"/>
            <w:shd w:val="clear" w:color="auto" w:fill="FFF2CC" w:themeFill="accent4" w:themeFillTint="33"/>
          </w:tcPr>
          <w:p w14:paraId="543E0784" w14:textId="77777777" w:rsidR="0061672E" w:rsidRPr="005C11C0" w:rsidRDefault="0061672E" w:rsidP="0061672E">
            <w:pPr>
              <w:pStyle w:val="DocumentText"/>
              <w:spacing w:before="40" w:after="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Any MAAEs</w:t>
            </w:r>
          </w:p>
        </w:tc>
        <w:tc>
          <w:tcPr>
            <w:tcW w:w="1350" w:type="dxa"/>
            <w:shd w:val="clear" w:color="auto" w:fill="FFF2CC" w:themeFill="accent4" w:themeFillTint="33"/>
            <w:vAlign w:val="bottom"/>
          </w:tcPr>
          <w:p w14:paraId="1EE52703" w14:textId="7C00CA31" w:rsidR="0061672E" w:rsidRPr="005C11C0" w:rsidRDefault="0061672E" w:rsidP="0061672E">
            <w:pPr>
              <w:pStyle w:val="DocumentText"/>
              <w:spacing w:before="40" w:after="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285 ( 3.8)</w:t>
            </w:r>
          </w:p>
        </w:tc>
        <w:tc>
          <w:tcPr>
            <w:tcW w:w="1175" w:type="dxa"/>
            <w:shd w:val="clear" w:color="auto" w:fill="FFF2CC" w:themeFill="accent4" w:themeFillTint="33"/>
            <w:vAlign w:val="center"/>
          </w:tcPr>
          <w:p w14:paraId="6AB34870" w14:textId="700AB924" w:rsidR="0061672E" w:rsidRPr="005C11C0" w:rsidRDefault="0061672E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[335]</w:t>
            </w:r>
          </w:p>
        </w:tc>
        <w:tc>
          <w:tcPr>
            <w:tcW w:w="1255" w:type="dxa"/>
            <w:shd w:val="clear" w:color="auto" w:fill="FFF2CC" w:themeFill="accent4" w:themeFillTint="33"/>
            <w:vAlign w:val="center"/>
          </w:tcPr>
          <w:p w14:paraId="5A740CB3" w14:textId="719FA662" w:rsidR="0061672E" w:rsidRPr="005C11C0" w:rsidRDefault="0061672E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295 ( 3.9)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3A8838EA" w14:textId="14BEF0FE" w:rsidR="0061672E" w:rsidRPr="005C11C0" w:rsidRDefault="0061672E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[355]</w:t>
            </w:r>
          </w:p>
        </w:tc>
      </w:tr>
      <w:tr w:rsidR="0061672E" w14:paraId="635C6573" w14:textId="77777777" w:rsidTr="0061672E">
        <w:tc>
          <w:tcPr>
            <w:tcW w:w="4495" w:type="dxa"/>
            <w:shd w:val="clear" w:color="auto" w:fill="FFFFFF"/>
          </w:tcPr>
          <w:p w14:paraId="57ED41F6" w14:textId="67B823A7" w:rsidR="0061672E" w:rsidRPr="005C11C0" w:rsidRDefault="0061672E" w:rsidP="0061672E">
            <w:pPr>
              <w:pStyle w:val="DocumentText"/>
              <w:spacing w:before="40"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Any treatment-related MAAEs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4085C39" w14:textId="7BE8A1A6" w:rsidR="0061672E" w:rsidRPr="005C11C0" w:rsidRDefault="001D4286" w:rsidP="001D4286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/>
              </w:rPr>
              <w:t>33 ( 0.4)</w:t>
            </w:r>
          </w:p>
        </w:tc>
        <w:tc>
          <w:tcPr>
            <w:tcW w:w="1175" w:type="dxa"/>
            <w:shd w:val="clear" w:color="auto" w:fill="FFFFFF"/>
            <w:vAlign w:val="center"/>
          </w:tcPr>
          <w:p w14:paraId="0FC6D917" w14:textId="781DFEBF" w:rsidR="0061672E" w:rsidRPr="005C11C0" w:rsidRDefault="001D4286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[41]</w:t>
            </w:r>
          </w:p>
        </w:tc>
        <w:tc>
          <w:tcPr>
            <w:tcW w:w="1255" w:type="dxa"/>
            <w:shd w:val="clear" w:color="auto" w:fill="FFFFFF"/>
            <w:vAlign w:val="center"/>
          </w:tcPr>
          <w:p w14:paraId="5A830DC9" w14:textId="15751916" w:rsidR="0061672E" w:rsidRPr="005C11C0" w:rsidRDefault="001D4286" w:rsidP="001D4286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 ( 0.2)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0B4CE54" w14:textId="2B006081" w:rsidR="0061672E" w:rsidRPr="005C11C0" w:rsidRDefault="001D4286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[15]</w:t>
            </w:r>
          </w:p>
        </w:tc>
      </w:tr>
      <w:tr w:rsidR="001505D8" w14:paraId="53FE699E" w14:textId="77777777" w:rsidTr="00EE460A">
        <w:tc>
          <w:tcPr>
            <w:tcW w:w="4495" w:type="dxa"/>
            <w:shd w:val="clear" w:color="auto" w:fill="FFF2CC" w:themeFill="accent4" w:themeFillTint="33"/>
          </w:tcPr>
          <w:p w14:paraId="438D9B60" w14:textId="7E11B6E1" w:rsidR="001505D8" w:rsidRPr="005C11C0" w:rsidRDefault="001505D8" w:rsidP="001505D8">
            <w:pPr>
              <w:pStyle w:val="DocumentText"/>
              <w:spacing w:before="40"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Any serious TEAEs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2A8E87BF" w14:textId="6E391951" w:rsidR="001505D8" w:rsidRPr="005C11C0" w:rsidRDefault="001505D8" w:rsidP="001505D8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 ( 0.5)</w:t>
            </w:r>
          </w:p>
        </w:tc>
        <w:tc>
          <w:tcPr>
            <w:tcW w:w="1175" w:type="dxa"/>
            <w:shd w:val="clear" w:color="auto" w:fill="FFF2CC" w:themeFill="accent4" w:themeFillTint="33"/>
            <w:vAlign w:val="center"/>
          </w:tcPr>
          <w:p w14:paraId="38FA6402" w14:textId="1C12EA2D" w:rsidR="001505D8" w:rsidRPr="005C11C0" w:rsidRDefault="001505D8" w:rsidP="001505D8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[50]</w:t>
            </w:r>
          </w:p>
        </w:tc>
        <w:tc>
          <w:tcPr>
            <w:tcW w:w="1255" w:type="dxa"/>
            <w:shd w:val="clear" w:color="auto" w:fill="FFF2CC" w:themeFill="accent4" w:themeFillTint="33"/>
            <w:vAlign w:val="center"/>
          </w:tcPr>
          <w:p w14:paraId="78DB6E59" w14:textId="733C154E" w:rsidR="001505D8" w:rsidRPr="005C11C0" w:rsidRDefault="001505D8" w:rsidP="001505D8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 ( 0.5)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1525536E" w14:textId="1EFAEC01" w:rsidR="001505D8" w:rsidRPr="005C11C0" w:rsidRDefault="001505D8" w:rsidP="001505D8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[50]</w:t>
            </w:r>
          </w:p>
        </w:tc>
      </w:tr>
      <w:tr w:rsidR="0061672E" w14:paraId="21A88AB4" w14:textId="77777777" w:rsidTr="0061672E">
        <w:tc>
          <w:tcPr>
            <w:tcW w:w="4495" w:type="dxa"/>
            <w:shd w:val="clear" w:color="auto" w:fill="FFFFFF"/>
          </w:tcPr>
          <w:p w14:paraId="5B010389" w14:textId="11C47C5F" w:rsidR="0061672E" w:rsidRPr="005C11C0" w:rsidRDefault="0061672E" w:rsidP="0061672E">
            <w:pPr>
              <w:pStyle w:val="DocumentText"/>
              <w:spacing w:before="40"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Any treatment-related serious TEAEs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0F1820C" w14:textId="08D04FCD" w:rsidR="0061672E" w:rsidRPr="005C11C0" w:rsidRDefault="0061672E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1175" w:type="dxa"/>
            <w:shd w:val="clear" w:color="auto" w:fill="FFFFFF"/>
            <w:vAlign w:val="center"/>
          </w:tcPr>
          <w:p w14:paraId="5C16FA0C" w14:textId="61587F6D" w:rsidR="0061672E" w:rsidRPr="005C11C0" w:rsidRDefault="0061672E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[1]</w:t>
            </w:r>
          </w:p>
        </w:tc>
        <w:tc>
          <w:tcPr>
            <w:tcW w:w="1255" w:type="dxa"/>
            <w:shd w:val="clear" w:color="auto" w:fill="FFFFFF"/>
            <w:vAlign w:val="center"/>
          </w:tcPr>
          <w:p w14:paraId="78838994" w14:textId="479E1BDF" w:rsidR="0061672E" w:rsidRPr="005C11C0" w:rsidRDefault="0061672E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941F032" w14:textId="5EA795AC" w:rsidR="0061672E" w:rsidRPr="005C11C0" w:rsidRDefault="0061672E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61672E" w14:paraId="32B7BC39" w14:textId="77777777" w:rsidTr="00EE460A">
        <w:tc>
          <w:tcPr>
            <w:tcW w:w="4495" w:type="dxa"/>
            <w:shd w:val="clear" w:color="auto" w:fill="FFF2CC" w:themeFill="accent4" w:themeFillTint="33"/>
          </w:tcPr>
          <w:p w14:paraId="48E41B35" w14:textId="43F763A5" w:rsidR="0061672E" w:rsidRPr="005C11C0" w:rsidRDefault="0061672E" w:rsidP="0061672E">
            <w:pPr>
              <w:pStyle w:val="DocumentText"/>
              <w:spacing w:before="40"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Any TEAEs leading to vaccination discontinuation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71F491FF" w14:textId="1EBF5D3B" w:rsidR="0061672E" w:rsidRPr="005C11C0" w:rsidRDefault="001505D8" w:rsidP="001505D8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 ( 0.3)</w:t>
            </w:r>
          </w:p>
        </w:tc>
        <w:tc>
          <w:tcPr>
            <w:tcW w:w="1175" w:type="dxa"/>
            <w:shd w:val="clear" w:color="auto" w:fill="FFF2CC" w:themeFill="accent4" w:themeFillTint="33"/>
            <w:vAlign w:val="center"/>
          </w:tcPr>
          <w:p w14:paraId="4E91EA5B" w14:textId="427878F1" w:rsidR="0061672E" w:rsidRPr="005C11C0" w:rsidRDefault="001505D8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[27]</w:t>
            </w:r>
          </w:p>
        </w:tc>
        <w:tc>
          <w:tcPr>
            <w:tcW w:w="1255" w:type="dxa"/>
            <w:shd w:val="clear" w:color="auto" w:fill="FFF2CC" w:themeFill="accent4" w:themeFillTint="33"/>
            <w:vAlign w:val="center"/>
          </w:tcPr>
          <w:p w14:paraId="4ED895AD" w14:textId="48599856" w:rsidR="0061672E" w:rsidRPr="005C11C0" w:rsidRDefault="001505D8" w:rsidP="001505D8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 ( 0.3)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65F2E7E9" w14:textId="0973F0F3" w:rsidR="0061672E" w:rsidRPr="005C11C0" w:rsidRDefault="001505D8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[43]</w:t>
            </w:r>
          </w:p>
        </w:tc>
      </w:tr>
      <w:tr w:rsidR="006C0BA1" w14:paraId="4C8CE409" w14:textId="77777777" w:rsidTr="0061672E">
        <w:tc>
          <w:tcPr>
            <w:tcW w:w="4495" w:type="dxa"/>
            <w:shd w:val="clear" w:color="auto" w:fill="FFFFFF"/>
          </w:tcPr>
          <w:p w14:paraId="6D3BFCC0" w14:textId="65534C22" w:rsidR="006C0BA1" w:rsidRPr="005C11C0" w:rsidRDefault="006C0BA1" w:rsidP="00EE460A">
            <w:pPr>
              <w:pStyle w:val="DocumentText"/>
              <w:spacing w:before="40" w:after="40" w:line="240" w:lineRule="auto"/>
              <w:ind w:left="340" w:hanging="3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Any treatment-related TEAEs leading to vaccination discontinuation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15C53C0" w14:textId="473D53D8" w:rsidR="006C0BA1" w:rsidRPr="005C11C0" w:rsidRDefault="001D4286" w:rsidP="001D4286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 (&lt;0.1)</w:t>
            </w:r>
          </w:p>
        </w:tc>
        <w:tc>
          <w:tcPr>
            <w:tcW w:w="1175" w:type="dxa"/>
            <w:shd w:val="clear" w:color="auto" w:fill="FFFFFF"/>
            <w:vAlign w:val="center"/>
          </w:tcPr>
          <w:p w14:paraId="3E05CC49" w14:textId="4062E5FF" w:rsidR="006C0BA1" w:rsidRPr="005C11C0" w:rsidRDefault="001D4286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[9]</w:t>
            </w:r>
          </w:p>
        </w:tc>
        <w:tc>
          <w:tcPr>
            <w:tcW w:w="1255" w:type="dxa"/>
            <w:shd w:val="clear" w:color="auto" w:fill="FFFFFF"/>
            <w:vAlign w:val="center"/>
          </w:tcPr>
          <w:p w14:paraId="7F7AD6B2" w14:textId="7BDBCE1A" w:rsidR="006C0BA1" w:rsidRPr="005C11C0" w:rsidRDefault="006C0BA1" w:rsidP="006C0BA1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 ( 0.1)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68B6420" w14:textId="1C67FA90" w:rsidR="006C0BA1" w:rsidRPr="005C11C0" w:rsidRDefault="006C0BA1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[9]</w:t>
            </w:r>
          </w:p>
        </w:tc>
      </w:tr>
      <w:tr w:rsidR="0061672E" w14:paraId="6F250E9E" w14:textId="77777777" w:rsidTr="00EE460A">
        <w:tc>
          <w:tcPr>
            <w:tcW w:w="4495" w:type="dxa"/>
            <w:shd w:val="clear" w:color="auto" w:fill="FFF2CC" w:themeFill="accent4" w:themeFillTint="33"/>
          </w:tcPr>
          <w:p w14:paraId="7497232F" w14:textId="1FE5CBD1" w:rsidR="0061672E" w:rsidRPr="005C11C0" w:rsidRDefault="0061672E" w:rsidP="0061672E">
            <w:pPr>
              <w:pStyle w:val="DocumentText"/>
              <w:spacing w:before="40"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Any TEAEs leading to study discontinuation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652DAA39" w14:textId="3F3E67FF" w:rsidR="0061672E" w:rsidRPr="005C11C0" w:rsidRDefault="001505D8" w:rsidP="001505D8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 ( 0.2)</w:t>
            </w:r>
          </w:p>
        </w:tc>
        <w:tc>
          <w:tcPr>
            <w:tcW w:w="1175" w:type="dxa"/>
            <w:shd w:val="clear" w:color="auto" w:fill="FFF2CC" w:themeFill="accent4" w:themeFillTint="33"/>
            <w:vAlign w:val="center"/>
          </w:tcPr>
          <w:p w14:paraId="23E83921" w14:textId="722CEB7E" w:rsidR="0061672E" w:rsidRPr="005C11C0" w:rsidRDefault="001505D8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[17]</w:t>
            </w:r>
          </w:p>
        </w:tc>
        <w:tc>
          <w:tcPr>
            <w:tcW w:w="1255" w:type="dxa"/>
            <w:shd w:val="clear" w:color="auto" w:fill="FFF2CC" w:themeFill="accent4" w:themeFillTint="33"/>
            <w:vAlign w:val="center"/>
          </w:tcPr>
          <w:p w14:paraId="1EE47A76" w14:textId="5974A765" w:rsidR="0061672E" w:rsidRPr="005C11C0" w:rsidRDefault="001505D8" w:rsidP="001505D8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 ( 0.2)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3E3AC1AE" w14:textId="4CBD20E6" w:rsidR="0061672E" w:rsidRPr="005C11C0" w:rsidRDefault="001505D8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[16]</w:t>
            </w:r>
          </w:p>
        </w:tc>
      </w:tr>
      <w:tr w:rsidR="006C0BA1" w14:paraId="1D1BB553" w14:textId="77777777" w:rsidTr="0061672E">
        <w:tc>
          <w:tcPr>
            <w:tcW w:w="4495" w:type="dxa"/>
            <w:shd w:val="clear" w:color="auto" w:fill="FFFFFF"/>
          </w:tcPr>
          <w:p w14:paraId="3E7B3AA7" w14:textId="1941F0C4" w:rsidR="006C0BA1" w:rsidRPr="005C11C0" w:rsidRDefault="006C0BA1" w:rsidP="00EE460A">
            <w:pPr>
              <w:pStyle w:val="DocumentText"/>
              <w:spacing w:before="40" w:after="40" w:line="240" w:lineRule="auto"/>
              <w:ind w:left="340" w:hanging="3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Any treatment-related TEAEs leading to study discontinuation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885F1FC" w14:textId="57E7338E" w:rsidR="006C0BA1" w:rsidRPr="005C11C0" w:rsidRDefault="001D4286" w:rsidP="001F2651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(&lt;0.1)</w:t>
            </w:r>
          </w:p>
        </w:tc>
        <w:tc>
          <w:tcPr>
            <w:tcW w:w="1175" w:type="dxa"/>
            <w:shd w:val="clear" w:color="auto" w:fill="FFFFFF"/>
            <w:vAlign w:val="center"/>
          </w:tcPr>
          <w:p w14:paraId="65A117CD" w14:textId="023ACC32" w:rsidR="006C0BA1" w:rsidRPr="005C11C0" w:rsidRDefault="001D4286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[5]</w:t>
            </w:r>
          </w:p>
        </w:tc>
        <w:tc>
          <w:tcPr>
            <w:tcW w:w="1255" w:type="dxa"/>
            <w:shd w:val="clear" w:color="auto" w:fill="FFFFFF"/>
            <w:vAlign w:val="center"/>
          </w:tcPr>
          <w:p w14:paraId="701B09B5" w14:textId="367300FA" w:rsidR="006C0BA1" w:rsidRPr="005C11C0" w:rsidRDefault="001D4286" w:rsidP="001F2651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85056B8" w14:textId="15E3C75F" w:rsidR="006C0BA1" w:rsidRPr="005C11C0" w:rsidRDefault="001D4286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[2]</w:t>
            </w:r>
          </w:p>
        </w:tc>
      </w:tr>
      <w:tr w:rsidR="0061672E" w14:paraId="200E319B" w14:textId="77777777" w:rsidTr="00EE460A">
        <w:tc>
          <w:tcPr>
            <w:tcW w:w="4495" w:type="dxa"/>
            <w:shd w:val="clear" w:color="auto" w:fill="FFF2CC" w:themeFill="accent4" w:themeFillTint="33"/>
          </w:tcPr>
          <w:p w14:paraId="0C86AD72" w14:textId="12FD4404" w:rsidR="0061672E" w:rsidRPr="005C11C0" w:rsidRDefault="0061672E" w:rsidP="0061672E">
            <w:pPr>
              <w:pStyle w:val="DocumentText"/>
              <w:spacing w:before="40"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Any PIMMCs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25B89E98" w14:textId="7FF42EC3" w:rsidR="0061672E" w:rsidRPr="005C11C0" w:rsidRDefault="000E0263" w:rsidP="000E0263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(&lt;0.1)</w:t>
            </w:r>
          </w:p>
        </w:tc>
        <w:tc>
          <w:tcPr>
            <w:tcW w:w="1175" w:type="dxa"/>
            <w:shd w:val="clear" w:color="auto" w:fill="FFF2CC" w:themeFill="accent4" w:themeFillTint="33"/>
            <w:vAlign w:val="center"/>
          </w:tcPr>
          <w:p w14:paraId="36A8FF31" w14:textId="469EA68F" w:rsidR="0061672E" w:rsidRPr="005C11C0" w:rsidRDefault="000E0263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[5]</w:t>
            </w:r>
          </w:p>
        </w:tc>
        <w:tc>
          <w:tcPr>
            <w:tcW w:w="1255" w:type="dxa"/>
            <w:shd w:val="clear" w:color="auto" w:fill="FFF2CC" w:themeFill="accent4" w:themeFillTint="33"/>
            <w:vAlign w:val="center"/>
          </w:tcPr>
          <w:p w14:paraId="0C52C9B4" w14:textId="1CECA554" w:rsidR="0061672E" w:rsidRPr="005C11C0" w:rsidRDefault="000E0263" w:rsidP="000E0263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 (&lt;0.1)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5F10BC21" w14:textId="69E042F4" w:rsidR="0061672E" w:rsidRPr="005C11C0" w:rsidRDefault="000E0263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[7]</w:t>
            </w:r>
          </w:p>
        </w:tc>
      </w:tr>
      <w:tr w:rsidR="0061672E" w14:paraId="0CCBF94F" w14:textId="77777777" w:rsidTr="003154D9">
        <w:tc>
          <w:tcPr>
            <w:tcW w:w="4495" w:type="dxa"/>
            <w:shd w:val="clear" w:color="auto" w:fill="FFFFFF"/>
          </w:tcPr>
          <w:p w14:paraId="685DBC54" w14:textId="615EDCE2" w:rsidR="0061672E" w:rsidRPr="005C11C0" w:rsidRDefault="0061672E" w:rsidP="0061672E">
            <w:pPr>
              <w:pStyle w:val="DocumentText"/>
              <w:spacing w:before="40" w:after="4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Any AESIs: relevant to Covid-19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5E334DF" w14:textId="21E61E71" w:rsidR="0061672E" w:rsidRPr="005C11C0" w:rsidRDefault="003154D9" w:rsidP="003154D9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 ( 0.1)</w:t>
            </w:r>
          </w:p>
        </w:tc>
        <w:tc>
          <w:tcPr>
            <w:tcW w:w="1175" w:type="dxa"/>
            <w:shd w:val="clear" w:color="auto" w:fill="FFFFFF"/>
            <w:vAlign w:val="center"/>
          </w:tcPr>
          <w:p w14:paraId="6F0EC532" w14:textId="1530D48A" w:rsidR="0061672E" w:rsidRPr="005C11C0" w:rsidRDefault="003154D9" w:rsidP="003154D9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[12]</w:t>
            </w:r>
          </w:p>
        </w:tc>
        <w:tc>
          <w:tcPr>
            <w:tcW w:w="1255" w:type="dxa"/>
            <w:shd w:val="clear" w:color="auto" w:fill="FFFFFF"/>
            <w:vAlign w:val="center"/>
          </w:tcPr>
          <w:p w14:paraId="2F358057" w14:textId="61D42C2F" w:rsidR="0061672E" w:rsidRPr="005C11C0" w:rsidRDefault="003154D9" w:rsidP="003154D9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 ( 0.3)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CCF6E6D" w14:textId="55B2F27C" w:rsidR="0061672E" w:rsidRPr="005C11C0" w:rsidRDefault="003154D9" w:rsidP="0061672E">
            <w:pPr>
              <w:pStyle w:val="DocumentText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[32]</w:t>
            </w:r>
          </w:p>
        </w:tc>
      </w:tr>
    </w:tbl>
    <w:p w14:paraId="0827F789" w14:textId="67FC05AF" w:rsidR="00D95788" w:rsidRPr="000F03C6" w:rsidRDefault="000F03C6" w:rsidP="00692B8E">
      <w:pPr>
        <w:pStyle w:val="TableFootnote"/>
        <w:spacing w:before="0" w:after="0"/>
        <w:ind w:left="0" w:firstLine="0"/>
        <w:rPr>
          <w:rFonts w:asciiTheme="minorHAnsi" w:hAnsiTheme="minorHAnsi" w:cstheme="minorBidi"/>
          <w:sz w:val="18"/>
          <w:szCs w:val="18"/>
        </w:rPr>
      </w:pPr>
      <w:r w:rsidRPr="69C5BB41">
        <w:rPr>
          <w:rFonts w:asciiTheme="minorHAnsi" w:hAnsiTheme="minorHAnsi" w:cstheme="minorBidi"/>
          <w:sz w:val="18"/>
          <w:szCs w:val="18"/>
        </w:rPr>
        <w:t xml:space="preserve">Abbreviations: AESIs = adverse event(s) of special interest; Covid-19 = coronavirus disease 2019; [E] = number of adverse events; </w:t>
      </w:r>
      <w:r w:rsidR="00D95788" w:rsidRPr="69C5BB41">
        <w:rPr>
          <w:rFonts w:asciiTheme="minorHAnsi" w:hAnsiTheme="minorHAnsi" w:cstheme="minorBidi"/>
          <w:sz w:val="18"/>
          <w:szCs w:val="18"/>
        </w:rPr>
        <w:t>MAAE</w:t>
      </w:r>
      <w:r w:rsidRPr="69C5BB41">
        <w:rPr>
          <w:rFonts w:asciiTheme="minorHAnsi" w:hAnsiTheme="minorHAnsi" w:cstheme="minorBidi"/>
          <w:sz w:val="18"/>
          <w:szCs w:val="18"/>
        </w:rPr>
        <w:t xml:space="preserve"> </w:t>
      </w:r>
      <w:r w:rsidR="00D95788" w:rsidRPr="69C5BB41">
        <w:rPr>
          <w:rFonts w:asciiTheme="minorHAnsi" w:hAnsiTheme="minorHAnsi" w:cstheme="minorBidi"/>
          <w:sz w:val="18"/>
          <w:szCs w:val="18"/>
        </w:rPr>
        <w:t>=</w:t>
      </w:r>
      <w:r w:rsidRPr="69C5BB41">
        <w:rPr>
          <w:rFonts w:asciiTheme="minorHAnsi" w:hAnsiTheme="minorHAnsi" w:cstheme="minorBidi"/>
          <w:sz w:val="18"/>
          <w:szCs w:val="18"/>
        </w:rPr>
        <w:t xml:space="preserve"> m</w:t>
      </w:r>
      <w:r w:rsidR="00D95788" w:rsidRPr="69C5BB41">
        <w:rPr>
          <w:rFonts w:asciiTheme="minorHAnsi" w:hAnsiTheme="minorHAnsi" w:cstheme="minorBidi"/>
          <w:sz w:val="18"/>
          <w:szCs w:val="18"/>
        </w:rPr>
        <w:t>edically attended adverse event; PIMMC</w:t>
      </w:r>
      <w:r w:rsidRPr="69C5BB41">
        <w:rPr>
          <w:rFonts w:asciiTheme="minorHAnsi" w:hAnsiTheme="minorHAnsi" w:cstheme="minorBidi"/>
          <w:sz w:val="18"/>
          <w:szCs w:val="18"/>
        </w:rPr>
        <w:t xml:space="preserve"> </w:t>
      </w:r>
      <w:r w:rsidR="00D95788" w:rsidRPr="69C5BB41">
        <w:rPr>
          <w:rFonts w:asciiTheme="minorHAnsi" w:hAnsiTheme="minorHAnsi" w:cstheme="minorBidi"/>
          <w:sz w:val="18"/>
          <w:szCs w:val="18"/>
        </w:rPr>
        <w:t>=</w:t>
      </w:r>
      <w:r w:rsidRPr="69C5BB41">
        <w:rPr>
          <w:rFonts w:asciiTheme="minorHAnsi" w:hAnsiTheme="minorHAnsi" w:cstheme="minorBidi"/>
          <w:sz w:val="18"/>
          <w:szCs w:val="18"/>
        </w:rPr>
        <w:t xml:space="preserve"> po</w:t>
      </w:r>
      <w:r w:rsidR="00D95788" w:rsidRPr="69C5BB41">
        <w:rPr>
          <w:rFonts w:asciiTheme="minorHAnsi" w:hAnsiTheme="minorHAnsi" w:cstheme="minorBidi"/>
          <w:sz w:val="18"/>
          <w:szCs w:val="18"/>
        </w:rPr>
        <w:t xml:space="preserve">tential immune-mediated medical conditions; </w:t>
      </w:r>
      <w:r w:rsidRPr="69C5BB41">
        <w:rPr>
          <w:rFonts w:asciiTheme="minorHAnsi" w:hAnsiTheme="minorHAnsi" w:cstheme="minorBidi"/>
          <w:sz w:val="18"/>
          <w:szCs w:val="18"/>
        </w:rPr>
        <w:t>SARS-CoV-2 = severe acute respiratory coronavirus 2; TEAE = treatment-emergent adverse event</w:t>
      </w:r>
      <w:r w:rsidR="00D95788" w:rsidRPr="69C5BB41">
        <w:rPr>
          <w:rFonts w:asciiTheme="minorHAnsi" w:hAnsiTheme="minorHAnsi" w:cstheme="minorBidi"/>
          <w:sz w:val="18"/>
          <w:szCs w:val="18"/>
        </w:rPr>
        <w:t xml:space="preserve">.  </w:t>
      </w:r>
    </w:p>
    <w:p w14:paraId="00500037" w14:textId="77777777" w:rsidR="00D95788" w:rsidRPr="000F03C6" w:rsidRDefault="00D95788" w:rsidP="00692B8E">
      <w:pPr>
        <w:pStyle w:val="TableFootnote"/>
        <w:spacing w:before="0"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0F03C6">
        <w:rPr>
          <w:rFonts w:asciiTheme="minorHAnsi" w:hAnsiTheme="minorHAnsi" w:cstheme="minorHAnsi"/>
          <w:sz w:val="18"/>
          <w:szCs w:val="18"/>
        </w:rPr>
        <w:t xml:space="preserve">All counts exclude reactogenicity adverse events (selected preferred terms) where the event start date is on the day of either vaccination or within the 6 calendar days that follow either vaccination.  </w:t>
      </w:r>
    </w:p>
    <w:p w14:paraId="60C81578" w14:textId="600DC83F" w:rsidR="00D95788" w:rsidRDefault="00D95788" w:rsidP="00692B8E">
      <w:pPr>
        <w:pStyle w:val="TableFootnote"/>
        <w:spacing w:before="0"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0F03C6">
        <w:rPr>
          <w:rFonts w:asciiTheme="minorHAnsi" w:hAnsiTheme="minorHAnsi" w:cstheme="minorHAnsi"/>
          <w:sz w:val="18"/>
          <w:szCs w:val="18"/>
        </w:rPr>
        <w:t>Any event that occur</w:t>
      </w:r>
      <w:r w:rsidR="000F03C6" w:rsidRPr="000F03C6">
        <w:rPr>
          <w:rFonts w:asciiTheme="minorHAnsi" w:hAnsiTheme="minorHAnsi" w:cstheme="minorHAnsi"/>
          <w:sz w:val="18"/>
          <w:szCs w:val="18"/>
        </w:rPr>
        <w:t>red</w:t>
      </w:r>
      <w:r w:rsidRPr="000F03C6">
        <w:rPr>
          <w:rFonts w:asciiTheme="minorHAnsi" w:hAnsiTheme="minorHAnsi" w:cstheme="minorHAnsi"/>
          <w:sz w:val="18"/>
          <w:szCs w:val="18"/>
        </w:rPr>
        <w:t xml:space="preserve"> after unblinding or after receipt of an approved or deployed SARS-CoV-2 vaccine</w:t>
      </w:r>
      <w:r w:rsidR="000F03C6" w:rsidRPr="000F03C6">
        <w:rPr>
          <w:rFonts w:asciiTheme="minorHAnsi" w:hAnsiTheme="minorHAnsi" w:cstheme="minorHAnsi"/>
          <w:sz w:val="18"/>
          <w:szCs w:val="18"/>
        </w:rPr>
        <w:t xml:space="preserve"> was excluded from the analysis</w:t>
      </w:r>
      <w:r w:rsidRPr="000F03C6">
        <w:rPr>
          <w:rFonts w:asciiTheme="minorHAnsi" w:hAnsiTheme="minorHAnsi" w:cstheme="minorHAnsi"/>
          <w:sz w:val="18"/>
          <w:szCs w:val="18"/>
        </w:rPr>
        <w:t>.</w:t>
      </w:r>
    </w:p>
    <w:p w14:paraId="60522E6C" w14:textId="77777777" w:rsidR="00692B8E" w:rsidRDefault="00692B8E" w:rsidP="0095595E">
      <w:pPr>
        <w:pStyle w:val="DocumentText"/>
        <w:spacing w:after="0" w:line="360" w:lineRule="auto"/>
        <w:rPr>
          <w:rFonts w:asciiTheme="minorHAnsi" w:hAnsiTheme="minorHAnsi" w:cstheme="minorBidi"/>
        </w:rPr>
      </w:pPr>
    </w:p>
    <w:p w14:paraId="01919FA5" w14:textId="42A573A4" w:rsidR="00702C6F" w:rsidRDefault="00702C6F" w:rsidP="0095595E">
      <w:pPr>
        <w:pStyle w:val="DocumentText"/>
        <w:spacing w:after="0" w:line="360" w:lineRule="auto"/>
        <w:rPr>
          <w:rFonts w:asciiTheme="minorHAnsi" w:hAnsiTheme="minorHAnsi" w:cstheme="minorBidi"/>
        </w:rPr>
      </w:pPr>
      <w:r w:rsidRPr="7DF5C7C6">
        <w:rPr>
          <w:rFonts w:asciiTheme="minorHAnsi" w:hAnsiTheme="minorHAnsi" w:cstheme="minorBidi"/>
        </w:rPr>
        <w:t xml:space="preserve">Unsolicited </w:t>
      </w:r>
      <w:r w:rsidR="00C20018">
        <w:rPr>
          <w:rFonts w:asciiTheme="minorHAnsi" w:hAnsiTheme="minorHAnsi" w:cstheme="minorBidi"/>
        </w:rPr>
        <w:t>TE</w:t>
      </w:r>
      <w:r w:rsidRPr="7DF5C7C6">
        <w:rPr>
          <w:rFonts w:asciiTheme="minorHAnsi" w:hAnsiTheme="minorHAnsi" w:cstheme="minorBidi"/>
        </w:rPr>
        <w:t>AEs reported</w:t>
      </w:r>
      <w:r w:rsidR="00C20018" w:rsidRPr="00C20018">
        <w:rPr>
          <w:rFonts w:asciiTheme="minorHAnsi" w:hAnsiTheme="minorHAnsi" w:cstheme="minorBidi"/>
        </w:rPr>
        <w:t xml:space="preserve"> </w:t>
      </w:r>
      <w:r w:rsidR="00B514FB">
        <w:rPr>
          <w:rFonts w:asciiTheme="minorHAnsi" w:hAnsiTheme="minorHAnsi" w:cstheme="minorBidi"/>
        </w:rPr>
        <w:t xml:space="preserve">for all participants who received at least one dose of NVX-CoV2373 or placebo </w:t>
      </w:r>
      <w:r w:rsidR="00C20018" w:rsidRPr="00C20018">
        <w:rPr>
          <w:rFonts w:asciiTheme="minorHAnsi" w:hAnsiTheme="minorHAnsi" w:cstheme="minorBidi"/>
        </w:rPr>
        <w:t xml:space="preserve">during the entire study </w:t>
      </w:r>
      <w:r w:rsidRPr="7DF5C7C6">
        <w:rPr>
          <w:rFonts w:asciiTheme="minorHAnsi" w:hAnsiTheme="minorHAnsi" w:cstheme="minorBidi"/>
        </w:rPr>
        <w:t xml:space="preserve">were predominantly mild </w:t>
      </w:r>
      <w:r w:rsidR="00B514FB">
        <w:rPr>
          <w:rFonts w:asciiTheme="minorHAnsi" w:hAnsiTheme="minorHAnsi" w:cstheme="minorBidi"/>
        </w:rPr>
        <w:t xml:space="preserve">or moderate </w:t>
      </w:r>
      <w:r w:rsidRPr="7DF5C7C6">
        <w:rPr>
          <w:rFonts w:asciiTheme="minorHAnsi" w:hAnsiTheme="minorHAnsi" w:cstheme="minorBidi"/>
        </w:rPr>
        <w:t xml:space="preserve">in severity </w:t>
      </w:r>
      <w:r w:rsidR="00B514FB">
        <w:rPr>
          <w:rFonts w:asciiTheme="minorHAnsi" w:hAnsiTheme="minorHAnsi" w:cstheme="minorBidi"/>
        </w:rPr>
        <w:t>and occurred</w:t>
      </w:r>
      <w:r w:rsidR="005A77B6">
        <w:rPr>
          <w:rFonts w:asciiTheme="minorHAnsi" w:hAnsiTheme="minorHAnsi" w:cstheme="minorBidi"/>
        </w:rPr>
        <w:t xml:space="preserve"> in 25</w:t>
      </w:r>
      <w:r w:rsidR="00B514FB">
        <w:rPr>
          <w:rFonts w:asciiTheme="minorHAnsi" w:hAnsiTheme="minorHAnsi" w:cstheme="minorBidi"/>
        </w:rPr>
        <w:t>.4</w:t>
      </w:r>
      <w:r w:rsidR="005A77B6">
        <w:rPr>
          <w:rFonts w:asciiTheme="minorHAnsi" w:hAnsiTheme="minorHAnsi" w:cstheme="minorBidi"/>
        </w:rPr>
        <w:t>% of participants receiving active vaccine and 20.8% of participants receiving placebo</w:t>
      </w:r>
      <w:r w:rsidR="00B514FB">
        <w:rPr>
          <w:rFonts w:asciiTheme="minorHAnsi" w:hAnsiTheme="minorHAnsi" w:cstheme="minorBidi"/>
        </w:rPr>
        <w:t xml:space="preserve"> (Table </w:t>
      </w:r>
      <w:r w:rsidR="00F1038F">
        <w:rPr>
          <w:rFonts w:asciiTheme="minorHAnsi" w:hAnsiTheme="minorHAnsi" w:cstheme="minorBidi"/>
        </w:rPr>
        <w:t>S4</w:t>
      </w:r>
      <w:r w:rsidR="00B514FB">
        <w:rPr>
          <w:rFonts w:asciiTheme="minorHAnsi" w:hAnsiTheme="minorHAnsi" w:cstheme="minorBidi"/>
        </w:rPr>
        <w:t>)</w:t>
      </w:r>
      <w:r w:rsidR="005A77B6">
        <w:rPr>
          <w:rFonts w:asciiTheme="minorHAnsi" w:hAnsiTheme="minorHAnsi" w:cstheme="minorBidi"/>
        </w:rPr>
        <w:t>.</w:t>
      </w:r>
      <w:r w:rsidRPr="7DF5C7C6">
        <w:rPr>
          <w:rFonts w:asciiTheme="minorHAnsi" w:hAnsiTheme="minorHAnsi" w:cstheme="minorBidi"/>
        </w:rPr>
        <w:t xml:space="preserve"> </w:t>
      </w:r>
      <w:r w:rsidR="00EE460A">
        <w:rPr>
          <w:rFonts w:asciiTheme="minorHAnsi" w:hAnsiTheme="minorHAnsi" w:cstheme="minorBidi"/>
        </w:rPr>
        <w:t xml:space="preserve">No unsolicited TEAE in the NVX-CoV2373 </w:t>
      </w:r>
      <w:r w:rsidR="00391C8D">
        <w:rPr>
          <w:rFonts w:asciiTheme="minorHAnsi" w:hAnsiTheme="minorHAnsi" w:cstheme="minorBidi"/>
        </w:rPr>
        <w:t>group occurred at a frequency that was one percentage point higher than in the placebo group.</w:t>
      </w:r>
      <w:r w:rsidRPr="7DF5C7C6">
        <w:rPr>
          <w:rFonts w:asciiTheme="minorHAnsi" w:hAnsiTheme="minorHAnsi" w:cstheme="minorBidi"/>
        </w:rPr>
        <w:t xml:space="preserve"> </w:t>
      </w:r>
      <w:r w:rsidR="00B514FB">
        <w:rPr>
          <w:rFonts w:asciiTheme="minorHAnsi" w:hAnsiTheme="minorHAnsi" w:cstheme="minorBidi"/>
        </w:rPr>
        <w:t xml:space="preserve">This analysis excludes reactogenicity TEAEs (selected preferred terms) with an event start date on the day of either vaccination or within 6 days after each vaccination. </w:t>
      </w:r>
    </w:p>
    <w:p w14:paraId="74D5E74E" w14:textId="77777777" w:rsidR="00C9024E" w:rsidRDefault="00C9024E" w:rsidP="006A4E55">
      <w:pPr>
        <w:pStyle w:val="DocumentText"/>
        <w:spacing w:after="0" w:line="360" w:lineRule="auto"/>
        <w:rPr>
          <w:rFonts w:asciiTheme="minorHAnsi" w:hAnsiTheme="minorHAnsi" w:cstheme="minorHAnsi"/>
          <w:szCs w:val="22"/>
        </w:rPr>
      </w:pPr>
    </w:p>
    <w:p w14:paraId="45C33CCD" w14:textId="45135CCB" w:rsidR="00B67D20" w:rsidRPr="00692B8E" w:rsidRDefault="4674C907" w:rsidP="007D5ECA">
      <w:pPr>
        <w:pStyle w:val="Title"/>
        <w:rPr>
          <w:u w:val="none"/>
        </w:rPr>
      </w:pPr>
      <w:r w:rsidRPr="00692B8E">
        <w:rPr>
          <w:u w:val="none"/>
        </w:rPr>
        <w:lastRenderedPageBreak/>
        <w:t xml:space="preserve">Table </w:t>
      </w:r>
      <w:r w:rsidR="00F1038F" w:rsidRPr="00692B8E">
        <w:rPr>
          <w:u w:val="none"/>
        </w:rPr>
        <w:t>S4</w:t>
      </w:r>
      <w:r w:rsidR="00692B8E">
        <w:rPr>
          <w:u w:val="none"/>
        </w:rPr>
        <w:t>.</w:t>
      </w:r>
      <w:r w:rsidRPr="00692B8E">
        <w:rPr>
          <w:u w:val="none"/>
        </w:rPr>
        <w:t xml:space="preserve"> Summary of Unsolicited Treatment-Emergent Adverse Events</w:t>
      </w:r>
      <w:r w:rsidR="00CE2147" w:rsidRPr="00692B8E">
        <w:rPr>
          <w:u w:val="none"/>
        </w:rPr>
        <w:t xml:space="preserve"> (Excluding Reactogenicity Adverse Events)</w:t>
      </w:r>
      <w:r w:rsidR="00E62E57" w:rsidRPr="00692B8E">
        <w:rPr>
          <w:u w:val="none"/>
        </w:rPr>
        <w:t xml:space="preserve"> Reported in</w:t>
      </w:r>
      <w:r w:rsidR="4371635B" w:rsidRPr="00692B8E">
        <w:rPr>
          <w:u w:val="none"/>
        </w:rPr>
        <w:t xml:space="preserve"> ≥</w:t>
      </w:r>
      <w:r w:rsidR="5B86D125" w:rsidRPr="00692B8E">
        <w:rPr>
          <w:u w:val="none"/>
        </w:rPr>
        <w:t>1%</w:t>
      </w:r>
      <w:r w:rsidRPr="00692B8E">
        <w:rPr>
          <w:u w:val="none"/>
        </w:rPr>
        <w:t xml:space="preserve"> </w:t>
      </w:r>
      <w:r w:rsidR="00E62E57" w:rsidRPr="00692B8E">
        <w:rPr>
          <w:u w:val="none"/>
        </w:rPr>
        <w:t xml:space="preserve">of Participants </w:t>
      </w:r>
      <w:r w:rsidR="00BA2D21" w:rsidRPr="00692B8E">
        <w:rPr>
          <w:u w:val="none"/>
        </w:rPr>
        <w:t xml:space="preserve">in Any Group </w:t>
      </w:r>
      <w:r w:rsidRPr="00692B8E">
        <w:rPr>
          <w:u w:val="none"/>
        </w:rPr>
        <w:t>(Safety Analysis Set)</w:t>
      </w:r>
    </w:p>
    <w:tbl>
      <w:tblPr>
        <w:tblStyle w:val="TableGrid"/>
        <w:tblW w:w="9350" w:type="dxa"/>
        <w:tblInd w:w="5" w:type="dxa"/>
        <w:tblLook w:val="04A0" w:firstRow="1" w:lastRow="0" w:firstColumn="1" w:lastColumn="0" w:noHBand="0" w:noVBand="1"/>
      </w:tblPr>
      <w:tblGrid>
        <w:gridCol w:w="5210"/>
        <w:gridCol w:w="2070"/>
        <w:gridCol w:w="2070"/>
      </w:tblGrid>
      <w:tr w:rsidR="007441E2" w14:paraId="6D284240" w14:textId="77777777" w:rsidTr="007441E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6CE3C" w14:textId="10528E7A" w:rsidR="007441E2" w:rsidRPr="007441E2" w:rsidRDefault="007441E2" w:rsidP="007441E2">
            <w:pPr>
              <w:pStyle w:val="DocumentText"/>
              <w:spacing w:before="20" w:after="20"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7441E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System Organ Class</w:t>
            </w:r>
            <w:r w:rsidRPr="007441E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br/>
              <w:t xml:space="preserve">  Preferred Term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84AA9" w14:textId="77777777" w:rsidR="007441E2" w:rsidRPr="007441E2" w:rsidRDefault="007441E2" w:rsidP="007441E2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441E2">
              <w:rPr>
                <w:rFonts w:asciiTheme="minorHAnsi" w:hAnsiTheme="minorHAnsi" w:cstheme="minorHAnsi"/>
                <w:b/>
                <w:bCs/>
                <w:szCs w:val="20"/>
              </w:rPr>
              <w:t>NVX-CoV2373</w:t>
            </w:r>
          </w:p>
          <w:p w14:paraId="542299DB" w14:textId="1101FBA0" w:rsidR="007441E2" w:rsidRPr="007441E2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7441E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N=7569</w:t>
            </w:r>
            <w:r w:rsidRPr="007441E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br/>
              <w:t>n (%)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005B9" w14:textId="7F2CEFAC" w:rsidR="007441E2" w:rsidRPr="007441E2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7441E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Placebo</w:t>
            </w:r>
            <w:r w:rsidRPr="007441E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br/>
              <w:t>N=7570</w:t>
            </w:r>
            <w:r w:rsidRPr="007441E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br/>
              <w:t>n (%)</w:t>
            </w:r>
          </w:p>
        </w:tc>
      </w:tr>
      <w:tr w:rsidR="007441E2" w14:paraId="021909B8" w14:textId="77777777" w:rsidTr="00391C8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589A82" w14:textId="47ACC04E" w:rsidR="007441E2" w:rsidRPr="005C11C0" w:rsidRDefault="007441E2" w:rsidP="007441E2">
            <w:pPr>
              <w:pStyle w:val="DocumentText"/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Any TEAE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042C365C" w14:textId="495A46BA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1925 (25.4)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868A89B" w14:textId="5EB93FC9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1574 (20.8)</w:t>
            </w:r>
          </w:p>
        </w:tc>
      </w:tr>
      <w:tr w:rsidR="007441E2" w14:paraId="7CBB0A5D" w14:textId="77777777" w:rsidTr="007441E2"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52EFA9D9" w14:textId="77EF6848" w:rsidR="007441E2" w:rsidRPr="005C11C0" w:rsidRDefault="007441E2" w:rsidP="007441E2">
            <w:pPr>
              <w:pStyle w:val="DocumentText"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General disorders and administration site conditions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53D414" w14:textId="5D6E2A48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461 ( 6.1)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9FC0FA" w14:textId="202F0159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223 ( 2.9)</w:t>
            </w:r>
          </w:p>
        </w:tc>
      </w:tr>
      <w:tr w:rsidR="007441E2" w14:paraId="25441F3B" w14:textId="77777777" w:rsidTr="00391C8D">
        <w:tc>
          <w:tcPr>
            <w:tcW w:w="5210" w:type="dxa"/>
            <w:shd w:val="clear" w:color="auto" w:fill="FFF2CC" w:themeFill="accent4" w:themeFillTint="33"/>
          </w:tcPr>
          <w:p w14:paraId="04A55D0D" w14:textId="60F26998" w:rsidR="007441E2" w:rsidRPr="005C11C0" w:rsidRDefault="007441E2" w:rsidP="007441E2">
            <w:pPr>
              <w:pStyle w:val="DocumentText"/>
              <w:spacing w:before="20" w:after="20" w:line="240" w:lineRule="auto"/>
              <w:ind w:left="1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bottom"/>
          </w:tcPr>
          <w:p w14:paraId="56EF7AE3" w14:textId="5B5DFE94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 ( 1.2)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bottom"/>
          </w:tcPr>
          <w:p w14:paraId="05E109DD" w14:textId="074685A7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 ( 0.3)</w:t>
            </w:r>
          </w:p>
        </w:tc>
      </w:tr>
      <w:tr w:rsidR="007441E2" w14:paraId="67CA6E49" w14:textId="77777777" w:rsidTr="007441E2">
        <w:tc>
          <w:tcPr>
            <w:tcW w:w="5210" w:type="dxa"/>
            <w:shd w:val="clear" w:color="auto" w:fill="auto"/>
          </w:tcPr>
          <w:p w14:paraId="37B4E98B" w14:textId="206BB555" w:rsidR="007441E2" w:rsidRPr="005C11C0" w:rsidRDefault="007441E2" w:rsidP="007441E2">
            <w:pPr>
              <w:pStyle w:val="DocumentText"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Nervous system disorders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2704E2B" w14:textId="5F1849EE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325 ( 4.3)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FBBEEF0" w14:textId="152A50C2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313 ( 4.1)</w:t>
            </w:r>
          </w:p>
        </w:tc>
      </w:tr>
      <w:tr w:rsidR="007441E2" w14:paraId="2CE0D8CC" w14:textId="77777777" w:rsidTr="00391C8D">
        <w:tc>
          <w:tcPr>
            <w:tcW w:w="5210" w:type="dxa"/>
            <w:shd w:val="clear" w:color="auto" w:fill="FFF2CC" w:themeFill="accent4" w:themeFillTint="33"/>
          </w:tcPr>
          <w:p w14:paraId="4CBF03FC" w14:textId="43FD0CE3" w:rsidR="007441E2" w:rsidRPr="005C11C0" w:rsidRDefault="007441E2" w:rsidP="007441E2">
            <w:pPr>
              <w:pStyle w:val="DocumentText"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Headache</w:t>
            </w:r>
          </w:p>
        </w:tc>
        <w:tc>
          <w:tcPr>
            <w:tcW w:w="2070" w:type="dxa"/>
            <w:shd w:val="clear" w:color="auto" w:fill="FFF2CC" w:themeFill="accent4" w:themeFillTint="33"/>
            <w:vAlign w:val="bottom"/>
          </w:tcPr>
          <w:p w14:paraId="5708CBC3" w14:textId="5DE42805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 ( 1.4)</w:t>
            </w:r>
          </w:p>
        </w:tc>
        <w:tc>
          <w:tcPr>
            <w:tcW w:w="2070" w:type="dxa"/>
            <w:shd w:val="clear" w:color="auto" w:fill="FFF2CC" w:themeFill="accent4" w:themeFillTint="33"/>
            <w:vAlign w:val="bottom"/>
          </w:tcPr>
          <w:p w14:paraId="0385537F" w14:textId="2162C059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131 ( 1.7)</w:t>
            </w:r>
          </w:p>
        </w:tc>
      </w:tr>
      <w:tr w:rsidR="007441E2" w14:paraId="55DF9A01" w14:textId="77777777" w:rsidTr="007441E2">
        <w:tc>
          <w:tcPr>
            <w:tcW w:w="5210" w:type="dxa"/>
            <w:shd w:val="clear" w:color="auto" w:fill="auto"/>
          </w:tcPr>
          <w:p w14:paraId="457CA4D4" w14:textId="0A900459" w:rsidR="007441E2" w:rsidRPr="005C11C0" w:rsidRDefault="007441E2" w:rsidP="007441E2">
            <w:pPr>
              <w:pStyle w:val="DocumentText"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Lethargy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9CC3BC5" w14:textId="5203720B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 ( 1.0)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3D462D1" w14:textId="35CD7F84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 ( 0.4)</w:t>
            </w:r>
          </w:p>
        </w:tc>
      </w:tr>
      <w:tr w:rsidR="007441E2" w14:paraId="5826A704" w14:textId="77777777" w:rsidTr="00391C8D">
        <w:tc>
          <w:tcPr>
            <w:tcW w:w="5210" w:type="dxa"/>
            <w:shd w:val="clear" w:color="auto" w:fill="FFF2CC" w:themeFill="accent4" w:themeFillTint="33"/>
          </w:tcPr>
          <w:p w14:paraId="26F7C3FD" w14:textId="54AF8905" w:rsidR="007441E2" w:rsidRPr="005C11C0" w:rsidRDefault="007441E2" w:rsidP="007441E2">
            <w:pPr>
              <w:pStyle w:val="DocumentText"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Respiratory, thoracic</w:t>
            </w:r>
            <w:r w:rsidR="009164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and mediastinal disorders</w:t>
            </w:r>
          </w:p>
        </w:tc>
        <w:tc>
          <w:tcPr>
            <w:tcW w:w="2070" w:type="dxa"/>
            <w:shd w:val="clear" w:color="auto" w:fill="FFF2CC" w:themeFill="accent4" w:themeFillTint="33"/>
            <w:vAlign w:val="bottom"/>
          </w:tcPr>
          <w:p w14:paraId="0A2699E4" w14:textId="758838C2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305 ( 4.0)</w:t>
            </w:r>
          </w:p>
        </w:tc>
        <w:tc>
          <w:tcPr>
            <w:tcW w:w="2070" w:type="dxa"/>
            <w:shd w:val="clear" w:color="auto" w:fill="FFF2CC" w:themeFill="accent4" w:themeFillTint="33"/>
            <w:vAlign w:val="bottom"/>
          </w:tcPr>
          <w:p w14:paraId="0F7A0BE2" w14:textId="4F29844D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316 ( 4.2)</w:t>
            </w:r>
          </w:p>
        </w:tc>
      </w:tr>
      <w:tr w:rsidR="007441E2" w14:paraId="0644AEDF" w14:textId="77777777" w:rsidTr="007441E2">
        <w:tc>
          <w:tcPr>
            <w:tcW w:w="5210" w:type="dxa"/>
            <w:shd w:val="clear" w:color="auto" w:fill="auto"/>
          </w:tcPr>
          <w:p w14:paraId="15D19C67" w14:textId="26E013A1" w:rsidR="007441E2" w:rsidRPr="005C11C0" w:rsidRDefault="007441E2" w:rsidP="00BA2D21">
            <w:pPr>
              <w:pStyle w:val="DocumentText"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Oropharyngeal pain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569C947" w14:textId="3FA8073D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 ( 1.5)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AE109E0" w14:textId="46A89399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 ( 1.5)</w:t>
            </w:r>
          </w:p>
        </w:tc>
      </w:tr>
      <w:tr w:rsidR="00BA2D21" w14:paraId="0FE49F47" w14:textId="77777777" w:rsidTr="00391C8D">
        <w:tc>
          <w:tcPr>
            <w:tcW w:w="5210" w:type="dxa"/>
            <w:shd w:val="clear" w:color="auto" w:fill="FFF2CC" w:themeFill="accent4" w:themeFillTint="33"/>
          </w:tcPr>
          <w:p w14:paraId="16A5B4CA" w14:textId="646B48D6" w:rsidR="00BA2D21" w:rsidRPr="005C11C0" w:rsidRDefault="00BA2D21" w:rsidP="00BA2D21">
            <w:pPr>
              <w:pStyle w:val="DocumentText"/>
              <w:spacing w:before="20" w:after="20" w:line="240" w:lineRule="auto"/>
              <w:ind w:left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Rhinorrhea</w:t>
            </w:r>
          </w:p>
        </w:tc>
        <w:tc>
          <w:tcPr>
            <w:tcW w:w="2070" w:type="dxa"/>
            <w:shd w:val="clear" w:color="auto" w:fill="FFF2CC" w:themeFill="accent4" w:themeFillTint="33"/>
            <w:vAlign w:val="bottom"/>
          </w:tcPr>
          <w:p w14:paraId="6E1575CF" w14:textId="11E8ED22" w:rsidR="00BA2D21" w:rsidRPr="005C11C0" w:rsidRDefault="00BA2D21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 ( 0.9)</w:t>
            </w:r>
          </w:p>
        </w:tc>
        <w:tc>
          <w:tcPr>
            <w:tcW w:w="2070" w:type="dxa"/>
            <w:shd w:val="clear" w:color="auto" w:fill="FFF2CC" w:themeFill="accent4" w:themeFillTint="33"/>
            <w:vAlign w:val="bottom"/>
          </w:tcPr>
          <w:p w14:paraId="48556A87" w14:textId="34C0B569" w:rsidR="00BA2D21" w:rsidRPr="005C11C0" w:rsidRDefault="00BA2D21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 ( 1.2)</w:t>
            </w:r>
          </w:p>
        </w:tc>
      </w:tr>
      <w:tr w:rsidR="00BA2D21" w14:paraId="0AECF8FB" w14:textId="77777777" w:rsidTr="007441E2">
        <w:tc>
          <w:tcPr>
            <w:tcW w:w="5210" w:type="dxa"/>
            <w:shd w:val="clear" w:color="auto" w:fill="auto"/>
          </w:tcPr>
          <w:p w14:paraId="4EC4D38A" w14:textId="1FDA1A65" w:rsidR="00BA2D21" w:rsidRPr="005C11C0" w:rsidRDefault="00BA2D21" w:rsidP="00BA2D21">
            <w:pPr>
              <w:pStyle w:val="DocumentText"/>
              <w:spacing w:before="20" w:after="20" w:line="240" w:lineRule="auto"/>
              <w:ind w:left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Cough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FF446A6" w14:textId="1D3AB055" w:rsidR="00BA2D21" w:rsidRPr="005C11C0" w:rsidRDefault="00BA2D21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 ( 0.9)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9472F44" w14:textId="787766F5" w:rsidR="00BA2D21" w:rsidRPr="005C11C0" w:rsidRDefault="00BA2D21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 ( 1.1)</w:t>
            </w:r>
          </w:p>
        </w:tc>
      </w:tr>
      <w:tr w:rsidR="007441E2" w14:paraId="7B71A6F8" w14:textId="77777777" w:rsidTr="00391C8D">
        <w:tc>
          <w:tcPr>
            <w:tcW w:w="5210" w:type="dxa"/>
            <w:shd w:val="clear" w:color="auto" w:fill="FFF2CC" w:themeFill="accent4" w:themeFillTint="33"/>
          </w:tcPr>
          <w:p w14:paraId="418CC79B" w14:textId="2CE7935E" w:rsidR="007441E2" w:rsidRPr="005C11C0" w:rsidRDefault="007441E2" w:rsidP="007441E2">
            <w:pPr>
              <w:pStyle w:val="DocumentText"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Infections and infestations</w:t>
            </w:r>
          </w:p>
        </w:tc>
        <w:tc>
          <w:tcPr>
            <w:tcW w:w="2070" w:type="dxa"/>
            <w:shd w:val="clear" w:color="auto" w:fill="FFF2CC" w:themeFill="accent4" w:themeFillTint="33"/>
            <w:vAlign w:val="bottom"/>
          </w:tcPr>
          <w:p w14:paraId="50D26AD6" w14:textId="4B0D3738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282 ( 3.7)</w:t>
            </w:r>
          </w:p>
        </w:tc>
        <w:tc>
          <w:tcPr>
            <w:tcW w:w="2070" w:type="dxa"/>
            <w:shd w:val="clear" w:color="auto" w:fill="FFF2CC" w:themeFill="accent4" w:themeFillTint="33"/>
            <w:vAlign w:val="bottom"/>
          </w:tcPr>
          <w:p w14:paraId="0982D6A8" w14:textId="4ACC26B9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328 ( 4.3)</w:t>
            </w:r>
          </w:p>
        </w:tc>
      </w:tr>
      <w:tr w:rsidR="007441E2" w14:paraId="043C8C40" w14:textId="77777777" w:rsidTr="007441E2">
        <w:tc>
          <w:tcPr>
            <w:tcW w:w="5210" w:type="dxa"/>
            <w:shd w:val="clear" w:color="auto" w:fill="auto"/>
          </w:tcPr>
          <w:p w14:paraId="5D58A146" w14:textId="1E801B91" w:rsidR="007441E2" w:rsidRPr="005C11C0" w:rsidRDefault="007441E2" w:rsidP="007441E2">
            <w:pPr>
              <w:pStyle w:val="DocumentText"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Musculoskeletal and connective tissue disorders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C2FE73A" w14:textId="5FF369CB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219 ( 2.9)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B2ACE64" w14:textId="4A46C1BC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203 ( 2.7)</w:t>
            </w:r>
          </w:p>
        </w:tc>
      </w:tr>
      <w:tr w:rsidR="007441E2" w14:paraId="1A01B007" w14:textId="77777777" w:rsidTr="00391C8D">
        <w:tc>
          <w:tcPr>
            <w:tcW w:w="5210" w:type="dxa"/>
            <w:shd w:val="clear" w:color="auto" w:fill="FFF2CC" w:themeFill="accent4" w:themeFillTint="33"/>
          </w:tcPr>
          <w:p w14:paraId="6241E34E" w14:textId="5169FBC3" w:rsidR="007441E2" w:rsidRPr="005C11C0" w:rsidRDefault="007441E2" w:rsidP="007441E2">
            <w:pPr>
              <w:pStyle w:val="DocumentText"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Gastrointestinal disorders</w:t>
            </w:r>
          </w:p>
        </w:tc>
        <w:tc>
          <w:tcPr>
            <w:tcW w:w="2070" w:type="dxa"/>
            <w:shd w:val="clear" w:color="auto" w:fill="FFF2CC" w:themeFill="accent4" w:themeFillTint="33"/>
            <w:vAlign w:val="bottom"/>
          </w:tcPr>
          <w:p w14:paraId="14BA1555" w14:textId="69EC5742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217 ( 2.9)</w:t>
            </w:r>
          </w:p>
        </w:tc>
        <w:tc>
          <w:tcPr>
            <w:tcW w:w="2070" w:type="dxa"/>
            <w:shd w:val="clear" w:color="auto" w:fill="FFF2CC" w:themeFill="accent4" w:themeFillTint="33"/>
            <w:vAlign w:val="bottom"/>
          </w:tcPr>
          <w:p w14:paraId="104DF6CC" w14:textId="46D012F5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188 ( 2.5)</w:t>
            </w:r>
          </w:p>
        </w:tc>
      </w:tr>
      <w:tr w:rsidR="007441E2" w14:paraId="1D1B782A" w14:textId="77777777" w:rsidTr="007441E2">
        <w:tc>
          <w:tcPr>
            <w:tcW w:w="5210" w:type="dxa"/>
            <w:shd w:val="clear" w:color="auto" w:fill="auto"/>
          </w:tcPr>
          <w:p w14:paraId="7E4E8373" w14:textId="23F493ED" w:rsidR="007441E2" w:rsidRPr="005C11C0" w:rsidRDefault="007441E2" w:rsidP="007441E2">
            <w:pPr>
              <w:pStyle w:val="DocumentText"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Diarrhea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515CF29" w14:textId="7A553A05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 ( 1.1)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8F86A86" w14:textId="3F32DE9C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 ( 0.9)</w:t>
            </w:r>
          </w:p>
        </w:tc>
      </w:tr>
      <w:tr w:rsidR="007441E2" w14:paraId="602A3BEC" w14:textId="77777777" w:rsidTr="00391C8D">
        <w:tc>
          <w:tcPr>
            <w:tcW w:w="5210" w:type="dxa"/>
            <w:shd w:val="clear" w:color="auto" w:fill="FFF2CC" w:themeFill="accent4" w:themeFillTint="33"/>
          </w:tcPr>
          <w:p w14:paraId="0E8F3456" w14:textId="35B4BF38" w:rsidR="007441E2" w:rsidRPr="005C11C0" w:rsidRDefault="007441E2" w:rsidP="007441E2">
            <w:pPr>
              <w:pStyle w:val="DocumentText"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Skin and subcutaneous tissue disorders</w:t>
            </w:r>
          </w:p>
        </w:tc>
        <w:tc>
          <w:tcPr>
            <w:tcW w:w="2070" w:type="dxa"/>
            <w:shd w:val="clear" w:color="auto" w:fill="FFF2CC" w:themeFill="accent4" w:themeFillTint="33"/>
            <w:vAlign w:val="bottom"/>
          </w:tcPr>
          <w:p w14:paraId="26D778C6" w14:textId="249E22B9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157 ( 2.1)</w:t>
            </w:r>
          </w:p>
        </w:tc>
        <w:tc>
          <w:tcPr>
            <w:tcW w:w="2070" w:type="dxa"/>
            <w:shd w:val="clear" w:color="auto" w:fill="FFF2CC" w:themeFill="accent4" w:themeFillTint="33"/>
            <w:vAlign w:val="bottom"/>
          </w:tcPr>
          <w:p w14:paraId="5EBEFE2F" w14:textId="21A70285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 ( 1.5)</w:t>
            </w:r>
          </w:p>
        </w:tc>
      </w:tr>
      <w:tr w:rsidR="007441E2" w14:paraId="26E63797" w14:textId="77777777" w:rsidTr="007441E2">
        <w:tc>
          <w:tcPr>
            <w:tcW w:w="5210" w:type="dxa"/>
            <w:shd w:val="clear" w:color="auto" w:fill="auto"/>
          </w:tcPr>
          <w:p w14:paraId="23A2DB8D" w14:textId="6D28610D" w:rsidR="007441E2" w:rsidRPr="005C11C0" w:rsidRDefault="007441E2" w:rsidP="007441E2">
            <w:pPr>
              <w:pStyle w:val="DocumentText"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Injury, poisoning</w:t>
            </w:r>
            <w:r w:rsidR="009164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and procedural complications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9CD7BE7" w14:textId="13F87CD2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 ( 1.6)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F179619" w14:textId="05C0601F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 ( 1.2)</w:t>
            </w:r>
          </w:p>
        </w:tc>
      </w:tr>
      <w:tr w:rsidR="007441E2" w14:paraId="1C30D390" w14:textId="77777777" w:rsidTr="00391C8D">
        <w:tc>
          <w:tcPr>
            <w:tcW w:w="5210" w:type="dxa"/>
            <w:shd w:val="clear" w:color="auto" w:fill="FFF2CC" w:themeFill="accent4" w:themeFillTint="33"/>
          </w:tcPr>
          <w:p w14:paraId="27C670C6" w14:textId="118EA238" w:rsidR="007441E2" w:rsidRPr="005C11C0" w:rsidRDefault="007441E2" w:rsidP="007441E2">
            <w:pPr>
              <w:pStyle w:val="DocumentText"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Vascular disorders</w:t>
            </w:r>
          </w:p>
        </w:tc>
        <w:tc>
          <w:tcPr>
            <w:tcW w:w="2070" w:type="dxa"/>
            <w:shd w:val="clear" w:color="auto" w:fill="FFF2CC" w:themeFill="accent4" w:themeFillTint="33"/>
            <w:vAlign w:val="bottom"/>
          </w:tcPr>
          <w:p w14:paraId="02E12883" w14:textId="27F1F678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 ( 1.1)</w:t>
            </w:r>
          </w:p>
        </w:tc>
        <w:tc>
          <w:tcPr>
            <w:tcW w:w="2070" w:type="dxa"/>
            <w:shd w:val="clear" w:color="auto" w:fill="FFF2CC" w:themeFill="accent4" w:themeFillTint="33"/>
            <w:vAlign w:val="bottom"/>
          </w:tcPr>
          <w:p w14:paraId="15A5FEE8" w14:textId="4DA137AF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 ( 0.7)</w:t>
            </w:r>
          </w:p>
        </w:tc>
      </w:tr>
      <w:tr w:rsidR="007441E2" w14:paraId="17F1D9B7" w14:textId="77777777" w:rsidTr="007441E2">
        <w:tc>
          <w:tcPr>
            <w:tcW w:w="5210" w:type="dxa"/>
            <w:shd w:val="clear" w:color="auto" w:fill="auto"/>
          </w:tcPr>
          <w:p w14:paraId="3E35D00C" w14:textId="29D815AC" w:rsidR="007441E2" w:rsidRPr="005C11C0" w:rsidRDefault="007441E2" w:rsidP="007441E2">
            <w:pPr>
              <w:pStyle w:val="DocumentText"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Blood and lymphatic system disorders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17B3EBE" w14:textId="7D84E6F6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 ( 1.0)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0FDE974" w14:textId="0795A5D0" w:rsidR="007441E2" w:rsidRPr="005C11C0" w:rsidRDefault="007441E2" w:rsidP="007441E2">
            <w:pPr>
              <w:pStyle w:val="DocumentText"/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11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 ( 0.8)</w:t>
            </w:r>
          </w:p>
        </w:tc>
      </w:tr>
    </w:tbl>
    <w:p w14:paraId="582D4658" w14:textId="1606ED72" w:rsidR="00F1175D" w:rsidRPr="00F1175D" w:rsidRDefault="00391C8D" w:rsidP="00F1175D">
      <w:pPr>
        <w:pStyle w:val="TableFootnote"/>
        <w:rPr>
          <w:sz w:val="18"/>
          <w:szCs w:val="18"/>
        </w:rPr>
      </w:pPr>
      <w:r>
        <w:rPr>
          <w:sz w:val="18"/>
          <w:szCs w:val="18"/>
        </w:rPr>
        <w:t xml:space="preserve">Abbreviations: MedDRA = </w:t>
      </w:r>
      <w:r w:rsidRPr="0091644F">
        <w:rPr>
          <w:i/>
          <w:iCs/>
          <w:sz w:val="18"/>
          <w:szCs w:val="18"/>
        </w:rPr>
        <w:t xml:space="preserve">Medical Dictionary for Regulatory Activities; </w:t>
      </w:r>
      <w:r w:rsidR="00F1175D" w:rsidRPr="00F1175D">
        <w:rPr>
          <w:sz w:val="18"/>
          <w:szCs w:val="18"/>
        </w:rPr>
        <w:t>TEAE</w:t>
      </w:r>
      <w:r w:rsidR="0091644F">
        <w:rPr>
          <w:sz w:val="18"/>
          <w:szCs w:val="18"/>
        </w:rPr>
        <w:t xml:space="preserve"> </w:t>
      </w:r>
      <w:r w:rsidR="00F1175D" w:rsidRPr="00F1175D">
        <w:rPr>
          <w:sz w:val="18"/>
          <w:szCs w:val="18"/>
        </w:rPr>
        <w:t>=</w:t>
      </w:r>
      <w:r w:rsidR="0091644F">
        <w:rPr>
          <w:sz w:val="18"/>
          <w:szCs w:val="18"/>
        </w:rPr>
        <w:t xml:space="preserve"> t</w:t>
      </w:r>
      <w:r w:rsidR="00F1175D" w:rsidRPr="00F1175D">
        <w:rPr>
          <w:sz w:val="18"/>
          <w:szCs w:val="18"/>
        </w:rPr>
        <w:t xml:space="preserve">reatment-emergent adverse event.  </w:t>
      </w:r>
    </w:p>
    <w:p w14:paraId="5BF07350" w14:textId="57A098B9" w:rsidR="00F1175D" w:rsidRPr="00F1175D" w:rsidRDefault="00F1175D" w:rsidP="0091644F">
      <w:pPr>
        <w:pStyle w:val="TableFootnote"/>
        <w:ind w:left="0" w:firstLine="0"/>
        <w:rPr>
          <w:sz w:val="18"/>
          <w:szCs w:val="18"/>
        </w:rPr>
      </w:pPr>
      <w:r w:rsidRPr="69C5BB41">
        <w:rPr>
          <w:sz w:val="18"/>
          <w:szCs w:val="18"/>
        </w:rPr>
        <w:t xml:space="preserve">Overall includes TEAE </w:t>
      </w:r>
      <w:bookmarkStart w:id="10" w:name="_Hlk68162944"/>
      <w:r w:rsidRPr="69C5BB41">
        <w:rPr>
          <w:sz w:val="18"/>
          <w:szCs w:val="18"/>
        </w:rPr>
        <w:t>recorded during the entire study duration</w:t>
      </w:r>
      <w:bookmarkEnd w:id="10"/>
      <w:r w:rsidRPr="69C5BB41">
        <w:rPr>
          <w:sz w:val="18"/>
          <w:szCs w:val="18"/>
        </w:rPr>
        <w:t xml:space="preserve">. If any solicited AE extended beyond 6 days after vaccination (toxicity grade </w:t>
      </w:r>
      <w:r w:rsidR="00391C8D" w:rsidRPr="69C5BB41">
        <w:rPr>
          <w:rFonts w:cs="Calibri"/>
          <w:sz w:val="18"/>
          <w:szCs w:val="18"/>
        </w:rPr>
        <w:t>≥</w:t>
      </w:r>
      <w:r w:rsidRPr="69C5BB41">
        <w:rPr>
          <w:sz w:val="18"/>
          <w:szCs w:val="18"/>
        </w:rPr>
        <w:t xml:space="preserve">1), then it </w:t>
      </w:r>
      <w:r w:rsidR="00391C8D" w:rsidRPr="69C5BB41">
        <w:rPr>
          <w:sz w:val="18"/>
          <w:szCs w:val="18"/>
        </w:rPr>
        <w:t>was</w:t>
      </w:r>
      <w:r w:rsidRPr="69C5BB41">
        <w:rPr>
          <w:sz w:val="18"/>
          <w:szCs w:val="18"/>
        </w:rPr>
        <w:t xml:space="preserve"> recorded as an unsolicited </w:t>
      </w:r>
      <w:r w:rsidR="00391C8D" w:rsidRPr="69C5BB41">
        <w:rPr>
          <w:sz w:val="18"/>
          <w:szCs w:val="18"/>
        </w:rPr>
        <w:t>TE</w:t>
      </w:r>
      <w:r w:rsidRPr="69C5BB41">
        <w:rPr>
          <w:sz w:val="18"/>
          <w:szCs w:val="18"/>
        </w:rPr>
        <w:t xml:space="preserve">AE with the start date </w:t>
      </w:r>
      <w:r w:rsidR="0F79382B" w:rsidRPr="69C5BB41">
        <w:rPr>
          <w:sz w:val="18"/>
          <w:szCs w:val="18"/>
        </w:rPr>
        <w:t xml:space="preserve">as </w:t>
      </w:r>
      <w:r w:rsidRPr="69C5BB41">
        <w:rPr>
          <w:sz w:val="18"/>
          <w:szCs w:val="18"/>
        </w:rPr>
        <w:t>the 7th day following the relevant study vaccination and followed to resolution. A TEAE is defined as any event not</w:t>
      </w:r>
      <w:r w:rsidR="0091644F">
        <w:rPr>
          <w:sz w:val="18"/>
          <w:szCs w:val="18"/>
        </w:rPr>
        <w:t xml:space="preserve"> </w:t>
      </w:r>
      <w:r w:rsidRPr="69C5BB41">
        <w:rPr>
          <w:sz w:val="18"/>
          <w:szCs w:val="18"/>
        </w:rPr>
        <w:t xml:space="preserve">present before exposure to study vaccination or any event already present that worsened in intensity after exposure. At each level of subject </w:t>
      </w:r>
      <w:r w:rsidR="000E667B" w:rsidRPr="69C5BB41">
        <w:rPr>
          <w:sz w:val="18"/>
          <w:szCs w:val="18"/>
        </w:rPr>
        <w:t>summarization</w:t>
      </w:r>
      <w:r w:rsidRPr="69C5BB41">
        <w:rPr>
          <w:sz w:val="18"/>
          <w:szCs w:val="18"/>
        </w:rPr>
        <w:t xml:space="preserve">, a </w:t>
      </w:r>
      <w:r w:rsidR="00391C8D" w:rsidRPr="69C5BB41">
        <w:rPr>
          <w:sz w:val="18"/>
          <w:szCs w:val="18"/>
        </w:rPr>
        <w:t>participant</w:t>
      </w:r>
      <w:r w:rsidRPr="69C5BB41">
        <w:rPr>
          <w:sz w:val="18"/>
          <w:szCs w:val="18"/>
        </w:rPr>
        <w:t xml:space="preserve"> is counted once if the </w:t>
      </w:r>
      <w:r w:rsidR="00391C8D" w:rsidRPr="69C5BB41">
        <w:rPr>
          <w:sz w:val="18"/>
          <w:szCs w:val="18"/>
        </w:rPr>
        <w:t>participant</w:t>
      </w:r>
      <w:r w:rsidRPr="69C5BB41">
        <w:rPr>
          <w:sz w:val="18"/>
          <w:szCs w:val="18"/>
        </w:rPr>
        <w:t xml:space="preserve"> reported one or more events.  </w:t>
      </w:r>
    </w:p>
    <w:p w14:paraId="328499A2" w14:textId="4426DA72" w:rsidR="00F1175D" w:rsidRPr="00F1175D" w:rsidRDefault="00F1175D" w:rsidP="0091644F">
      <w:pPr>
        <w:pStyle w:val="TableFootnote"/>
        <w:ind w:left="0" w:firstLine="0"/>
        <w:rPr>
          <w:sz w:val="18"/>
          <w:szCs w:val="18"/>
        </w:rPr>
      </w:pPr>
      <w:r w:rsidRPr="00F1175D">
        <w:rPr>
          <w:sz w:val="18"/>
          <w:szCs w:val="18"/>
        </w:rPr>
        <w:t xml:space="preserve">n represents the number of </w:t>
      </w:r>
      <w:r w:rsidR="00391C8D">
        <w:rPr>
          <w:sz w:val="18"/>
          <w:szCs w:val="18"/>
        </w:rPr>
        <w:t>participants</w:t>
      </w:r>
      <w:r w:rsidRPr="00F1175D">
        <w:rPr>
          <w:sz w:val="18"/>
          <w:szCs w:val="18"/>
        </w:rPr>
        <w:t xml:space="preserve"> at each level of </w:t>
      </w:r>
      <w:r w:rsidR="000E667B" w:rsidRPr="00F1175D">
        <w:rPr>
          <w:sz w:val="18"/>
          <w:szCs w:val="18"/>
        </w:rPr>
        <w:t>summari</w:t>
      </w:r>
      <w:r w:rsidR="000E667B">
        <w:rPr>
          <w:sz w:val="18"/>
          <w:szCs w:val="18"/>
        </w:rPr>
        <w:t>z</w:t>
      </w:r>
      <w:r w:rsidR="000E667B" w:rsidRPr="00F1175D">
        <w:rPr>
          <w:sz w:val="18"/>
          <w:szCs w:val="18"/>
        </w:rPr>
        <w:t>ation</w:t>
      </w:r>
      <w:r w:rsidRPr="00F1175D">
        <w:rPr>
          <w:sz w:val="18"/>
          <w:szCs w:val="18"/>
        </w:rPr>
        <w:t xml:space="preserve">. Percentages were based on the number of </w:t>
      </w:r>
      <w:r w:rsidR="00391C8D">
        <w:rPr>
          <w:sz w:val="18"/>
          <w:szCs w:val="18"/>
        </w:rPr>
        <w:t>participants</w:t>
      </w:r>
      <w:r w:rsidRPr="00F1175D">
        <w:rPr>
          <w:sz w:val="18"/>
          <w:szCs w:val="18"/>
        </w:rPr>
        <w:t xml:space="preserve"> in the </w:t>
      </w:r>
      <w:r w:rsidR="0091644F" w:rsidRPr="00F1175D">
        <w:rPr>
          <w:sz w:val="18"/>
          <w:szCs w:val="18"/>
        </w:rPr>
        <w:t xml:space="preserve">safety analysis set </w:t>
      </w:r>
      <w:r w:rsidRPr="00F1175D">
        <w:rPr>
          <w:sz w:val="18"/>
          <w:szCs w:val="18"/>
        </w:rPr>
        <w:t xml:space="preserve">within each treatment and total.  </w:t>
      </w:r>
    </w:p>
    <w:p w14:paraId="24069FF7" w14:textId="763CF93D" w:rsidR="00F1175D" w:rsidRPr="00F1175D" w:rsidRDefault="00F1175D" w:rsidP="0091644F">
      <w:pPr>
        <w:pStyle w:val="TableFootnote"/>
        <w:ind w:left="0" w:firstLine="0"/>
        <w:rPr>
          <w:sz w:val="18"/>
          <w:szCs w:val="18"/>
        </w:rPr>
      </w:pPr>
      <w:r w:rsidRPr="00F1175D">
        <w:rPr>
          <w:sz w:val="18"/>
          <w:szCs w:val="18"/>
        </w:rPr>
        <w:t xml:space="preserve">Adverse </w:t>
      </w:r>
      <w:r w:rsidR="0091644F">
        <w:rPr>
          <w:sz w:val="18"/>
          <w:szCs w:val="18"/>
        </w:rPr>
        <w:t>e</w:t>
      </w:r>
      <w:r w:rsidRPr="00F1175D">
        <w:rPr>
          <w:sz w:val="18"/>
          <w:szCs w:val="18"/>
        </w:rPr>
        <w:t xml:space="preserve">vents were coded using MedDRA, </w:t>
      </w:r>
      <w:r w:rsidR="0091644F">
        <w:rPr>
          <w:sz w:val="18"/>
          <w:szCs w:val="18"/>
        </w:rPr>
        <w:t>v</w:t>
      </w:r>
      <w:r w:rsidRPr="00F1175D">
        <w:rPr>
          <w:sz w:val="18"/>
          <w:szCs w:val="18"/>
        </w:rPr>
        <w:t xml:space="preserve">ersion 23.1.  </w:t>
      </w:r>
    </w:p>
    <w:p w14:paraId="2D337E7B" w14:textId="77777777" w:rsidR="00F1175D" w:rsidRPr="00F1175D" w:rsidRDefault="00F1175D" w:rsidP="0091644F">
      <w:pPr>
        <w:pStyle w:val="TableFootnote"/>
        <w:ind w:left="0" w:firstLine="0"/>
        <w:rPr>
          <w:sz w:val="18"/>
          <w:szCs w:val="18"/>
        </w:rPr>
      </w:pPr>
      <w:r w:rsidRPr="00F1175D">
        <w:rPr>
          <w:sz w:val="18"/>
          <w:szCs w:val="18"/>
        </w:rPr>
        <w:t xml:space="preserve">System organ class is displayed in descending order of frequency for the total column and then alphabetically.  </w:t>
      </w:r>
    </w:p>
    <w:p w14:paraId="22D29D4D" w14:textId="77777777" w:rsidR="00394748" w:rsidRDefault="00F1175D" w:rsidP="0091644F">
      <w:pPr>
        <w:pStyle w:val="TableFootnote"/>
        <w:ind w:left="0" w:firstLine="0"/>
        <w:rPr>
          <w:sz w:val="18"/>
          <w:szCs w:val="18"/>
        </w:rPr>
      </w:pPr>
      <w:r w:rsidRPr="00F1175D">
        <w:rPr>
          <w:sz w:val="18"/>
          <w:szCs w:val="18"/>
        </w:rPr>
        <w:t xml:space="preserve">Within class, preferred term is displayed in descending order of frequency for total and then alphabetically. </w:t>
      </w:r>
    </w:p>
    <w:p w14:paraId="70861E9C" w14:textId="77777777" w:rsidR="007D5ECA" w:rsidRPr="007D5ECA" w:rsidRDefault="007D5ECA" w:rsidP="007D5ECA">
      <w:pPr>
        <w:pStyle w:val="DocumentText"/>
      </w:pPr>
    </w:p>
    <w:p w14:paraId="026F3724" w14:textId="40E8CA5B" w:rsidR="00F62A6C" w:rsidRPr="00F62A6C" w:rsidRDefault="00F62A6C" w:rsidP="005C5A6C">
      <w:pPr>
        <w:pStyle w:val="Heading2"/>
      </w:pPr>
      <w:bookmarkStart w:id="11" w:name="_Toc69801140"/>
      <w:r w:rsidRPr="00F62A6C">
        <w:t>Efficacy Against UK Variant</w:t>
      </w:r>
      <w:bookmarkEnd w:id="11"/>
    </w:p>
    <w:p w14:paraId="7FA548EC" w14:textId="3C54C6F4" w:rsidR="00F62A6C" w:rsidRDefault="00F62A6C" w:rsidP="0095595E">
      <w:pPr>
        <w:pStyle w:val="DocumentText"/>
        <w:spacing w:after="0" w:line="360" w:lineRule="auto"/>
        <w:rPr>
          <w:rFonts w:asciiTheme="minorHAnsi" w:hAnsiTheme="minorHAnsi" w:cstheme="minorBidi"/>
        </w:rPr>
      </w:pPr>
      <w:r w:rsidRPr="69C5BB41">
        <w:rPr>
          <w:rFonts w:asciiTheme="minorHAnsi" w:hAnsiTheme="minorHAnsi" w:cstheme="minorBidi"/>
        </w:rPr>
        <w:t xml:space="preserve">A two-dose regimen of NVX-CoV2373 given 21 days apart was found to be safe and 89.7% effective against symptomatic Covid-19. The timing of accumulated cases in this study allowed for a post hoc assessment of vaccine efficacy against </w:t>
      </w:r>
      <w:r w:rsidR="002B678E" w:rsidRPr="69C5BB41">
        <w:rPr>
          <w:rFonts w:asciiTheme="minorHAnsi" w:hAnsiTheme="minorHAnsi" w:cstheme="minorBidi"/>
        </w:rPr>
        <w:t xml:space="preserve">the prototype strain and </w:t>
      </w:r>
      <w:r w:rsidRPr="69C5BB41">
        <w:rPr>
          <w:rFonts w:asciiTheme="minorHAnsi" w:hAnsiTheme="minorHAnsi" w:cstheme="minorBidi"/>
        </w:rPr>
        <w:t>the B.1.1.7 variant</w:t>
      </w:r>
      <w:r w:rsidR="000E667B" w:rsidRPr="69C5BB41">
        <w:rPr>
          <w:rFonts w:asciiTheme="minorHAnsi" w:hAnsiTheme="minorHAnsi" w:cstheme="minorBidi"/>
        </w:rPr>
        <w:t>,</w:t>
      </w:r>
      <w:r w:rsidRPr="69C5BB41">
        <w:rPr>
          <w:rFonts w:asciiTheme="minorHAnsi" w:hAnsiTheme="minorHAnsi" w:cstheme="minorBidi"/>
        </w:rPr>
        <w:t xml:space="preserve"> which is now circulating widely outside of the </w:t>
      </w:r>
      <w:r w:rsidR="007338A0" w:rsidRPr="69C5BB41">
        <w:rPr>
          <w:rFonts w:asciiTheme="minorHAnsi" w:hAnsiTheme="minorHAnsi" w:cstheme="minorBidi"/>
        </w:rPr>
        <w:t>UK</w:t>
      </w:r>
      <w:r w:rsidRPr="69C5BB41">
        <w:rPr>
          <w:rFonts w:asciiTheme="minorHAnsi" w:hAnsiTheme="minorHAnsi" w:cstheme="minorBidi"/>
        </w:rPr>
        <w:t xml:space="preserve"> and is soon expected to be the most prominent strain in </w:t>
      </w:r>
      <w:r w:rsidR="25B01583" w:rsidRPr="69C5BB41">
        <w:rPr>
          <w:rFonts w:asciiTheme="minorHAnsi" w:hAnsiTheme="minorHAnsi" w:cstheme="minorBidi"/>
        </w:rPr>
        <w:t xml:space="preserve">the </w:t>
      </w:r>
      <w:r w:rsidRPr="69C5BB41">
        <w:rPr>
          <w:rFonts w:asciiTheme="minorHAnsi" w:hAnsiTheme="minorHAnsi" w:cstheme="minorBidi"/>
        </w:rPr>
        <w:t>United States</w:t>
      </w:r>
      <w:r w:rsidR="0091644F">
        <w:rPr>
          <w:rFonts w:asciiTheme="minorHAnsi" w:hAnsiTheme="minorHAnsi" w:cstheme="minorBidi"/>
        </w:rPr>
        <w:t>.</w:t>
      </w:r>
      <w:r w:rsidR="0091644F" w:rsidRPr="0091644F">
        <w:rPr>
          <w:rFonts w:asciiTheme="minorHAnsi" w:hAnsiTheme="minorHAnsi" w:cstheme="minorBidi"/>
          <w:vertAlign w:val="superscript"/>
        </w:rPr>
        <w:t>1</w:t>
      </w:r>
      <w:r w:rsidRPr="69C5BB41">
        <w:rPr>
          <w:rFonts w:asciiTheme="minorHAnsi" w:hAnsiTheme="minorHAnsi" w:cstheme="minorBidi"/>
        </w:rPr>
        <w:t xml:space="preserve"> This variant is known to be more transmissible and to be associated with a higher case fatality rate than previous strains</w:t>
      </w:r>
      <w:r w:rsidR="00B54400">
        <w:rPr>
          <w:rFonts w:asciiTheme="minorHAnsi" w:hAnsiTheme="minorHAnsi" w:cstheme="minorBidi"/>
        </w:rPr>
        <w:t>,</w:t>
      </w:r>
      <w:r w:rsidR="0091644F" w:rsidRPr="0091644F">
        <w:rPr>
          <w:rFonts w:asciiTheme="minorHAnsi" w:hAnsiTheme="minorHAnsi" w:cstheme="minorBidi"/>
          <w:vertAlign w:val="superscript"/>
        </w:rPr>
        <w:t>1</w:t>
      </w:r>
      <w:r w:rsidRPr="69C5BB41">
        <w:rPr>
          <w:rFonts w:asciiTheme="minorHAnsi" w:hAnsiTheme="minorHAnsi" w:cstheme="minorBidi"/>
        </w:rPr>
        <w:t xml:space="preserve"> emphasizing the need for an effective vaccine. </w:t>
      </w:r>
      <w:r w:rsidR="002B678E" w:rsidRPr="69C5BB41">
        <w:rPr>
          <w:rFonts w:asciiTheme="minorHAnsi" w:hAnsiTheme="minorHAnsi" w:cstheme="minorBidi"/>
        </w:rPr>
        <w:t xml:space="preserve">High vaccine efficacy was </w:t>
      </w:r>
      <w:r w:rsidR="002B678E" w:rsidRPr="69C5BB41">
        <w:rPr>
          <w:rFonts w:asciiTheme="minorHAnsi" w:hAnsiTheme="minorHAnsi" w:cstheme="minorBidi"/>
        </w:rPr>
        <w:lastRenderedPageBreak/>
        <w:t>demonstrated against the prototype strain (96.4%) and the B.1.1.7 variant (86.3%)</w:t>
      </w:r>
      <w:r w:rsidR="00FC1F6D" w:rsidRPr="69C5BB41">
        <w:rPr>
          <w:rFonts w:asciiTheme="minorHAnsi" w:hAnsiTheme="minorHAnsi" w:cstheme="minorBidi"/>
        </w:rPr>
        <w:t xml:space="preserve"> (Table </w:t>
      </w:r>
      <w:r w:rsidR="00F1038F" w:rsidRPr="69C5BB41">
        <w:rPr>
          <w:rFonts w:asciiTheme="minorHAnsi" w:hAnsiTheme="minorHAnsi" w:cstheme="minorBidi"/>
        </w:rPr>
        <w:t>S</w:t>
      </w:r>
      <w:r w:rsidR="00F1038F">
        <w:rPr>
          <w:rFonts w:asciiTheme="minorHAnsi" w:hAnsiTheme="minorHAnsi" w:cstheme="minorBidi"/>
        </w:rPr>
        <w:t>5</w:t>
      </w:r>
      <w:r w:rsidR="00FC1F6D" w:rsidRPr="69C5BB41">
        <w:rPr>
          <w:rFonts w:asciiTheme="minorHAnsi" w:hAnsiTheme="minorHAnsi" w:cstheme="minorBidi"/>
        </w:rPr>
        <w:t>)</w:t>
      </w:r>
      <w:r w:rsidR="002B678E" w:rsidRPr="69C5BB41">
        <w:rPr>
          <w:rFonts w:asciiTheme="minorHAnsi" w:hAnsiTheme="minorHAnsi" w:cstheme="minorBidi"/>
        </w:rPr>
        <w:t xml:space="preserve">. </w:t>
      </w:r>
      <w:r w:rsidRPr="69C5BB41">
        <w:rPr>
          <w:rFonts w:asciiTheme="minorHAnsi" w:hAnsiTheme="minorHAnsi" w:cstheme="minorBidi"/>
        </w:rPr>
        <w:t xml:space="preserve">This is the first vaccine to demonstrate high vaccine efficacy (86.3%) against the B.1.1.7 variant in a phase 3 trial.  </w:t>
      </w:r>
    </w:p>
    <w:tbl>
      <w:tblPr>
        <w:tblStyle w:val="TableGrid"/>
        <w:tblW w:w="90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0"/>
        <w:gridCol w:w="1800"/>
        <w:gridCol w:w="1710"/>
      </w:tblGrid>
      <w:tr w:rsidR="002B678E" w:rsidRPr="0090283A" w14:paraId="173A1EA5" w14:textId="77777777" w:rsidTr="69C5BB41">
        <w:trPr>
          <w:tblHeader/>
        </w:trPr>
        <w:tc>
          <w:tcPr>
            <w:tcW w:w="90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B2D45EB" w14:textId="062333C7" w:rsidR="0096716A" w:rsidRDefault="002B678E" w:rsidP="0096716A">
            <w:pPr>
              <w:pStyle w:val="Caption"/>
              <w:spacing w:before="0" w:after="0"/>
              <w:ind w:left="0" w:firstLine="0"/>
              <w:rPr>
                <w:rFonts w:asciiTheme="minorHAnsi" w:hAnsiTheme="minorHAnsi" w:cstheme="minorBidi"/>
                <w:sz w:val="22"/>
                <w:szCs w:val="22"/>
              </w:rPr>
            </w:pPr>
            <w:bookmarkStart w:id="12" w:name="_Ref67948995"/>
            <w:bookmarkStart w:id="13" w:name="_Toc68096944"/>
            <w:bookmarkStart w:id="14" w:name="_Toc68130445"/>
            <w:bookmarkStart w:id="15" w:name="_Hlk69736872"/>
            <w:r w:rsidRPr="69C5BB41">
              <w:rPr>
                <w:rFonts w:asciiTheme="minorHAnsi" w:hAnsiTheme="minorHAnsi" w:cstheme="minorBidi"/>
                <w:sz w:val="22"/>
                <w:szCs w:val="22"/>
              </w:rPr>
              <w:t xml:space="preserve">Table </w:t>
            </w:r>
            <w:bookmarkEnd w:id="12"/>
            <w:r w:rsidR="00F1038F" w:rsidRPr="69C5BB41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00F1038F">
              <w:rPr>
                <w:rFonts w:asciiTheme="minorHAnsi" w:hAnsiTheme="minorHAnsi" w:cstheme="minorBidi"/>
                <w:sz w:val="22"/>
                <w:szCs w:val="22"/>
              </w:rPr>
              <w:t>5</w:t>
            </w:r>
            <w:r w:rsidRPr="69C5BB41">
              <w:rPr>
                <w:rFonts w:asciiTheme="minorHAnsi" w:hAnsiTheme="minorHAnsi" w:cstheme="minorBidi"/>
                <w:sz w:val="22"/>
                <w:szCs w:val="22"/>
              </w:rPr>
              <w:t xml:space="preserve">. Vaccine Efficacy </w:t>
            </w:r>
            <w:r w:rsidR="001B3ADB">
              <w:rPr>
                <w:rFonts w:asciiTheme="minorHAnsi" w:hAnsiTheme="minorHAnsi" w:cstheme="minorBidi"/>
                <w:sz w:val="22"/>
                <w:szCs w:val="22"/>
              </w:rPr>
              <w:t>A</w:t>
            </w:r>
            <w:r w:rsidRPr="69C5BB41">
              <w:rPr>
                <w:rFonts w:asciiTheme="minorHAnsi" w:hAnsiTheme="minorHAnsi" w:cstheme="minorBidi"/>
                <w:sz w:val="22"/>
                <w:szCs w:val="22"/>
              </w:rPr>
              <w:t>gainst PCR-Confirmed Symptomatic Mild, Moderate, or Severe</w:t>
            </w:r>
            <w:r w:rsidR="0096716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1B86A379" w14:textId="243C2439" w:rsidR="002B678E" w:rsidRPr="002B678E" w:rsidRDefault="0096716A" w:rsidP="0096716A">
            <w:pPr>
              <w:pStyle w:val="Caption"/>
              <w:spacing w:before="0" w:after="0"/>
              <w:ind w:left="0" w:firstLine="0"/>
              <w:rPr>
                <w:rFonts w:asciiTheme="minorHAnsi" w:hAnsiTheme="minorHAnsi" w:cstheme="minorBidi"/>
                <w:sz w:val="22"/>
                <w:szCs w:val="22"/>
              </w:rPr>
            </w:pPr>
            <w:r w:rsidRPr="69C5BB41">
              <w:rPr>
                <w:rFonts w:asciiTheme="minorHAnsi" w:hAnsiTheme="minorHAnsi" w:cstheme="minorBidi"/>
                <w:sz w:val="22"/>
                <w:szCs w:val="22"/>
              </w:rPr>
              <w:t>Covid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002B678E" w:rsidRPr="69C5BB41">
              <w:rPr>
                <w:rFonts w:asciiTheme="minorHAnsi" w:hAnsiTheme="minorHAnsi" w:cstheme="minorBidi"/>
                <w:sz w:val="22"/>
                <w:szCs w:val="22"/>
              </w:rPr>
              <w:t xml:space="preserve">19 </w:t>
            </w:r>
            <w:r w:rsidR="001B3ADB"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="002B678E" w:rsidRPr="69C5BB41">
              <w:rPr>
                <w:rFonts w:asciiTheme="minorHAnsi" w:hAnsiTheme="minorHAnsi" w:cstheme="minorBidi"/>
                <w:sz w:val="22"/>
                <w:szCs w:val="22"/>
              </w:rPr>
              <w:t xml:space="preserve">ith an Onset at Least 7 Days </w:t>
            </w:r>
            <w:r w:rsidR="001B3ADB">
              <w:rPr>
                <w:rFonts w:asciiTheme="minorHAnsi" w:hAnsiTheme="minorHAnsi" w:cstheme="minorBidi"/>
                <w:sz w:val="22"/>
                <w:szCs w:val="22"/>
              </w:rPr>
              <w:t>A</w:t>
            </w:r>
            <w:r w:rsidR="002B678E" w:rsidRPr="69C5BB41">
              <w:rPr>
                <w:rFonts w:asciiTheme="minorHAnsi" w:hAnsiTheme="minorHAnsi" w:cstheme="minorBidi"/>
                <w:sz w:val="22"/>
                <w:szCs w:val="22"/>
              </w:rPr>
              <w:t>fter Second Study Vaccination in Serologically Negative Adult Participants by SARS</w:t>
            </w:r>
            <w:r w:rsidR="1FCDB141" w:rsidRPr="69C5BB41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002B678E" w:rsidRPr="69C5BB41">
              <w:rPr>
                <w:rFonts w:asciiTheme="minorHAnsi" w:hAnsiTheme="minorHAnsi" w:cstheme="minorBidi"/>
                <w:sz w:val="22"/>
                <w:szCs w:val="22"/>
              </w:rPr>
              <w:t>CoV</w:t>
            </w:r>
            <w:r w:rsidR="6E64C181" w:rsidRPr="69C5BB41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002B678E" w:rsidRPr="69C5BB41">
              <w:rPr>
                <w:rFonts w:asciiTheme="minorHAnsi" w:hAnsiTheme="minorHAnsi" w:cstheme="minorBidi"/>
                <w:sz w:val="22"/>
                <w:szCs w:val="22"/>
              </w:rPr>
              <w:t>2 Strain (PP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002B678E" w:rsidRPr="69C5BB41">
              <w:rPr>
                <w:rFonts w:asciiTheme="minorHAnsi" w:hAnsiTheme="minorHAnsi" w:cstheme="minorBidi"/>
                <w:sz w:val="22"/>
                <w:szCs w:val="22"/>
              </w:rPr>
              <w:t>EFF Analysis Set)</w:t>
            </w:r>
            <w:bookmarkEnd w:id="13"/>
            <w:bookmarkEnd w:id="14"/>
          </w:p>
        </w:tc>
      </w:tr>
      <w:tr w:rsidR="002B678E" w14:paraId="69C58CFC" w14:textId="77777777" w:rsidTr="69C5BB41">
        <w:trPr>
          <w:tblHeader/>
        </w:trPr>
        <w:tc>
          <w:tcPr>
            <w:tcW w:w="5580" w:type="dxa"/>
            <w:vMerge w:val="restart"/>
            <w:vAlign w:val="center"/>
          </w:tcPr>
          <w:p w14:paraId="2BB65092" w14:textId="77777777" w:rsidR="002B678E" w:rsidRPr="002B678E" w:rsidRDefault="002B678E" w:rsidP="00D95788">
            <w:pPr>
              <w:pStyle w:val="GlobalSubmitTableHeading"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0C3DC676" w14:textId="77777777" w:rsidR="002B678E" w:rsidRPr="002B678E" w:rsidRDefault="002B678E" w:rsidP="00D95788">
            <w:pPr>
              <w:pStyle w:val="GlobalSubmitTableHeading"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Parameter</w:t>
            </w:r>
          </w:p>
        </w:tc>
        <w:tc>
          <w:tcPr>
            <w:tcW w:w="3510" w:type="dxa"/>
            <w:gridSpan w:val="2"/>
            <w:vAlign w:val="center"/>
          </w:tcPr>
          <w:p w14:paraId="38F3530B" w14:textId="77777777" w:rsidR="002B678E" w:rsidRPr="002B678E" w:rsidRDefault="002B678E" w:rsidP="00D95788">
            <w:pPr>
              <w:pStyle w:val="GlobalSubmitTableHeading"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Final Analysis</w:t>
            </w:r>
          </w:p>
        </w:tc>
      </w:tr>
      <w:tr w:rsidR="002B678E" w14:paraId="6DE53DDB" w14:textId="77777777" w:rsidTr="69C5BB41">
        <w:trPr>
          <w:tblHeader/>
        </w:trPr>
        <w:tc>
          <w:tcPr>
            <w:tcW w:w="5580" w:type="dxa"/>
            <w:vMerge/>
            <w:vAlign w:val="center"/>
          </w:tcPr>
          <w:p w14:paraId="5ABE7E08" w14:textId="77777777" w:rsidR="002B678E" w:rsidRPr="002B678E" w:rsidRDefault="002B678E" w:rsidP="00D95788">
            <w:pPr>
              <w:pStyle w:val="GlobalSubmitTableHeading"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8F5D49E" w14:textId="77777777" w:rsidR="002B678E" w:rsidRPr="002B678E" w:rsidRDefault="002B678E" w:rsidP="00D95788">
            <w:pPr>
              <w:pStyle w:val="GlobalSubmitTableHeading"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NVX-CoV2373</w:t>
            </w:r>
          </w:p>
          <w:p w14:paraId="69EA97D3" w14:textId="5DCB7139" w:rsidR="002B678E" w:rsidRPr="002B678E" w:rsidRDefault="002B678E" w:rsidP="00D95788">
            <w:pPr>
              <w:pStyle w:val="GlobalSubmitTableHeading"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N=7020</w:t>
            </w:r>
          </w:p>
        </w:tc>
        <w:tc>
          <w:tcPr>
            <w:tcW w:w="1710" w:type="dxa"/>
            <w:vAlign w:val="center"/>
          </w:tcPr>
          <w:p w14:paraId="67CF5F1A" w14:textId="77777777" w:rsidR="002B678E" w:rsidRPr="002B678E" w:rsidRDefault="002B678E" w:rsidP="00D95788">
            <w:pPr>
              <w:pStyle w:val="GlobalSubmitTableHeading"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Placebo</w:t>
            </w:r>
          </w:p>
          <w:p w14:paraId="19806667" w14:textId="498DE3FD" w:rsidR="002B678E" w:rsidRPr="002B678E" w:rsidRDefault="002B678E" w:rsidP="00D95788">
            <w:pPr>
              <w:pStyle w:val="GlobalSubmitTableHeading"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N=7019</w:t>
            </w:r>
          </w:p>
        </w:tc>
      </w:tr>
      <w:tr w:rsidR="002B678E" w14:paraId="4D5190D5" w14:textId="77777777" w:rsidTr="69C5BB41">
        <w:tc>
          <w:tcPr>
            <w:tcW w:w="9090" w:type="dxa"/>
            <w:gridSpan w:val="3"/>
          </w:tcPr>
          <w:p w14:paraId="0E82DC7E" w14:textId="6681874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b/>
                <w:szCs w:val="20"/>
              </w:rPr>
              <w:t xml:space="preserve">UK (Kent) </w:t>
            </w:r>
            <w:r w:rsidR="00285B1F" w:rsidRPr="002B678E">
              <w:rPr>
                <w:rFonts w:asciiTheme="minorHAnsi" w:hAnsiTheme="minorHAnsi" w:cstheme="minorHAnsi"/>
                <w:b/>
                <w:szCs w:val="20"/>
              </w:rPr>
              <w:t xml:space="preserve">Variant Strain </w:t>
            </w:r>
            <w:r w:rsidRPr="002B678E">
              <w:rPr>
                <w:rFonts w:asciiTheme="minorHAnsi" w:hAnsiTheme="minorHAnsi" w:cstheme="minorHAnsi"/>
                <w:b/>
                <w:szCs w:val="20"/>
              </w:rPr>
              <w:t>(B.1.1.7)</w:t>
            </w:r>
          </w:p>
        </w:tc>
      </w:tr>
      <w:tr w:rsidR="002B678E" w14:paraId="358E90B3" w14:textId="77777777" w:rsidTr="69C5BB41">
        <w:tc>
          <w:tcPr>
            <w:tcW w:w="5580" w:type="dxa"/>
          </w:tcPr>
          <w:p w14:paraId="4D2E2B06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ind w:left="15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Participants in PP-EFF</w:t>
            </w:r>
          </w:p>
        </w:tc>
        <w:tc>
          <w:tcPr>
            <w:tcW w:w="1800" w:type="dxa"/>
            <w:vAlign w:val="center"/>
          </w:tcPr>
          <w:p w14:paraId="7F355161" w14:textId="38551CBC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7019</w:t>
            </w:r>
            <w:r w:rsidR="00B45B48">
              <w:rPr>
                <w:rFonts w:asciiTheme="minorHAnsi" w:hAnsiTheme="minorHAnsi" w:cstheme="minorHAnsi"/>
                <w:szCs w:val="20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14:paraId="3B7FEC07" w14:textId="08ACBB5B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7009</w:t>
            </w:r>
            <w:r w:rsidR="00B45B48">
              <w:rPr>
                <w:rFonts w:asciiTheme="minorHAnsi" w:hAnsiTheme="minorHAnsi" w:cstheme="minorHAnsi"/>
                <w:szCs w:val="20"/>
                <w:vertAlign w:val="superscript"/>
              </w:rPr>
              <w:t>*</w:t>
            </w:r>
          </w:p>
        </w:tc>
      </w:tr>
      <w:tr w:rsidR="002B678E" w14:paraId="4E15C39F" w14:textId="77777777" w:rsidTr="69C5BB41">
        <w:tc>
          <w:tcPr>
            <w:tcW w:w="5580" w:type="dxa"/>
          </w:tcPr>
          <w:p w14:paraId="3951F9CC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ind w:left="15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Participants with first occurrence of event, n (%)</w:t>
            </w:r>
          </w:p>
        </w:tc>
        <w:tc>
          <w:tcPr>
            <w:tcW w:w="1800" w:type="dxa"/>
            <w:vAlign w:val="center"/>
          </w:tcPr>
          <w:p w14:paraId="18E8C7A0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8 (0.1)</w:t>
            </w:r>
          </w:p>
        </w:tc>
        <w:tc>
          <w:tcPr>
            <w:tcW w:w="1710" w:type="dxa"/>
            <w:vAlign w:val="center"/>
          </w:tcPr>
          <w:p w14:paraId="353F07AA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58 (0.8)</w:t>
            </w:r>
          </w:p>
        </w:tc>
      </w:tr>
      <w:tr w:rsidR="002B678E" w14:paraId="48795F5D" w14:textId="77777777" w:rsidTr="69C5BB41">
        <w:tc>
          <w:tcPr>
            <w:tcW w:w="9090" w:type="dxa"/>
            <w:gridSpan w:val="3"/>
          </w:tcPr>
          <w:p w14:paraId="33FE93D0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ind w:left="15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Severity of first occurrence, n (%)</w:t>
            </w:r>
          </w:p>
        </w:tc>
      </w:tr>
      <w:tr w:rsidR="002B678E" w14:paraId="0D23BD75" w14:textId="77777777" w:rsidTr="69C5BB41">
        <w:tc>
          <w:tcPr>
            <w:tcW w:w="5580" w:type="dxa"/>
          </w:tcPr>
          <w:p w14:paraId="734C5397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ind w:left="33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Mild</w:t>
            </w:r>
          </w:p>
        </w:tc>
        <w:tc>
          <w:tcPr>
            <w:tcW w:w="1800" w:type="dxa"/>
            <w:vAlign w:val="center"/>
          </w:tcPr>
          <w:p w14:paraId="522FBBC5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1 (&lt;0.1)</w:t>
            </w:r>
          </w:p>
        </w:tc>
        <w:tc>
          <w:tcPr>
            <w:tcW w:w="1710" w:type="dxa"/>
            <w:vAlign w:val="center"/>
          </w:tcPr>
          <w:p w14:paraId="0C434E69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15 (0.2)</w:t>
            </w:r>
          </w:p>
        </w:tc>
      </w:tr>
      <w:tr w:rsidR="002B678E" w14:paraId="57EFEB49" w14:textId="77777777" w:rsidTr="69C5BB41">
        <w:tc>
          <w:tcPr>
            <w:tcW w:w="5580" w:type="dxa"/>
          </w:tcPr>
          <w:p w14:paraId="2F27E488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ind w:left="33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Moderate</w:t>
            </w:r>
          </w:p>
        </w:tc>
        <w:tc>
          <w:tcPr>
            <w:tcW w:w="1800" w:type="dxa"/>
            <w:vAlign w:val="center"/>
          </w:tcPr>
          <w:p w14:paraId="287703A2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7 (&lt;0.1)</w:t>
            </w:r>
          </w:p>
        </w:tc>
        <w:tc>
          <w:tcPr>
            <w:tcW w:w="1710" w:type="dxa"/>
            <w:vAlign w:val="center"/>
          </w:tcPr>
          <w:p w14:paraId="78D3299A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39 (0.6)</w:t>
            </w:r>
          </w:p>
        </w:tc>
      </w:tr>
      <w:tr w:rsidR="002B678E" w14:paraId="7C99FDEF" w14:textId="77777777" w:rsidTr="69C5BB41">
        <w:tc>
          <w:tcPr>
            <w:tcW w:w="5580" w:type="dxa"/>
          </w:tcPr>
          <w:p w14:paraId="2A22308E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ind w:left="33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Severe</w:t>
            </w:r>
          </w:p>
        </w:tc>
        <w:tc>
          <w:tcPr>
            <w:tcW w:w="1800" w:type="dxa"/>
            <w:vAlign w:val="center"/>
          </w:tcPr>
          <w:p w14:paraId="7CAD73AD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0</w:t>
            </w:r>
          </w:p>
        </w:tc>
        <w:tc>
          <w:tcPr>
            <w:tcW w:w="1710" w:type="dxa"/>
            <w:vAlign w:val="center"/>
          </w:tcPr>
          <w:p w14:paraId="253BA79D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4 (&lt;0.1)</w:t>
            </w:r>
          </w:p>
        </w:tc>
      </w:tr>
      <w:tr w:rsidR="002B678E" w14:paraId="7002A5F0" w14:textId="77777777" w:rsidTr="69C5BB41">
        <w:tc>
          <w:tcPr>
            <w:tcW w:w="5580" w:type="dxa"/>
          </w:tcPr>
          <w:p w14:paraId="3AAFBA1A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ind w:left="15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Median surveillance time (days)</w:t>
            </w:r>
          </w:p>
        </w:tc>
        <w:tc>
          <w:tcPr>
            <w:tcW w:w="1800" w:type="dxa"/>
            <w:vAlign w:val="center"/>
          </w:tcPr>
          <w:p w14:paraId="02835017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56</w:t>
            </w:r>
          </w:p>
        </w:tc>
        <w:tc>
          <w:tcPr>
            <w:tcW w:w="1710" w:type="dxa"/>
            <w:vAlign w:val="center"/>
          </w:tcPr>
          <w:p w14:paraId="02A43144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55</w:t>
            </w:r>
          </w:p>
        </w:tc>
      </w:tr>
      <w:tr w:rsidR="002B678E" w14:paraId="4242DEC2" w14:textId="77777777" w:rsidTr="69C5BB41">
        <w:tc>
          <w:tcPr>
            <w:tcW w:w="9090" w:type="dxa"/>
            <w:gridSpan w:val="3"/>
          </w:tcPr>
          <w:p w14:paraId="30A4EDC8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ind w:left="15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Log-linear model using modified Poisson regression</w:t>
            </w:r>
          </w:p>
        </w:tc>
      </w:tr>
      <w:tr w:rsidR="002B678E" w14:paraId="5647A5A7" w14:textId="77777777" w:rsidTr="69C5BB41">
        <w:tc>
          <w:tcPr>
            <w:tcW w:w="5580" w:type="dxa"/>
          </w:tcPr>
          <w:p w14:paraId="1A688ECC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ind w:left="33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Mean disease incidence rate per year in 1000 people</w:t>
            </w:r>
          </w:p>
        </w:tc>
        <w:tc>
          <w:tcPr>
            <w:tcW w:w="1800" w:type="dxa"/>
            <w:vAlign w:val="center"/>
          </w:tcPr>
          <w:p w14:paraId="383AE52D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4.94</w:t>
            </w:r>
          </w:p>
        </w:tc>
        <w:tc>
          <w:tcPr>
            <w:tcW w:w="1710" w:type="dxa"/>
            <w:vAlign w:val="center"/>
          </w:tcPr>
          <w:p w14:paraId="4676CA9C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36.11</w:t>
            </w:r>
          </w:p>
        </w:tc>
      </w:tr>
      <w:tr w:rsidR="002B678E" w14:paraId="234A6DAB" w14:textId="77777777" w:rsidTr="69C5BB41">
        <w:tc>
          <w:tcPr>
            <w:tcW w:w="5580" w:type="dxa"/>
          </w:tcPr>
          <w:p w14:paraId="15AACF7D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ind w:left="51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95% CI</w:t>
            </w:r>
          </w:p>
        </w:tc>
        <w:tc>
          <w:tcPr>
            <w:tcW w:w="1800" w:type="dxa"/>
            <w:vAlign w:val="center"/>
          </w:tcPr>
          <w:p w14:paraId="54E69D64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2.33, 10.48</w:t>
            </w:r>
          </w:p>
        </w:tc>
        <w:tc>
          <w:tcPr>
            <w:tcW w:w="1710" w:type="dxa"/>
            <w:vAlign w:val="center"/>
          </w:tcPr>
          <w:p w14:paraId="2E30DAE6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23.15, 56.32</w:t>
            </w:r>
          </w:p>
        </w:tc>
      </w:tr>
      <w:tr w:rsidR="002B678E" w14:paraId="0914D9D9" w14:textId="77777777" w:rsidTr="69C5BB41">
        <w:tc>
          <w:tcPr>
            <w:tcW w:w="5580" w:type="dxa"/>
          </w:tcPr>
          <w:p w14:paraId="795DF0DD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ind w:left="33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Relative risk</w:t>
            </w:r>
          </w:p>
        </w:tc>
        <w:tc>
          <w:tcPr>
            <w:tcW w:w="3510" w:type="dxa"/>
            <w:gridSpan w:val="2"/>
            <w:vAlign w:val="center"/>
          </w:tcPr>
          <w:p w14:paraId="23EE53E2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0.137</w:t>
            </w:r>
          </w:p>
        </w:tc>
      </w:tr>
      <w:tr w:rsidR="002B678E" w14:paraId="7E1F9097" w14:textId="77777777" w:rsidTr="69C5BB41">
        <w:tc>
          <w:tcPr>
            <w:tcW w:w="5580" w:type="dxa"/>
          </w:tcPr>
          <w:p w14:paraId="7FF61E03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ind w:left="51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95% CI</w:t>
            </w:r>
          </w:p>
        </w:tc>
        <w:tc>
          <w:tcPr>
            <w:tcW w:w="3510" w:type="dxa"/>
            <w:gridSpan w:val="2"/>
            <w:vAlign w:val="center"/>
          </w:tcPr>
          <w:p w14:paraId="1FEA6489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0.065, 0.287</w:t>
            </w:r>
          </w:p>
        </w:tc>
      </w:tr>
      <w:tr w:rsidR="002B678E" w14:paraId="34FEE37B" w14:textId="77777777" w:rsidTr="69C5BB41">
        <w:tc>
          <w:tcPr>
            <w:tcW w:w="5580" w:type="dxa"/>
          </w:tcPr>
          <w:p w14:paraId="1BFAF33C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ind w:left="15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Vaccine efficacy (%)</w:t>
            </w:r>
          </w:p>
        </w:tc>
        <w:tc>
          <w:tcPr>
            <w:tcW w:w="3510" w:type="dxa"/>
            <w:gridSpan w:val="2"/>
            <w:vAlign w:val="center"/>
          </w:tcPr>
          <w:p w14:paraId="0551FA60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86.3</w:t>
            </w:r>
          </w:p>
        </w:tc>
      </w:tr>
      <w:tr w:rsidR="002B678E" w14:paraId="687BB82D" w14:textId="77777777" w:rsidTr="69C5BB41">
        <w:tc>
          <w:tcPr>
            <w:tcW w:w="5580" w:type="dxa"/>
            <w:tcBorders>
              <w:bottom w:val="single" w:sz="4" w:space="0" w:color="auto"/>
            </w:tcBorders>
          </w:tcPr>
          <w:p w14:paraId="3169BEC6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ind w:left="33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95% CI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14:paraId="40C88AA5" w14:textId="77777777" w:rsidR="002B678E" w:rsidRPr="002B678E" w:rsidRDefault="002B678E" w:rsidP="00D95788">
            <w:pPr>
              <w:pStyle w:val="GlobalSubmitTableCellLef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71.3, 93.5</w:t>
            </w:r>
          </w:p>
        </w:tc>
      </w:tr>
      <w:tr w:rsidR="002B678E" w:rsidRPr="002F19FB" w14:paraId="05302B69" w14:textId="77777777" w:rsidTr="69C5BB41">
        <w:tc>
          <w:tcPr>
            <w:tcW w:w="9090" w:type="dxa"/>
            <w:gridSpan w:val="3"/>
            <w:tcBorders>
              <w:bottom w:val="single" w:sz="4" w:space="0" w:color="auto"/>
            </w:tcBorders>
          </w:tcPr>
          <w:p w14:paraId="6D558730" w14:textId="483716E1" w:rsidR="002B678E" w:rsidRPr="002B678E" w:rsidRDefault="002B678E" w:rsidP="00D95788">
            <w:pPr>
              <w:pStyle w:val="GlobalSubmitTableCellLeft"/>
              <w:spacing w:before="20" w:after="20"/>
              <w:rPr>
                <w:rFonts w:asciiTheme="minorHAnsi" w:hAnsiTheme="minorHAnsi" w:cstheme="minorHAnsi"/>
                <w:b/>
                <w:szCs w:val="20"/>
              </w:rPr>
            </w:pPr>
            <w:r w:rsidRPr="002B678E">
              <w:rPr>
                <w:rFonts w:asciiTheme="minorHAnsi" w:hAnsiTheme="minorHAnsi" w:cstheme="minorHAnsi"/>
                <w:b/>
                <w:szCs w:val="20"/>
              </w:rPr>
              <w:t xml:space="preserve">Ancestral (Wuhan) </w:t>
            </w:r>
            <w:r w:rsidR="00285B1F" w:rsidRPr="002B678E">
              <w:rPr>
                <w:rFonts w:asciiTheme="minorHAnsi" w:hAnsiTheme="minorHAnsi" w:cstheme="minorHAnsi"/>
                <w:b/>
                <w:szCs w:val="20"/>
              </w:rPr>
              <w:t>Strain</w:t>
            </w:r>
          </w:p>
        </w:tc>
      </w:tr>
      <w:tr w:rsidR="002B678E" w14:paraId="1A669DED" w14:textId="77777777" w:rsidTr="69C5BB41">
        <w:tc>
          <w:tcPr>
            <w:tcW w:w="5580" w:type="dxa"/>
            <w:tcBorders>
              <w:bottom w:val="single" w:sz="4" w:space="0" w:color="auto"/>
            </w:tcBorders>
          </w:tcPr>
          <w:p w14:paraId="23FE0F12" w14:textId="77777777" w:rsidR="002B678E" w:rsidRPr="002B678E" w:rsidRDefault="002B678E" w:rsidP="00D95788">
            <w:pPr>
              <w:pStyle w:val="GlobalSubmitTableCellLeft"/>
              <w:spacing w:before="20" w:after="20"/>
              <w:ind w:left="15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Participants in PP-EFF</w:t>
            </w:r>
          </w:p>
        </w:tc>
        <w:tc>
          <w:tcPr>
            <w:tcW w:w="1800" w:type="dxa"/>
            <w:vAlign w:val="center"/>
          </w:tcPr>
          <w:p w14:paraId="6494FAA8" w14:textId="388EA4EC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7019</w:t>
            </w:r>
            <w:r w:rsidR="00B45B48">
              <w:rPr>
                <w:rFonts w:asciiTheme="minorHAnsi" w:hAnsiTheme="minorHAnsi" w:cstheme="minorHAnsi"/>
                <w:szCs w:val="20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14:paraId="4260E60F" w14:textId="0211D4C6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7009</w:t>
            </w:r>
            <w:r w:rsidR="00B45B48">
              <w:rPr>
                <w:rFonts w:asciiTheme="minorHAnsi" w:hAnsiTheme="minorHAnsi" w:cstheme="minorHAnsi"/>
                <w:szCs w:val="20"/>
                <w:vertAlign w:val="superscript"/>
              </w:rPr>
              <w:t>*</w:t>
            </w:r>
          </w:p>
        </w:tc>
      </w:tr>
      <w:tr w:rsidR="002B678E" w14:paraId="3D287EFD" w14:textId="77777777" w:rsidTr="69C5BB41">
        <w:tc>
          <w:tcPr>
            <w:tcW w:w="5580" w:type="dxa"/>
            <w:tcBorders>
              <w:bottom w:val="single" w:sz="4" w:space="0" w:color="auto"/>
            </w:tcBorders>
          </w:tcPr>
          <w:p w14:paraId="6DC543B8" w14:textId="77777777" w:rsidR="002B678E" w:rsidRPr="002B678E" w:rsidRDefault="002B678E" w:rsidP="00D95788">
            <w:pPr>
              <w:pStyle w:val="GlobalSubmitTableCellLeft"/>
              <w:spacing w:before="20" w:after="20"/>
              <w:ind w:left="15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Participants with first occurrence of event, n (%)</w:t>
            </w:r>
          </w:p>
        </w:tc>
        <w:tc>
          <w:tcPr>
            <w:tcW w:w="1800" w:type="dxa"/>
            <w:vAlign w:val="center"/>
          </w:tcPr>
          <w:p w14:paraId="43C3D3A5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1 (&lt;0.1)</w:t>
            </w:r>
          </w:p>
        </w:tc>
        <w:tc>
          <w:tcPr>
            <w:tcW w:w="1710" w:type="dxa"/>
            <w:vAlign w:val="center"/>
          </w:tcPr>
          <w:p w14:paraId="4A9B26B3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28 (0.4)</w:t>
            </w:r>
          </w:p>
        </w:tc>
      </w:tr>
      <w:tr w:rsidR="002B678E" w14:paraId="7015AB2A" w14:textId="77777777" w:rsidTr="69C5BB41">
        <w:tc>
          <w:tcPr>
            <w:tcW w:w="9090" w:type="dxa"/>
            <w:gridSpan w:val="3"/>
            <w:tcBorders>
              <w:bottom w:val="single" w:sz="4" w:space="0" w:color="auto"/>
            </w:tcBorders>
          </w:tcPr>
          <w:p w14:paraId="559C8135" w14:textId="77777777" w:rsidR="002B678E" w:rsidRPr="002B678E" w:rsidRDefault="002B678E" w:rsidP="00D95788">
            <w:pPr>
              <w:pStyle w:val="GlobalSubmitTableCellLeft"/>
              <w:spacing w:before="20" w:after="20"/>
              <w:ind w:left="15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Severity of first occurrence, n (%)</w:t>
            </w:r>
          </w:p>
        </w:tc>
      </w:tr>
      <w:tr w:rsidR="002B678E" w14:paraId="25AD1A50" w14:textId="77777777" w:rsidTr="69C5BB41">
        <w:tc>
          <w:tcPr>
            <w:tcW w:w="5580" w:type="dxa"/>
            <w:tcBorders>
              <w:bottom w:val="single" w:sz="4" w:space="0" w:color="auto"/>
            </w:tcBorders>
          </w:tcPr>
          <w:p w14:paraId="0A544D18" w14:textId="77777777" w:rsidR="002B678E" w:rsidRPr="002B678E" w:rsidRDefault="002B678E" w:rsidP="00D95788">
            <w:pPr>
              <w:pStyle w:val="GlobalSubmitTableCellLeft"/>
              <w:spacing w:before="20" w:after="20"/>
              <w:ind w:left="33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Mild</w:t>
            </w:r>
          </w:p>
        </w:tc>
        <w:tc>
          <w:tcPr>
            <w:tcW w:w="1800" w:type="dxa"/>
            <w:vAlign w:val="center"/>
          </w:tcPr>
          <w:p w14:paraId="5F1E354F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0</w:t>
            </w:r>
          </w:p>
        </w:tc>
        <w:tc>
          <w:tcPr>
            <w:tcW w:w="1710" w:type="dxa"/>
            <w:vAlign w:val="center"/>
          </w:tcPr>
          <w:p w14:paraId="24EFFC41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9 (0.1)</w:t>
            </w:r>
          </w:p>
        </w:tc>
      </w:tr>
      <w:tr w:rsidR="002B678E" w14:paraId="6BCE2940" w14:textId="77777777" w:rsidTr="69C5BB41">
        <w:tc>
          <w:tcPr>
            <w:tcW w:w="5580" w:type="dxa"/>
            <w:tcBorders>
              <w:bottom w:val="single" w:sz="4" w:space="0" w:color="auto"/>
            </w:tcBorders>
          </w:tcPr>
          <w:p w14:paraId="7CD73A96" w14:textId="77777777" w:rsidR="002B678E" w:rsidRPr="002B678E" w:rsidRDefault="002B678E" w:rsidP="00D95788">
            <w:pPr>
              <w:pStyle w:val="GlobalSubmitTableCellLeft"/>
              <w:spacing w:before="20" w:after="20"/>
              <w:ind w:left="33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Moderate</w:t>
            </w:r>
          </w:p>
        </w:tc>
        <w:tc>
          <w:tcPr>
            <w:tcW w:w="1800" w:type="dxa"/>
            <w:vAlign w:val="center"/>
          </w:tcPr>
          <w:p w14:paraId="67EF904A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1 (&lt;0.1)</w:t>
            </w:r>
          </w:p>
        </w:tc>
        <w:tc>
          <w:tcPr>
            <w:tcW w:w="1710" w:type="dxa"/>
            <w:vAlign w:val="center"/>
          </w:tcPr>
          <w:p w14:paraId="6C7F5433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18 (0.3)</w:t>
            </w:r>
          </w:p>
        </w:tc>
      </w:tr>
      <w:tr w:rsidR="002B678E" w14:paraId="362BBA3F" w14:textId="77777777" w:rsidTr="69C5BB41">
        <w:tc>
          <w:tcPr>
            <w:tcW w:w="5580" w:type="dxa"/>
            <w:tcBorders>
              <w:bottom w:val="single" w:sz="4" w:space="0" w:color="auto"/>
            </w:tcBorders>
          </w:tcPr>
          <w:p w14:paraId="5F117ED9" w14:textId="77777777" w:rsidR="002B678E" w:rsidRPr="002B678E" w:rsidRDefault="002B678E" w:rsidP="00D95788">
            <w:pPr>
              <w:pStyle w:val="GlobalSubmitTableCellLeft"/>
              <w:spacing w:before="20" w:after="20"/>
              <w:ind w:left="33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Severe</w:t>
            </w:r>
          </w:p>
        </w:tc>
        <w:tc>
          <w:tcPr>
            <w:tcW w:w="1800" w:type="dxa"/>
            <w:vAlign w:val="center"/>
          </w:tcPr>
          <w:p w14:paraId="3D3C3BC0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0</w:t>
            </w:r>
          </w:p>
        </w:tc>
        <w:tc>
          <w:tcPr>
            <w:tcW w:w="1710" w:type="dxa"/>
            <w:vAlign w:val="center"/>
          </w:tcPr>
          <w:p w14:paraId="4ACD0453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1 (&lt;0.1)</w:t>
            </w:r>
          </w:p>
        </w:tc>
      </w:tr>
      <w:tr w:rsidR="002B678E" w14:paraId="36D18C9E" w14:textId="77777777" w:rsidTr="69C5BB41">
        <w:tc>
          <w:tcPr>
            <w:tcW w:w="5580" w:type="dxa"/>
            <w:tcBorders>
              <w:bottom w:val="single" w:sz="4" w:space="0" w:color="auto"/>
            </w:tcBorders>
          </w:tcPr>
          <w:p w14:paraId="4694D169" w14:textId="77777777" w:rsidR="002B678E" w:rsidRPr="002B678E" w:rsidRDefault="002B678E" w:rsidP="00D95788">
            <w:pPr>
              <w:pStyle w:val="GlobalSubmitTableCellLeft"/>
              <w:spacing w:before="20" w:after="20"/>
              <w:ind w:left="15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Median surveillance time (days)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63290C5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56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CE8B76C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56</w:t>
            </w:r>
          </w:p>
        </w:tc>
      </w:tr>
      <w:tr w:rsidR="002B678E" w14:paraId="13624E33" w14:textId="77777777" w:rsidTr="69C5BB41">
        <w:tc>
          <w:tcPr>
            <w:tcW w:w="9090" w:type="dxa"/>
            <w:gridSpan w:val="3"/>
            <w:tcBorders>
              <w:bottom w:val="single" w:sz="4" w:space="0" w:color="auto"/>
            </w:tcBorders>
          </w:tcPr>
          <w:p w14:paraId="200C4FE9" w14:textId="77777777" w:rsidR="002B678E" w:rsidRPr="002B678E" w:rsidRDefault="002B678E" w:rsidP="00D95788">
            <w:pPr>
              <w:pStyle w:val="GlobalSubmitTableCellLeft"/>
              <w:spacing w:before="20" w:after="20"/>
              <w:ind w:left="15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Log-linear model using modified Poisson regression</w:t>
            </w:r>
          </w:p>
        </w:tc>
      </w:tr>
      <w:tr w:rsidR="002B678E" w14:paraId="1B1B32B1" w14:textId="77777777" w:rsidTr="69C5BB41">
        <w:tc>
          <w:tcPr>
            <w:tcW w:w="5580" w:type="dxa"/>
            <w:tcBorders>
              <w:bottom w:val="single" w:sz="4" w:space="0" w:color="auto"/>
            </w:tcBorders>
          </w:tcPr>
          <w:p w14:paraId="3D5EC8FA" w14:textId="77777777" w:rsidR="002B678E" w:rsidRPr="002B678E" w:rsidRDefault="002B678E" w:rsidP="00D95788">
            <w:pPr>
              <w:pStyle w:val="GlobalSubmitTableCellLeft"/>
              <w:spacing w:before="20" w:after="20"/>
              <w:ind w:left="33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Mean disease incidence rate per year in 1000 people</w:t>
            </w:r>
          </w:p>
        </w:tc>
        <w:tc>
          <w:tcPr>
            <w:tcW w:w="1800" w:type="dxa"/>
            <w:vAlign w:val="center"/>
          </w:tcPr>
          <w:p w14:paraId="7850FF7A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0.43</w:t>
            </w:r>
          </w:p>
        </w:tc>
        <w:tc>
          <w:tcPr>
            <w:tcW w:w="1710" w:type="dxa"/>
            <w:vAlign w:val="center"/>
          </w:tcPr>
          <w:p w14:paraId="5665D14C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12.15</w:t>
            </w:r>
          </w:p>
        </w:tc>
      </w:tr>
      <w:tr w:rsidR="002B678E" w14:paraId="5895A61E" w14:textId="77777777" w:rsidTr="69C5BB41">
        <w:tc>
          <w:tcPr>
            <w:tcW w:w="5580" w:type="dxa"/>
            <w:tcBorders>
              <w:bottom w:val="single" w:sz="4" w:space="0" w:color="auto"/>
            </w:tcBorders>
          </w:tcPr>
          <w:p w14:paraId="7D748138" w14:textId="77777777" w:rsidR="002B678E" w:rsidRPr="002B678E" w:rsidRDefault="002B678E" w:rsidP="00D95788">
            <w:pPr>
              <w:pStyle w:val="GlobalSubmitTableCellLeft"/>
              <w:spacing w:before="20" w:after="20"/>
              <w:ind w:left="51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95% CI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98E4823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0.05, 3.79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2725E39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4.23, 34.92</w:t>
            </w:r>
          </w:p>
        </w:tc>
      </w:tr>
      <w:tr w:rsidR="002B678E" w14:paraId="646D9AF4" w14:textId="77777777" w:rsidTr="69C5BB41">
        <w:tc>
          <w:tcPr>
            <w:tcW w:w="5580" w:type="dxa"/>
            <w:tcBorders>
              <w:bottom w:val="single" w:sz="4" w:space="0" w:color="auto"/>
            </w:tcBorders>
          </w:tcPr>
          <w:p w14:paraId="0012BEF2" w14:textId="77777777" w:rsidR="002B678E" w:rsidRPr="002B678E" w:rsidRDefault="002B678E" w:rsidP="00D95788">
            <w:pPr>
              <w:pStyle w:val="GlobalSubmitTableCellLeft"/>
              <w:spacing w:before="20" w:after="20"/>
              <w:ind w:left="33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Relative risk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14:paraId="6A33E88F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0.036</w:t>
            </w:r>
          </w:p>
        </w:tc>
      </w:tr>
      <w:tr w:rsidR="002B678E" w14:paraId="319ED0DC" w14:textId="77777777" w:rsidTr="69C5BB41">
        <w:tc>
          <w:tcPr>
            <w:tcW w:w="5580" w:type="dxa"/>
            <w:tcBorders>
              <w:bottom w:val="single" w:sz="4" w:space="0" w:color="auto"/>
            </w:tcBorders>
          </w:tcPr>
          <w:p w14:paraId="5BDE646C" w14:textId="77777777" w:rsidR="002B678E" w:rsidRPr="002B678E" w:rsidRDefault="002B678E" w:rsidP="00D95788">
            <w:pPr>
              <w:pStyle w:val="GlobalSubmitTableCellLeft"/>
              <w:spacing w:before="20" w:after="20"/>
              <w:ind w:left="51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95% CI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14:paraId="7DBF5EA5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0.005, 0.262</w:t>
            </w:r>
          </w:p>
        </w:tc>
      </w:tr>
      <w:tr w:rsidR="002B678E" w14:paraId="355A04DA" w14:textId="77777777" w:rsidTr="69C5BB41">
        <w:tc>
          <w:tcPr>
            <w:tcW w:w="5580" w:type="dxa"/>
            <w:tcBorders>
              <w:bottom w:val="single" w:sz="4" w:space="0" w:color="auto"/>
            </w:tcBorders>
          </w:tcPr>
          <w:p w14:paraId="34BF5792" w14:textId="77777777" w:rsidR="002B678E" w:rsidRPr="002B678E" w:rsidRDefault="002B678E" w:rsidP="00D95788">
            <w:pPr>
              <w:pStyle w:val="GlobalSubmitTableCellLeft"/>
              <w:spacing w:before="20" w:after="20"/>
              <w:ind w:left="33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Vaccine efficacy (%)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14:paraId="2B8F591A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96.4</w:t>
            </w:r>
          </w:p>
        </w:tc>
      </w:tr>
      <w:tr w:rsidR="002B678E" w14:paraId="3D8B1F42" w14:textId="77777777" w:rsidTr="69C5BB41">
        <w:tc>
          <w:tcPr>
            <w:tcW w:w="5580" w:type="dxa"/>
            <w:tcBorders>
              <w:bottom w:val="single" w:sz="4" w:space="0" w:color="auto"/>
            </w:tcBorders>
          </w:tcPr>
          <w:p w14:paraId="5978E0D5" w14:textId="77777777" w:rsidR="002B678E" w:rsidRPr="002B678E" w:rsidRDefault="002B678E" w:rsidP="00D95788">
            <w:pPr>
              <w:pStyle w:val="GlobalSubmitTableCellLeft"/>
              <w:spacing w:before="20" w:after="20"/>
              <w:ind w:left="518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95% CI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14:paraId="0D5629B8" w14:textId="77777777" w:rsidR="002B678E" w:rsidRPr="002B678E" w:rsidRDefault="002B678E" w:rsidP="00D95788">
            <w:pPr>
              <w:pStyle w:val="GlobalSubmitTableCellLeft"/>
              <w:spacing w:before="20" w:after="2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78E">
              <w:rPr>
                <w:rFonts w:asciiTheme="minorHAnsi" w:hAnsiTheme="minorHAnsi" w:cstheme="minorHAnsi"/>
                <w:szCs w:val="20"/>
              </w:rPr>
              <w:t>73.8, 99.5</w:t>
            </w:r>
          </w:p>
        </w:tc>
      </w:tr>
      <w:tr w:rsidR="002B678E" w:rsidRPr="00077CB9" w14:paraId="44A1123D" w14:textId="77777777" w:rsidTr="69C5BB41">
        <w:tc>
          <w:tcPr>
            <w:tcW w:w="909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9AEA4D" w14:textId="2F5C580E" w:rsidR="002B678E" w:rsidRPr="002B678E" w:rsidRDefault="002B678E" w:rsidP="00B54400">
            <w:pPr>
              <w:pStyle w:val="GlobalSubmitTableFootnote"/>
              <w:tabs>
                <w:tab w:val="clear" w:pos="360"/>
                <w:tab w:val="left" w:pos="0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678E">
              <w:rPr>
                <w:rFonts w:asciiTheme="minorHAnsi" w:hAnsiTheme="minorHAnsi" w:cstheme="minorHAnsi"/>
                <w:sz w:val="18"/>
                <w:szCs w:val="18"/>
              </w:rPr>
              <w:t xml:space="preserve">Abbreviations: CI = confidence interval; </w:t>
            </w:r>
            <w:r w:rsidR="00692B8E">
              <w:rPr>
                <w:rFonts w:asciiTheme="minorHAnsi" w:hAnsiTheme="minorHAnsi" w:cstheme="minorHAnsi"/>
                <w:sz w:val="18"/>
                <w:szCs w:val="18"/>
              </w:rPr>
              <w:t>Covid-19</w:t>
            </w:r>
            <w:r w:rsidRPr="002B678E">
              <w:rPr>
                <w:rFonts w:asciiTheme="minorHAnsi" w:hAnsiTheme="minorHAnsi" w:cstheme="minorHAnsi"/>
                <w:sz w:val="18"/>
                <w:szCs w:val="18"/>
              </w:rPr>
              <w:t xml:space="preserve"> = coronavirus disease 2019; NVX CoV2373 = SARS-CoV-2 rS (5 μg) + Matrix-M1 adjuvant (50 μg); PCR = polymerase chain reaction; PP = </w:t>
            </w:r>
            <w:r w:rsidR="00285B1F" w:rsidRPr="002B678E">
              <w:rPr>
                <w:rFonts w:asciiTheme="minorHAnsi" w:hAnsiTheme="minorHAnsi" w:cstheme="minorHAnsi"/>
                <w:sz w:val="18"/>
                <w:szCs w:val="18"/>
              </w:rPr>
              <w:t>per-protocol</w:t>
            </w:r>
            <w:r w:rsidRPr="002B678E">
              <w:rPr>
                <w:rFonts w:asciiTheme="minorHAnsi" w:hAnsiTheme="minorHAnsi" w:cstheme="minorHAnsi"/>
                <w:sz w:val="18"/>
                <w:szCs w:val="18"/>
              </w:rPr>
              <w:t>; SARS-CoV-2 = severe acute respiratory syndrome coronavirus 2; SARS-CoV-2 rS = severe acute respiratory syndrome coronavirus 2 recombinant nanoparticle spike protein vaccine.</w:t>
            </w:r>
          </w:p>
          <w:p w14:paraId="6D1B72C6" w14:textId="3EE9A936" w:rsidR="002B678E" w:rsidRPr="002B678E" w:rsidRDefault="00B45B48" w:rsidP="00B45B48">
            <w:pPr>
              <w:pStyle w:val="GlobalSubmitTableFootnote"/>
              <w:tabs>
                <w:tab w:val="clear" w:pos="360"/>
                <w:tab w:val="left" w:pos="0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2B678E" w:rsidRPr="002B678E">
              <w:rPr>
                <w:rFonts w:asciiTheme="minorHAnsi" w:hAnsiTheme="minorHAnsi" w:cstheme="minorHAnsi"/>
                <w:sz w:val="18"/>
                <w:szCs w:val="18"/>
              </w:rPr>
              <w:t xml:space="preserve">Excludes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B678E" w:rsidRPr="002B678E">
              <w:rPr>
                <w:rFonts w:asciiTheme="minorHAnsi" w:hAnsiTheme="minorHAnsi" w:cstheme="minorHAnsi"/>
                <w:sz w:val="18"/>
                <w:szCs w:val="18"/>
              </w:rPr>
              <w:t xml:space="preserve"> participant in the NVX-CoV2373 group and 10 participants in the placebo group who had no sequence data for either SARS-CoV-2 strain.</w:t>
            </w:r>
          </w:p>
          <w:p w14:paraId="4445CB9D" w14:textId="1E332D1C" w:rsidR="002B678E" w:rsidRPr="002B678E" w:rsidRDefault="002B678E" w:rsidP="002B678E">
            <w:pPr>
              <w:pStyle w:val="GlobalSubmitTableFootnot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15"/>
    </w:tbl>
    <w:p w14:paraId="5865319C" w14:textId="07B33AE1" w:rsidR="001713C9" w:rsidRPr="001713C9" w:rsidRDefault="001713C9" w:rsidP="00771503">
      <w:pPr>
        <w:pStyle w:val="TableFootnote"/>
        <w:sectPr w:rsidR="001713C9" w:rsidRPr="001713C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027BD4" w14:textId="1F080490" w:rsidR="00310970" w:rsidRDefault="00310970" w:rsidP="00310970">
      <w:pPr>
        <w:pStyle w:val="Heading2"/>
      </w:pPr>
      <w:bookmarkStart w:id="16" w:name="_Toc69801142"/>
      <w:r>
        <w:lastRenderedPageBreak/>
        <w:t xml:space="preserve">Demographics: </w:t>
      </w:r>
      <w:bookmarkEnd w:id="16"/>
      <w:r w:rsidR="004D603E" w:rsidRPr="000C3E50">
        <w:rPr>
          <w:noProof/>
          <w:szCs w:val="22"/>
        </w:rPr>
        <w:t>Intention-to-Treat Population</w:t>
      </w:r>
    </w:p>
    <w:p w14:paraId="57522C0B" w14:textId="44BBB006" w:rsidR="00CF45DC" w:rsidRPr="00491A0A" w:rsidRDefault="00CF45DC" w:rsidP="004D603E">
      <w:pPr>
        <w:spacing w:after="0" w:line="360" w:lineRule="auto"/>
        <w:rPr>
          <w:rFonts w:ascii="Times New Roman" w:hAnsi="Times New Roman"/>
          <w:b/>
          <w:bCs/>
        </w:rPr>
      </w:pPr>
      <w:r w:rsidRPr="00E26DBE">
        <w:rPr>
          <w:rFonts w:asciiTheme="minorHAnsi" w:hAnsiTheme="minorHAnsi" w:cstheme="minorHAnsi"/>
          <w:b/>
          <w:bCs/>
        </w:rPr>
        <w:t xml:space="preserve">Table </w:t>
      </w:r>
      <w:r w:rsidR="00F1038F" w:rsidRPr="00E26DBE">
        <w:rPr>
          <w:rFonts w:asciiTheme="minorHAnsi" w:hAnsiTheme="minorHAnsi" w:cstheme="minorHAnsi"/>
          <w:b/>
          <w:bCs/>
        </w:rPr>
        <w:t>S</w:t>
      </w:r>
      <w:r w:rsidR="00F1038F">
        <w:rPr>
          <w:rFonts w:asciiTheme="minorHAnsi" w:hAnsiTheme="minorHAnsi" w:cstheme="minorHAnsi"/>
          <w:b/>
          <w:bCs/>
        </w:rPr>
        <w:t>6</w:t>
      </w:r>
      <w:r w:rsidRPr="00E26DBE">
        <w:rPr>
          <w:rFonts w:asciiTheme="minorHAnsi" w:hAnsiTheme="minorHAnsi" w:cstheme="minorHAnsi"/>
          <w:b/>
          <w:bCs/>
        </w:rPr>
        <w:t>. Demographics and Baseline Characteristics (Intent</w:t>
      </w:r>
      <w:r w:rsidR="001B27C5">
        <w:rPr>
          <w:rFonts w:asciiTheme="minorHAnsi" w:hAnsiTheme="minorHAnsi" w:cstheme="minorHAnsi"/>
          <w:b/>
          <w:bCs/>
        </w:rPr>
        <w:t>ion</w:t>
      </w:r>
      <w:r w:rsidR="001B3ADB">
        <w:rPr>
          <w:rFonts w:asciiTheme="minorHAnsi" w:hAnsiTheme="minorHAnsi" w:cstheme="minorHAnsi"/>
          <w:b/>
          <w:bCs/>
        </w:rPr>
        <w:t>-</w:t>
      </w:r>
      <w:r w:rsidRPr="00E26DBE">
        <w:rPr>
          <w:rFonts w:asciiTheme="minorHAnsi" w:hAnsiTheme="minorHAnsi" w:cstheme="minorHAnsi"/>
          <w:b/>
          <w:bCs/>
        </w:rPr>
        <w:t>to</w:t>
      </w:r>
      <w:r w:rsidR="001B3ADB">
        <w:rPr>
          <w:rFonts w:asciiTheme="minorHAnsi" w:hAnsiTheme="minorHAnsi" w:cstheme="minorHAnsi"/>
          <w:b/>
          <w:bCs/>
        </w:rPr>
        <w:t>-</w:t>
      </w:r>
      <w:r w:rsidRPr="00E26DBE">
        <w:rPr>
          <w:rFonts w:asciiTheme="minorHAnsi" w:hAnsiTheme="minorHAnsi" w:cstheme="minorHAnsi"/>
          <w:b/>
          <w:bCs/>
        </w:rPr>
        <w:t>Treat Analysis Set)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340"/>
        <w:gridCol w:w="1530"/>
        <w:gridCol w:w="1525"/>
      </w:tblGrid>
      <w:tr w:rsidR="00CF45DC" w:rsidRPr="0080091B" w14:paraId="183007D6" w14:textId="77777777" w:rsidTr="00D95788">
        <w:tc>
          <w:tcPr>
            <w:tcW w:w="3955" w:type="dxa"/>
            <w:shd w:val="clear" w:color="auto" w:fill="auto"/>
            <w:vAlign w:val="center"/>
          </w:tcPr>
          <w:p w14:paraId="06707CD0" w14:textId="261E61D6" w:rsidR="00CF45DC" w:rsidRPr="00E26DBE" w:rsidRDefault="00D95788" w:rsidP="00D957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b/>
                <w:sz w:val="18"/>
                <w:szCs w:val="18"/>
              </w:rPr>
              <w:t>Parameter</w:t>
            </w:r>
          </w:p>
        </w:tc>
        <w:tc>
          <w:tcPr>
            <w:tcW w:w="2340" w:type="dxa"/>
            <w:shd w:val="clear" w:color="auto" w:fill="auto"/>
          </w:tcPr>
          <w:p w14:paraId="2470F0BC" w14:textId="6C444DCB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NVX-CoV2373 </w:t>
            </w:r>
          </w:p>
          <w:p w14:paraId="1BD0267A" w14:textId="452587A7" w:rsidR="00CF45DC" w:rsidRPr="00E26DBE" w:rsidRDefault="00D95788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CF45DC" w:rsidRPr="00E26DBE">
              <w:rPr>
                <w:rFonts w:asciiTheme="minorHAnsi" w:hAnsiTheme="minorHAnsi" w:cstheme="minorHAnsi"/>
                <w:b/>
                <w:sz w:val="18"/>
                <w:szCs w:val="18"/>
              </w:rPr>
              <w:t>=7569</w:t>
            </w:r>
          </w:p>
        </w:tc>
        <w:tc>
          <w:tcPr>
            <w:tcW w:w="1530" w:type="dxa"/>
            <w:shd w:val="clear" w:color="auto" w:fill="auto"/>
          </w:tcPr>
          <w:p w14:paraId="1B60E96B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b/>
                <w:sz w:val="18"/>
                <w:szCs w:val="18"/>
              </w:rPr>
              <w:t>Placebo</w:t>
            </w:r>
          </w:p>
          <w:p w14:paraId="6FE77234" w14:textId="51B18FF7" w:rsidR="00CF45DC" w:rsidRPr="00E26DBE" w:rsidRDefault="00D95788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CF45DC" w:rsidRPr="00E26DBE">
              <w:rPr>
                <w:rFonts w:asciiTheme="minorHAnsi" w:hAnsiTheme="minorHAnsi" w:cstheme="minorHAnsi"/>
                <w:b/>
                <w:sz w:val="18"/>
                <w:szCs w:val="18"/>
              </w:rPr>
              <w:t>=7570</w:t>
            </w:r>
          </w:p>
        </w:tc>
        <w:tc>
          <w:tcPr>
            <w:tcW w:w="1525" w:type="dxa"/>
            <w:shd w:val="clear" w:color="auto" w:fill="auto"/>
          </w:tcPr>
          <w:p w14:paraId="1D1527E8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  <w:p w14:paraId="4FA8C23A" w14:textId="756C9988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b/>
                <w:sz w:val="18"/>
                <w:szCs w:val="18"/>
              </w:rPr>
              <w:t>N=15</w:t>
            </w:r>
            <w:r w:rsidR="001B3ADB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26DBE">
              <w:rPr>
                <w:rFonts w:asciiTheme="minorHAnsi" w:hAnsiTheme="minorHAnsi" w:cstheme="minorHAnsi"/>
                <w:b/>
                <w:sz w:val="18"/>
                <w:szCs w:val="18"/>
              </w:rPr>
              <w:t>139</w:t>
            </w:r>
          </w:p>
        </w:tc>
      </w:tr>
      <w:tr w:rsidR="00CF45DC" w:rsidRPr="0080091B" w14:paraId="08DD6F2D" w14:textId="77777777" w:rsidTr="001713C9">
        <w:tc>
          <w:tcPr>
            <w:tcW w:w="3955" w:type="dxa"/>
          </w:tcPr>
          <w:p w14:paraId="05A94B47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Age, yr</w:t>
            </w:r>
          </w:p>
          <w:p w14:paraId="4AB98E8D" w14:textId="77777777" w:rsidR="00CF45DC" w:rsidRPr="00E26DBE" w:rsidRDefault="00CF45DC" w:rsidP="001713C9">
            <w:pPr>
              <w:spacing w:after="0" w:line="240" w:lineRule="auto"/>
              <w:ind w:left="158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Median</w:t>
            </w:r>
          </w:p>
          <w:p w14:paraId="1DA2DF50" w14:textId="7C42E9B0" w:rsidR="00CF45DC" w:rsidRPr="00E26DBE" w:rsidRDefault="00CF45DC" w:rsidP="00D95788">
            <w:pPr>
              <w:spacing w:after="0" w:line="240" w:lineRule="auto"/>
              <w:ind w:left="158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Range</w:t>
            </w:r>
          </w:p>
        </w:tc>
        <w:tc>
          <w:tcPr>
            <w:tcW w:w="2340" w:type="dxa"/>
          </w:tcPr>
          <w:p w14:paraId="0C5DCE11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B71907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55.0</w:t>
            </w:r>
          </w:p>
          <w:p w14:paraId="5C47D385" w14:textId="414C9CF8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18, 84</w:t>
            </w:r>
          </w:p>
        </w:tc>
        <w:tc>
          <w:tcPr>
            <w:tcW w:w="1530" w:type="dxa"/>
          </w:tcPr>
          <w:p w14:paraId="4A8A7513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BA38FD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55.0</w:t>
            </w:r>
          </w:p>
          <w:p w14:paraId="4F2908A4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18, 84</w:t>
            </w:r>
          </w:p>
        </w:tc>
        <w:tc>
          <w:tcPr>
            <w:tcW w:w="1525" w:type="dxa"/>
          </w:tcPr>
          <w:p w14:paraId="743D6766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B49C81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55.0</w:t>
            </w:r>
          </w:p>
          <w:p w14:paraId="15E4E2CC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18, 84</w:t>
            </w:r>
          </w:p>
        </w:tc>
      </w:tr>
      <w:tr w:rsidR="00CF45DC" w:rsidRPr="0080091B" w14:paraId="230E54B3" w14:textId="77777777" w:rsidTr="001713C9">
        <w:tc>
          <w:tcPr>
            <w:tcW w:w="3955" w:type="dxa"/>
          </w:tcPr>
          <w:p w14:paraId="31FEB444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Age group, n (%)</w:t>
            </w:r>
          </w:p>
          <w:p w14:paraId="135660E9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  18-64 yr</w:t>
            </w:r>
          </w:p>
          <w:p w14:paraId="73D073B4" w14:textId="624AE825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  ≥65 yr</w:t>
            </w:r>
          </w:p>
        </w:tc>
        <w:tc>
          <w:tcPr>
            <w:tcW w:w="2340" w:type="dxa"/>
          </w:tcPr>
          <w:p w14:paraId="1EF3AEEA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89F77E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5503 (72.7)</w:t>
            </w:r>
          </w:p>
          <w:p w14:paraId="18E83DE5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2066 (27.3)</w:t>
            </w:r>
          </w:p>
        </w:tc>
        <w:tc>
          <w:tcPr>
            <w:tcW w:w="1530" w:type="dxa"/>
          </w:tcPr>
          <w:p w14:paraId="209B389C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D777E8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5511 (72.8)</w:t>
            </w:r>
          </w:p>
          <w:p w14:paraId="4E200B2C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2059 (27.2)</w:t>
            </w:r>
          </w:p>
        </w:tc>
        <w:tc>
          <w:tcPr>
            <w:tcW w:w="1525" w:type="dxa"/>
          </w:tcPr>
          <w:p w14:paraId="3E59759F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02180D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11014 (72.8)</w:t>
            </w:r>
          </w:p>
          <w:p w14:paraId="3061628C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4125 (27.2)</w:t>
            </w:r>
          </w:p>
        </w:tc>
      </w:tr>
      <w:tr w:rsidR="00CF45DC" w:rsidRPr="0080091B" w14:paraId="709071C0" w14:textId="77777777" w:rsidTr="001713C9">
        <w:tc>
          <w:tcPr>
            <w:tcW w:w="3955" w:type="dxa"/>
          </w:tcPr>
          <w:p w14:paraId="77D42792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Sex, n (%)</w:t>
            </w:r>
          </w:p>
          <w:p w14:paraId="20FF165C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  Male</w:t>
            </w:r>
          </w:p>
          <w:p w14:paraId="750986E2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  Female</w:t>
            </w:r>
          </w:p>
        </w:tc>
        <w:tc>
          <w:tcPr>
            <w:tcW w:w="2340" w:type="dxa"/>
          </w:tcPr>
          <w:p w14:paraId="0988868A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9E081D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3890 (51.4)</w:t>
            </w:r>
          </w:p>
          <w:p w14:paraId="2AAA3247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3679 (48.6)</w:t>
            </w:r>
          </w:p>
        </w:tc>
        <w:tc>
          <w:tcPr>
            <w:tcW w:w="1530" w:type="dxa"/>
          </w:tcPr>
          <w:p w14:paraId="5E579D4A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3A155E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3918 (51.8)</w:t>
            </w:r>
          </w:p>
          <w:p w14:paraId="6952B028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3652 (48.2)</w:t>
            </w:r>
          </w:p>
        </w:tc>
        <w:tc>
          <w:tcPr>
            <w:tcW w:w="1525" w:type="dxa"/>
          </w:tcPr>
          <w:p w14:paraId="243CD5C9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E23F09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7808 (51.6)</w:t>
            </w:r>
          </w:p>
          <w:p w14:paraId="1E990CE5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7331 (48.4)</w:t>
            </w:r>
          </w:p>
        </w:tc>
      </w:tr>
      <w:tr w:rsidR="00CF45DC" w:rsidRPr="0080091B" w14:paraId="32E75407" w14:textId="77777777" w:rsidTr="001713C9">
        <w:tc>
          <w:tcPr>
            <w:tcW w:w="3955" w:type="dxa"/>
          </w:tcPr>
          <w:p w14:paraId="7068B44E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Race or ethnic group, n (%)</w:t>
            </w:r>
          </w:p>
          <w:p w14:paraId="7BDA015A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  White</w:t>
            </w:r>
          </w:p>
          <w:p w14:paraId="7572E4FC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  Black or African American</w:t>
            </w:r>
          </w:p>
          <w:p w14:paraId="53C78B29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  Asian</w:t>
            </w:r>
          </w:p>
          <w:p w14:paraId="2932883A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  American Indian or Alaska native</w:t>
            </w:r>
          </w:p>
          <w:p w14:paraId="12A0D4DE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  Native Hawaiian or other Pacific Islander </w:t>
            </w:r>
          </w:p>
          <w:p w14:paraId="3F12FA2D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  Multiple</w:t>
            </w:r>
          </w:p>
          <w:p w14:paraId="56146CA9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  Not reported</w:t>
            </w:r>
          </w:p>
          <w:p w14:paraId="689960D7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  Other</w:t>
            </w:r>
          </w:p>
          <w:p w14:paraId="5F2502F4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  Missing</w:t>
            </w:r>
          </w:p>
          <w:p w14:paraId="56741310" w14:textId="5D7E4B47" w:rsidR="00CF45DC" w:rsidRPr="00E26DBE" w:rsidRDefault="00CF45DC" w:rsidP="001713C9">
            <w:pPr>
              <w:spacing w:after="0" w:line="240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Hispanic or Latinx</w:t>
            </w:r>
          </w:p>
        </w:tc>
        <w:tc>
          <w:tcPr>
            <w:tcW w:w="2340" w:type="dxa"/>
          </w:tcPr>
          <w:p w14:paraId="3E0C235B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B52C07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7127 (94.2)</w:t>
            </w:r>
          </w:p>
          <w:p w14:paraId="2B66FDCF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31 (0.4)</w:t>
            </w:r>
          </w:p>
          <w:p w14:paraId="2923AC04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230 (3.0)</w:t>
            </w:r>
          </w:p>
          <w:p w14:paraId="588AE9AC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5 (&lt;0.1)</w:t>
            </w:r>
          </w:p>
          <w:p w14:paraId="64334B9E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1 (&lt;0.1)</w:t>
            </w:r>
          </w:p>
          <w:p w14:paraId="1EE8C7F7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75 (1.0)</w:t>
            </w:r>
          </w:p>
          <w:p w14:paraId="634C00DB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91 (1.2)</w:t>
            </w:r>
          </w:p>
          <w:p w14:paraId="75C9BF40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5 (&lt;0.1)</w:t>
            </w:r>
          </w:p>
          <w:p w14:paraId="57BAF774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28192A33" w14:textId="36270975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69 (0.9)</w:t>
            </w:r>
          </w:p>
        </w:tc>
        <w:tc>
          <w:tcPr>
            <w:tcW w:w="1530" w:type="dxa"/>
          </w:tcPr>
          <w:p w14:paraId="6874A1A5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6A1CD8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7153 (94.5)</w:t>
            </w:r>
          </w:p>
          <w:p w14:paraId="4AE16582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29 (0.4)</w:t>
            </w:r>
          </w:p>
          <w:p w14:paraId="43FFFA4D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232 (3.1)</w:t>
            </w:r>
          </w:p>
          <w:p w14:paraId="4E324027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  <w:p w14:paraId="78D3EC62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  <w:p w14:paraId="75207218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61 (0.8)</w:t>
            </w:r>
          </w:p>
          <w:p w14:paraId="78C604B7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85 (1.1)</w:t>
            </w:r>
          </w:p>
          <w:p w14:paraId="5FAFE660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6 (&lt;0.1)</w:t>
            </w:r>
          </w:p>
          <w:p w14:paraId="7A25E17D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69509077" w14:textId="399B271F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56 (0.7)</w:t>
            </w:r>
          </w:p>
        </w:tc>
        <w:tc>
          <w:tcPr>
            <w:tcW w:w="1525" w:type="dxa"/>
          </w:tcPr>
          <w:p w14:paraId="52C3268E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AB030F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14280 (94.3)</w:t>
            </w:r>
          </w:p>
          <w:p w14:paraId="72A11862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60 (0.4)</w:t>
            </w:r>
          </w:p>
          <w:p w14:paraId="293161D0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462 (3.1)</w:t>
            </w:r>
          </w:p>
          <w:p w14:paraId="668225ED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5 (&lt;0.1)</w:t>
            </w:r>
          </w:p>
          <w:p w14:paraId="29F5EC3C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1 (&lt;0.1</w:t>
            </w:r>
          </w:p>
          <w:p w14:paraId="5A748C4B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136 (0.9)</w:t>
            </w:r>
          </w:p>
          <w:p w14:paraId="4436F290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176 (1.2)</w:t>
            </w:r>
          </w:p>
          <w:p w14:paraId="0B044593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11 (&lt;0.1)</w:t>
            </w:r>
          </w:p>
          <w:p w14:paraId="3DEDC1EA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  <w:p w14:paraId="3C58BA14" w14:textId="5563BEAF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125 (0.8)</w:t>
            </w:r>
          </w:p>
        </w:tc>
      </w:tr>
      <w:tr w:rsidR="00CF45DC" w:rsidRPr="0080091B" w14:paraId="2CC1F59D" w14:textId="77777777" w:rsidTr="001713C9">
        <w:tc>
          <w:tcPr>
            <w:tcW w:w="3955" w:type="dxa"/>
          </w:tcPr>
          <w:p w14:paraId="6F8F644F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SARS-CoV-2 serostatus, n (%)</w:t>
            </w:r>
          </w:p>
          <w:p w14:paraId="6B082DBF" w14:textId="77777777" w:rsidR="00CF45DC" w:rsidRPr="00E26DBE" w:rsidRDefault="00CF45DC" w:rsidP="001713C9">
            <w:pPr>
              <w:spacing w:after="0" w:line="240" w:lineRule="auto"/>
              <w:ind w:left="158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Negative </w:t>
            </w:r>
          </w:p>
          <w:p w14:paraId="33CFECC0" w14:textId="77777777" w:rsidR="00CF45DC" w:rsidRPr="00E26DBE" w:rsidRDefault="00CF45DC" w:rsidP="001713C9">
            <w:pPr>
              <w:spacing w:after="0" w:line="240" w:lineRule="auto"/>
              <w:ind w:left="158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Positive</w:t>
            </w:r>
          </w:p>
          <w:p w14:paraId="4ABA5F09" w14:textId="77777777" w:rsidR="00CF45DC" w:rsidRPr="00E26DBE" w:rsidRDefault="00CF45DC" w:rsidP="001713C9">
            <w:pPr>
              <w:spacing w:after="0" w:line="240" w:lineRule="auto"/>
              <w:ind w:left="158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2340" w:type="dxa"/>
          </w:tcPr>
          <w:p w14:paraId="6ADCBB93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14F867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7180 (94.9) </w:t>
            </w:r>
          </w:p>
          <w:p w14:paraId="0C8A66F4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330 (4.4)</w:t>
            </w:r>
          </w:p>
          <w:p w14:paraId="349C68D2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1530" w:type="dxa"/>
          </w:tcPr>
          <w:p w14:paraId="6F6E1362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EA814C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7182 (94.9)</w:t>
            </w:r>
          </w:p>
          <w:p w14:paraId="7B6F339F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313 (4.1)</w:t>
            </w:r>
          </w:p>
          <w:p w14:paraId="741C5411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1525" w:type="dxa"/>
          </w:tcPr>
          <w:p w14:paraId="7DD2135F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3E25CF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14362 (94.9)</w:t>
            </w:r>
          </w:p>
          <w:p w14:paraId="0E3D719C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643 (4.2)</w:t>
            </w:r>
          </w:p>
          <w:p w14:paraId="663C2771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134</w:t>
            </w:r>
          </w:p>
        </w:tc>
      </w:tr>
      <w:tr w:rsidR="00CF45DC" w:rsidRPr="0080091B" w14:paraId="570B0388" w14:textId="77777777" w:rsidTr="001713C9">
        <w:tc>
          <w:tcPr>
            <w:tcW w:w="3955" w:type="dxa"/>
          </w:tcPr>
          <w:p w14:paraId="27F86087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BMI, kg/m</w:t>
            </w:r>
            <w:r w:rsidRPr="00E26DB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, n (%)</w:t>
            </w:r>
          </w:p>
          <w:p w14:paraId="7E9BE25F" w14:textId="6EB8C973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≥30.0: obese</w:t>
            </w:r>
          </w:p>
        </w:tc>
        <w:tc>
          <w:tcPr>
            <w:tcW w:w="2340" w:type="dxa"/>
          </w:tcPr>
          <w:p w14:paraId="77D5AB30" w14:textId="77777777" w:rsidR="00D95788" w:rsidRPr="00E26DBE" w:rsidRDefault="00D95788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C08167" w14:textId="084B0236" w:rsidR="00CF45DC" w:rsidRPr="00E26DBE" w:rsidRDefault="00CF45DC" w:rsidP="00D957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344 (4.5)</w:t>
            </w:r>
          </w:p>
        </w:tc>
        <w:tc>
          <w:tcPr>
            <w:tcW w:w="1530" w:type="dxa"/>
          </w:tcPr>
          <w:p w14:paraId="4E3D97DF" w14:textId="77777777" w:rsidR="00D95788" w:rsidRPr="00E26DBE" w:rsidRDefault="00D95788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84C6F5" w14:textId="015FB9EF" w:rsidR="00CF45DC" w:rsidRPr="00E26DBE" w:rsidRDefault="00CF45DC" w:rsidP="00D957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353 (4.7)</w:t>
            </w:r>
          </w:p>
        </w:tc>
        <w:tc>
          <w:tcPr>
            <w:tcW w:w="1525" w:type="dxa"/>
          </w:tcPr>
          <w:p w14:paraId="27E689B1" w14:textId="77777777" w:rsidR="00D95788" w:rsidRPr="00E26DBE" w:rsidRDefault="00D95788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D1648C" w14:textId="7A4443B6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697 (4.6)</w:t>
            </w:r>
          </w:p>
        </w:tc>
      </w:tr>
      <w:tr w:rsidR="00CF45DC" w:rsidRPr="0080091B" w14:paraId="1F8AA5B5" w14:textId="77777777" w:rsidTr="001713C9">
        <w:tc>
          <w:tcPr>
            <w:tcW w:w="3955" w:type="dxa"/>
          </w:tcPr>
          <w:p w14:paraId="5C936CD8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Comorbidity status* </w:t>
            </w:r>
          </w:p>
          <w:p w14:paraId="1EC37EA6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</w:p>
          <w:p w14:paraId="4CDE7A86" w14:textId="77777777" w:rsidR="00CF45DC" w:rsidRPr="00E26DBE" w:rsidRDefault="00CF45DC" w:rsidP="001713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  No</w:t>
            </w:r>
          </w:p>
        </w:tc>
        <w:tc>
          <w:tcPr>
            <w:tcW w:w="2340" w:type="dxa"/>
          </w:tcPr>
          <w:p w14:paraId="0E0F46D1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1C751F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3368 (44.5) </w:t>
            </w:r>
          </w:p>
          <w:p w14:paraId="0DC6251E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4201 (55.5)</w:t>
            </w:r>
          </w:p>
        </w:tc>
        <w:tc>
          <w:tcPr>
            <w:tcW w:w="1530" w:type="dxa"/>
          </w:tcPr>
          <w:p w14:paraId="058AB74F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A70926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3399 (44.9) </w:t>
            </w:r>
          </w:p>
          <w:p w14:paraId="6416BA2A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 xml:space="preserve">4171 (55.1) </w:t>
            </w:r>
          </w:p>
        </w:tc>
        <w:tc>
          <w:tcPr>
            <w:tcW w:w="1525" w:type="dxa"/>
          </w:tcPr>
          <w:p w14:paraId="56F0C269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5F1839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6767 (44.7)</w:t>
            </w:r>
          </w:p>
          <w:p w14:paraId="743139FD" w14:textId="77777777" w:rsidR="00CF45DC" w:rsidRPr="00E26DBE" w:rsidRDefault="00CF45DC" w:rsidP="001713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sz w:val="18"/>
                <w:szCs w:val="18"/>
              </w:rPr>
              <w:t>8372 (55.3)</w:t>
            </w:r>
          </w:p>
        </w:tc>
      </w:tr>
    </w:tbl>
    <w:p w14:paraId="2503E1E7" w14:textId="17078300" w:rsidR="00CF45DC" w:rsidRPr="00E26DBE" w:rsidRDefault="00CF45DC" w:rsidP="00CF45D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E26DBE">
        <w:rPr>
          <w:rFonts w:asciiTheme="minorHAnsi" w:hAnsiTheme="minorHAnsi" w:cstheme="minorHAnsi"/>
          <w:sz w:val="18"/>
          <w:szCs w:val="18"/>
        </w:rPr>
        <w:t>SD</w:t>
      </w:r>
      <w:r w:rsidR="001B3ADB">
        <w:rPr>
          <w:rFonts w:asciiTheme="minorHAnsi" w:hAnsiTheme="minorHAnsi" w:cstheme="minorHAnsi"/>
          <w:sz w:val="18"/>
          <w:szCs w:val="18"/>
        </w:rPr>
        <w:t xml:space="preserve"> </w:t>
      </w:r>
      <w:r w:rsidRPr="00E26DBE">
        <w:rPr>
          <w:rFonts w:asciiTheme="minorHAnsi" w:hAnsiTheme="minorHAnsi" w:cstheme="minorHAnsi"/>
          <w:sz w:val="18"/>
          <w:szCs w:val="18"/>
        </w:rPr>
        <w:t>=</w:t>
      </w:r>
      <w:r w:rsidR="001B3ADB">
        <w:rPr>
          <w:rFonts w:asciiTheme="minorHAnsi" w:hAnsiTheme="minorHAnsi" w:cstheme="minorHAnsi"/>
          <w:sz w:val="18"/>
          <w:szCs w:val="18"/>
        </w:rPr>
        <w:t xml:space="preserve"> </w:t>
      </w:r>
      <w:r w:rsidRPr="00E26DBE">
        <w:rPr>
          <w:rFonts w:asciiTheme="minorHAnsi" w:hAnsiTheme="minorHAnsi" w:cstheme="minorHAnsi"/>
          <w:sz w:val="18"/>
          <w:szCs w:val="18"/>
        </w:rPr>
        <w:t>standard deviation</w:t>
      </w:r>
      <w:r w:rsidR="001B3ADB">
        <w:rPr>
          <w:rFonts w:asciiTheme="minorHAnsi" w:hAnsiTheme="minorHAnsi" w:cstheme="minorHAnsi"/>
          <w:sz w:val="18"/>
          <w:szCs w:val="18"/>
        </w:rPr>
        <w:t>.</w:t>
      </w:r>
      <w:r w:rsidRPr="00E26DBE">
        <w:rPr>
          <w:rFonts w:asciiTheme="minorHAnsi" w:hAnsiTheme="minorHAnsi" w:cstheme="minorHAnsi"/>
          <w:sz w:val="18"/>
          <w:szCs w:val="18"/>
        </w:rPr>
        <w:t xml:space="preserve"> </w:t>
      </w:r>
      <w:r w:rsidR="001B3ADB">
        <w:rPr>
          <w:rFonts w:asciiTheme="minorHAnsi" w:hAnsiTheme="minorHAnsi" w:cstheme="minorHAnsi"/>
          <w:sz w:val="18"/>
          <w:szCs w:val="18"/>
        </w:rPr>
        <w:t>B</w:t>
      </w:r>
      <w:r w:rsidRPr="00E26DBE">
        <w:rPr>
          <w:rFonts w:asciiTheme="minorHAnsi" w:hAnsiTheme="minorHAnsi" w:cstheme="minorHAnsi"/>
          <w:sz w:val="18"/>
          <w:szCs w:val="18"/>
        </w:rPr>
        <w:t xml:space="preserve">ody mass index (BMI) is calculated as weight (kg) divided by squared height (m). </w:t>
      </w:r>
    </w:p>
    <w:p w14:paraId="20FE29E5" w14:textId="5480A600" w:rsidR="00CF45DC" w:rsidRPr="00E26DBE" w:rsidRDefault="00CF45DC" w:rsidP="00CF45D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E26DBE">
        <w:rPr>
          <w:rFonts w:asciiTheme="minorHAnsi" w:hAnsiTheme="minorHAnsi" w:cstheme="minorHAnsi"/>
          <w:sz w:val="18"/>
          <w:szCs w:val="18"/>
        </w:rPr>
        <w:t xml:space="preserve">Percentages are based on </w:t>
      </w:r>
      <w:r w:rsidR="001B3ADB" w:rsidRPr="00E26DBE">
        <w:rPr>
          <w:rFonts w:asciiTheme="minorHAnsi" w:hAnsiTheme="minorHAnsi" w:cstheme="minorHAnsi"/>
          <w:sz w:val="18"/>
          <w:szCs w:val="18"/>
        </w:rPr>
        <w:t xml:space="preserve">per-protocol efficacy analysis set </w:t>
      </w:r>
      <w:r w:rsidRPr="00E26DBE">
        <w:rPr>
          <w:rFonts w:asciiTheme="minorHAnsi" w:hAnsiTheme="minorHAnsi" w:cstheme="minorHAnsi"/>
          <w:sz w:val="18"/>
          <w:szCs w:val="18"/>
        </w:rPr>
        <w:t>within each treatment and overall.</w:t>
      </w:r>
    </w:p>
    <w:p w14:paraId="5199FAE6" w14:textId="77777777" w:rsidR="00CF45DC" w:rsidRPr="00E26DBE" w:rsidRDefault="00CF45DC" w:rsidP="00CF45D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E26DBE">
        <w:rPr>
          <w:rFonts w:asciiTheme="minorHAnsi" w:hAnsiTheme="minorHAnsi" w:cstheme="minorHAnsi"/>
          <w:sz w:val="18"/>
          <w:szCs w:val="18"/>
        </w:rPr>
        <w:t>*Comorbid subjects are those identified who have at least one of the comorbid conditions reported as a medical history or have a screening BMI value greater than 30 kg/m</w:t>
      </w:r>
      <w:r w:rsidRPr="00E26DBE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E26DBE">
        <w:rPr>
          <w:rFonts w:asciiTheme="minorHAnsi" w:hAnsiTheme="minorHAnsi" w:cstheme="minorHAnsi"/>
          <w:sz w:val="18"/>
          <w:szCs w:val="18"/>
        </w:rPr>
        <w:t>.</w:t>
      </w:r>
    </w:p>
    <w:p w14:paraId="1B3B390D" w14:textId="354A1666" w:rsidR="00CF45DC" w:rsidRPr="00E26DBE" w:rsidRDefault="00CF45DC" w:rsidP="00CF45D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320AA24" w14:textId="0D70DDA4" w:rsidR="0095595E" w:rsidRDefault="0095595E" w:rsidP="00CF45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DF38497" w14:textId="42326E8B" w:rsidR="0095595E" w:rsidRDefault="0095595E" w:rsidP="00CF45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8A0669D" w14:textId="77777777" w:rsidR="001B3ADB" w:rsidRDefault="001B3ADB">
      <w:pPr>
        <w:spacing w:after="16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14:paraId="23C7B499" w14:textId="10BAF275" w:rsidR="0095595E" w:rsidRPr="00E26DBE" w:rsidRDefault="0095595E" w:rsidP="00BE08F3">
      <w:pPr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E26DBE">
        <w:rPr>
          <w:rFonts w:asciiTheme="minorHAnsi" w:hAnsiTheme="minorHAnsi" w:cstheme="minorHAnsi"/>
          <w:b/>
          <w:bCs/>
          <w:szCs w:val="22"/>
        </w:rPr>
        <w:lastRenderedPageBreak/>
        <w:t xml:space="preserve">Table </w:t>
      </w:r>
      <w:r w:rsidR="00F1038F" w:rsidRPr="00E26DBE">
        <w:rPr>
          <w:rFonts w:asciiTheme="minorHAnsi" w:hAnsiTheme="minorHAnsi" w:cstheme="minorHAnsi"/>
          <w:b/>
          <w:bCs/>
          <w:szCs w:val="22"/>
        </w:rPr>
        <w:t>S</w:t>
      </w:r>
      <w:r w:rsidR="00F1038F">
        <w:rPr>
          <w:rFonts w:asciiTheme="minorHAnsi" w:hAnsiTheme="minorHAnsi" w:cstheme="minorHAnsi"/>
          <w:b/>
          <w:bCs/>
          <w:szCs w:val="22"/>
        </w:rPr>
        <w:t>7</w:t>
      </w:r>
      <w:r w:rsidR="001B3ADB">
        <w:rPr>
          <w:rFonts w:asciiTheme="minorHAnsi" w:hAnsiTheme="minorHAnsi" w:cstheme="minorHAnsi"/>
          <w:b/>
          <w:bCs/>
          <w:szCs w:val="22"/>
        </w:rPr>
        <w:t>.</w:t>
      </w:r>
      <w:r w:rsidRPr="00E26DBE">
        <w:rPr>
          <w:rFonts w:asciiTheme="minorHAnsi" w:hAnsiTheme="minorHAnsi" w:cstheme="minorHAnsi"/>
          <w:b/>
          <w:bCs/>
          <w:szCs w:val="22"/>
        </w:rPr>
        <w:t xml:space="preserve"> </w:t>
      </w:r>
      <w:r w:rsidR="00BE08F3" w:rsidRPr="00BE08F3">
        <w:rPr>
          <w:rFonts w:asciiTheme="minorHAnsi" w:hAnsiTheme="minorHAnsi" w:cstheme="minorHAnsi"/>
          <w:b/>
          <w:bCs/>
          <w:szCs w:val="22"/>
        </w:rPr>
        <w:t xml:space="preserve">Summary of Unsolicited Serious Treatment-Emergent Adverse Events </w:t>
      </w:r>
      <w:r w:rsidR="00BE08F3">
        <w:rPr>
          <w:rFonts w:asciiTheme="minorHAnsi" w:hAnsiTheme="minorHAnsi" w:cstheme="minorHAnsi"/>
          <w:b/>
          <w:bCs/>
          <w:szCs w:val="22"/>
        </w:rPr>
        <w:t>(</w:t>
      </w:r>
      <w:r w:rsidR="00BE08F3" w:rsidRPr="00BE08F3">
        <w:rPr>
          <w:rFonts w:asciiTheme="minorHAnsi" w:hAnsiTheme="minorHAnsi" w:cstheme="minorHAnsi"/>
          <w:b/>
          <w:bCs/>
          <w:szCs w:val="22"/>
        </w:rPr>
        <w:t>Safety Analysis Set</w:t>
      </w:r>
      <w:r w:rsidR="00BE08F3">
        <w:rPr>
          <w:rFonts w:asciiTheme="minorHAnsi" w:hAnsiTheme="minorHAnsi" w:cstheme="minorHAnsi"/>
          <w:b/>
          <w:bCs/>
          <w:szCs w:val="22"/>
        </w:rPr>
        <w:t>)</w:t>
      </w:r>
      <w:r w:rsidR="00BE08F3" w:rsidRPr="00BE08F3">
        <w:rPr>
          <w:rFonts w:asciiTheme="minorHAnsi" w:hAnsiTheme="minorHAnsi" w:cstheme="minorHAnsi"/>
          <w:b/>
          <w:bCs/>
          <w:szCs w:val="22"/>
        </w:rPr>
        <w:t xml:space="preserve">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F6247" w14:paraId="092618C2" w14:textId="77777777" w:rsidTr="00E26DBE">
        <w:tc>
          <w:tcPr>
            <w:tcW w:w="2337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14:paraId="2B0A8E7E" w14:textId="3F2ACEFF" w:rsidR="00CF6247" w:rsidRPr="00E26DBE" w:rsidRDefault="00CF6247" w:rsidP="00CF62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System Organ Class</w:t>
            </w:r>
            <w:r w:rsidRPr="00E26DB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  Preferred Term</w:t>
            </w:r>
            <w:r w:rsidRPr="00E26DB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    Severity</w:t>
            </w:r>
          </w:p>
        </w:tc>
        <w:tc>
          <w:tcPr>
            <w:tcW w:w="2337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14:paraId="4B2A6BA9" w14:textId="77777777" w:rsidR="00CF6247" w:rsidRPr="00E26DBE" w:rsidRDefault="00CF6247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NVX-CoV2373</w:t>
            </w:r>
          </w:p>
          <w:p w14:paraId="4F0938E3" w14:textId="41934E2A" w:rsidR="00CF6247" w:rsidRPr="00E26DBE" w:rsidRDefault="00CF6247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N=7569</w:t>
            </w:r>
            <w:r w:rsidRPr="00E26DB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n (%)</w:t>
            </w:r>
          </w:p>
        </w:tc>
        <w:tc>
          <w:tcPr>
            <w:tcW w:w="2338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14:paraId="2FD83063" w14:textId="7547CD4B" w:rsidR="00CF6247" w:rsidRPr="00E26DBE" w:rsidRDefault="00CF6247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Placebo</w:t>
            </w:r>
            <w:r w:rsidRPr="00E26DB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N=7570</w:t>
            </w:r>
            <w:r w:rsidRPr="00E26DB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n (%)</w:t>
            </w:r>
          </w:p>
        </w:tc>
        <w:tc>
          <w:tcPr>
            <w:tcW w:w="2338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14:paraId="13C50A3A" w14:textId="5E9B9F25" w:rsidR="00CF6247" w:rsidRPr="00E26DBE" w:rsidRDefault="00CF6247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Total</w:t>
            </w:r>
            <w:r w:rsidRPr="00E26DB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N=15139</w:t>
            </w:r>
            <w:r w:rsidRPr="00E26DB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n (%)</w:t>
            </w:r>
          </w:p>
        </w:tc>
      </w:tr>
      <w:tr w:rsidR="00803420" w14:paraId="7A9856E0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07B1C" w14:textId="64D17BAF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Any Serious TEAE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CF903A" w14:textId="5382E5B4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 ( 0.6)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DCDD9B" w14:textId="5FB31144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 ( 0.6)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2E69A9" w14:textId="73AA469A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 ( 0.6)</w:t>
            </w:r>
          </w:p>
        </w:tc>
      </w:tr>
      <w:tr w:rsidR="00803420" w14:paraId="62505AC0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9D173" w14:textId="7B914E43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Infections and infestations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F50F34" w14:textId="5B638958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552359" w14:textId="498F9B57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 ( 0.1)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39BE90" w14:textId="3683FB4E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 ( 0.1)</w:t>
            </w:r>
          </w:p>
        </w:tc>
      </w:tr>
      <w:tr w:rsidR="00803420" w14:paraId="713B87D3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659AE" w14:textId="061F3F60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="00692B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Covid-19</w:t>
            </w: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pneumonia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B518F" w14:textId="0D3EC94E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94C3A0" w14:textId="4BC0AA56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21A173" w14:textId="5133F1D6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(&lt;0.1)</w:t>
            </w:r>
          </w:p>
        </w:tc>
      </w:tr>
      <w:tr w:rsidR="00803420" w14:paraId="35945054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2B1E4" w14:textId="346764B0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Appendicitis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0F3BA3" w14:textId="5D63E52F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6FC4D0" w14:textId="560BE94C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DE4F48" w14:textId="3DC66289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(&lt;0.1)</w:t>
            </w:r>
          </w:p>
        </w:tc>
      </w:tr>
      <w:tr w:rsidR="00803420" w14:paraId="5A22B6EC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4D25D" w14:textId="5A1B650C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="00692B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Covid-19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072EAC" w14:textId="17C4BBBC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96641D" w14:textId="76AED315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8B6808" w14:textId="010EF619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</w:tr>
      <w:tr w:rsidR="00803420" w14:paraId="0533D59C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F3240" w14:textId="4CBAE03B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Pneumonia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37AD12" w14:textId="033E1ABD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F77410" w14:textId="5C641648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2C7290" w14:textId="50F6077F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</w:tr>
      <w:tr w:rsidR="00803420" w14:paraId="7F6563C7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B6047" w14:textId="214C646C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Appendicitis perforated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89534A" w14:textId="67005EC4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4D335F" w14:textId="09874140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B89628" w14:textId="181BC8D9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03A5B73C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69BB2" w14:textId="589610A6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Bacterial sepsis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1FC0D3" w14:textId="584207E8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352B3A" w14:textId="52838889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C84257" w14:textId="46A03F9F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65251AB2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79E87" w14:textId="2BAFFEAC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Diverticulitis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B983F3" w14:textId="6EC17069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07D21F" w14:textId="0E59A034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14EF17" w14:textId="4B71B150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6738057D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F66D1" w14:textId="5D464DF6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Epiglottitis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985CFA" w14:textId="73FD8B8D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33E92C" w14:textId="7D56D023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84E452" w14:textId="53B8A1FB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091B37EF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4F56D" w14:textId="254D6B6E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Gastroenteritis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284A71" w14:textId="12795958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BC7DA3" w14:textId="496FC7E1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2C8C9D" w14:textId="0DF1180B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12E65391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6DFE9" w14:textId="68D728E7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Intestinal gangrene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E8AADC" w14:textId="0D84CDBB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EFA320" w14:textId="21AAE46B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51B701" w14:textId="72FB3E10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73886983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0134F" w14:textId="3E09F041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Otitis externa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C18ED8" w14:textId="66F17360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91E9CF" w14:textId="61D3F0A0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C36F0F" w14:textId="47CC3D45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5F89BCDA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CBA09" w14:textId="118AEF27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Pharyngeal abscess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F9DE35" w14:textId="5A6EA43A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CE89AC" w14:textId="320B3FDA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844CF9" w14:textId="53514E19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147FEDA6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B6B26" w14:textId="176131B6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Postoperative wound infection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AA9234" w14:textId="11EDB479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B7C968" w14:textId="67FEF747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B65FA3" w14:textId="1D55FE8D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706ABED4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E7086" w14:textId="034772F4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Wound infection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3FACFC" w14:textId="2B96AEFB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DBED08" w14:textId="41592D4E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210933" w14:textId="4D89601C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6DAE3E67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DF2C9" w14:textId="6F5CC0BA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Injury, poisoning</w:t>
            </w:r>
            <w:r w:rsidR="001B27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and procedural complications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97FE6E" w14:textId="14254B31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 ( 0.1)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08B414" w14:textId="3BB65FCC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F12F3F" w14:textId="55155BF6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 ( 0.1)</w:t>
            </w:r>
          </w:p>
        </w:tc>
      </w:tr>
      <w:tr w:rsidR="00803420" w14:paraId="3BC51AD6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1E00A" w14:textId="586F00D1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Ankle fracture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7CB08F" w14:textId="6AE70E10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8E1805" w14:textId="2C929958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3C48E3" w14:textId="2F517C0A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(&lt;0.1)</w:t>
            </w:r>
          </w:p>
        </w:tc>
      </w:tr>
      <w:tr w:rsidR="00803420" w14:paraId="5362F736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1A8F6" w14:textId="635C8CC6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Femoral neck fracture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FBD9A8" w14:textId="18B90231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D9D846" w14:textId="6B252AC9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4AD1E4" w14:textId="46899974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(&lt;0.1)</w:t>
            </w:r>
          </w:p>
        </w:tc>
      </w:tr>
      <w:tr w:rsidR="00803420" w14:paraId="26C418FF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89B77" w14:textId="11E8139B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Cervical vertebral fracture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B0FD40" w14:textId="6255AA24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F0371A" w14:textId="73807E3C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7E926D" w14:textId="7C8712B0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464C6542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3320C" w14:textId="64E4E498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Fall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53A124" w14:textId="3C228265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59D76A" w14:textId="12F13B1B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A9E895" w14:textId="4B752930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76B37F96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50454" w14:textId="45F2438F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Femur fracture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03CF00" w14:textId="7A169831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290D97" w14:textId="4FD9886F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FB247D" w14:textId="6753F53F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2ABCC916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309CC" w14:textId="1AF45372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Intentional overdose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9B9993" w14:textId="2A3202EC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5F544D" w14:textId="5BA6EEA6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31D4C7" w14:textId="2E1E4B1F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73140682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C3734" w14:textId="5B349E8E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Joint dislocation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BEA14D" w14:textId="0CB39391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3EF7E4" w14:textId="6030DD51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B8B567" w14:textId="4DA75CBE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40BD8C61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0E1C8" w14:textId="289DC994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Limb injury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F281EF" w14:textId="484B0377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6F8437" w14:textId="00D0B7C3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301C61" w14:textId="62266AE9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46BF2608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B1BFB" w14:textId="76E059E3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Overdose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AD38D6" w14:textId="17E55EB1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6A3C9D" w14:textId="556E5E47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A428D4" w14:textId="0623A98E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18669722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4DAC9" w14:textId="212C654F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Poisoning deliberate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5A20F9" w14:textId="3F374E6F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AF9CAB" w14:textId="47C8BDC8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1A060B" w14:textId="7B258A1A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0ACFD766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5799A" w14:textId="6A300F96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Radius fracture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A706F9" w14:textId="50D2EF58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C36C60" w14:textId="4734D47E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218A9E" w14:textId="50C8B13A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46D3BBA1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668B58" w14:textId="3E43D48A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Skin laceration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FCA967" w14:textId="4B3D7D23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FBA6C4" w14:textId="10F67ABD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397894" w14:textId="5ACF6206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210F2429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70B3E" w14:textId="60F07750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Ulna fracture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C72349" w14:textId="041E30ED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A19895" w14:textId="1547A70D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679013" w14:textId="78E064FA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803420" w14:paraId="4E836F0E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C4A82" w14:textId="538EC10E" w:rsidR="00803420" w:rsidRPr="00E26DBE" w:rsidRDefault="00803420" w:rsidP="008034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Wrist fracture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034826" w14:textId="26912834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F3BB70" w14:textId="29C01EDF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6A8529" w14:textId="4A6D0B88" w:rsidR="00803420" w:rsidRPr="00E26DBE" w:rsidRDefault="0080342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3985D3DF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A34A4" w14:textId="6CC4DF63" w:rsidR="00040BD0" w:rsidRPr="00E26DBE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Cardiac disorders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722583" w14:textId="57BAD9EB" w:rsidR="00040BD0" w:rsidRPr="00E26DBE" w:rsidRDefault="00040BD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15D354" w14:textId="3646EE01" w:rsidR="00040BD0" w:rsidRPr="00E26DBE" w:rsidRDefault="00040BD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5914F6" w14:textId="5A2569D6" w:rsidR="00040BD0" w:rsidRPr="00E26DBE" w:rsidRDefault="00040BD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 (&lt;0.1)</w:t>
            </w:r>
          </w:p>
        </w:tc>
      </w:tr>
      <w:tr w:rsidR="00040BD0" w14:paraId="51ED2D0F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5AD7A" w14:textId="685A2FE6" w:rsidR="00040BD0" w:rsidRPr="00E26DBE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Atrioventricular block</w:t>
            </w: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  complete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0D0799" w14:textId="66EC7FBE" w:rsidR="00040BD0" w:rsidRPr="00E26DBE" w:rsidRDefault="00040BD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E9501A" w14:textId="19ED7929" w:rsidR="00040BD0" w:rsidRPr="00E26DBE" w:rsidRDefault="00040BD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B2AEEB" w14:textId="464DEB44" w:rsidR="00040BD0" w:rsidRPr="00E26DBE" w:rsidRDefault="00040BD0" w:rsidP="00E26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6D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</w:tr>
      <w:tr w:rsidR="00040BD0" w14:paraId="283EC095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58E70" w14:textId="36477395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Acute coronary syndrome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365CDE" w14:textId="6E29F9D6" w:rsidR="00040BD0" w:rsidRPr="006769B8" w:rsidRDefault="00040BD0" w:rsidP="00DE71CE">
            <w:pPr>
              <w:spacing w:after="0" w:line="240" w:lineRule="auto"/>
              <w:ind w:left="78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9585FE" w14:textId="5B62775C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4236D8" w14:textId="6B89DE8F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7AF9A945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49545" w14:textId="232C017F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Acute myocardial infarction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9F792C" w14:textId="6A422E31" w:rsidR="00040BD0" w:rsidRPr="006769B8" w:rsidRDefault="00040BD0" w:rsidP="00DE71CE">
            <w:pPr>
              <w:spacing w:after="0" w:line="240" w:lineRule="auto"/>
              <w:ind w:left="78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F83F43" w14:textId="07F2EB77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9FC29C" w14:textId="0D3FE9A8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6ADF648E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D53A6" w14:textId="67F39910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Angina pectoris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9EE69E" w14:textId="0743DC26" w:rsidR="00040BD0" w:rsidRPr="006769B8" w:rsidRDefault="00040BD0" w:rsidP="00DE71CE">
            <w:pPr>
              <w:spacing w:after="0" w:line="240" w:lineRule="auto"/>
              <w:ind w:left="78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0207AD" w14:textId="51614F68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ED4E3E" w14:textId="1D302C10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49507154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71251" w14:textId="5C172F23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Arrhythmia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C681DF" w14:textId="00783CF1" w:rsidR="00040BD0" w:rsidRPr="006769B8" w:rsidRDefault="00040BD0" w:rsidP="00DE71CE">
            <w:pPr>
              <w:spacing w:after="0" w:line="240" w:lineRule="auto"/>
              <w:ind w:left="78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7116B0" w14:textId="1FC69A42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802D23" w14:textId="21188C01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443EF47E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D749E" w14:textId="45BFBFEB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Atrial fibrillation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BFA88A" w14:textId="68326961" w:rsidR="00040BD0" w:rsidRPr="006769B8" w:rsidRDefault="00040BD0" w:rsidP="00DE71CE">
            <w:pPr>
              <w:spacing w:after="0" w:line="240" w:lineRule="auto"/>
              <w:ind w:left="78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B1997D" w14:textId="7101B003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5A24B4" w14:textId="68CA5401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536F4867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2E9FF" w14:textId="3505A060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Atrial flutter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F7B600" w14:textId="33E65FF0" w:rsidR="00040BD0" w:rsidRPr="006769B8" w:rsidRDefault="00040BD0" w:rsidP="00DE71CE">
            <w:pPr>
              <w:spacing w:after="0" w:line="240" w:lineRule="auto"/>
              <w:ind w:left="78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0DFA16" w14:textId="27FB4498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4000E7" w14:textId="6D833CDA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37F0F219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D88A0" w14:textId="5EC27BE4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Atrial tachycardia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DF48C7" w14:textId="6617CE0A" w:rsidR="00040BD0" w:rsidRPr="006769B8" w:rsidRDefault="00040BD0" w:rsidP="00DE71CE">
            <w:pPr>
              <w:spacing w:after="0" w:line="240" w:lineRule="auto"/>
              <w:ind w:left="78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F7CE4A" w14:textId="3A484B45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B1B81D" w14:textId="027C76A7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43310569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46231" w14:textId="001D7310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Cardiac failure acute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67D994" w14:textId="04D3D594" w:rsidR="00040BD0" w:rsidRPr="006769B8" w:rsidRDefault="00040BD0" w:rsidP="00DE71CE">
            <w:pPr>
              <w:spacing w:after="0" w:line="240" w:lineRule="auto"/>
              <w:ind w:left="78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12CC45" w14:textId="4DB53B0D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33542C" w14:textId="3CA730FC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006E786B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59D10" w14:textId="750EFD46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Myocardial infarction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D76859" w14:textId="5B175C71" w:rsidR="00040BD0" w:rsidRPr="006769B8" w:rsidRDefault="00040BD0" w:rsidP="00DE71CE">
            <w:pPr>
              <w:spacing w:after="0" w:line="240" w:lineRule="auto"/>
              <w:ind w:left="78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CAE9C9" w14:textId="2A423830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779A7C" w14:textId="49725ACF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24EDE04B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6D9E3" w14:textId="43129B14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Myocarditis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D19A20" w14:textId="3BD42CFA" w:rsidR="00040BD0" w:rsidRPr="006769B8" w:rsidRDefault="00040BD0" w:rsidP="00DE71CE">
            <w:pPr>
              <w:spacing w:after="0" w:line="240" w:lineRule="auto"/>
              <w:ind w:left="78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12B477" w14:textId="55CE3D13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A206DC" w14:textId="6409DBF7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1E8BC232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C14F2" w14:textId="6948794E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Palpitations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FC522B" w14:textId="1C6298BA" w:rsidR="00040BD0" w:rsidRPr="006769B8" w:rsidRDefault="00040BD0" w:rsidP="00DE71CE">
            <w:pPr>
              <w:spacing w:after="0" w:line="240" w:lineRule="auto"/>
              <w:ind w:left="78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E915AF" w14:textId="0D89E6EC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F1C126" w14:textId="7E6CACEB" w:rsidR="00040BD0" w:rsidRPr="006769B8" w:rsidRDefault="00040BD0" w:rsidP="00DE71CE">
            <w:pPr>
              <w:spacing w:after="0" w:line="240" w:lineRule="auto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108AF85E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E6E15" w14:textId="545A84A6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Neoplasms benign, malignant</w:t>
            </w:r>
            <w:r w:rsidR="001B27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and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unspecified (incl cysts and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polyps)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51F5FF" w14:textId="21EB334F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56ED5C" w14:textId="571C190B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DCC553" w14:textId="6BF98F70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(&lt;0.1)</w:t>
            </w:r>
          </w:p>
        </w:tc>
      </w:tr>
      <w:tr w:rsidR="00040BD0" w14:paraId="4BA7C7E5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01BCA" w14:textId="6000B0B9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Breast cancer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66F317" w14:textId="15889EEC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88A9F9" w14:textId="354584EC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ED8F86" w14:textId="47092C9F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</w:tr>
      <w:tr w:rsidR="00040BD0" w14:paraId="609CE13F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7C0EC" w14:textId="04F90800" w:rsidR="00040BD0" w:rsidRPr="006769B8" w:rsidRDefault="00040BD0" w:rsidP="001B27C5">
            <w:pPr>
              <w:spacing w:after="0" w:line="240" w:lineRule="auto"/>
              <w:ind w:left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Adenocarcinoma of </w:t>
            </w:r>
            <w:r w:rsidR="001B27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appendix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D0D10F" w14:textId="4ABA14C3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F1168C" w14:textId="5FBB504F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FADA7F" w14:textId="3004CDE0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1AB0FA0B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12614" w14:textId="435AE8C9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  Bladder cancer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4EA828" w14:textId="11A13BC4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95C6AB" w14:textId="717E9263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F37A8A" w14:textId="1FC2C50C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74D176CE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E787B" w14:textId="0E0E1230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Glioblastoma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40E3AB" w14:textId="4CDC7116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6B00EB" w14:textId="3FEB34EE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0F237F" w14:textId="3D5A636E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6C358737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92BD3" w14:textId="4FA54C0D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Intraductal proliferative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  breast lesion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23316A" w14:textId="13636771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2BA1B3" w14:textId="67840FEC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E722FA" w14:textId="5063C193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486A01B2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B9F84" w14:textId="1E061360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Lung neoplasm malignant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C380F7" w14:textId="6A21FDB9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3760DF" w14:textId="350F96B9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8BF605" w14:textId="3215FBFE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39176404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A51FE" w14:textId="10710F60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Ovarian cancer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583279" w14:textId="5C679005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952472" w14:textId="0C0CE7DC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A4171C" w14:textId="6627A6CE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33BE7620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C1286" w14:textId="18F2121E" w:rsidR="00040BD0" w:rsidRPr="006769B8" w:rsidRDefault="00040BD0" w:rsidP="001B27C5">
            <w:pPr>
              <w:spacing w:after="0" w:line="240" w:lineRule="auto"/>
              <w:ind w:left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Squamous cell carcinoma of</w:t>
            </w:r>
            <w:r w:rsidR="001B27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skin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1F815C" w14:textId="4F498704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B288BB" w14:textId="52CD77FF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342D65" w14:textId="2F815FC8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13B2607C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D5875" w14:textId="5DF84814" w:rsidR="00040BD0" w:rsidRPr="006769B8" w:rsidRDefault="00040BD0" w:rsidP="001B27C5">
            <w:pPr>
              <w:spacing w:after="0" w:line="240" w:lineRule="auto"/>
              <w:ind w:left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Squamous cell carcinoma of</w:t>
            </w:r>
            <w:r w:rsidR="001B27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 tongue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A7490A" w14:textId="05A1FA09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A9B185" w14:textId="3201EBEF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0BE739" w14:textId="0EC5004D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30386CA7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62DC9" w14:textId="43CFECD9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Nervous system disorders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676EA1" w14:textId="1ABE1953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0C0502" w14:textId="09DE4C7D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28F47F" w14:textId="302907E4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 (&lt;0.1)</w:t>
            </w:r>
          </w:p>
        </w:tc>
      </w:tr>
      <w:tr w:rsidR="00040BD0" w14:paraId="5033863A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DED1D" w14:textId="31207D50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Migraine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4E345F" w14:textId="4674247A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3BFB3F" w14:textId="70A841EC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229ED1" w14:textId="01F5E044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(&lt;0.1)</w:t>
            </w:r>
          </w:p>
        </w:tc>
      </w:tr>
      <w:tr w:rsidR="00040BD0" w14:paraId="1B125DD9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21A333" w14:textId="6B678189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Lumbar radiculopathy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7EAC5F" w14:textId="7CE15383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A7B857" w14:textId="6B4DB469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57B6F4" w14:textId="1F0F08AC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4CF06D9E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82484" w14:textId="1ECC70F3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Migraine with aura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6DD244" w14:textId="2415D22D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284D47" w14:textId="742CCF27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2956B7" w14:textId="7613FDF5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50E0FBAF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E10A0" w14:textId="78028454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Presyncope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C0A589" w14:textId="139B931D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9B69B0" w14:textId="5267781B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325483" w14:textId="667782F7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415714F2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58E22" w14:textId="11E831CC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Sciatica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8A61E8" w14:textId="13CB2073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DAB38F" w14:textId="72A89E3C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274A38" w14:textId="49CB686B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6715E66B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79AEA" w14:textId="19ADBD20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Transient ischemic attack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0ECC10" w14:textId="759A3829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B75F79" w14:textId="38697F58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D680BE" w14:textId="424735F3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39879DDF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DCDC2" w14:textId="052D6D99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Gastrointestinal disorders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DB82C3" w14:textId="3AD23B68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345346" w14:textId="2E3DE0CB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6B7580" w14:textId="16E5A7B0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(&lt;0.1)</w:t>
            </w:r>
          </w:p>
        </w:tc>
      </w:tr>
      <w:tr w:rsidR="00040BD0" w14:paraId="2E046DBE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346BF" w14:textId="035EB98C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Abdominal pain lower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0DF252" w14:textId="6400E295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15DA9A" w14:textId="11016D36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70233C" w14:textId="7EC7667D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2ED21436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35EEE" w14:textId="42B3BA41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Ascites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FD977F" w14:textId="03FD185F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A99E1B" w14:textId="1F9CB64D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2349C6" w14:textId="5A0A6DE1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32B7160E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710F8" w14:textId="7C3E22E9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Gastro</w:t>
            </w:r>
            <w:r w:rsidR="001B27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esophageal reflux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  disease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22E9BE" w14:textId="1EF10246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6DC403" w14:textId="1EF0EEBB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058474" w14:textId="1C03315C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3CBE9CA9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38798" w14:textId="41895D74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Intestinal perforation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A5B8F3" w14:textId="4DD30C79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B4F6F3" w14:textId="349255ED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72BCB8" w14:textId="6CF72203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0865B8CC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24330" w14:textId="5FE0C0C7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Obstructive pancreatitis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083C83" w14:textId="4C507D84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0650A5" w14:textId="46EC0805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50A8BA" w14:textId="67FC8433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5F09B375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2FDC5" w14:textId="5D68974E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Small intestinal obstruction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AE41AA" w14:textId="10817211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19DB17" w14:textId="5101AAC6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F6F45F" w14:textId="48015B66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2C11F209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38701" w14:textId="76CE36C2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Upper gastrointestinal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  hemorrhage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7F2CB2" w14:textId="11DDB6E8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E281E8" w14:textId="01BE9FA7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9E6192" w14:textId="08FF7415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0E4FA800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E862D" w14:textId="7E0E58BC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Renal and urinary disorders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8E7910" w14:textId="076F130B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C73973" w14:textId="4B3A5274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F3B410" w14:textId="177A1498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(&lt;0.1)</w:t>
            </w:r>
          </w:p>
        </w:tc>
      </w:tr>
      <w:tr w:rsidR="00040BD0" w14:paraId="218AB56F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C170C" w14:textId="4174C6A3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Acute kidney injury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2CDF08" w14:textId="37F536A1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750E2E" w14:textId="553D890A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AD9DC6" w14:textId="34BF3A92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</w:tr>
      <w:tr w:rsidR="00040BD0" w14:paraId="638C2541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C1416" w14:textId="2736C922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Nephrolithiasis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1B468B" w14:textId="7BCEEBE0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6DFEF7" w14:textId="4C3BD800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DB139D" w14:textId="2EDA59EF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3C3F6969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6409B" w14:textId="09B8E8D0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Urethral dilatation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D945C4" w14:textId="15C835E0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56204F" w14:textId="3CC7A2B3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2241B5" w14:textId="51B97C13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7B0E514B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8EB9A" w14:textId="53D9D6F1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Urinary retention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B34BF6" w14:textId="6717C6EC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75EE1E" w14:textId="163730BE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3CAEE4" w14:textId="5E5596CE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647166DD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B0E32" w14:textId="65224376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Metabolism and nutrition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disorders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2C6E4F" w14:textId="6E82F2BC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908485" w14:textId="30A71394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38C884" w14:textId="14A6E338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(&lt;0.1)</w:t>
            </w:r>
          </w:p>
        </w:tc>
      </w:tr>
      <w:tr w:rsidR="00040BD0" w14:paraId="2AFDBEDC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8BE03" w14:textId="616795A3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Dehydration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EE42E6" w14:textId="5DE47431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8921CF" w14:textId="204A5DCF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E2DB24" w14:textId="5FFD9827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5AC97071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8CAE4" w14:textId="1EC2F4B9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Diabetic ketoacidosis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6C592E" w14:textId="38332DE8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A61712" w14:textId="1E74E8D0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CFF3D2" w14:textId="06142AA3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1BBB1E9E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1DE00" w14:textId="4EB47619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Diabetic ketosis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4E95F1" w14:textId="7C237079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DB26A1" w14:textId="769ED886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65AD6E" w14:textId="46E59593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040BD0" w14:paraId="0567ACB8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40982" w14:textId="6017A2E4" w:rsidR="00040BD0" w:rsidRPr="006769B8" w:rsidRDefault="00040BD0" w:rsidP="00040B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Hypoalbuminemia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CD791A" w14:textId="779BDF81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AB88C0" w14:textId="31DA4D94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AA1154" w14:textId="1EDEE808" w:rsidR="00040BD0" w:rsidRPr="006769B8" w:rsidRDefault="00040BD0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38EC8E94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59D1E" w14:textId="05D0ECC2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Respiratory, thoracic</w:t>
            </w:r>
            <w:r w:rsidR="001B27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and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mediastinal disorders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493348" w14:textId="6DFA87E2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413184" w14:textId="3F3BCFC1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155F0E" w14:textId="749DF341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(&lt;0.1)</w:t>
            </w:r>
          </w:p>
        </w:tc>
      </w:tr>
      <w:tr w:rsidR="00E26DBE" w14:paraId="6AE016AC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64CA8" w14:textId="6A8A0424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Pulmonary embolism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07B659" w14:textId="4BCDB8E9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EB750F" w14:textId="2E3BA8B3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F69C8A" w14:textId="41C39DA4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(&lt;0.1)</w:t>
            </w:r>
          </w:p>
        </w:tc>
      </w:tr>
      <w:tr w:rsidR="00E26DBE" w14:paraId="432F2C07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69511" w14:textId="0883626A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Epistaxis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21801F" w14:textId="33633B13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3D0207" w14:textId="00DE1515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837512" w14:textId="62DB7D8D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2C78372E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09630" w14:textId="19F76B34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Blood and lymphatic system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disorders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DEA526" w14:textId="43D8756B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728A6F" w14:textId="621D674E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357FE4" w14:textId="1D110895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(&lt;0.1)</w:t>
            </w:r>
          </w:p>
        </w:tc>
      </w:tr>
      <w:tr w:rsidR="00E26DBE" w14:paraId="6793A0D3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DEF67" w14:textId="3B177F7B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Anemia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163330" w14:textId="0BF767E4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B67A27" w14:textId="2D5951FF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78E91D" w14:textId="56AB7801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3F638374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9EAEB" w14:textId="18331310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Hemolytic anemia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45F29E" w14:textId="0C0EF1A6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79688C" w14:textId="3459202F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AC91D5" w14:textId="5A346B5D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32C60BF9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D1DC4" w14:textId="7A6F0EAC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Iron deficiency anemia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3BBB72" w14:textId="47FC9DE2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92FD0D" w14:textId="4141CF07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02A022" w14:textId="14B016EA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2FFE3F1E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9E6FA" w14:textId="1A9D4AF8" w:rsidR="00E26DBE" w:rsidRPr="006769B8" w:rsidRDefault="00E26DBE" w:rsidP="001B27C5">
            <w:pPr>
              <w:spacing w:after="0" w:line="240" w:lineRule="auto"/>
              <w:ind w:left="150" w:hanging="150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General disorders and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administration site </w:t>
            </w:r>
            <w:r w:rsidR="001B27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conditions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0F02ED" w14:textId="397832F1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F00C78" w14:textId="534723A3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1B57A6" w14:textId="6B2F071E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</w:tr>
      <w:tr w:rsidR="00E26DBE" w14:paraId="02C64CA5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5B631" w14:textId="0631011D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Mass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9B50B0" w14:textId="210468B7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735671" w14:textId="4131EA47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C7F31C" w14:textId="32F58FAB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7BF6157D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FFA9D" w14:textId="11955FDA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Non-cardiac chest pain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AE4528" w14:textId="2A8AE1AC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9FED90" w14:textId="2D005528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69ABF2" w14:textId="00CFB8ED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3C4163D5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59F30" w14:textId="5B82EFA7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Hepatobiliary disorders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08D4E0" w14:textId="4930B8FA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DB4016" w14:textId="6D352A75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365401" w14:textId="2BAAA9F7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</w:tr>
      <w:tr w:rsidR="00E26DBE" w14:paraId="6D865518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0A191" w14:textId="4D472C17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Cholecystitis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A2EEC0" w14:textId="3E735382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AE02A2" w14:textId="6957844E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A7D440" w14:textId="5D7B9B9F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7229A6BD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C8DCA" w14:textId="6A0E0331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Liver injury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183874" w14:textId="369D663D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3A8B37" w14:textId="4F67FA2A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FB84FC" w14:textId="62F50C73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2DCA282E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FA91C" w14:textId="3A6F7CFB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Reproductive system and breast</w:t>
            </w:r>
            <w:r w:rsidR="001B27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disorders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87592F" w14:textId="1D0917CD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753AE4" w14:textId="00E2D111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60F601" w14:textId="187B387E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</w:tr>
      <w:tr w:rsidR="00E26DBE" w14:paraId="77B71D08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8E4F2" w14:textId="4A32FFE8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Endometriosis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D3D474" w14:textId="21904D39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8A5D59" w14:textId="37EF4F16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2C1F3C" w14:textId="72B9CE7D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56310753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A4F52" w14:textId="5D3386E5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  Vaginal prolapse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E1C5D8" w14:textId="1CCAF834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6FCD22" w14:textId="31A0A3C8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1D46C7" w14:textId="7AB7EEAB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0E13ABE6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A84F8" w14:textId="39FB1760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Vascular disorders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2BCECB" w14:textId="70BC9371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A9447E" w14:textId="0D714087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B594A0" w14:textId="4CC532DD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</w:tr>
      <w:tr w:rsidR="00E26DBE" w14:paraId="26627A39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26724" w14:textId="443D2E7D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Hypertension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B9FF4" w14:textId="7A2D41F4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B41F3E" w14:textId="354837F6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1F71ED" w14:textId="2E9797D5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4371FBBA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0C8C3" w14:textId="621A863E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Peripheral ischemia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2B2E2" w14:textId="4739FFF9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058454" w14:textId="171DD744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B29104" w14:textId="6ED7FD14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678E8D31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34BD3" w14:textId="6FFD97A8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Investigations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E0B025" w14:textId="6EB004B6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D27B20" w14:textId="71B19D8B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A1B84" w14:textId="45F5DF32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715AAAA4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A8270" w14:textId="04806B31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Blood pressure systolic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  increased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7ABC29" w14:textId="4D9CEB1A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913095" w14:textId="17F4160C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01AD1B" w14:textId="09FE766C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4482861F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04189" w14:textId="170FABEB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Musculoskeletal and connective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tissue disorders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9F10E4" w14:textId="4F431DED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57D8CA" w14:textId="5CDFF8D8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248EAD" w14:textId="175A57F4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2E2AC984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38B35" w14:textId="7FECEB2D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Osteoarthritis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202ADA" w14:textId="3F071EC0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18A251" w14:textId="0F3379E7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17F550" w14:textId="44D857B4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21D55CEB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B1A2E" w14:textId="2E9CE94B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Pregnancy, puerperium</w:t>
            </w:r>
            <w:r w:rsidR="001B27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and</w:t>
            </w: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perinatal conditions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9832F3" w14:textId="32B38ED9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E75EC1" w14:textId="2D7BF07A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2B0116" w14:textId="06C54367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0AC6F626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CDCF8" w14:textId="58B77A0B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Abortion spontaneous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C5BEA1" w14:textId="11D1D79C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2F0A98" w14:textId="3A492675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B64D79" w14:textId="2355257B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17DF79E7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130F3" w14:textId="5D14E396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Surgical and medical procedures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7FB1CB" w14:textId="056BE3C3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D49895" w14:textId="170D6365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EE4BD1" w14:textId="77AACBF7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2FFC9C2F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058EA" w14:textId="6E5FBE5C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Cholecystectomy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3FBF1B" w14:textId="6A16C488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93652F" w14:textId="067E9204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9DACD8" w14:textId="40B4598D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</w:tr>
      <w:tr w:rsidR="00E26DBE" w14:paraId="2D910B87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65D12" w14:textId="3E1AAC79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UNCODED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8D2AE5" w14:textId="20576BA9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B3653D" w14:textId="54C9F3BB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(&lt;0.1)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3FAB08" w14:textId="629835C2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769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(&lt;0.1)</w:t>
            </w:r>
          </w:p>
        </w:tc>
      </w:tr>
      <w:tr w:rsidR="00E26DBE" w14:paraId="1DD205E0" w14:textId="77777777" w:rsidTr="00E26DB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07E02" w14:textId="6560E689" w:rsidR="00E26DBE" w:rsidRPr="006769B8" w:rsidRDefault="00E26DBE" w:rsidP="00E26D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7EF601" w14:textId="7374DD76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B07821" w14:textId="4AD1F370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FD55D0" w14:textId="54AEA3E2" w:rsidR="00E26DBE" w:rsidRPr="006769B8" w:rsidRDefault="00E26DBE" w:rsidP="00676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1D23F02" w14:textId="747E9154" w:rsidR="0095595E" w:rsidRPr="001B27C5" w:rsidRDefault="00E26DBE" w:rsidP="00CF45D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B27C5">
        <w:rPr>
          <w:rFonts w:asciiTheme="minorHAnsi" w:hAnsiTheme="minorHAnsi" w:cstheme="minorHAnsi"/>
          <w:sz w:val="18"/>
          <w:szCs w:val="18"/>
        </w:rPr>
        <w:t xml:space="preserve">Vaccination Dose 1 includes </w:t>
      </w:r>
      <w:r w:rsidR="001B27C5">
        <w:rPr>
          <w:rFonts w:asciiTheme="minorHAnsi" w:hAnsiTheme="minorHAnsi" w:cstheme="minorHAnsi"/>
          <w:sz w:val="18"/>
          <w:szCs w:val="18"/>
        </w:rPr>
        <w:t>s</w:t>
      </w:r>
      <w:r w:rsidRPr="001B27C5">
        <w:rPr>
          <w:rFonts w:asciiTheme="minorHAnsi" w:hAnsiTheme="minorHAnsi" w:cstheme="minorHAnsi"/>
          <w:sz w:val="18"/>
          <w:szCs w:val="18"/>
        </w:rPr>
        <w:t xml:space="preserve">erious TEAE with start date on or after first vaccination dose to end of study or second vaccination dose, whichever occurs earlier. Vaccination Dose 2 includes </w:t>
      </w:r>
      <w:r w:rsidR="001B27C5">
        <w:rPr>
          <w:rFonts w:asciiTheme="minorHAnsi" w:hAnsiTheme="minorHAnsi" w:cstheme="minorHAnsi"/>
          <w:sz w:val="18"/>
          <w:szCs w:val="18"/>
        </w:rPr>
        <w:t>s</w:t>
      </w:r>
      <w:r w:rsidRPr="001B27C5">
        <w:rPr>
          <w:rFonts w:asciiTheme="minorHAnsi" w:hAnsiTheme="minorHAnsi" w:cstheme="minorHAnsi"/>
          <w:sz w:val="18"/>
          <w:szCs w:val="18"/>
        </w:rPr>
        <w:t xml:space="preserve">erious TEAE with start date on or after second vaccination dose to end of study. Overall includes TEAE recorded during the entire study duration. If any solicited AE extended beyond 6 days after vaccination (toxicity grade </w:t>
      </w:r>
      <w:r w:rsidR="001B27C5">
        <w:rPr>
          <w:rFonts w:asciiTheme="minorHAnsi" w:hAnsiTheme="minorHAnsi" w:cstheme="minorHAnsi"/>
          <w:sz w:val="18"/>
          <w:szCs w:val="18"/>
        </w:rPr>
        <w:t>≥</w:t>
      </w:r>
      <w:r w:rsidRPr="001B27C5">
        <w:rPr>
          <w:rFonts w:asciiTheme="minorHAnsi" w:hAnsiTheme="minorHAnsi" w:cstheme="minorHAnsi"/>
          <w:sz w:val="18"/>
          <w:szCs w:val="18"/>
        </w:rPr>
        <w:t>1), then it is recorded as an unsolicited AE with the start date the 7th day following the relevant study vaccination and followed to resolution.</w:t>
      </w:r>
    </w:p>
    <w:p w14:paraId="03A23809" w14:textId="3320AB60" w:rsidR="00E26DBE" w:rsidRPr="001B27C5" w:rsidRDefault="00E26DBE" w:rsidP="00CF45D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B27C5">
        <w:rPr>
          <w:rFonts w:asciiTheme="minorHAnsi" w:hAnsiTheme="minorHAnsi" w:cstheme="minorHAnsi"/>
          <w:sz w:val="18"/>
          <w:szCs w:val="18"/>
        </w:rPr>
        <w:t>n represents the number of subjects at each level of summari</w:t>
      </w:r>
      <w:r w:rsidR="001B27C5">
        <w:rPr>
          <w:rFonts w:asciiTheme="minorHAnsi" w:hAnsiTheme="minorHAnsi" w:cstheme="minorHAnsi"/>
          <w:sz w:val="18"/>
          <w:szCs w:val="18"/>
        </w:rPr>
        <w:t>z</w:t>
      </w:r>
      <w:r w:rsidRPr="001B27C5">
        <w:rPr>
          <w:rFonts w:asciiTheme="minorHAnsi" w:hAnsiTheme="minorHAnsi" w:cstheme="minorHAnsi"/>
          <w:sz w:val="18"/>
          <w:szCs w:val="18"/>
        </w:rPr>
        <w:t xml:space="preserve">ation. Percentages are based on the number of subjects in the </w:t>
      </w:r>
      <w:r w:rsidR="001B27C5" w:rsidRPr="001B27C5">
        <w:rPr>
          <w:rFonts w:asciiTheme="minorHAnsi" w:hAnsiTheme="minorHAnsi" w:cstheme="minorHAnsi"/>
          <w:sz w:val="18"/>
          <w:szCs w:val="18"/>
        </w:rPr>
        <w:t xml:space="preserve">safety analysis set </w:t>
      </w:r>
      <w:r w:rsidRPr="001B27C5">
        <w:rPr>
          <w:rFonts w:asciiTheme="minorHAnsi" w:hAnsiTheme="minorHAnsi" w:cstheme="minorHAnsi"/>
          <w:sz w:val="18"/>
          <w:szCs w:val="18"/>
        </w:rPr>
        <w:t xml:space="preserve">within each treatment and total.  </w:t>
      </w:r>
    </w:p>
    <w:p w14:paraId="24BE6FF7" w14:textId="54EEC344" w:rsidR="00E26DBE" w:rsidRPr="001B27C5" w:rsidRDefault="00E26DBE" w:rsidP="00CF45D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B27C5">
        <w:rPr>
          <w:rFonts w:asciiTheme="minorHAnsi" w:hAnsiTheme="minorHAnsi" w:cstheme="minorHAnsi"/>
          <w:sz w:val="18"/>
          <w:szCs w:val="18"/>
        </w:rPr>
        <w:t xml:space="preserve">SAEs were coded using MedDRA, </w:t>
      </w:r>
      <w:r w:rsidR="001B27C5">
        <w:rPr>
          <w:rFonts w:asciiTheme="minorHAnsi" w:hAnsiTheme="minorHAnsi" w:cstheme="minorHAnsi"/>
          <w:sz w:val="18"/>
          <w:szCs w:val="18"/>
        </w:rPr>
        <w:t>v</w:t>
      </w:r>
      <w:r w:rsidRPr="001B27C5">
        <w:rPr>
          <w:rFonts w:asciiTheme="minorHAnsi" w:hAnsiTheme="minorHAnsi" w:cstheme="minorHAnsi"/>
          <w:sz w:val="18"/>
          <w:szCs w:val="18"/>
        </w:rPr>
        <w:t xml:space="preserve">ersion 23.1. </w:t>
      </w:r>
    </w:p>
    <w:p w14:paraId="21F3B7D5" w14:textId="77F87660" w:rsidR="00E26DBE" w:rsidRPr="001B27C5" w:rsidRDefault="00E26DBE" w:rsidP="00CF45D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B27C5">
        <w:rPr>
          <w:rFonts w:asciiTheme="minorHAnsi" w:hAnsiTheme="minorHAnsi" w:cstheme="minorHAnsi"/>
          <w:sz w:val="18"/>
          <w:szCs w:val="18"/>
        </w:rPr>
        <w:t xml:space="preserve">System organ class is displayed in descending order of frequency for the total column and then alphabetically.  </w:t>
      </w:r>
    </w:p>
    <w:p w14:paraId="00AA50D2" w14:textId="77777777" w:rsidR="00E26DBE" w:rsidRPr="001B27C5" w:rsidRDefault="00E26DBE" w:rsidP="00CF45D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B27C5">
        <w:rPr>
          <w:rFonts w:asciiTheme="minorHAnsi" w:hAnsiTheme="minorHAnsi" w:cstheme="minorHAnsi"/>
          <w:sz w:val="18"/>
          <w:szCs w:val="18"/>
        </w:rPr>
        <w:t xml:space="preserve">Within class, preferred term is displayed in descending order of frequency for total and then alphabetically. </w:t>
      </w:r>
    </w:p>
    <w:p w14:paraId="11E232B2" w14:textId="172A1548" w:rsidR="00E26DBE" w:rsidRPr="001B27C5" w:rsidRDefault="00E26DBE" w:rsidP="00CF45D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0123419" w14:textId="0D2F9828" w:rsidR="7DF5C7C6" w:rsidRDefault="7DF5C7C6" w:rsidP="7DF5C7C6">
      <w:pPr>
        <w:spacing w:after="0" w:line="240" w:lineRule="auto"/>
        <w:rPr>
          <w:sz w:val="18"/>
          <w:szCs w:val="18"/>
        </w:rPr>
      </w:pPr>
    </w:p>
    <w:p w14:paraId="413403A4" w14:textId="17D5C6E9" w:rsidR="00DA4F61" w:rsidRPr="005A2207" w:rsidRDefault="00DA4F61" w:rsidP="005A2207">
      <w:pPr>
        <w:pStyle w:val="DocumentText"/>
        <w:rPr>
          <w:i/>
          <w:iCs/>
        </w:rPr>
      </w:pPr>
      <w:r w:rsidRPr="005A2207">
        <w:rPr>
          <w:i/>
          <w:iCs/>
        </w:rPr>
        <w:t>B1.1.1.7 Variant</w:t>
      </w:r>
    </w:p>
    <w:p w14:paraId="3BCCAEA8" w14:textId="1F62E53F" w:rsidR="00C9024E" w:rsidRDefault="00C9024E" w:rsidP="0067791B">
      <w:pPr>
        <w:pStyle w:val="DocumentText"/>
      </w:pPr>
      <w:r>
        <w:t xml:space="preserve">The B.1.1.7 variant was first detected in </w:t>
      </w:r>
      <w:r w:rsidR="5FAED419">
        <w:t>the UK</w:t>
      </w:r>
      <w:r>
        <w:t xml:space="preserve"> in September 2020 and has since been found in more than 100 countries. It has 23 mutations in its genetic code; some of these changes have increased its ability to spread. It is estimated that the B.1.1.7 variant is 40%</w:t>
      </w:r>
      <w:r w:rsidR="00B064B4">
        <w:t xml:space="preserve"> to </w:t>
      </w:r>
      <w:r>
        <w:t>70% more transmissible than previously dominant circulating coronavirus variants</w:t>
      </w:r>
      <w:r w:rsidR="00B064B4">
        <w:t>.</w:t>
      </w:r>
      <w:r w:rsidR="00B064B4" w:rsidRPr="00B064B4">
        <w:rPr>
          <w:vertAlign w:val="superscript"/>
        </w:rPr>
        <w:t>2</w:t>
      </w:r>
      <w:r>
        <w:t xml:space="preserve"> Figure S1 shows the growth of the B.1.1.7 variant over the course of the current study in the UK.</w:t>
      </w:r>
    </w:p>
    <w:p w14:paraId="3C49B65B" w14:textId="6D5FF455" w:rsidR="0067791B" w:rsidRPr="003310B6" w:rsidRDefault="00B064B4" w:rsidP="0067791B">
      <w:pPr>
        <w:pStyle w:val="DocumentTex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FCE51" wp14:editId="71D8B205">
                <wp:simplePos x="0" y="0"/>
                <wp:positionH relativeFrom="margin">
                  <wp:posOffset>1609725</wp:posOffset>
                </wp:positionH>
                <wp:positionV relativeFrom="paragraph">
                  <wp:posOffset>333375</wp:posOffset>
                </wp:positionV>
                <wp:extent cx="2981325" cy="3905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F1D8E" w14:textId="5AE37358" w:rsidR="00440F3D" w:rsidRDefault="00440F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FCE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75pt;margin-top:26.25pt;width:234.7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" fillcolor="white [3212]" strokecolor="white [3212]">
                <v:textbox>
                  <w:txbxContent>
                    <w:p w14:paraId="4BCF1D8E" w14:textId="5AE37358" w:rsidR="00440F3D" w:rsidRDefault="00440F3D"/>
                  </w:txbxContent>
                </v:textbox>
                <w10:wrap anchorx="margin"/>
              </v:shape>
            </w:pict>
          </mc:Fallback>
        </mc:AlternateContent>
      </w:r>
      <w:r w:rsidR="63172A2F" w:rsidRPr="00B064B4">
        <w:rPr>
          <w:b/>
          <w:bCs/>
        </w:rPr>
        <w:t>Figure</w:t>
      </w:r>
      <w:r w:rsidR="3F3DBC87" w:rsidRPr="00B064B4">
        <w:rPr>
          <w:b/>
          <w:bCs/>
        </w:rPr>
        <w:t xml:space="preserve"> S1</w:t>
      </w:r>
      <w:r w:rsidRPr="00B064B4">
        <w:rPr>
          <w:b/>
          <w:bCs/>
        </w:rPr>
        <w:t>.</w:t>
      </w:r>
      <w:r w:rsidR="0A213939" w:rsidRPr="00B064B4">
        <w:rPr>
          <w:b/>
          <w:bCs/>
        </w:rPr>
        <w:t xml:space="preserve"> Evolution of </w:t>
      </w:r>
      <w:r w:rsidR="00692B8E" w:rsidRPr="00B064B4">
        <w:rPr>
          <w:b/>
          <w:bCs/>
        </w:rPr>
        <w:t>Covid-19</w:t>
      </w:r>
      <w:r w:rsidR="0A213939" w:rsidRPr="00B064B4">
        <w:rPr>
          <w:b/>
          <w:bCs/>
        </w:rPr>
        <w:t xml:space="preserve"> Variants During the Endpoint Period</w:t>
      </w:r>
      <w:r>
        <w:rPr>
          <w:b/>
          <w:bCs/>
        </w:rPr>
        <w:t>.</w:t>
      </w:r>
      <w:r w:rsidR="63172A2F" w:rsidRPr="00B064B4">
        <w:rPr>
          <w:b/>
          <w:bCs/>
        </w:rPr>
        <w:t xml:space="preserve"> </w:t>
      </w:r>
      <w:r w:rsidR="63172A2F" w:rsidRPr="003310B6">
        <w:rPr>
          <w:noProof/>
        </w:rPr>
        <w:drawing>
          <wp:inline distT="0" distB="0" distL="0" distR="0" wp14:anchorId="16413ADF" wp14:editId="621D2D2A">
            <wp:extent cx="6096634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634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2BA98" w14:textId="716E1368" w:rsidR="00766CD9" w:rsidRPr="00925EBE" w:rsidRDefault="00766CD9" w:rsidP="00B00168">
      <w:pPr>
        <w:pStyle w:val="Heading1"/>
        <w:spacing w:before="0" w:after="0" w:line="240" w:lineRule="auto"/>
        <w:rPr>
          <w:rFonts w:eastAsia="Times New Roman"/>
          <w:b w:val="0"/>
          <w:bCs/>
          <w:color w:val="000000"/>
          <w:u w:val="none"/>
          <w:lang w:val="en-GB"/>
        </w:rPr>
      </w:pPr>
      <w:bookmarkStart w:id="17" w:name="_Hlk69975778"/>
      <w:r w:rsidRPr="006011B7">
        <w:rPr>
          <w:rStyle w:val="text-4505230f--headingh600-23f228db--textcontentfamily-49a318e1"/>
          <w:rFonts w:eastAsia="Times New Roman"/>
          <w:b w:val="0"/>
          <w:bCs/>
          <w:color w:val="000000"/>
          <w:szCs w:val="22"/>
          <w:u w:val="none"/>
          <w:lang w:val="en-GB"/>
        </w:rPr>
        <w:t>Microreact has been developed by the</w:t>
      </w:r>
      <w:r w:rsidRPr="00B00168">
        <w:rPr>
          <w:rStyle w:val="apple-converted-space"/>
          <w:rFonts w:eastAsia="Times New Roman"/>
          <w:b w:val="0"/>
          <w:bCs/>
          <w:color w:val="000000"/>
          <w:szCs w:val="22"/>
          <w:u w:val="none"/>
          <w:lang w:val="en-GB"/>
        </w:rPr>
        <w:t> </w:t>
      </w:r>
      <w:hyperlink r:id="rId11" w:tgtFrame="_blank" w:history="1">
        <w:r w:rsidRPr="00766CD9">
          <w:rPr>
            <w:rStyle w:val="Hyperlink"/>
            <w:rFonts w:eastAsia="Times New Roman"/>
            <w:b w:val="0"/>
            <w:bCs/>
            <w:color w:val="3D7484"/>
            <w:szCs w:val="22"/>
            <w:lang w:val="en-GB"/>
          </w:rPr>
          <w:t>Centre for Genomic Pathogen Surveillance</w:t>
        </w:r>
      </w:hyperlink>
      <w:r w:rsidRPr="00766CD9">
        <w:rPr>
          <w:rStyle w:val="apple-converted-space"/>
          <w:rFonts w:eastAsia="Times New Roman"/>
          <w:b w:val="0"/>
          <w:bCs/>
          <w:color w:val="000000"/>
          <w:szCs w:val="22"/>
          <w:lang w:val="en-GB"/>
        </w:rPr>
        <w:t> </w:t>
      </w:r>
      <w:r w:rsidRPr="006011B7">
        <w:rPr>
          <w:rStyle w:val="text-4505230f--headingh600-23f228db--textcontentfamily-49a318e1"/>
          <w:rFonts w:eastAsia="Times New Roman"/>
          <w:b w:val="0"/>
          <w:bCs/>
          <w:color w:val="000000"/>
          <w:szCs w:val="22"/>
          <w:u w:val="none"/>
          <w:lang w:val="en-GB"/>
        </w:rPr>
        <w:t>at Imperial College</w:t>
      </w:r>
      <w:r w:rsidRPr="00766CD9">
        <w:rPr>
          <w:rStyle w:val="text-4505230f--headingh600-23f228db--textcontentfamily-49a318e1"/>
          <w:rFonts w:eastAsia="Times New Roman"/>
          <w:b w:val="0"/>
          <w:bCs/>
          <w:color w:val="000000"/>
          <w:szCs w:val="22"/>
          <w:lang w:val="en-GB"/>
        </w:rPr>
        <w:t xml:space="preserve"> </w:t>
      </w:r>
      <w:r w:rsidRPr="00766CD9">
        <w:rPr>
          <w:rStyle w:val="text-4505230f--headingh600-23f228db--textcontentfamily-49a318e1"/>
          <w:rFonts w:eastAsia="Times New Roman"/>
          <w:b w:val="0"/>
          <w:bCs/>
          <w:color w:val="000000"/>
          <w:szCs w:val="22"/>
          <w:u w:val="none"/>
          <w:lang w:val="en-GB"/>
        </w:rPr>
        <w:t>London and the Wellcome Genome Campus.</w:t>
      </w:r>
      <w:r w:rsidRPr="00766CD9">
        <w:rPr>
          <w:rFonts w:asciiTheme="minorHAnsi" w:hAnsiTheme="minorHAnsi" w:cstheme="minorHAnsi"/>
          <w:b w:val="0"/>
          <w:bCs/>
          <w:szCs w:val="22"/>
          <w:u w:val="none"/>
        </w:rPr>
        <w:t xml:space="preserve"> </w:t>
      </w:r>
      <w:r w:rsidRPr="006A569B">
        <w:rPr>
          <w:rFonts w:asciiTheme="minorHAnsi" w:hAnsiTheme="minorHAnsi" w:cstheme="minorHAnsi"/>
          <w:b w:val="0"/>
          <w:bCs/>
          <w:szCs w:val="22"/>
          <w:u w:val="none"/>
        </w:rPr>
        <w:t>Argimón S et al, 2016.</w:t>
      </w:r>
      <w:r w:rsidRPr="006A569B">
        <w:rPr>
          <w:rFonts w:asciiTheme="minorHAnsi" w:hAnsiTheme="minorHAnsi" w:cstheme="minorHAnsi"/>
          <w:b w:val="0"/>
          <w:bCs/>
          <w:szCs w:val="22"/>
          <w:u w:val="none"/>
          <w:vertAlign w:val="superscript"/>
        </w:rPr>
        <w:t xml:space="preserve">3  </w:t>
      </w:r>
    </w:p>
    <w:p w14:paraId="7EE6CCDD" w14:textId="31ED2340" w:rsidR="00766CD9" w:rsidRPr="00766CD9" w:rsidRDefault="00766CD9" w:rsidP="00B00168">
      <w:pPr>
        <w:pStyle w:val="Heading2"/>
        <w:spacing w:before="0" w:after="0" w:line="240" w:lineRule="auto"/>
        <w:rPr>
          <w:rFonts w:eastAsia="Times New Roman"/>
          <w:i w:val="0"/>
          <w:iCs/>
          <w:kern w:val="0"/>
          <w:szCs w:val="22"/>
          <w:lang w:val="en-GB" w:eastAsia="en-US"/>
        </w:rPr>
      </w:pPr>
    </w:p>
    <w:bookmarkEnd w:id="17"/>
    <w:p w14:paraId="006F16FD" w14:textId="77777777" w:rsidR="003310B6" w:rsidRDefault="003310B6" w:rsidP="00925EBE">
      <w:pPr>
        <w:pStyle w:val="Heading1"/>
        <w:spacing w:before="0" w:after="240" w:line="360" w:lineRule="auto"/>
        <w:rPr>
          <w:rFonts w:asciiTheme="minorHAnsi" w:hAnsiTheme="minorHAnsi" w:cstheme="minorHAnsi"/>
          <w:szCs w:val="22"/>
          <w:u w:val="none"/>
        </w:rPr>
      </w:pPr>
    </w:p>
    <w:p w14:paraId="42182F99" w14:textId="77777777" w:rsidR="003310B6" w:rsidRDefault="003310B6" w:rsidP="003310B6">
      <w:pPr>
        <w:pStyle w:val="Heading1"/>
        <w:spacing w:before="0" w:after="240" w:line="240" w:lineRule="auto"/>
        <w:rPr>
          <w:rFonts w:asciiTheme="minorHAnsi" w:hAnsiTheme="minorHAnsi" w:cstheme="minorHAnsi"/>
          <w:szCs w:val="22"/>
          <w:u w:val="none"/>
        </w:rPr>
      </w:pPr>
    </w:p>
    <w:p w14:paraId="34F2F781" w14:textId="40D18CED" w:rsidR="003310B6" w:rsidRPr="0091644F" w:rsidRDefault="003310B6" w:rsidP="003310B6">
      <w:pPr>
        <w:pStyle w:val="Heading1"/>
        <w:spacing w:before="0" w:after="240" w:line="240" w:lineRule="auto"/>
        <w:rPr>
          <w:rFonts w:asciiTheme="minorHAnsi" w:hAnsiTheme="minorHAnsi" w:cstheme="minorHAnsi"/>
          <w:szCs w:val="22"/>
          <w:u w:val="none"/>
        </w:rPr>
      </w:pPr>
      <w:r w:rsidRPr="0091644F">
        <w:rPr>
          <w:rFonts w:asciiTheme="minorHAnsi" w:hAnsiTheme="minorHAnsi" w:cstheme="minorHAnsi"/>
          <w:szCs w:val="22"/>
          <w:u w:val="none"/>
        </w:rPr>
        <w:t>References</w:t>
      </w:r>
    </w:p>
    <w:p w14:paraId="680DDFE2" w14:textId="77777777" w:rsidR="003310B6" w:rsidRPr="0091644F" w:rsidRDefault="003310B6" w:rsidP="003310B6">
      <w:pPr>
        <w:pStyle w:val="paragraph"/>
        <w:numPr>
          <w:ilvl w:val="0"/>
          <w:numId w:val="21"/>
        </w:numPr>
        <w:spacing w:after="24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644F">
        <w:rPr>
          <w:rStyle w:val="normaltextrun1"/>
          <w:rFonts w:asciiTheme="minorHAnsi" w:hAnsiTheme="minorHAnsi" w:cstheme="minorHAnsi"/>
          <w:sz w:val="22"/>
          <w:szCs w:val="22"/>
        </w:rPr>
        <w:t xml:space="preserve">Centers for Disease Control and Prevention. About variants of the virus that causes Covid-19. Updated April 2, 2021. </w:t>
      </w:r>
      <w:hyperlink r:id="rId12" w:history="1">
        <w:r w:rsidRPr="0091644F">
          <w:rPr>
            <w:rStyle w:val="Hyperlink"/>
            <w:rFonts w:asciiTheme="minorHAnsi" w:eastAsia="MS Mincho" w:hAnsiTheme="minorHAnsi" w:cstheme="minorHAnsi"/>
            <w:sz w:val="22"/>
            <w:szCs w:val="22"/>
          </w:rPr>
          <w:t>https://www.cdc.gov/coronavirus/2019-ncov/transmission/variant.html</w:t>
        </w:r>
      </w:hyperlink>
      <w:r w:rsidRPr="0091644F">
        <w:rPr>
          <w:rFonts w:asciiTheme="minorHAnsi" w:hAnsiTheme="minorHAnsi" w:cstheme="minorHAnsi"/>
          <w:sz w:val="22"/>
          <w:szCs w:val="22"/>
        </w:rPr>
        <w:t>. Accessed April 7, 2021.</w:t>
      </w:r>
    </w:p>
    <w:p w14:paraId="7752E100" w14:textId="77777777" w:rsidR="003310B6" w:rsidRDefault="003310B6" w:rsidP="003310B6">
      <w:pPr>
        <w:pStyle w:val="paragraph"/>
        <w:numPr>
          <w:ilvl w:val="0"/>
          <w:numId w:val="21"/>
        </w:numPr>
        <w:spacing w:after="240"/>
        <w:textAlignment w:val="baseline"/>
        <w:rPr>
          <w:rFonts w:asciiTheme="minorHAnsi" w:hAnsiTheme="minorHAnsi" w:cstheme="minorHAnsi"/>
          <w:sz w:val="22"/>
          <w:szCs w:val="22"/>
        </w:rPr>
      </w:pPr>
      <w:r w:rsidRPr="0091644F">
        <w:rPr>
          <w:rStyle w:val="eop"/>
          <w:rFonts w:asciiTheme="minorHAnsi" w:hAnsiTheme="minorHAnsi" w:cstheme="minorHAnsi"/>
          <w:sz w:val="22"/>
          <w:szCs w:val="22"/>
        </w:rPr>
        <w:t xml:space="preserve">Challen R, Brooks-Pollock E, Read JM, et al. Risk of mortality in patients infected with SARS-CoV-2 variant of concern 202012/1: matched cohort study. </w:t>
      </w:r>
      <w:r w:rsidRPr="0091644F">
        <w:rPr>
          <w:rFonts w:asciiTheme="minorHAnsi" w:hAnsiTheme="minorHAnsi" w:cstheme="minorHAnsi"/>
          <w:sz w:val="22"/>
          <w:szCs w:val="22"/>
        </w:rPr>
        <w:t xml:space="preserve">BMJ 2021;372:n579. </w:t>
      </w:r>
      <w:hyperlink r:id="rId13" w:history="1">
        <w:r w:rsidRPr="0091644F">
          <w:rPr>
            <w:rStyle w:val="Hyperlink"/>
            <w:rFonts w:asciiTheme="minorHAnsi" w:eastAsia="MS Mincho" w:hAnsiTheme="minorHAnsi" w:cstheme="minorHAnsi"/>
            <w:sz w:val="22"/>
            <w:szCs w:val="22"/>
          </w:rPr>
          <w:t>http://dx.doi.org/10.1136/bmj.n579</w:t>
        </w:r>
      </w:hyperlink>
      <w:r w:rsidRPr="0091644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18EBF86" w14:textId="77777777" w:rsidR="003310B6" w:rsidRPr="006B78C6" w:rsidRDefault="003310B6" w:rsidP="003310B6">
      <w:pPr>
        <w:pStyle w:val="paragraph"/>
        <w:numPr>
          <w:ilvl w:val="0"/>
          <w:numId w:val="21"/>
        </w:numPr>
        <w:spacing w:after="24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8" w:name="_Hlk69976149"/>
      <w:r>
        <w:rPr>
          <w:rFonts w:asciiTheme="minorHAnsi" w:hAnsiTheme="minorHAnsi" w:cstheme="minorHAnsi"/>
          <w:sz w:val="22"/>
          <w:szCs w:val="22"/>
        </w:rPr>
        <w:t xml:space="preserve">Argimón S, </w:t>
      </w:r>
      <w:r w:rsidRPr="00BF7601">
        <w:rPr>
          <w:rFonts w:asciiTheme="minorHAnsi" w:eastAsiaTheme="minorHAnsi" w:hAnsiTheme="minorHAnsi" w:cstheme="minorHAnsi"/>
        </w:rPr>
        <w:t>Abudahab K, Goater RJE, et al. Microreact: visualizing and sharing data for</w:t>
      </w:r>
      <w:r>
        <w:rPr>
          <w:rFonts w:asciiTheme="minorHAnsi" w:eastAsiaTheme="minorHAnsi" w:hAnsiTheme="minorHAnsi" w:cstheme="minorHAnsi"/>
        </w:rPr>
        <w:t xml:space="preserve"> genomic epidemiology and phylogedoography. Microb Genom 2016;2:e000093. </w:t>
      </w:r>
      <w:hyperlink r:id="rId14" w:history="1">
        <w:r w:rsidRPr="00EC38A5">
          <w:rPr>
            <w:rStyle w:val="Hyperlink"/>
            <w:rFonts w:asciiTheme="minorHAnsi" w:eastAsiaTheme="minorHAnsi" w:hAnsiTheme="minorHAnsi" w:cstheme="minorHAnsi"/>
          </w:rPr>
          <w:t>http://dx.</w:t>
        </w:r>
        <w:r w:rsidRPr="00EC38A5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doi.org/10.1099/mgen.0.000093</w:t>
        </w:r>
      </w:hyperlink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 </w:t>
      </w:r>
      <w:bookmarkEnd w:id="0"/>
      <w:bookmarkEnd w:id="18"/>
    </w:p>
    <w:sectPr w:rsidR="003310B6" w:rsidRPr="006B7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C2E84" w14:textId="77777777" w:rsidR="00333A48" w:rsidRDefault="00333A48" w:rsidP="0027393C">
      <w:pPr>
        <w:spacing w:after="0" w:line="240" w:lineRule="auto"/>
      </w:pPr>
      <w:r>
        <w:separator/>
      </w:r>
    </w:p>
  </w:endnote>
  <w:endnote w:type="continuationSeparator" w:id="0">
    <w:p w14:paraId="1447CE13" w14:textId="77777777" w:rsidR="00333A48" w:rsidRDefault="00333A48" w:rsidP="0027393C">
      <w:pPr>
        <w:spacing w:after="0" w:line="240" w:lineRule="auto"/>
      </w:pPr>
      <w:r>
        <w:continuationSeparator/>
      </w:r>
    </w:p>
  </w:endnote>
  <w:endnote w:type="continuationNotice" w:id="1">
    <w:p w14:paraId="624A5A87" w14:textId="77777777" w:rsidR="00333A48" w:rsidRDefault="00333A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85561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D9A41C" w14:textId="6EFA0830" w:rsidR="00440F3D" w:rsidRDefault="00440F3D">
            <w:pPr>
              <w:pStyle w:val="Footer"/>
              <w:jc w:val="right"/>
            </w:pPr>
            <w:r>
              <w:t xml:space="preserve">Page </w:t>
            </w:r>
            <w:r w:rsidRPr="00055DDA">
              <w:rPr>
                <w:bCs/>
                <w:sz w:val="24"/>
              </w:rPr>
              <w:fldChar w:fldCharType="begin"/>
            </w:r>
            <w:r w:rsidRPr="00055DDA">
              <w:rPr>
                <w:bCs/>
              </w:rPr>
              <w:instrText xml:space="preserve"> PAGE </w:instrText>
            </w:r>
            <w:r w:rsidRPr="00055DDA"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</w:rPr>
              <w:t>24</w:t>
            </w:r>
            <w:r w:rsidRPr="00055DDA">
              <w:rPr>
                <w:bCs/>
                <w:sz w:val="24"/>
              </w:rPr>
              <w:fldChar w:fldCharType="end"/>
            </w:r>
            <w:r w:rsidRPr="00055DDA">
              <w:t xml:space="preserve"> of </w:t>
            </w:r>
            <w:r w:rsidRPr="00055DDA">
              <w:rPr>
                <w:bCs/>
                <w:sz w:val="24"/>
              </w:rPr>
              <w:fldChar w:fldCharType="begin"/>
            </w:r>
            <w:r w:rsidRPr="00055DDA">
              <w:rPr>
                <w:bCs/>
              </w:rPr>
              <w:instrText xml:space="preserve"> NUMPAGES  </w:instrText>
            </w:r>
            <w:r w:rsidRPr="00055DDA"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</w:rPr>
              <w:t>24</w:t>
            </w:r>
            <w:r w:rsidRPr="00055DDA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4B5680F4" w14:textId="77777777" w:rsidR="00440F3D" w:rsidRPr="00825738" w:rsidRDefault="00440F3D" w:rsidP="0027393C">
    <w:pPr>
      <w:pStyle w:val="Footer"/>
      <w:tabs>
        <w:tab w:val="clear" w:pos="4478"/>
        <w:tab w:val="clear" w:pos="8957"/>
        <w:tab w:val="right" w:pos="12960"/>
      </w:tabs>
      <w:spacing w:before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B0464" w14:textId="77777777" w:rsidR="00333A48" w:rsidRDefault="00333A48" w:rsidP="0027393C">
      <w:pPr>
        <w:spacing w:after="0" w:line="240" w:lineRule="auto"/>
      </w:pPr>
      <w:r>
        <w:separator/>
      </w:r>
    </w:p>
  </w:footnote>
  <w:footnote w:type="continuationSeparator" w:id="0">
    <w:p w14:paraId="4AEC2F87" w14:textId="77777777" w:rsidR="00333A48" w:rsidRDefault="00333A48" w:rsidP="0027393C">
      <w:pPr>
        <w:spacing w:after="0" w:line="240" w:lineRule="auto"/>
      </w:pPr>
      <w:r>
        <w:continuationSeparator/>
      </w:r>
    </w:p>
  </w:footnote>
  <w:footnote w:type="continuationNotice" w:id="1">
    <w:p w14:paraId="2049720E" w14:textId="77777777" w:rsidR="00333A48" w:rsidRDefault="00333A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0CB2"/>
    <w:multiLevelType w:val="hybridMultilevel"/>
    <w:tmpl w:val="5D5890A6"/>
    <w:lvl w:ilvl="0" w:tplc="95C2AAC2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2321"/>
    <w:multiLevelType w:val="hybridMultilevel"/>
    <w:tmpl w:val="A5AE70AC"/>
    <w:lvl w:ilvl="0" w:tplc="6764D6A2">
      <w:start w:val="1"/>
      <w:numFmt w:val="lowerLetter"/>
      <w:lvlText w:val="%1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23B13"/>
    <w:multiLevelType w:val="hybridMultilevel"/>
    <w:tmpl w:val="F5EA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EB4329"/>
    <w:multiLevelType w:val="hybridMultilevel"/>
    <w:tmpl w:val="796A4946"/>
    <w:lvl w:ilvl="0" w:tplc="04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 w15:restartNumberingAfterBreak="0">
    <w:nsid w:val="23CA35A5"/>
    <w:multiLevelType w:val="hybridMultilevel"/>
    <w:tmpl w:val="AE56AA7C"/>
    <w:lvl w:ilvl="0" w:tplc="CDCCC112">
      <w:start w:val="1"/>
      <w:numFmt w:val="decimal"/>
      <w:pStyle w:val="SynopsisListNum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A956DA"/>
    <w:multiLevelType w:val="hybridMultilevel"/>
    <w:tmpl w:val="55C4C4A4"/>
    <w:lvl w:ilvl="0" w:tplc="2E3AC634">
      <w:start w:val="1"/>
      <w:numFmt w:val="decimal"/>
      <w:pStyle w:val="ListNumb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C0069"/>
    <w:multiLevelType w:val="hybridMultilevel"/>
    <w:tmpl w:val="DE92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F6F3F"/>
    <w:multiLevelType w:val="hybridMultilevel"/>
    <w:tmpl w:val="2E8AC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659BA"/>
    <w:multiLevelType w:val="hybridMultilevel"/>
    <w:tmpl w:val="F118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21500"/>
    <w:multiLevelType w:val="hybridMultilevel"/>
    <w:tmpl w:val="D9EA9220"/>
    <w:lvl w:ilvl="0" w:tplc="4F106B0A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746D8"/>
    <w:multiLevelType w:val="hybridMultilevel"/>
    <w:tmpl w:val="1A12998E"/>
    <w:lvl w:ilvl="0" w:tplc="6764D6A2">
      <w:start w:val="1"/>
      <w:numFmt w:val="lowerLetter"/>
      <w:lvlText w:val="%1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30995"/>
    <w:multiLevelType w:val="hybridMultilevel"/>
    <w:tmpl w:val="9E56D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EE3D6A"/>
    <w:multiLevelType w:val="hybridMultilevel"/>
    <w:tmpl w:val="0F908010"/>
    <w:name w:val="List Numbered"/>
    <w:lvl w:ilvl="0" w:tplc="48EAB75A">
      <w:start w:val="1"/>
      <w:numFmt w:val="decimal"/>
      <w:lvlRestart w:val="0"/>
      <w:pStyle w:val="ListNumbered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91B0A07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F7AAF0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5B657F"/>
    <w:multiLevelType w:val="hybridMultilevel"/>
    <w:tmpl w:val="A04AC1E2"/>
    <w:name w:val="List Bulleted"/>
    <w:lvl w:ilvl="0" w:tplc="736EA70E">
      <w:start w:val="1"/>
      <w:numFmt w:val="bullet"/>
      <w:pStyle w:val="ListBulleted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9E10BD"/>
    <w:multiLevelType w:val="hybridMultilevel"/>
    <w:tmpl w:val="83E44632"/>
    <w:lvl w:ilvl="0" w:tplc="33B2C534">
      <w:start w:val="1"/>
      <w:numFmt w:val="bullet"/>
      <w:pStyle w:val="Synopsis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264F3"/>
    <w:multiLevelType w:val="hybridMultilevel"/>
    <w:tmpl w:val="18BAD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F586E"/>
    <w:multiLevelType w:val="hybridMultilevel"/>
    <w:tmpl w:val="5C50C070"/>
    <w:lvl w:ilvl="0" w:tplc="AE6630A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897863"/>
    <w:multiLevelType w:val="multilevel"/>
    <w:tmpl w:val="3AE840AC"/>
    <w:lvl w:ilvl="0">
      <w:start w:val="1"/>
      <w:numFmt w:val="decimal"/>
      <w:lvlText w:val="%1."/>
      <w:lvlJc w:val="left"/>
      <w:pPr>
        <w:ind w:left="1152" w:hanging="11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141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2" w:hanging="164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872" w:hanging="187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2074" w:hanging="207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B0028C6"/>
    <w:multiLevelType w:val="hybridMultilevel"/>
    <w:tmpl w:val="F4B8E13A"/>
    <w:lvl w:ilvl="0" w:tplc="C7963C7C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45693"/>
    <w:multiLevelType w:val="hybridMultilevel"/>
    <w:tmpl w:val="479EFCBE"/>
    <w:lvl w:ilvl="0" w:tplc="8A9E4884">
      <w:start w:val="1"/>
      <w:numFmt w:val="lowerLetter"/>
      <w:pStyle w:val="TableNoteLettered"/>
      <w:lvlText w:val="%1"/>
      <w:lvlJc w:val="left"/>
      <w:pPr>
        <w:ind w:left="259" w:hanging="259"/>
      </w:pPr>
      <w:rPr>
        <w:rFonts w:hint="default"/>
        <w:sz w:val="20"/>
        <w:szCs w:val="2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B1B48"/>
    <w:multiLevelType w:val="hybridMultilevel"/>
    <w:tmpl w:val="826C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9"/>
    <w:lvlOverride w:ilvl="0">
      <w:startOverride w:val="1"/>
    </w:lvlOverride>
  </w:num>
  <w:num w:numId="5">
    <w:abstractNumId w:val="4"/>
  </w:num>
  <w:num w:numId="6">
    <w:abstractNumId w:val="12"/>
  </w:num>
  <w:num w:numId="7">
    <w:abstractNumId w:val="8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1"/>
  </w:num>
  <w:num w:numId="13">
    <w:abstractNumId w:val="0"/>
  </w:num>
  <w:num w:numId="14">
    <w:abstractNumId w:val="18"/>
  </w:num>
  <w:num w:numId="15">
    <w:abstractNumId w:val="7"/>
  </w:num>
  <w:num w:numId="16">
    <w:abstractNumId w:val="2"/>
  </w:num>
  <w:num w:numId="17">
    <w:abstractNumId w:val="11"/>
  </w:num>
  <w:num w:numId="18">
    <w:abstractNumId w:val="3"/>
  </w:num>
  <w:num w:numId="19">
    <w:abstractNumId w:val="20"/>
  </w:num>
  <w:num w:numId="20">
    <w:abstractNumId w:val="9"/>
  </w:num>
  <w:num w:numId="2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ew England J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dz0evse6v0proevts2vf05o2ts5expt2pad&quot;&gt;My EndNote Library&lt;record-ids&gt;&lt;item&gt;3&lt;/item&gt;&lt;item&gt;4&lt;/item&gt;&lt;item&gt;21&lt;/item&gt;&lt;item&gt;48&lt;/item&gt;&lt;item&gt;49&lt;/item&gt;&lt;item&gt;50&lt;/item&gt;&lt;/record-ids&gt;&lt;/item&gt;&lt;/Libraries&gt;"/>
  </w:docVars>
  <w:rsids>
    <w:rsidRoot w:val="0027393C"/>
    <w:rsid w:val="0000301A"/>
    <w:rsid w:val="000030BD"/>
    <w:rsid w:val="00003370"/>
    <w:rsid w:val="000034AA"/>
    <w:rsid w:val="000078BF"/>
    <w:rsid w:val="0001127A"/>
    <w:rsid w:val="00013DB7"/>
    <w:rsid w:val="00020EE4"/>
    <w:rsid w:val="0002144D"/>
    <w:rsid w:val="00021BCC"/>
    <w:rsid w:val="00022C35"/>
    <w:rsid w:val="000258E5"/>
    <w:rsid w:val="00025F9B"/>
    <w:rsid w:val="000320F8"/>
    <w:rsid w:val="000338A8"/>
    <w:rsid w:val="0003413D"/>
    <w:rsid w:val="00034214"/>
    <w:rsid w:val="000353E6"/>
    <w:rsid w:val="000376DC"/>
    <w:rsid w:val="00037FD1"/>
    <w:rsid w:val="00040BD0"/>
    <w:rsid w:val="00045411"/>
    <w:rsid w:val="00047AEF"/>
    <w:rsid w:val="00050249"/>
    <w:rsid w:val="00055DDA"/>
    <w:rsid w:val="00061AC7"/>
    <w:rsid w:val="00062579"/>
    <w:rsid w:val="000659C7"/>
    <w:rsid w:val="00066A6A"/>
    <w:rsid w:val="00070E51"/>
    <w:rsid w:val="00071D7C"/>
    <w:rsid w:val="000729DB"/>
    <w:rsid w:val="00072A8F"/>
    <w:rsid w:val="00082BD5"/>
    <w:rsid w:val="000859A6"/>
    <w:rsid w:val="00092A6B"/>
    <w:rsid w:val="00094EA4"/>
    <w:rsid w:val="00094F15"/>
    <w:rsid w:val="000A1055"/>
    <w:rsid w:val="000A1BFD"/>
    <w:rsid w:val="000A396E"/>
    <w:rsid w:val="000A3A06"/>
    <w:rsid w:val="000A3C95"/>
    <w:rsid w:val="000A4285"/>
    <w:rsid w:val="000A65EC"/>
    <w:rsid w:val="000B1714"/>
    <w:rsid w:val="000B1FFD"/>
    <w:rsid w:val="000B3487"/>
    <w:rsid w:val="000C08FF"/>
    <w:rsid w:val="000C18B3"/>
    <w:rsid w:val="000C3E50"/>
    <w:rsid w:val="000C3EF9"/>
    <w:rsid w:val="000C4593"/>
    <w:rsid w:val="000C5E2D"/>
    <w:rsid w:val="000D5ABC"/>
    <w:rsid w:val="000D6CE3"/>
    <w:rsid w:val="000E0263"/>
    <w:rsid w:val="000E2A54"/>
    <w:rsid w:val="000E433F"/>
    <w:rsid w:val="000E667B"/>
    <w:rsid w:val="000F03C6"/>
    <w:rsid w:val="000F2219"/>
    <w:rsid w:val="001102AF"/>
    <w:rsid w:val="001152A0"/>
    <w:rsid w:val="00117148"/>
    <w:rsid w:val="001214C7"/>
    <w:rsid w:val="001249E8"/>
    <w:rsid w:val="00126B04"/>
    <w:rsid w:val="00126E9F"/>
    <w:rsid w:val="00127353"/>
    <w:rsid w:val="00131CFD"/>
    <w:rsid w:val="00132992"/>
    <w:rsid w:val="001342A1"/>
    <w:rsid w:val="001406D1"/>
    <w:rsid w:val="00142335"/>
    <w:rsid w:val="001431B9"/>
    <w:rsid w:val="00143C48"/>
    <w:rsid w:val="001458A8"/>
    <w:rsid w:val="00147CF9"/>
    <w:rsid w:val="001505D8"/>
    <w:rsid w:val="001512E6"/>
    <w:rsid w:val="0015328F"/>
    <w:rsid w:val="00157CDE"/>
    <w:rsid w:val="001626CD"/>
    <w:rsid w:val="001656B7"/>
    <w:rsid w:val="001713C9"/>
    <w:rsid w:val="001713CC"/>
    <w:rsid w:val="00171B88"/>
    <w:rsid w:val="00174159"/>
    <w:rsid w:val="0017469C"/>
    <w:rsid w:val="0017566C"/>
    <w:rsid w:val="00175ACA"/>
    <w:rsid w:val="001761ED"/>
    <w:rsid w:val="00187CD5"/>
    <w:rsid w:val="00191EEE"/>
    <w:rsid w:val="001934BE"/>
    <w:rsid w:val="001937A7"/>
    <w:rsid w:val="001A165B"/>
    <w:rsid w:val="001A1A71"/>
    <w:rsid w:val="001A2509"/>
    <w:rsid w:val="001A4B75"/>
    <w:rsid w:val="001A5B8A"/>
    <w:rsid w:val="001B07ED"/>
    <w:rsid w:val="001B27C5"/>
    <w:rsid w:val="001B30D0"/>
    <w:rsid w:val="001B3ADB"/>
    <w:rsid w:val="001B6C34"/>
    <w:rsid w:val="001B7EA7"/>
    <w:rsid w:val="001C1F7E"/>
    <w:rsid w:val="001C4714"/>
    <w:rsid w:val="001C4759"/>
    <w:rsid w:val="001D4286"/>
    <w:rsid w:val="001D46D8"/>
    <w:rsid w:val="001E1806"/>
    <w:rsid w:val="001E3973"/>
    <w:rsid w:val="001E5FE1"/>
    <w:rsid w:val="001F2651"/>
    <w:rsid w:val="001F2935"/>
    <w:rsid w:val="001F37C2"/>
    <w:rsid w:val="001F6678"/>
    <w:rsid w:val="001F71AD"/>
    <w:rsid w:val="00207ADF"/>
    <w:rsid w:val="002100E9"/>
    <w:rsid w:val="00210159"/>
    <w:rsid w:val="00215194"/>
    <w:rsid w:val="00216BE2"/>
    <w:rsid w:val="00222484"/>
    <w:rsid w:val="002245B9"/>
    <w:rsid w:val="002245E1"/>
    <w:rsid w:val="002268BD"/>
    <w:rsid w:val="00226DBA"/>
    <w:rsid w:val="00230279"/>
    <w:rsid w:val="002329CD"/>
    <w:rsid w:val="0023490C"/>
    <w:rsid w:val="002366B9"/>
    <w:rsid w:val="00237205"/>
    <w:rsid w:val="00240B8E"/>
    <w:rsid w:val="00242F79"/>
    <w:rsid w:val="002572D9"/>
    <w:rsid w:val="00266510"/>
    <w:rsid w:val="00270894"/>
    <w:rsid w:val="002720DA"/>
    <w:rsid w:val="0027393C"/>
    <w:rsid w:val="00276532"/>
    <w:rsid w:val="00276881"/>
    <w:rsid w:val="00281583"/>
    <w:rsid w:val="0028161C"/>
    <w:rsid w:val="00285B1F"/>
    <w:rsid w:val="00286544"/>
    <w:rsid w:val="00287635"/>
    <w:rsid w:val="0028766E"/>
    <w:rsid w:val="00287B71"/>
    <w:rsid w:val="00287D17"/>
    <w:rsid w:val="002A13D6"/>
    <w:rsid w:val="002A1BBB"/>
    <w:rsid w:val="002A5787"/>
    <w:rsid w:val="002A7411"/>
    <w:rsid w:val="002A79E7"/>
    <w:rsid w:val="002B024B"/>
    <w:rsid w:val="002B0707"/>
    <w:rsid w:val="002B34C5"/>
    <w:rsid w:val="002B4A70"/>
    <w:rsid w:val="002B5AE8"/>
    <w:rsid w:val="002B678E"/>
    <w:rsid w:val="002C0729"/>
    <w:rsid w:val="002C0B25"/>
    <w:rsid w:val="002C3C55"/>
    <w:rsid w:val="002C50DD"/>
    <w:rsid w:val="002C55C1"/>
    <w:rsid w:val="002C6255"/>
    <w:rsid w:val="002D5182"/>
    <w:rsid w:val="002D5981"/>
    <w:rsid w:val="002D7822"/>
    <w:rsid w:val="002E1139"/>
    <w:rsid w:val="002E117D"/>
    <w:rsid w:val="002E2888"/>
    <w:rsid w:val="002F1591"/>
    <w:rsid w:val="002F28F8"/>
    <w:rsid w:val="002F4180"/>
    <w:rsid w:val="002F533E"/>
    <w:rsid w:val="003052D4"/>
    <w:rsid w:val="003063AB"/>
    <w:rsid w:val="00306FE1"/>
    <w:rsid w:val="00310970"/>
    <w:rsid w:val="00311805"/>
    <w:rsid w:val="00311FD2"/>
    <w:rsid w:val="003154D9"/>
    <w:rsid w:val="00326D6E"/>
    <w:rsid w:val="00327AA1"/>
    <w:rsid w:val="00327DF4"/>
    <w:rsid w:val="003310B6"/>
    <w:rsid w:val="00333360"/>
    <w:rsid w:val="00333A48"/>
    <w:rsid w:val="003341CC"/>
    <w:rsid w:val="00334B95"/>
    <w:rsid w:val="00335A6A"/>
    <w:rsid w:val="00341AD5"/>
    <w:rsid w:val="00345E38"/>
    <w:rsid w:val="00346AB1"/>
    <w:rsid w:val="00350059"/>
    <w:rsid w:val="00351705"/>
    <w:rsid w:val="003545F4"/>
    <w:rsid w:val="003561F4"/>
    <w:rsid w:val="00361140"/>
    <w:rsid w:val="003615E0"/>
    <w:rsid w:val="00362E4B"/>
    <w:rsid w:val="003637AB"/>
    <w:rsid w:val="003641F8"/>
    <w:rsid w:val="003659A0"/>
    <w:rsid w:val="00371B54"/>
    <w:rsid w:val="0037737A"/>
    <w:rsid w:val="00380836"/>
    <w:rsid w:val="0038369C"/>
    <w:rsid w:val="003853A0"/>
    <w:rsid w:val="00391C8D"/>
    <w:rsid w:val="0039327D"/>
    <w:rsid w:val="00393DA8"/>
    <w:rsid w:val="00394748"/>
    <w:rsid w:val="00395FB0"/>
    <w:rsid w:val="00397D5D"/>
    <w:rsid w:val="003A1535"/>
    <w:rsid w:val="003A4008"/>
    <w:rsid w:val="003A4164"/>
    <w:rsid w:val="003A456B"/>
    <w:rsid w:val="003A7B9A"/>
    <w:rsid w:val="003C381D"/>
    <w:rsid w:val="003C4B9E"/>
    <w:rsid w:val="003D1819"/>
    <w:rsid w:val="003D2F24"/>
    <w:rsid w:val="003D5193"/>
    <w:rsid w:val="003E0664"/>
    <w:rsid w:val="003E3190"/>
    <w:rsid w:val="003F5F3B"/>
    <w:rsid w:val="003F6A82"/>
    <w:rsid w:val="00402D08"/>
    <w:rsid w:val="00405D51"/>
    <w:rsid w:val="004069CC"/>
    <w:rsid w:val="004069FB"/>
    <w:rsid w:val="00410E70"/>
    <w:rsid w:val="00411961"/>
    <w:rsid w:val="00412E99"/>
    <w:rsid w:val="00413C84"/>
    <w:rsid w:val="00420A2F"/>
    <w:rsid w:val="00420DE5"/>
    <w:rsid w:val="00420E19"/>
    <w:rsid w:val="00423D6A"/>
    <w:rsid w:val="00425DD0"/>
    <w:rsid w:val="00426122"/>
    <w:rsid w:val="004269FD"/>
    <w:rsid w:val="00426AD5"/>
    <w:rsid w:val="00432718"/>
    <w:rsid w:val="00432FBF"/>
    <w:rsid w:val="00433F45"/>
    <w:rsid w:val="00440F3D"/>
    <w:rsid w:val="004459A8"/>
    <w:rsid w:val="00447CAA"/>
    <w:rsid w:val="004528D1"/>
    <w:rsid w:val="00454E51"/>
    <w:rsid w:val="00457444"/>
    <w:rsid w:val="00457651"/>
    <w:rsid w:val="00460DD0"/>
    <w:rsid w:val="00462202"/>
    <w:rsid w:val="004675F2"/>
    <w:rsid w:val="00473BEB"/>
    <w:rsid w:val="0047487E"/>
    <w:rsid w:val="00477B2A"/>
    <w:rsid w:val="0048279D"/>
    <w:rsid w:val="00487BA1"/>
    <w:rsid w:val="004A1828"/>
    <w:rsid w:val="004A4BCA"/>
    <w:rsid w:val="004A72A8"/>
    <w:rsid w:val="004B0835"/>
    <w:rsid w:val="004B5659"/>
    <w:rsid w:val="004B5962"/>
    <w:rsid w:val="004B7C03"/>
    <w:rsid w:val="004C08B6"/>
    <w:rsid w:val="004C09DD"/>
    <w:rsid w:val="004C0B21"/>
    <w:rsid w:val="004C3A67"/>
    <w:rsid w:val="004C64EC"/>
    <w:rsid w:val="004C7F84"/>
    <w:rsid w:val="004D15D6"/>
    <w:rsid w:val="004D3325"/>
    <w:rsid w:val="004D4D76"/>
    <w:rsid w:val="004D596E"/>
    <w:rsid w:val="004D5DDF"/>
    <w:rsid w:val="004D603E"/>
    <w:rsid w:val="004D7628"/>
    <w:rsid w:val="004E30E3"/>
    <w:rsid w:val="004E723F"/>
    <w:rsid w:val="004E73B2"/>
    <w:rsid w:val="004E7A91"/>
    <w:rsid w:val="004F071C"/>
    <w:rsid w:val="004F22B3"/>
    <w:rsid w:val="0050652E"/>
    <w:rsid w:val="0050790F"/>
    <w:rsid w:val="0051161D"/>
    <w:rsid w:val="0051465C"/>
    <w:rsid w:val="0051549A"/>
    <w:rsid w:val="00520824"/>
    <w:rsid w:val="00520A33"/>
    <w:rsid w:val="005219DF"/>
    <w:rsid w:val="00522247"/>
    <w:rsid w:val="00532132"/>
    <w:rsid w:val="00532283"/>
    <w:rsid w:val="005441B5"/>
    <w:rsid w:val="0054695B"/>
    <w:rsid w:val="00547150"/>
    <w:rsid w:val="00550903"/>
    <w:rsid w:val="005530F5"/>
    <w:rsid w:val="0055516D"/>
    <w:rsid w:val="005575D0"/>
    <w:rsid w:val="00572EF6"/>
    <w:rsid w:val="00575751"/>
    <w:rsid w:val="0058036D"/>
    <w:rsid w:val="00583A6D"/>
    <w:rsid w:val="00584BC9"/>
    <w:rsid w:val="0059660A"/>
    <w:rsid w:val="005A11B3"/>
    <w:rsid w:val="005A18B6"/>
    <w:rsid w:val="005A2207"/>
    <w:rsid w:val="005A2E8C"/>
    <w:rsid w:val="005A5B96"/>
    <w:rsid w:val="005A77B6"/>
    <w:rsid w:val="005B0DB5"/>
    <w:rsid w:val="005B2797"/>
    <w:rsid w:val="005B2ADA"/>
    <w:rsid w:val="005B4FB3"/>
    <w:rsid w:val="005B670F"/>
    <w:rsid w:val="005B6C5A"/>
    <w:rsid w:val="005C11C0"/>
    <w:rsid w:val="005C5A6C"/>
    <w:rsid w:val="005D2A7D"/>
    <w:rsid w:val="005D395E"/>
    <w:rsid w:val="005E4A6C"/>
    <w:rsid w:val="005F1135"/>
    <w:rsid w:val="005F225B"/>
    <w:rsid w:val="005F64C5"/>
    <w:rsid w:val="006011B7"/>
    <w:rsid w:val="00601E34"/>
    <w:rsid w:val="0060621D"/>
    <w:rsid w:val="00606753"/>
    <w:rsid w:val="00606F1B"/>
    <w:rsid w:val="0061105E"/>
    <w:rsid w:val="00611E70"/>
    <w:rsid w:val="006139BE"/>
    <w:rsid w:val="006154F4"/>
    <w:rsid w:val="006155A6"/>
    <w:rsid w:val="0061672E"/>
    <w:rsid w:val="00617C5F"/>
    <w:rsid w:val="006207E0"/>
    <w:rsid w:val="006224C0"/>
    <w:rsid w:val="006249E6"/>
    <w:rsid w:val="006313E4"/>
    <w:rsid w:val="006346C7"/>
    <w:rsid w:val="0063677F"/>
    <w:rsid w:val="0063688F"/>
    <w:rsid w:val="00640CDC"/>
    <w:rsid w:val="006450BA"/>
    <w:rsid w:val="00650F3C"/>
    <w:rsid w:val="0065134D"/>
    <w:rsid w:val="00652116"/>
    <w:rsid w:val="006545FC"/>
    <w:rsid w:val="00654B32"/>
    <w:rsid w:val="0065577D"/>
    <w:rsid w:val="00656415"/>
    <w:rsid w:val="00656BF7"/>
    <w:rsid w:val="0066014C"/>
    <w:rsid w:val="00665849"/>
    <w:rsid w:val="00666C77"/>
    <w:rsid w:val="00671816"/>
    <w:rsid w:val="00671D10"/>
    <w:rsid w:val="00674641"/>
    <w:rsid w:val="0067493C"/>
    <w:rsid w:val="006769B8"/>
    <w:rsid w:val="0067791B"/>
    <w:rsid w:val="00681B21"/>
    <w:rsid w:val="00682155"/>
    <w:rsid w:val="00682527"/>
    <w:rsid w:val="00684EB7"/>
    <w:rsid w:val="00684FFD"/>
    <w:rsid w:val="00685DCD"/>
    <w:rsid w:val="00690517"/>
    <w:rsid w:val="00692B8E"/>
    <w:rsid w:val="00695658"/>
    <w:rsid w:val="00697B23"/>
    <w:rsid w:val="006A0079"/>
    <w:rsid w:val="006A1EE5"/>
    <w:rsid w:val="006A4012"/>
    <w:rsid w:val="006A4E55"/>
    <w:rsid w:val="006A569B"/>
    <w:rsid w:val="006A596A"/>
    <w:rsid w:val="006A6546"/>
    <w:rsid w:val="006A6C5C"/>
    <w:rsid w:val="006B4A33"/>
    <w:rsid w:val="006B5373"/>
    <w:rsid w:val="006B5FE0"/>
    <w:rsid w:val="006B750B"/>
    <w:rsid w:val="006B78C6"/>
    <w:rsid w:val="006C0BA1"/>
    <w:rsid w:val="006D3C00"/>
    <w:rsid w:val="006D5675"/>
    <w:rsid w:val="006D69A6"/>
    <w:rsid w:val="006E17D9"/>
    <w:rsid w:val="006E1948"/>
    <w:rsid w:val="006F2EC2"/>
    <w:rsid w:val="00702C6F"/>
    <w:rsid w:val="00712327"/>
    <w:rsid w:val="00712E1D"/>
    <w:rsid w:val="00720E84"/>
    <w:rsid w:val="00732384"/>
    <w:rsid w:val="007338A0"/>
    <w:rsid w:val="00733D1B"/>
    <w:rsid w:val="00734C09"/>
    <w:rsid w:val="0073526B"/>
    <w:rsid w:val="00737896"/>
    <w:rsid w:val="00740631"/>
    <w:rsid w:val="007438AD"/>
    <w:rsid w:val="007441E2"/>
    <w:rsid w:val="007460FA"/>
    <w:rsid w:val="007541BE"/>
    <w:rsid w:val="0075595F"/>
    <w:rsid w:val="00760929"/>
    <w:rsid w:val="00760DDE"/>
    <w:rsid w:val="00763B3C"/>
    <w:rsid w:val="00766CD9"/>
    <w:rsid w:val="00767828"/>
    <w:rsid w:val="00771503"/>
    <w:rsid w:val="00772DF7"/>
    <w:rsid w:val="00781D3D"/>
    <w:rsid w:val="007850DA"/>
    <w:rsid w:val="0078743E"/>
    <w:rsid w:val="00787BC5"/>
    <w:rsid w:val="007949DE"/>
    <w:rsid w:val="0079704A"/>
    <w:rsid w:val="007A0950"/>
    <w:rsid w:val="007A34E6"/>
    <w:rsid w:val="007A557F"/>
    <w:rsid w:val="007A6D0E"/>
    <w:rsid w:val="007B3B62"/>
    <w:rsid w:val="007B698D"/>
    <w:rsid w:val="007C7FD1"/>
    <w:rsid w:val="007D1FE1"/>
    <w:rsid w:val="007D2605"/>
    <w:rsid w:val="007D44D4"/>
    <w:rsid w:val="007D52FE"/>
    <w:rsid w:val="007D5ECA"/>
    <w:rsid w:val="007D6424"/>
    <w:rsid w:val="007D7757"/>
    <w:rsid w:val="007E3069"/>
    <w:rsid w:val="007F2D3C"/>
    <w:rsid w:val="007F44A5"/>
    <w:rsid w:val="007F4934"/>
    <w:rsid w:val="007F4BF2"/>
    <w:rsid w:val="007F62C8"/>
    <w:rsid w:val="007F72E1"/>
    <w:rsid w:val="00803420"/>
    <w:rsid w:val="008067E5"/>
    <w:rsid w:val="00806A4F"/>
    <w:rsid w:val="008073B5"/>
    <w:rsid w:val="0082336E"/>
    <w:rsid w:val="00831D09"/>
    <w:rsid w:val="0083592D"/>
    <w:rsid w:val="0084263A"/>
    <w:rsid w:val="00843471"/>
    <w:rsid w:val="00843FEB"/>
    <w:rsid w:val="00847F1F"/>
    <w:rsid w:val="00851159"/>
    <w:rsid w:val="008602E4"/>
    <w:rsid w:val="00860E52"/>
    <w:rsid w:val="008611CD"/>
    <w:rsid w:val="00870851"/>
    <w:rsid w:val="00872DB9"/>
    <w:rsid w:val="008744CC"/>
    <w:rsid w:val="008766B5"/>
    <w:rsid w:val="00876B24"/>
    <w:rsid w:val="008811BE"/>
    <w:rsid w:val="0088206D"/>
    <w:rsid w:val="00882212"/>
    <w:rsid w:val="00886368"/>
    <w:rsid w:val="00887F8D"/>
    <w:rsid w:val="00887FF2"/>
    <w:rsid w:val="008A41C4"/>
    <w:rsid w:val="008A72FB"/>
    <w:rsid w:val="008B01DA"/>
    <w:rsid w:val="008B580B"/>
    <w:rsid w:val="008C35D0"/>
    <w:rsid w:val="008D0523"/>
    <w:rsid w:val="008D1207"/>
    <w:rsid w:val="008D4D66"/>
    <w:rsid w:val="008E1237"/>
    <w:rsid w:val="008E1DA9"/>
    <w:rsid w:val="008E3056"/>
    <w:rsid w:val="008E330C"/>
    <w:rsid w:val="008E4524"/>
    <w:rsid w:val="008E7658"/>
    <w:rsid w:val="008E7EDA"/>
    <w:rsid w:val="008F0874"/>
    <w:rsid w:val="008F0FD0"/>
    <w:rsid w:val="008F60B0"/>
    <w:rsid w:val="00903E08"/>
    <w:rsid w:val="00904D02"/>
    <w:rsid w:val="00904D4A"/>
    <w:rsid w:val="00910AA3"/>
    <w:rsid w:val="00912BB6"/>
    <w:rsid w:val="009138CC"/>
    <w:rsid w:val="0091489A"/>
    <w:rsid w:val="00915254"/>
    <w:rsid w:val="0091644F"/>
    <w:rsid w:val="00922DC4"/>
    <w:rsid w:val="009232AD"/>
    <w:rsid w:val="00924FFC"/>
    <w:rsid w:val="00925EBE"/>
    <w:rsid w:val="00926790"/>
    <w:rsid w:val="00926A21"/>
    <w:rsid w:val="009275A7"/>
    <w:rsid w:val="009339FC"/>
    <w:rsid w:val="0094017D"/>
    <w:rsid w:val="009503A7"/>
    <w:rsid w:val="0095595E"/>
    <w:rsid w:val="00962AAE"/>
    <w:rsid w:val="00963676"/>
    <w:rsid w:val="00965511"/>
    <w:rsid w:val="0096716A"/>
    <w:rsid w:val="00971C31"/>
    <w:rsid w:val="00984605"/>
    <w:rsid w:val="009907D1"/>
    <w:rsid w:val="00991D3E"/>
    <w:rsid w:val="009940B0"/>
    <w:rsid w:val="009944AF"/>
    <w:rsid w:val="00996CF8"/>
    <w:rsid w:val="009A5DF9"/>
    <w:rsid w:val="009B10AC"/>
    <w:rsid w:val="009B1F79"/>
    <w:rsid w:val="009B7084"/>
    <w:rsid w:val="009C10B9"/>
    <w:rsid w:val="009C441B"/>
    <w:rsid w:val="009D5437"/>
    <w:rsid w:val="009D5785"/>
    <w:rsid w:val="009F7748"/>
    <w:rsid w:val="00A00562"/>
    <w:rsid w:val="00A0231C"/>
    <w:rsid w:val="00A06553"/>
    <w:rsid w:val="00A1607A"/>
    <w:rsid w:val="00A17A6A"/>
    <w:rsid w:val="00A22FEC"/>
    <w:rsid w:val="00A24F4D"/>
    <w:rsid w:val="00A26592"/>
    <w:rsid w:val="00A301C7"/>
    <w:rsid w:val="00A31069"/>
    <w:rsid w:val="00A3380B"/>
    <w:rsid w:val="00A6533D"/>
    <w:rsid w:val="00A72FFA"/>
    <w:rsid w:val="00A761FF"/>
    <w:rsid w:val="00A80518"/>
    <w:rsid w:val="00A82DE7"/>
    <w:rsid w:val="00A95CCD"/>
    <w:rsid w:val="00AA6D3B"/>
    <w:rsid w:val="00AB00CB"/>
    <w:rsid w:val="00AB1434"/>
    <w:rsid w:val="00AC2C92"/>
    <w:rsid w:val="00AC3B94"/>
    <w:rsid w:val="00AD0599"/>
    <w:rsid w:val="00AD20E9"/>
    <w:rsid w:val="00AD2BE8"/>
    <w:rsid w:val="00AD7BDC"/>
    <w:rsid w:val="00AE10B3"/>
    <w:rsid w:val="00AE144C"/>
    <w:rsid w:val="00AE47C0"/>
    <w:rsid w:val="00AE5473"/>
    <w:rsid w:val="00AE6AAB"/>
    <w:rsid w:val="00AF043E"/>
    <w:rsid w:val="00AF0513"/>
    <w:rsid w:val="00AF29B4"/>
    <w:rsid w:val="00AF4988"/>
    <w:rsid w:val="00AF50F8"/>
    <w:rsid w:val="00AF56B4"/>
    <w:rsid w:val="00AF728A"/>
    <w:rsid w:val="00B00168"/>
    <w:rsid w:val="00B00644"/>
    <w:rsid w:val="00B01BB9"/>
    <w:rsid w:val="00B05527"/>
    <w:rsid w:val="00B060C8"/>
    <w:rsid w:val="00B064B4"/>
    <w:rsid w:val="00B208A8"/>
    <w:rsid w:val="00B23089"/>
    <w:rsid w:val="00B24F55"/>
    <w:rsid w:val="00B31208"/>
    <w:rsid w:val="00B3271A"/>
    <w:rsid w:val="00B32DDF"/>
    <w:rsid w:val="00B33997"/>
    <w:rsid w:val="00B36EE0"/>
    <w:rsid w:val="00B375BE"/>
    <w:rsid w:val="00B41613"/>
    <w:rsid w:val="00B4163F"/>
    <w:rsid w:val="00B43E42"/>
    <w:rsid w:val="00B45B48"/>
    <w:rsid w:val="00B514FB"/>
    <w:rsid w:val="00B533C0"/>
    <w:rsid w:val="00B54259"/>
    <w:rsid w:val="00B54400"/>
    <w:rsid w:val="00B60425"/>
    <w:rsid w:val="00B62DD4"/>
    <w:rsid w:val="00B62EB3"/>
    <w:rsid w:val="00B6495A"/>
    <w:rsid w:val="00B64AA1"/>
    <w:rsid w:val="00B64B1D"/>
    <w:rsid w:val="00B65EC6"/>
    <w:rsid w:val="00B6615D"/>
    <w:rsid w:val="00B6639D"/>
    <w:rsid w:val="00B66458"/>
    <w:rsid w:val="00B66EE0"/>
    <w:rsid w:val="00B67D20"/>
    <w:rsid w:val="00B7262E"/>
    <w:rsid w:val="00B77080"/>
    <w:rsid w:val="00B82257"/>
    <w:rsid w:val="00B83EF2"/>
    <w:rsid w:val="00B84700"/>
    <w:rsid w:val="00B85A39"/>
    <w:rsid w:val="00B8682A"/>
    <w:rsid w:val="00B92E72"/>
    <w:rsid w:val="00BA098D"/>
    <w:rsid w:val="00BA1A39"/>
    <w:rsid w:val="00BA2D21"/>
    <w:rsid w:val="00BA33DF"/>
    <w:rsid w:val="00BA3E28"/>
    <w:rsid w:val="00BA75BB"/>
    <w:rsid w:val="00BA76C4"/>
    <w:rsid w:val="00BA772E"/>
    <w:rsid w:val="00BA79F1"/>
    <w:rsid w:val="00BB0291"/>
    <w:rsid w:val="00BB05AA"/>
    <w:rsid w:val="00BB0F06"/>
    <w:rsid w:val="00BB2CA7"/>
    <w:rsid w:val="00BC1AC5"/>
    <w:rsid w:val="00BC4F7C"/>
    <w:rsid w:val="00BC583D"/>
    <w:rsid w:val="00BD0C64"/>
    <w:rsid w:val="00BD2F46"/>
    <w:rsid w:val="00BD670F"/>
    <w:rsid w:val="00BE08F3"/>
    <w:rsid w:val="00BE0AFB"/>
    <w:rsid w:val="00BE524F"/>
    <w:rsid w:val="00BE578E"/>
    <w:rsid w:val="00BF0B61"/>
    <w:rsid w:val="00BF1424"/>
    <w:rsid w:val="00BF55D3"/>
    <w:rsid w:val="00BF7601"/>
    <w:rsid w:val="00BF7B52"/>
    <w:rsid w:val="00C040D4"/>
    <w:rsid w:val="00C11024"/>
    <w:rsid w:val="00C11164"/>
    <w:rsid w:val="00C11AF1"/>
    <w:rsid w:val="00C125F0"/>
    <w:rsid w:val="00C145A9"/>
    <w:rsid w:val="00C17357"/>
    <w:rsid w:val="00C20018"/>
    <w:rsid w:val="00C237F9"/>
    <w:rsid w:val="00C26FE4"/>
    <w:rsid w:val="00C27ADA"/>
    <w:rsid w:val="00C31A9C"/>
    <w:rsid w:val="00C332E8"/>
    <w:rsid w:val="00C41800"/>
    <w:rsid w:val="00C42D6C"/>
    <w:rsid w:val="00C43C97"/>
    <w:rsid w:val="00C44B88"/>
    <w:rsid w:val="00C47C37"/>
    <w:rsid w:val="00C47CAD"/>
    <w:rsid w:val="00C50B6F"/>
    <w:rsid w:val="00C56D06"/>
    <w:rsid w:val="00C61E58"/>
    <w:rsid w:val="00C70864"/>
    <w:rsid w:val="00C8060F"/>
    <w:rsid w:val="00C80C52"/>
    <w:rsid w:val="00C822C4"/>
    <w:rsid w:val="00C853CC"/>
    <w:rsid w:val="00C9024E"/>
    <w:rsid w:val="00C91BB9"/>
    <w:rsid w:val="00C92B11"/>
    <w:rsid w:val="00C9684D"/>
    <w:rsid w:val="00C96E20"/>
    <w:rsid w:val="00CA1578"/>
    <w:rsid w:val="00CA5981"/>
    <w:rsid w:val="00CB108B"/>
    <w:rsid w:val="00CB117B"/>
    <w:rsid w:val="00CB121E"/>
    <w:rsid w:val="00CC4699"/>
    <w:rsid w:val="00CC5211"/>
    <w:rsid w:val="00CD00A4"/>
    <w:rsid w:val="00CD4C0B"/>
    <w:rsid w:val="00CD5186"/>
    <w:rsid w:val="00CD627A"/>
    <w:rsid w:val="00CD73B8"/>
    <w:rsid w:val="00CE0F64"/>
    <w:rsid w:val="00CE2147"/>
    <w:rsid w:val="00CE24AF"/>
    <w:rsid w:val="00CE28BD"/>
    <w:rsid w:val="00CE6AE4"/>
    <w:rsid w:val="00CF072F"/>
    <w:rsid w:val="00CF35F0"/>
    <w:rsid w:val="00CF45DC"/>
    <w:rsid w:val="00CF6247"/>
    <w:rsid w:val="00CF7D86"/>
    <w:rsid w:val="00D0463D"/>
    <w:rsid w:val="00D057E7"/>
    <w:rsid w:val="00D06B51"/>
    <w:rsid w:val="00D176EC"/>
    <w:rsid w:val="00D17754"/>
    <w:rsid w:val="00D17EB5"/>
    <w:rsid w:val="00D208C5"/>
    <w:rsid w:val="00D21234"/>
    <w:rsid w:val="00D251C4"/>
    <w:rsid w:val="00D27EB2"/>
    <w:rsid w:val="00D31CCC"/>
    <w:rsid w:val="00D34239"/>
    <w:rsid w:val="00D4014B"/>
    <w:rsid w:val="00D422FA"/>
    <w:rsid w:val="00D44C3A"/>
    <w:rsid w:val="00D549DF"/>
    <w:rsid w:val="00D64E70"/>
    <w:rsid w:val="00D733AC"/>
    <w:rsid w:val="00D803E3"/>
    <w:rsid w:val="00D81F95"/>
    <w:rsid w:val="00D8449A"/>
    <w:rsid w:val="00D8532E"/>
    <w:rsid w:val="00D864EC"/>
    <w:rsid w:val="00D902F6"/>
    <w:rsid w:val="00D904D2"/>
    <w:rsid w:val="00D908A0"/>
    <w:rsid w:val="00D9195E"/>
    <w:rsid w:val="00D9230A"/>
    <w:rsid w:val="00D95788"/>
    <w:rsid w:val="00DA2BED"/>
    <w:rsid w:val="00DA4F61"/>
    <w:rsid w:val="00DA6851"/>
    <w:rsid w:val="00DB2564"/>
    <w:rsid w:val="00DB4554"/>
    <w:rsid w:val="00DC0C10"/>
    <w:rsid w:val="00DC0EFD"/>
    <w:rsid w:val="00DC4255"/>
    <w:rsid w:val="00DC7594"/>
    <w:rsid w:val="00DD21AA"/>
    <w:rsid w:val="00DD3AF2"/>
    <w:rsid w:val="00DD456E"/>
    <w:rsid w:val="00DD4916"/>
    <w:rsid w:val="00DE71CE"/>
    <w:rsid w:val="00DF2775"/>
    <w:rsid w:val="00DF57B6"/>
    <w:rsid w:val="00E12382"/>
    <w:rsid w:val="00E1281B"/>
    <w:rsid w:val="00E12EFB"/>
    <w:rsid w:val="00E1566B"/>
    <w:rsid w:val="00E15A8D"/>
    <w:rsid w:val="00E20FC7"/>
    <w:rsid w:val="00E22427"/>
    <w:rsid w:val="00E26DBE"/>
    <w:rsid w:val="00E3043B"/>
    <w:rsid w:val="00E31344"/>
    <w:rsid w:val="00E31D11"/>
    <w:rsid w:val="00E31F2E"/>
    <w:rsid w:val="00E3519F"/>
    <w:rsid w:val="00E35D17"/>
    <w:rsid w:val="00E374ED"/>
    <w:rsid w:val="00E3759B"/>
    <w:rsid w:val="00E464BD"/>
    <w:rsid w:val="00E51FFA"/>
    <w:rsid w:val="00E55B09"/>
    <w:rsid w:val="00E607BE"/>
    <w:rsid w:val="00E62990"/>
    <w:rsid w:val="00E62E57"/>
    <w:rsid w:val="00E64EFE"/>
    <w:rsid w:val="00E651A4"/>
    <w:rsid w:val="00E66549"/>
    <w:rsid w:val="00E70C86"/>
    <w:rsid w:val="00E71014"/>
    <w:rsid w:val="00E71CAC"/>
    <w:rsid w:val="00E72119"/>
    <w:rsid w:val="00E737E0"/>
    <w:rsid w:val="00E7556D"/>
    <w:rsid w:val="00E8212C"/>
    <w:rsid w:val="00E82E15"/>
    <w:rsid w:val="00E83782"/>
    <w:rsid w:val="00E87CF9"/>
    <w:rsid w:val="00E91169"/>
    <w:rsid w:val="00E93352"/>
    <w:rsid w:val="00E9571A"/>
    <w:rsid w:val="00E9754A"/>
    <w:rsid w:val="00EA08A4"/>
    <w:rsid w:val="00EA42A6"/>
    <w:rsid w:val="00EA7CCB"/>
    <w:rsid w:val="00EB5F3B"/>
    <w:rsid w:val="00EB6206"/>
    <w:rsid w:val="00EC3A41"/>
    <w:rsid w:val="00EC5E01"/>
    <w:rsid w:val="00ED278F"/>
    <w:rsid w:val="00EE1EEC"/>
    <w:rsid w:val="00EE2A92"/>
    <w:rsid w:val="00EE3635"/>
    <w:rsid w:val="00EE460A"/>
    <w:rsid w:val="00EE58EE"/>
    <w:rsid w:val="00EF118A"/>
    <w:rsid w:val="00EF187E"/>
    <w:rsid w:val="00EF30B1"/>
    <w:rsid w:val="00F042CE"/>
    <w:rsid w:val="00F0603A"/>
    <w:rsid w:val="00F1038F"/>
    <w:rsid w:val="00F1175D"/>
    <w:rsid w:val="00F142E1"/>
    <w:rsid w:val="00F1451E"/>
    <w:rsid w:val="00F154A5"/>
    <w:rsid w:val="00F20C94"/>
    <w:rsid w:val="00F2512A"/>
    <w:rsid w:val="00F25A1F"/>
    <w:rsid w:val="00F31687"/>
    <w:rsid w:val="00F378F5"/>
    <w:rsid w:val="00F37E91"/>
    <w:rsid w:val="00F40702"/>
    <w:rsid w:val="00F4110E"/>
    <w:rsid w:val="00F428F6"/>
    <w:rsid w:val="00F444FB"/>
    <w:rsid w:val="00F44A29"/>
    <w:rsid w:val="00F47758"/>
    <w:rsid w:val="00F54B31"/>
    <w:rsid w:val="00F56D1E"/>
    <w:rsid w:val="00F61F4E"/>
    <w:rsid w:val="00F62069"/>
    <w:rsid w:val="00F62A6C"/>
    <w:rsid w:val="00F6637C"/>
    <w:rsid w:val="00F754F4"/>
    <w:rsid w:val="00F75C61"/>
    <w:rsid w:val="00F75D72"/>
    <w:rsid w:val="00F80149"/>
    <w:rsid w:val="00F81382"/>
    <w:rsid w:val="00F81CDF"/>
    <w:rsid w:val="00F86A24"/>
    <w:rsid w:val="00F87C8E"/>
    <w:rsid w:val="00F90101"/>
    <w:rsid w:val="00FA379B"/>
    <w:rsid w:val="00FA66E8"/>
    <w:rsid w:val="00FB0949"/>
    <w:rsid w:val="00FB0AE4"/>
    <w:rsid w:val="00FB0C24"/>
    <w:rsid w:val="00FB11B8"/>
    <w:rsid w:val="00FB351F"/>
    <w:rsid w:val="00FB4C23"/>
    <w:rsid w:val="00FC1F6D"/>
    <w:rsid w:val="00FC235E"/>
    <w:rsid w:val="00FD008D"/>
    <w:rsid w:val="00FD1FC4"/>
    <w:rsid w:val="00FD6186"/>
    <w:rsid w:val="00FE2034"/>
    <w:rsid w:val="00FE5838"/>
    <w:rsid w:val="00FF168F"/>
    <w:rsid w:val="00FF2DA1"/>
    <w:rsid w:val="00FF571A"/>
    <w:rsid w:val="00FF6418"/>
    <w:rsid w:val="01486C7E"/>
    <w:rsid w:val="02B66A1A"/>
    <w:rsid w:val="02C3A8C0"/>
    <w:rsid w:val="07B0AA95"/>
    <w:rsid w:val="094C7AF6"/>
    <w:rsid w:val="0A213939"/>
    <w:rsid w:val="0A542B97"/>
    <w:rsid w:val="0F79382B"/>
    <w:rsid w:val="104DAE44"/>
    <w:rsid w:val="10D1F3B0"/>
    <w:rsid w:val="14E00123"/>
    <w:rsid w:val="16F129E4"/>
    <w:rsid w:val="1963E270"/>
    <w:rsid w:val="19B61CB1"/>
    <w:rsid w:val="1CD98CBD"/>
    <w:rsid w:val="1EDAB675"/>
    <w:rsid w:val="1F1517F8"/>
    <w:rsid w:val="1F1B7F2F"/>
    <w:rsid w:val="1FCDB141"/>
    <w:rsid w:val="206B849E"/>
    <w:rsid w:val="231D3973"/>
    <w:rsid w:val="25AFE645"/>
    <w:rsid w:val="25B01583"/>
    <w:rsid w:val="291C88CC"/>
    <w:rsid w:val="2B8B9AE6"/>
    <w:rsid w:val="2C63FBDA"/>
    <w:rsid w:val="2DAC3178"/>
    <w:rsid w:val="2E7816FF"/>
    <w:rsid w:val="2E88BB59"/>
    <w:rsid w:val="2E8BB303"/>
    <w:rsid w:val="35DBCF94"/>
    <w:rsid w:val="3E1DE2C8"/>
    <w:rsid w:val="3EA8224C"/>
    <w:rsid w:val="3F3DBC87"/>
    <w:rsid w:val="40CBF516"/>
    <w:rsid w:val="42B7CADD"/>
    <w:rsid w:val="4371635B"/>
    <w:rsid w:val="4674C907"/>
    <w:rsid w:val="4689DAE0"/>
    <w:rsid w:val="49257B89"/>
    <w:rsid w:val="4C3DAF80"/>
    <w:rsid w:val="4C8EE007"/>
    <w:rsid w:val="4EE8E93F"/>
    <w:rsid w:val="4F27C985"/>
    <w:rsid w:val="4F28B2A3"/>
    <w:rsid w:val="4F70E821"/>
    <w:rsid w:val="5072BC1C"/>
    <w:rsid w:val="53D08875"/>
    <w:rsid w:val="53F4AEE3"/>
    <w:rsid w:val="54168FD3"/>
    <w:rsid w:val="546FE60D"/>
    <w:rsid w:val="54CDE27B"/>
    <w:rsid w:val="55451C60"/>
    <w:rsid w:val="5A6D7D6D"/>
    <w:rsid w:val="5B86D125"/>
    <w:rsid w:val="5D68E4FD"/>
    <w:rsid w:val="5D898C09"/>
    <w:rsid w:val="5FAED419"/>
    <w:rsid w:val="60914EB9"/>
    <w:rsid w:val="63172A2F"/>
    <w:rsid w:val="633B058E"/>
    <w:rsid w:val="6539DCB7"/>
    <w:rsid w:val="69039DD8"/>
    <w:rsid w:val="69C05349"/>
    <w:rsid w:val="69C5BB41"/>
    <w:rsid w:val="6A4B44CD"/>
    <w:rsid w:val="6A8660CA"/>
    <w:rsid w:val="6ABB19A9"/>
    <w:rsid w:val="6CC13773"/>
    <w:rsid w:val="6DF0247D"/>
    <w:rsid w:val="6E64C181"/>
    <w:rsid w:val="70BA8651"/>
    <w:rsid w:val="7420E206"/>
    <w:rsid w:val="7626C32B"/>
    <w:rsid w:val="7950E7D5"/>
    <w:rsid w:val="79F5EACA"/>
    <w:rsid w:val="7AA2384A"/>
    <w:rsid w:val="7B0D18E7"/>
    <w:rsid w:val="7DF5C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C19B9"/>
  <w15:chartTrackingRefBased/>
  <w15:docId w15:val="{EDD57DAC-D054-4340-A0DE-2D1C4F07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2427"/>
    <w:pPr>
      <w:spacing w:after="240"/>
    </w:pPr>
    <w:rPr>
      <w:rFonts w:ascii="Calibri" w:eastAsia="Times New Roman" w:hAnsi="Calibri" w:cs="Times New Roman"/>
      <w:kern w:val="24"/>
      <w:szCs w:val="24"/>
      <w:lang w:eastAsia="ja-JP"/>
    </w:rPr>
  </w:style>
  <w:style w:type="paragraph" w:styleId="Heading1">
    <w:name w:val="heading 1"/>
    <w:basedOn w:val="DocumentText"/>
    <w:next w:val="DocumentText"/>
    <w:link w:val="Heading1Char"/>
    <w:qFormat/>
    <w:rsid w:val="001431B9"/>
    <w:pPr>
      <w:keepNext/>
      <w:keepLines/>
      <w:tabs>
        <w:tab w:val="left" w:pos="1152"/>
      </w:tabs>
      <w:spacing w:before="120" w:after="120"/>
      <w:outlineLvl w:val="0"/>
    </w:pPr>
    <w:rPr>
      <w:b/>
      <w:kern w:val="28"/>
      <w:szCs w:val="28"/>
      <w:u w:val="single"/>
      <w:lang w:val="x-none"/>
    </w:rPr>
  </w:style>
  <w:style w:type="paragraph" w:styleId="Heading2">
    <w:name w:val="heading 2"/>
    <w:basedOn w:val="Heading1"/>
    <w:next w:val="DocumentText"/>
    <w:link w:val="Heading2Char"/>
    <w:qFormat/>
    <w:rsid w:val="00F37E91"/>
    <w:pPr>
      <w:tabs>
        <w:tab w:val="clear" w:pos="1152"/>
        <w:tab w:val="left" w:pos="1404"/>
      </w:tabs>
      <w:outlineLvl w:val="1"/>
    </w:pPr>
    <w:rPr>
      <w:b w:val="0"/>
      <w:i/>
      <w:u w:val="none"/>
    </w:rPr>
  </w:style>
  <w:style w:type="paragraph" w:styleId="Heading3">
    <w:name w:val="heading 3"/>
    <w:basedOn w:val="Heading1"/>
    <w:next w:val="DocumentText"/>
    <w:link w:val="Heading3Char"/>
    <w:qFormat/>
    <w:rsid w:val="003A7B9A"/>
    <w:pPr>
      <w:tabs>
        <w:tab w:val="clear" w:pos="1152"/>
        <w:tab w:val="left" w:pos="1642"/>
      </w:tabs>
      <w:outlineLvl w:val="2"/>
    </w:pPr>
    <w:rPr>
      <w:u w:val="none"/>
    </w:rPr>
  </w:style>
  <w:style w:type="paragraph" w:styleId="Heading4">
    <w:name w:val="heading 4"/>
    <w:basedOn w:val="Heading1"/>
    <w:next w:val="DocumentText"/>
    <w:link w:val="Heading4Char"/>
    <w:qFormat/>
    <w:rsid w:val="0027393C"/>
    <w:pPr>
      <w:numPr>
        <w:ilvl w:val="3"/>
        <w:numId w:val="1"/>
      </w:numPr>
      <w:tabs>
        <w:tab w:val="clear" w:pos="1152"/>
        <w:tab w:val="num" w:pos="360"/>
        <w:tab w:val="left" w:pos="1865"/>
      </w:tabs>
      <w:outlineLvl w:val="3"/>
    </w:pPr>
    <w:rPr>
      <w:caps/>
    </w:rPr>
  </w:style>
  <w:style w:type="paragraph" w:styleId="Heading5">
    <w:name w:val="heading 5"/>
    <w:basedOn w:val="Heading1"/>
    <w:next w:val="DocumentText"/>
    <w:link w:val="Heading5Char"/>
    <w:qFormat/>
    <w:rsid w:val="0027393C"/>
    <w:pPr>
      <w:numPr>
        <w:ilvl w:val="4"/>
        <w:numId w:val="1"/>
      </w:numPr>
      <w:tabs>
        <w:tab w:val="clear" w:pos="1152"/>
        <w:tab w:val="num" w:pos="360"/>
        <w:tab w:val="left" w:pos="2074"/>
      </w:tabs>
      <w:outlineLvl w:val="4"/>
    </w:pPr>
    <w:rPr>
      <w:caps/>
    </w:rPr>
  </w:style>
  <w:style w:type="paragraph" w:styleId="Heading6">
    <w:name w:val="heading 6"/>
    <w:basedOn w:val="Heading1"/>
    <w:next w:val="DocumentText"/>
    <w:link w:val="Heading6Char"/>
    <w:qFormat/>
    <w:rsid w:val="0027393C"/>
    <w:pPr>
      <w:numPr>
        <w:ilvl w:val="5"/>
        <w:numId w:val="1"/>
      </w:numPr>
      <w:tabs>
        <w:tab w:val="clear" w:pos="1152"/>
        <w:tab w:val="num" w:pos="360"/>
        <w:tab w:val="left" w:pos="2268"/>
      </w:tabs>
      <w:outlineLvl w:val="5"/>
    </w:pPr>
  </w:style>
  <w:style w:type="paragraph" w:styleId="Heading7">
    <w:name w:val="heading 7"/>
    <w:basedOn w:val="Heading1"/>
    <w:next w:val="DocumentText"/>
    <w:link w:val="Heading7Char"/>
    <w:qFormat/>
    <w:rsid w:val="0027393C"/>
    <w:pPr>
      <w:numPr>
        <w:ilvl w:val="6"/>
        <w:numId w:val="1"/>
      </w:numPr>
      <w:tabs>
        <w:tab w:val="clear" w:pos="1152"/>
        <w:tab w:val="clear" w:pos="1296"/>
        <w:tab w:val="num" w:pos="360"/>
        <w:tab w:val="left" w:pos="2448"/>
      </w:tabs>
      <w:outlineLvl w:val="6"/>
    </w:pPr>
  </w:style>
  <w:style w:type="paragraph" w:styleId="Heading8">
    <w:name w:val="heading 8"/>
    <w:basedOn w:val="Heading1"/>
    <w:next w:val="DocumentText"/>
    <w:link w:val="Heading8Char"/>
    <w:qFormat/>
    <w:rsid w:val="0027393C"/>
    <w:pPr>
      <w:numPr>
        <w:ilvl w:val="7"/>
        <w:numId w:val="1"/>
      </w:numPr>
      <w:tabs>
        <w:tab w:val="clear" w:pos="1152"/>
        <w:tab w:val="clear" w:pos="1440"/>
        <w:tab w:val="num" w:pos="360"/>
        <w:tab w:val="left" w:pos="2614"/>
      </w:tabs>
      <w:outlineLvl w:val="7"/>
    </w:pPr>
  </w:style>
  <w:style w:type="paragraph" w:styleId="Heading9">
    <w:name w:val="heading 9"/>
    <w:basedOn w:val="Heading1"/>
    <w:next w:val="DocumentText"/>
    <w:link w:val="Heading9Char"/>
    <w:qFormat/>
    <w:rsid w:val="0027393C"/>
    <w:pPr>
      <w:numPr>
        <w:ilvl w:val="8"/>
        <w:numId w:val="1"/>
      </w:numPr>
      <w:tabs>
        <w:tab w:val="clear" w:pos="1152"/>
        <w:tab w:val="clear" w:pos="1584"/>
        <w:tab w:val="num" w:pos="360"/>
        <w:tab w:val="left" w:pos="2765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1B9"/>
    <w:rPr>
      <w:rFonts w:ascii="Calibri" w:eastAsia="MS Mincho" w:hAnsi="Calibri" w:cs="Times New Roman"/>
      <w:b/>
      <w:kern w:val="28"/>
      <w:sz w:val="24"/>
      <w:szCs w:val="28"/>
      <w:u w:val="single"/>
      <w:lang w:val="x-none" w:eastAsia="ja-JP"/>
    </w:rPr>
  </w:style>
  <w:style w:type="character" w:customStyle="1" w:styleId="Heading2Char">
    <w:name w:val="Heading 2 Char"/>
    <w:basedOn w:val="DefaultParagraphFont"/>
    <w:link w:val="Heading2"/>
    <w:rsid w:val="00F37E91"/>
    <w:rPr>
      <w:rFonts w:ascii="Calibri" w:eastAsia="MS Mincho" w:hAnsi="Calibri" w:cs="Times New Roman"/>
      <w:i/>
      <w:kern w:val="28"/>
      <w:szCs w:val="28"/>
      <w:lang w:val="x-none" w:eastAsia="ja-JP"/>
    </w:rPr>
  </w:style>
  <w:style w:type="character" w:customStyle="1" w:styleId="Heading3Char">
    <w:name w:val="Heading 3 Char"/>
    <w:basedOn w:val="DefaultParagraphFont"/>
    <w:link w:val="Heading3"/>
    <w:rsid w:val="003A7B9A"/>
    <w:rPr>
      <w:rFonts w:ascii="Calibri" w:eastAsia="MS Mincho" w:hAnsi="Calibri" w:cs="Times New Roman"/>
      <w:b/>
      <w:kern w:val="28"/>
      <w:szCs w:val="28"/>
      <w:lang w:val="x-none" w:eastAsia="ja-JP"/>
    </w:rPr>
  </w:style>
  <w:style w:type="character" w:customStyle="1" w:styleId="Heading4Char">
    <w:name w:val="Heading 4 Char"/>
    <w:basedOn w:val="DefaultParagraphFont"/>
    <w:link w:val="Heading4"/>
    <w:rsid w:val="0027393C"/>
    <w:rPr>
      <w:rFonts w:ascii="Calibri" w:eastAsia="MS Mincho" w:hAnsi="Calibri" w:cs="Times New Roman"/>
      <w:b/>
      <w:caps/>
      <w:kern w:val="28"/>
      <w:szCs w:val="28"/>
      <w:u w:val="single"/>
      <w:lang w:val="x-none" w:eastAsia="ja-JP"/>
    </w:rPr>
  </w:style>
  <w:style w:type="character" w:customStyle="1" w:styleId="Heading5Char">
    <w:name w:val="Heading 5 Char"/>
    <w:basedOn w:val="DefaultParagraphFont"/>
    <w:link w:val="Heading5"/>
    <w:rsid w:val="0027393C"/>
    <w:rPr>
      <w:rFonts w:ascii="Calibri" w:eastAsia="MS Mincho" w:hAnsi="Calibri" w:cs="Times New Roman"/>
      <w:b/>
      <w:caps/>
      <w:kern w:val="28"/>
      <w:szCs w:val="28"/>
      <w:u w:val="single"/>
      <w:lang w:val="x-none" w:eastAsia="ja-JP"/>
    </w:rPr>
  </w:style>
  <w:style w:type="character" w:customStyle="1" w:styleId="Heading6Char">
    <w:name w:val="Heading 6 Char"/>
    <w:basedOn w:val="DefaultParagraphFont"/>
    <w:link w:val="Heading6"/>
    <w:rsid w:val="0027393C"/>
    <w:rPr>
      <w:rFonts w:ascii="Calibri" w:eastAsia="MS Mincho" w:hAnsi="Calibri" w:cs="Times New Roman"/>
      <w:b/>
      <w:kern w:val="28"/>
      <w:szCs w:val="28"/>
      <w:u w:val="single"/>
      <w:lang w:val="x-none" w:eastAsia="ja-JP"/>
    </w:rPr>
  </w:style>
  <w:style w:type="character" w:customStyle="1" w:styleId="Heading7Char">
    <w:name w:val="Heading 7 Char"/>
    <w:basedOn w:val="DefaultParagraphFont"/>
    <w:link w:val="Heading7"/>
    <w:rsid w:val="0027393C"/>
    <w:rPr>
      <w:rFonts w:ascii="Calibri" w:eastAsia="MS Mincho" w:hAnsi="Calibri" w:cs="Times New Roman"/>
      <w:b/>
      <w:kern w:val="28"/>
      <w:szCs w:val="28"/>
      <w:u w:val="single"/>
      <w:lang w:val="x-none" w:eastAsia="ja-JP"/>
    </w:rPr>
  </w:style>
  <w:style w:type="character" w:customStyle="1" w:styleId="Heading8Char">
    <w:name w:val="Heading 8 Char"/>
    <w:basedOn w:val="DefaultParagraphFont"/>
    <w:link w:val="Heading8"/>
    <w:rsid w:val="0027393C"/>
    <w:rPr>
      <w:rFonts w:ascii="Calibri" w:eastAsia="MS Mincho" w:hAnsi="Calibri" w:cs="Times New Roman"/>
      <w:b/>
      <w:kern w:val="28"/>
      <w:szCs w:val="28"/>
      <w:u w:val="single"/>
      <w:lang w:val="x-none" w:eastAsia="ja-JP"/>
    </w:rPr>
  </w:style>
  <w:style w:type="character" w:customStyle="1" w:styleId="Heading9Char">
    <w:name w:val="Heading 9 Char"/>
    <w:basedOn w:val="DefaultParagraphFont"/>
    <w:link w:val="Heading9"/>
    <w:rsid w:val="0027393C"/>
    <w:rPr>
      <w:rFonts w:ascii="Calibri" w:eastAsia="MS Mincho" w:hAnsi="Calibri" w:cs="Times New Roman"/>
      <w:b/>
      <w:kern w:val="28"/>
      <w:szCs w:val="28"/>
      <w:u w:val="single"/>
      <w:lang w:val="x-none" w:eastAsia="ja-JP"/>
    </w:rPr>
  </w:style>
  <w:style w:type="paragraph" w:customStyle="1" w:styleId="DocumentText">
    <w:name w:val="Document Text"/>
    <w:basedOn w:val="Normal"/>
    <w:link w:val="DocumentTextChar"/>
    <w:qFormat/>
    <w:rsid w:val="0027393C"/>
    <w:rPr>
      <w:rFonts w:eastAsia="MS Mincho"/>
    </w:rPr>
  </w:style>
  <w:style w:type="character" w:customStyle="1" w:styleId="DocumentTextChar">
    <w:name w:val="Document Text Char"/>
    <w:link w:val="DocumentText"/>
    <w:rsid w:val="0027393C"/>
    <w:rPr>
      <w:rFonts w:ascii="Times New Roman" w:eastAsia="MS Mincho" w:hAnsi="Times New Roman" w:cs="Times New Roman"/>
      <w:kern w:val="24"/>
      <w:sz w:val="24"/>
      <w:szCs w:val="24"/>
      <w:lang w:eastAsia="ja-JP"/>
    </w:rPr>
  </w:style>
  <w:style w:type="paragraph" w:styleId="Index1">
    <w:name w:val="index 1"/>
    <w:basedOn w:val="Normal"/>
    <w:next w:val="Normal"/>
    <w:autoRedefine/>
    <w:rsid w:val="0027393C"/>
    <w:pPr>
      <w:ind w:left="240" w:hanging="240"/>
    </w:pPr>
  </w:style>
  <w:style w:type="paragraph" w:styleId="Footer">
    <w:name w:val="footer"/>
    <w:basedOn w:val="DocumentText"/>
    <w:link w:val="FooterChar"/>
    <w:uiPriority w:val="99"/>
    <w:rsid w:val="0027393C"/>
    <w:pPr>
      <w:tabs>
        <w:tab w:val="center" w:pos="4478"/>
        <w:tab w:val="right" w:pos="8957"/>
      </w:tabs>
      <w:spacing w:before="120" w:after="0" w:line="240" w:lineRule="auto"/>
    </w:pPr>
    <w:rPr>
      <w:kern w:val="18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393C"/>
    <w:rPr>
      <w:rFonts w:ascii="Times New Roman" w:eastAsia="MS Mincho" w:hAnsi="Times New Roman" w:cs="Times New Roman"/>
      <w:kern w:val="18"/>
      <w:sz w:val="20"/>
      <w:szCs w:val="24"/>
      <w:lang w:eastAsia="ja-JP"/>
    </w:rPr>
  </w:style>
  <w:style w:type="paragraph" w:styleId="Header">
    <w:name w:val="header"/>
    <w:basedOn w:val="DocumentText"/>
    <w:link w:val="HeaderChar"/>
    <w:rsid w:val="0027393C"/>
    <w:pPr>
      <w:tabs>
        <w:tab w:val="right" w:pos="8957"/>
      </w:tabs>
      <w:spacing w:after="120" w:line="240" w:lineRule="auto"/>
    </w:pPr>
    <w:rPr>
      <w:kern w:val="18"/>
      <w:sz w:val="20"/>
    </w:rPr>
  </w:style>
  <w:style w:type="character" w:customStyle="1" w:styleId="HeaderChar">
    <w:name w:val="Header Char"/>
    <w:basedOn w:val="DefaultParagraphFont"/>
    <w:link w:val="Header"/>
    <w:rsid w:val="0027393C"/>
    <w:rPr>
      <w:rFonts w:ascii="Times New Roman" w:eastAsia="MS Mincho" w:hAnsi="Times New Roman" w:cs="Times New Roman"/>
      <w:kern w:val="18"/>
      <w:sz w:val="20"/>
      <w:szCs w:val="24"/>
      <w:lang w:eastAsia="ja-JP"/>
    </w:rPr>
  </w:style>
  <w:style w:type="character" w:styleId="Hyperlink">
    <w:name w:val="Hyperlink"/>
    <w:uiPriority w:val="99"/>
    <w:rsid w:val="0027393C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27393C"/>
    <w:pPr>
      <w:tabs>
        <w:tab w:val="right" w:leader="dot" w:pos="9000"/>
      </w:tabs>
      <w:spacing w:before="60" w:after="0" w:line="240" w:lineRule="auto"/>
      <w:ind w:left="1152" w:hanging="1152"/>
    </w:pPr>
  </w:style>
  <w:style w:type="paragraph" w:styleId="TOC2">
    <w:name w:val="toc 2"/>
    <w:basedOn w:val="Normal"/>
    <w:next w:val="Normal"/>
    <w:uiPriority w:val="39"/>
    <w:rsid w:val="00CA1578"/>
    <w:pPr>
      <w:tabs>
        <w:tab w:val="right" w:leader="dot" w:pos="9000"/>
      </w:tabs>
      <w:spacing w:before="60" w:after="0" w:line="240" w:lineRule="auto"/>
      <w:ind w:left="1699" w:right="432" w:hanging="1411"/>
    </w:pPr>
  </w:style>
  <w:style w:type="paragraph" w:styleId="TOC3">
    <w:name w:val="toc 3"/>
    <w:basedOn w:val="Normal"/>
    <w:next w:val="Normal"/>
    <w:uiPriority w:val="39"/>
    <w:rsid w:val="00B060C8"/>
    <w:pPr>
      <w:tabs>
        <w:tab w:val="right" w:leader="dot" w:pos="9000"/>
      </w:tabs>
      <w:spacing w:before="60" w:after="0" w:line="240" w:lineRule="auto"/>
      <w:ind w:left="576"/>
    </w:pPr>
  </w:style>
  <w:style w:type="paragraph" w:styleId="TOC4">
    <w:name w:val="toc 4"/>
    <w:basedOn w:val="Normal"/>
    <w:next w:val="Normal"/>
    <w:uiPriority w:val="39"/>
    <w:rsid w:val="0027393C"/>
    <w:pPr>
      <w:spacing w:before="60" w:after="0" w:line="240" w:lineRule="auto"/>
      <w:ind w:left="1872" w:hanging="1872"/>
    </w:pPr>
  </w:style>
  <w:style w:type="paragraph" w:styleId="TOC5">
    <w:name w:val="toc 5"/>
    <w:basedOn w:val="Normal"/>
    <w:next w:val="Normal"/>
    <w:autoRedefine/>
    <w:uiPriority w:val="39"/>
    <w:rsid w:val="0027393C"/>
    <w:pPr>
      <w:spacing w:before="60" w:after="0" w:line="240" w:lineRule="auto"/>
      <w:ind w:left="2074" w:hanging="2074"/>
    </w:pPr>
  </w:style>
  <w:style w:type="paragraph" w:styleId="TOC6">
    <w:name w:val="toc 6"/>
    <w:basedOn w:val="Normal"/>
    <w:next w:val="Normal"/>
    <w:autoRedefine/>
    <w:uiPriority w:val="39"/>
    <w:rsid w:val="0027393C"/>
    <w:pPr>
      <w:spacing w:after="60" w:line="240" w:lineRule="auto"/>
      <w:ind w:left="2268" w:hanging="2268"/>
    </w:pPr>
  </w:style>
  <w:style w:type="paragraph" w:styleId="TOC7">
    <w:name w:val="toc 7"/>
    <w:basedOn w:val="Normal"/>
    <w:next w:val="Normal"/>
    <w:autoRedefine/>
    <w:uiPriority w:val="39"/>
    <w:rsid w:val="0027393C"/>
    <w:pPr>
      <w:spacing w:after="60" w:line="240" w:lineRule="auto"/>
      <w:ind w:left="2448" w:hanging="2448"/>
      <w:contextualSpacing/>
    </w:pPr>
  </w:style>
  <w:style w:type="paragraph" w:styleId="TOC8">
    <w:name w:val="toc 8"/>
    <w:basedOn w:val="Normal"/>
    <w:next w:val="Normal"/>
    <w:autoRedefine/>
    <w:uiPriority w:val="39"/>
    <w:rsid w:val="0027393C"/>
    <w:pPr>
      <w:spacing w:after="60" w:line="240" w:lineRule="auto"/>
      <w:ind w:left="2614" w:hanging="2614"/>
    </w:pPr>
  </w:style>
  <w:style w:type="paragraph" w:styleId="TOC9">
    <w:name w:val="toc 9"/>
    <w:basedOn w:val="Normal"/>
    <w:next w:val="Normal"/>
    <w:autoRedefine/>
    <w:uiPriority w:val="39"/>
    <w:rsid w:val="0027393C"/>
    <w:pPr>
      <w:spacing w:after="60" w:line="240" w:lineRule="auto"/>
      <w:ind w:left="2765" w:hanging="2765"/>
    </w:pPr>
  </w:style>
  <w:style w:type="paragraph" w:styleId="Caption">
    <w:name w:val="caption"/>
    <w:aliases w:val="Table Heading,Style 15,Légende Car"/>
    <w:basedOn w:val="Normal"/>
    <w:next w:val="Normal"/>
    <w:link w:val="CaptionChar"/>
    <w:qFormat/>
    <w:rsid w:val="0027393C"/>
    <w:pPr>
      <w:keepNext/>
      <w:spacing w:before="240" w:after="120" w:line="240" w:lineRule="auto"/>
      <w:ind w:left="2160" w:hanging="2160"/>
    </w:pPr>
    <w:rPr>
      <w:b/>
      <w:bCs/>
      <w:szCs w:val="20"/>
    </w:rPr>
  </w:style>
  <w:style w:type="paragraph" w:customStyle="1" w:styleId="TableFootnote">
    <w:name w:val="Table Footnote"/>
    <w:basedOn w:val="DocumentText"/>
    <w:next w:val="DocumentText"/>
    <w:link w:val="TableFootnoteChar3"/>
    <w:qFormat/>
    <w:rsid w:val="0027393C"/>
    <w:pPr>
      <w:keepNext/>
      <w:keepLines/>
      <w:spacing w:before="40" w:after="40" w:line="240" w:lineRule="auto"/>
      <w:ind w:left="187" w:hanging="187"/>
    </w:pPr>
    <w:rPr>
      <w:kern w:val="20"/>
      <w:sz w:val="20"/>
      <w:szCs w:val="20"/>
    </w:rPr>
  </w:style>
  <w:style w:type="character" w:customStyle="1" w:styleId="TableFootnoteChar3">
    <w:name w:val="Table Footnote Char3"/>
    <w:link w:val="TableFootnote"/>
    <w:rsid w:val="0027393C"/>
    <w:rPr>
      <w:rFonts w:ascii="Times New Roman" w:eastAsia="MS Mincho" w:hAnsi="Times New Roman" w:cs="Times New Roman"/>
      <w:kern w:val="20"/>
      <w:sz w:val="20"/>
      <w:szCs w:val="20"/>
      <w:lang w:eastAsia="ja-JP"/>
    </w:rPr>
  </w:style>
  <w:style w:type="paragraph" w:styleId="TableofFigures">
    <w:name w:val="table of figures"/>
    <w:basedOn w:val="Normal"/>
    <w:next w:val="Normal"/>
    <w:uiPriority w:val="99"/>
    <w:rsid w:val="0027393C"/>
    <w:pPr>
      <w:spacing w:line="240" w:lineRule="auto"/>
      <w:ind w:left="1440" w:right="432" w:hanging="1440"/>
    </w:pPr>
  </w:style>
  <w:style w:type="paragraph" w:styleId="Title">
    <w:name w:val="Title"/>
    <w:basedOn w:val="DocumentText"/>
    <w:next w:val="DocumentText"/>
    <w:link w:val="TitleChar"/>
    <w:qFormat/>
    <w:rsid w:val="001431B9"/>
    <w:pPr>
      <w:keepNext/>
      <w:keepLines/>
      <w:spacing w:after="0"/>
    </w:pPr>
    <w:rPr>
      <w:rFonts w:cs="Arial"/>
      <w:b/>
      <w:bCs/>
      <w:kern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1431B9"/>
    <w:rPr>
      <w:rFonts w:ascii="Calibri" w:eastAsia="MS Mincho" w:hAnsi="Calibri" w:cs="Arial"/>
      <w:b/>
      <w:bCs/>
      <w:kern w:val="28"/>
      <w:sz w:val="24"/>
      <w:szCs w:val="28"/>
      <w:u w:val="single"/>
      <w:lang w:eastAsia="ja-JP"/>
    </w:rPr>
  </w:style>
  <w:style w:type="character" w:customStyle="1" w:styleId="Guidance">
    <w:name w:val="Guidance"/>
    <w:basedOn w:val="DefaultParagraphFont"/>
    <w:uiPriority w:val="1"/>
    <w:qFormat/>
    <w:rsid w:val="0027393C"/>
    <w:rPr>
      <w:rFonts w:ascii="Times New Roman" w:hAnsi="Times New Roman"/>
      <w:i/>
      <w:color w:val="5B9BD5" w:themeColor="accent1"/>
    </w:rPr>
  </w:style>
  <w:style w:type="paragraph" w:customStyle="1" w:styleId="TableTitleContinued">
    <w:name w:val="Table Title Continued"/>
    <w:basedOn w:val="DocumentText"/>
    <w:next w:val="DocumentText"/>
    <w:rsid w:val="0027393C"/>
    <w:pPr>
      <w:keepNext/>
      <w:spacing w:before="240" w:after="120" w:line="240" w:lineRule="auto"/>
      <w:ind w:left="2160" w:hanging="2160"/>
    </w:pPr>
    <w:rPr>
      <w:b/>
      <w:bCs/>
    </w:rPr>
  </w:style>
  <w:style w:type="paragraph" w:customStyle="1" w:styleId="TableCellHeading12pt">
    <w:name w:val="Table Cell Heading 12pt"/>
    <w:basedOn w:val="DocumentText"/>
    <w:rsid w:val="0027393C"/>
    <w:pPr>
      <w:keepNext/>
      <w:spacing w:before="20" w:after="20" w:line="240" w:lineRule="auto"/>
    </w:pPr>
    <w:rPr>
      <w:b/>
    </w:rPr>
  </w:style>
  <w:style w:type="paragraph" w:customStyle="1" w:styleId="TableCellHeading10pt">
    <w:name w:val="Table Cell Heading 10pt"/>
    <w:basedOn w:val="TableCellHeading12pt"/>
    <w:rsid w:val="0027393C"/>
    <w:rPr>
      <w:kern w:val="20"/>
      <w:sz w:val="20"/>
    </w:rPr>
  </w:style>
  <w:style w:type="paragraph" w:customStyle="1" w:styleId="TableCellText12pt">
    <w:name w:val="Table Cell Text 12pt"/>
    <w:basedOn w:val="DocumentText"/>
    <w:link w:val="TableCellText12ptChar"/>
    <w:rsid w:val="0027393C"/>
    <w:pPr>
      <w:keepNext/>
      <w:spacing w:after="0" w:line="240" w:lineRule="auto"/>
    </w:pPr>
  </w:style>
  <w:style w:type="character" w:customStyle="1" w:styleId="TableCellText12ptChar">
    <w:name w:val="Table Cell Text 12pt Char"/>
    <w:link w:val="TableCellText12pt"/>
    <w:rsid w:val="0027393C"/>
    <w:rPr>
      <w:rFonts w:ascii="Times New Roman" w:eastAsia="MS Mincho" w:hAnsi="Times New Roman" w:cs="Times New Roman"/>
      <w:kern w:val="24"/>
      <w:sz w:val="24"/>
      <w:szCs w:val="24"/>
      <w:lang w:eastAsia="ja-JP"/>
    </w:rPr>
  </w:style>
  <w:style w:type="paragraph" w:customStyle="1" w:styleId="TableCellText09pt">
    <w:name w:val="Table Cell Text 09pt"/>
    <w:basedOn w:val="Normal"/>
    <w:rsid w:val="0027393C"/>
    <w:pPr>
      <w:keepNext/>
      <w:spacing w:after="0" w:line="240" w:lineRule="auto"/>
    </w:pPr>
    <w:rPr>
      <w:sz w:val="18"/>
    </w:rPr>
  </w:style>
  <w:style w:type="paragraph" w:customStyle="1" w:styleId="TOCTitle">
    <w:name w:val="TOC Title"/>
    <w:basedOn w:val="Title"/>
    <w:next w:val="DocumentText"/>
    <w:rsid w:val="0027393C"/>
    <w:pPr>
      <w:pageBreakBefore/>
      <w:outlineLvl w:val="0"/>
    </w:pPr>
    <w:rPr>
      <w:rFonts w:asciiTheme="minorHAnsi" w:hAnsiTheme="minorHAnsi"/>
      <w:sz w:val="24"/>
    </w:rPr>
  </w:style>
  <w:style w:type="table" w:styleId="TableGrid">
    <w:name w:val="Table Grid"/>
    <w:basedOn w:val="TableNormal"/>
    <w:uiPriority w:val="39"/>
    <w:rsid w:val="0027393C"/>
    <w:pPr>
      <w:spacing w:after="240" w:line="30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7393C"/>
    <w:rPr>
      <w:rFonts w:ascii="Times New Roman" w:hAnsi="Times New Roman"/>
      <w:b/>
      <w:bCs/>
      <w:dstrike w:val="0"/>
      <w:sz w:val="22"/>
      <w:vertAlign w:val="baseline"/>
    </w:rPr>
  </w:style>
  <w:style w:type="paragraph" w:customStyle="1" w:styleId="StudyTitle">
    <w:name w:val="Study Title"/>
    <w:basedOn w:val="Title"/>
    <w:link w:val="StudyTitleChar"/>
    <w:rsid w:val="0027393C"/>
    <w:rPr>
      <w:caps/>
    </w:rPr>
  </w:style>
  <w:style w:type="character" w:customStyle="1" w:styleId="StudyTitleChar">
    <w:name w:val="Study Title Char"/>
    <w:link w:val="StudyTitle"/>
    <w:rsid w:val="0027393C"/>
    <w:rPr>
      <w:rFonts w:ascii="Times New Roman" w:eastAsia="MS Mincho" w:hAnsi="Times New Roman" w:cs="Arial"/>
      <w:b/>
      <w:bCs/>
      <w:caps/>
      <w:kern w:val="28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rsid w:val="0027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393C"/>
    <w:rPr>
      <w:rFonts w:ascii="Tahoma" w:eastAsia="Times New Roman" w:hAnsi="Tahoma" w:cs="Tahoma"/>
      <w:kern w:val="24"/>
      <w:sz w:val="16"/>
      <w:szCs w:val="16"/>
      <w:lang w:eastAsia="ja-JP"/>
    </w:rPr>
  </w:style>
  <w:style w:type="character" w:styleId="CommentReference">
    <w:name w:val="annotation reference"/>
    <w:uiPriority w:val="99"/>
    <w:rsid w:val="00273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739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393C"/>
    <w:rPr>
      <w:rFonts w:ascii="Times New Roman" w:eastAsia="Times New Roman" w:hAnsi="Times New Roman" w:cs="Times New Roman"/>
      <w:kern w:val="24"/>
      <w:sz w:val="20"/>
      <w:szCs w:val="20"/>
      <w:lang w:eastAsia="ja-JP"/>
    </w:rPr>
  </w:style>
  <w:style w:type="paragraph" w:customStyle="1" w:styleId="SynopsisHeading">
    <w:name w:val="Synopsis Heading"/>
    <w:basedOn w:val="SynopsisText"/>
    <w:next w:val="SynopsisText"/>
    <w:rsid w:val="0027393C"/>
    <w:pPr>
      <w:keepNext/>
      <w:spacing w:before="120" w:after="0"/>
    </w:pPr>
    <w:rPr>
      <w:b/>
    </w:rPr>
  </w:style>
  <w:style w:type="paragraph" w:customStyle="1" w:styleId="SynopsisText">
    <w:name w:val="Synopsis Text"/>
    <w:basedOn w:val="DocumentText"/>
    <w:link w:val="SynopsisTextChar"/>
    <w:rsid w:val="0027393C"/>
    <w:pPr>
      <w:spacing w:after="120" w:line="240" w:lineRule="auto"/>
    </w:pPr>
  </w:style>
  <w:style w:type="character" w:customStyle="1" w:styleId="SynopsisTextChar">
    <w:name w:val="Synopsis Text Char"/>
    <w:link w:val="SynopsisText"/>
    <w:locked/>
    <w:rsid w:val="0027393C"/>
    <w:rPr>
      <w:rFonts w:ascii="Times New Roman" w:eastAsia="MS Mincho" w:hAnsi="Times New Roman" w:cs="Times New Roman"/>
      <w:kern w:val="24"/>
      <w:sz w:val="24"/>
      <w:szCs w:val="24"/>
      <w:lang w:eastAsia="ja-JP"/>
    </w:rPr>
  </w:style>
  <w:style w:type="paragraph" w:styleId="BodyText">
    <w:name w:val="Body Text"/>
    <w:aliases w:val="b,Char Char,Body text Char,Char Char Char Char,Char Char Char"/>
    <w:basedOn w:val="Normal"/>
    <w:link w:val="BodyTextChar"/>
    <w:rsid w:val="0027393C"/>
    <w:pPr>
      <w:spacing w:after="120"/>
    </w:pPr>
    <w:rPr>
      <w:lang w:val="x-none"/>
    </w:rPr>
  </w:style>
  <w:style w:type="character" w:customStyle="1" w:styleId="BodyTextChar">
    <w:name w:val="Body Text Char"/>
    <w:aliases w:val="b Char,Char Char Char1,Body text Char Char,Char Char Char Char Char,Char Char Char Char1"/>
    <w:basedOn w:val="DefaultParagraphFont"/>
    <w:link w:val="BodyText"/>
    <w:rsid w:val="0027393C"/>
    <w:rPr>
      <w:rFonts w:ascii="Times New Roman" w:eastAsia="Times New Roman" w:hAnsi="Times New Roman" w:cs="Times New Roman"/>
      <w:kern w:val="24"/>
      <w:sz w:val="24"/>
      <w:szCs w:val="24"/>
      <w:lang w:val="x-none" w:eastAsia="ja-JP"/>
    </w:rPr>
  </w:style>
  <w:style w:type="paragraph" w:styleId="BodyTextIndent">
    <w:name w:val="Body Text Indent"/>
    <w:basedOn w:val="Normal"/>
    <w:link w:val="BodyTextIndentChar"/>
    <w:rsid w:val="0027393C"/>
    <w:pPr>
      <w:spacing w:after="120"/>
      <w:ind w:left="360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27393C"/>
    <w:rPr>
      <w:rFonts w:ascii="Times New Roman" w:eastAsia="Times New Roman" w:hAnsi="Times New Roman" w:cs="Times New Roman"/>
      <w:kern w:val="24"/>
      <w:sz w:val="24"/>
      <w:szCs w:val="24"/>
      <w:lang w:val="x-none" w:eastAsia="ja-JP"/>
    </w:rPr>
  </w:style>
  <w:style w:type="paragraph" w:customStyle="1" w:styleId="SynopsisListBullet">
    <w:name w:val="Synopsis List Bullet"/>
    <w:basedOn w:val="SynopsisText"/>
    <w:rsid w:val="0027393C"/>
    <w:pPr>
      <w:numPr>
        <w:numId w:val="9"/>
      </w:numPr>
      <w:tabs>
        <w:tab w:val="num" w:pos="360"/>
      </w:tabs>
      <w:spacing w:before="40" w:after="40"/>
      <w:ind w:left="0" w:firstLine="0"/>
    </w:pPr>
  </w:style>
  <w:style w:type="paragraph" w:styleId="ListNumber">
    <w:name w:val="List Number"/>
    <w:basedOn w:val="Normal"/>
    <w:qFormat/>
    <w:rsid w:val="0027393C"/>
    <w:pPr>
      <w:numPr>
        <w:numId w:val="10"/>
      </w:numPr>
    </w:pPr>
  </w:style>
  <w:style w:type="paragraph" w:customStyle="1" w:styleId="SynopsisListNum">
    <w:name w:val="Synopsis List Num"/>
    <w:basedOn w:val="SynopsisText"/>
    <w:rsid w:val="0027393C"/>
    <w:pPr>
      <w:numPr>
        <w:numId w:val="5"/>
      </w:numPr>
      <w:tabs>
        <w:tab w:val="num" w:pos="360"/>
      </w:tabs>
      <w:spacing w:before="40" w:after="40"/>
      <w:ind w:left="0" w:firstLine="0"/>
    </w:pPr>
  </w:style>
  <w:style w:type="paragraph" w:customStyle="1" w:styleId="TableCellText10pt">
    <w:name w:val="Table Cell Text 10pt"/>
    <w:basedOn w:val="TableCellText12pt"/>
    <w:rsid w:val="0027393C"/>
    <w:rPr>
      <w:sz w:val="20"/>
    </w:rPr>
  </w:style>
  <w:style w:type="character" w:styleId="LineNumber">
    <w:name w:val="line number"/>
    <w:basedOn w:val="DefaultParagraphFont"/>
    <w:rsid w:val="0027393C"/>
  </w:style>
  <w:style w:type="paragraph" w:styleId="ListBullet">
    <w:name w:val="List Bullet"/>
    <w:basedOn w:val="DocumentText"/>
    <w:qFormat/>
    <w:rsid w:val="0027393C"/>
    <w:pPr>
      <w:numPr>
        <w:numId w:val="2"/>
      </w:numPr>
      <w:tabs>
        <w:tab w:val="num" w:pos="360"/>
      </w:tabs>
      <w:ind w:left="0" w:firstLine="0"/>
    </w:pPr>
    <w:rPr>
      <w:kern w:val="0"/>
      <w:lang w:eastAsia="en-US"/>
    </w:rPr>
  </w:style>
  <w:style w:type="paragraph" w:customStyle="1" w:styleId="TableCellText10ptcenter">
    <w:name w:val="Table Cell Text 10pt center"/>
    <w:basedOn w:val="Normal"/>
    <w:rsid w:val="0027393C"/>
    <w:pPr>
      <w:keepNext/>
      <w:spacing w:after="0" w:line="240" w:lineRule="auto"/>
      <w:jc w:val="center"/>
    </w:pPr>
    <w:rPr>
      <w:sz w:val="20"/>
    </w:rPr>
  </w:style>
  <w:style w:type="paragraph" w:customStyle="1" w:styleId="TableCellHeading10ptcentered">
    <w:name w:val="Table Cell Heading 10pt centered"/>
    <w:basedOn w:val="TableCellHeading10pt"/>
    <w:rsid w:val="0027393C"/>
    <w:pPr>
      <w:jc w:val="center"/>
    </w:pPr>
  </w:style>
  <w:style w:type="paragraph" w:customStyle="1" w:styleId="TableCellHeading12ptcentered">
    <w:name w:val="Table Cell Heading 12pt centered"/>
    <w:basedOn w:val="TableCellHeading12pt"/>
    <w:rsid w:val="0027393C"/>
    <w:pPr>
      <w:jc w:val="center"/>
    </w:pPr>
  </w:style>
  <w:style w:type="paragraph" w:customStyle="1" w:styleId="TableCellText09ptcentered">
    <w:name w:val="Table Cell Text 09pt centered"/>
    <w:basedOn w:val="TableCellText09pt"/>
    <w:rsid w:val="0027393C"/>
    <w:pPr>
      <w:jc w:val="center"/>
    </w:pPr>
  </w:style>
  <w:style w:type="paragraph" w:customStyle="1" w:styleId="Normal-text">
    <w:name w:val="Normal-text"/>
    <w:basedOn w:val="Normal"/>
    <w:rsid w:val="0027393C"/>
    <w:pPr>
      <w:tabs>
        <w:tab w:val="left" w:pos="0"/>
      </w:tabs>
      <w:suppressAutoHyphens/>
      <w:spacing w:before="60" w:after="120" w:line="240" w:lineRule="auto"/>
    </w:pPr>
    <w:rPr>
      <w:kern w:val="0"/>
      <w:szCs w:val="20"/>
      <w:lang w:eastAsia="en-US"/>
    </w:rPr>
  </w:style>
  <w:style w:type="paragraph" w:customStyle="1" w:styleId="TableorFigureFootnoteText">
    <w:name w:val="Table or Figure Footnote Text"/>
    <w:basedOn w:val="Normal"/>
    <w:rsid w:val="0027393C"/>
    <w:pPr>
      <w:tabs>
        <w:tab w:val="left" w:pos="288"/>
      </w:tabs>
      <w:spacing w:after="0" w:line="240" w:lineRule="auto"/>
      <w:ind w:left="288" w:hanging="288"/>
    </w:pPr>
    <w:rPr>
      <w:kern w:val="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7393C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73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393C"/>
    <w:rPr>
      <w:rFonts w:ascii="Times New Roman" w:eastAsia="Times New Roman" w:hAnsi="Times New Roman" w:cs="Times New Roman"/>
      <w:b/>
      <w:bCs/>
      <w:kern w:val="24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rsid w:val="0027393C"/>
    <w:pPr>
      <w:spacing w:after="0" w:line="240" w:lineRule="auto"/>
      <w:ind w:left="187" w:hanging="18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393C"/>
    <w:rPr>
      <w:rFonts w:ascii="Times New Roman" w:eastAsia="Times New Roman" w:hAnsi="Times New Roman" w:cs="Times New Roman"/>
      <w:kern w:val="24"/>
      <w:sz w:val="20"/>
      <w:szCs w:val="20"/>
      <w:lang w:eastAsia="ja-JP"/>
    </w:rPr>
  </w:style>
  <w:style w:type="character" w:styleId="EndnoteReference">
    <w:name w:val="endnote reference"/>
    <w:basedOn w:val="DefaultParagraphFont"/>
    <w:rsid w:val="0027393C"/>
    <w:rPr>
      <w:vertAlign w:val="superscript"/>
    </w:rPr>
  </w:style>
  <w:style w:type="paragraph" w:styleId="FootnoteText">
    <w:name w:val="footnote text"/>
    <w:basedOn w:val="Normal"/>
    <w:link w:val="FootnoteTextChar"/>
    <w:rsid w:val="002739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393C"/>
    <w:rPr>
      <w:rFonts w:ascii="Times New Roman" w:eastAsia="Times New Roman" w:hAnsi="Times New Roman" w:cs="Times New Roman"/>
      <w:kern w:val="24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27393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7393C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unhideWhenUsed/>
    <w:rsid w:val="0027393C"/>
    <w:rPr>
      <w:color w:val="808080"/>
      <w:shd w:val="clear" w:color="auto" w:fill="E6E6E6"/>
    </w:rPr>
  </w:style>
  <w:style w:type="paragraph" w:customStyle="1" w:styleId="TableNoteLettered">
    <w:name w:val="Table Note Lettered"/>
    <w:basedOn w:val="TableFootnote"/>
    <w:link w:val="TableNoteLetteredChar"/>
    <w:rsid w:val="0027393C"/>
    <w:pPr>
      <w:keepNext w:val="0"/>
      <w:keepLines w:val="0"/>
      <w:numPr>
        <w:numId w:val="4"/>
      </w:numPr>
      <w:tabs>
        <w:tab w:val="num" w:pos="360"/>
      </w:tabs>
      <w:spacing w:after="0"/>
      <w:ind w:left="187" w:hanging="187"/>
    </w:pPr>
  </w:style>
  <w:style w:type="paragraph" w:customStyle="1" w:styleId="TableCellText12ptcentered">
    <w:name w:val="Table Cell Text 12pt centered"/>
    <w:basedOn w:val="TableCellText12pt"/>
    <w:rsid w:val="0027393C"/>
    <w:pPr>
      <w:jc w:val="center"/>
    </w:pPr>
  </w:style>
  <w:style w:type="paragraph" w:customStyle="1" w:styleId="Default">
    <w:name w:val="Default"/>
    <w:rsid w:val="0027393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27393C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27393C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ListBulleted">
    <w:name w:val="List Bulleted"/>
    <w:basedOn w:val="DocumentText"/>
    <w:rsid w:val="0027393C"/>
    <w:pPr>
      <w:keepLines/>
      <w:numPr>
        <w:numId w:val="3"/>
      </w:numPr>
      <w:tabs>
        <w:tab w:val="clear" w:pos="450"/>
        <w:tab w:val="num" w:pos="360"/>
      </w:tabs>
      <w:adjustRightInd w:val="0"/>
      <w:spacing w:before="120" w:after="120"/>
      <w:ind w:left="0" w:firstLine="0"/>
    </w:pPr>
    <w:rPr>
      <w:rFonts w:eastAsia="Times New Roman"/>
      <w:lang w:eastAsia="en-US"/>
    </w:rPr>
  </w:style>
  <w:style w:type="table" w:customStyle="1" w:styleId="TableGridLight1">
    <w:name w:val="Table Grid Light1"/>
    <w:basedOn w:val="TableNormal"/>
    <w:uiPriority w:val="99"/>
    <w:rsid w:val="0027393C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1">
    <w:name w:val="Body Text Char1"/>
    <w:aliases w:val="b Char1,Char Char Char2,Body text Char Char1,Char Char Char Char Char1,Char Char Char Char2"/>
    <w:semiHidden/>
    <w:locked/>
    <w:rsid w:val="0027393C"/>
    <w:rPr>
      <w:rFonts w:eastAsia="Times New Roman"/>
      <w:kern w:val="24"/>
      <w:sz w:val="24"/>
      <w:szCs w:val="24"/>
      <w:lang w:val="x-none" w:eastAsia="ja-JP"/>
    </w:rPr>
  </w:style>
  <w:style w:type="table" w:customStyle="1" w:styleId="TableGrid0">
    <w:name w:val="TableGrid"/>
    <w:rsid w:val="0027393C"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7393C"/>
    <w:pPr>
      <w:spacing w:after="0"/>
      <w:ind w:left="720"/>
      <w:contextualSpacing/>
    </w:pPr>
    <w:rPr>
      <w:b/>
      <w:color w:val="000000"/>
      <w:kern w:val="0"/>
      <w:szCs w:val="22"/>
      <w:lang w:eastAsia="en-US"/>
    </w:rPr>
  </w:style>
  <w:style w:type="paragraph" w:customStyle="1" w:styleId="TableCellHeading10ptleft">
    <w:name w:val="Table Cell Heading 10pt left"/>
    <w:basedOn w:val="TableCellHeading10pt"/>
    <w:rsid w:val="0027393C"/>
    <w:pPr>
      <w:spacing w:before="40" w:after="40"/>
    </w:pPr>
  </w:style>
  <w:style w:type="paragraph" w:customStyle="1" w:styleId="EndNoteBibliography">
    <w:name w:val="EndNote Bibliography"/>
    <w:basedOn w:val="Normal"/>
    <w:link w:val="EndNoteBibliographyChar"/>
    <w:rsid w:val="0027393C"/>
    <w:pPr>
      <w:spacing w:after="0" w:line="240" w:lineRule="auto"/>
    </w:pPr>
    <w:rPr>
      <w:rFonts w:cs="Calibri"/>
      <w:noProof/>
      <w:kern w:val="0"/>
      <w:szCs w:val="20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7393C"/>
    <w:rPr>
      <w:rFonts w:ascii="Calibri" w:eastAsia="Times New Roman" w:hAnsi="Calibri" w:cs="Calibri"/>
      <w:noProof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7393C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27393C"/>
    <w:pPr>
      <w:spacing w:before="100" w:beforeAutospacing="1" w:after="100" w:afterAutospacing="1" w:line="240" w:lineRule="auto"/>
    </w:pPr>
    <w:rPr>
      <w:kern w:val="0"/>
      <w:lang w:eastAsia="en-US"/>
    </w:rPr>
  </w:style>
  <w:style w:type="paragraph" w:customStyle="1" w:styleId="ListNumbered">
    <w:name w:val="List Numbered"/>
    <w:basedOn w:val="DocumentText"/>
    <w:rsid w:val="0027393C"/>
    <w:pPr>
      <w:keepLines/>
      <w:numPr>
        <w:numId w:val="6"/>
      </w:numPr>
      <w:tabs>
        <w:tab w:val="clear" w:pos="810"/>
        <w:tab w:val="num" w:pos="360"/>
      </w:tabs>
      <w:snapToGrid w:val="0"/>
      <w:spacing w:before="120" w:after="120"/>
      <w:ind w:left="0" w:firstLine="0"/>
    </w:pPr>
    <w:rPr>
      <w:rFonts w:eastAsia="Times New Roman"/>
      <w:lang w:eastAsia="en-US"/>
    </w:rPr>
  </w:style>
  <w:style w:type="paragraph" w:customStyle="1" w:styleId="NVXtext">
    <w:name w:val="NVX text"/>
    <w:rsid w:val="0027393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ixed-citation">
    <w:name w:val="mixed-citation"/>
    <w:basedOn w:val="DefaultParagraphFont"/>
    <w:rsid w:val="0027393C"/>
  </w:style>
  <w:style w:type="character" w:customStyle="1" w:styleId="italic1">
    <w:name w:val="italic1"/>
    <w:basedOn w:val="DefaultParagraphFont"/>
    <w:rsid w:val="0027393C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BA33DF"/>
    <w:pPr>
      <w:spacing w:after="0"/>
      <w:jc w:val="center"/>
    </w:pPr>
    <w:rPr>
      <w:rFonts w:cs="Calibri"/>
      <w:noProof/>
    </w:rPr>
  </w:style>
  <w:style w:type="character" w:customStyle="1" w:styleId="TableNoteLetteredChar">
    <w:name w:val="Table Note Lettered Char"/>
    <w:basedOn w:val="TableFootnoteChar3"/>
    <w:link w:val="TableNoteLettered"/>
    <w:rsid w:val="00BA33DF"/>
    <w:rPr>
      <w:rFonts w:ascii="Calibri" w:eastAsia="MS Mincho" w:hAnsi="Calibri" w:cs="Times New Roman"/>
      <w:kern w:val="20"/>
      <w:sz w:val="20"/>
      <w:szCs w:val="20"/>
      <w:lang w:eastAsia="ja-JP"/>
    </w:rPr>
  </w:style>
  <w:style w:type="character" w:customStyle="1" w:styleId="EndNoteBibliographyTitleChar">
    <w:name w:val="EndNote Bibliography Title Char"/>
    <w:basedOn w:val="TableNoteLetteredChar"/>
    <w:link w:val="EndNoteBibliographyTitle"/>
    <w:rsid w:val="00BA33DF"/>
    <w:rPr>
      <w:rFonts w:ascii="Calibri" w:eastAsia="Times New Roman" w:hAnsi="Calibri" w:cs="Calibri"/>
      <w:noProof/>
      <w:kern w:val="24"/>
      <w:sz w:val="20"/>
      <w:szCs w:val="24"/>
      <w:lang w:eastAsia="ja-JP"/>
    </w:rPr>
  </w:style>
  <w:style w:type="table" w:customStyle="1" w:styleId="TableGrid5">
    <w:name w:val="Table Grid5"/>
    <w:basedOn w:val="TableNormal"/>
    <w:next w:val="TableGrid"/>
    <w:uiPriority w:val="39"/>
    <w:rsid w:val="00E31344"/>
    <w:pPr>
      <w:spacing w:after="240" w:line="30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31344"/>
    <w:pPr>
      <w:spacing w:after="240" w:line="30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62E4B"/>
    <w:pPr>
      <w:spacing w:after="0" w:line="240" w:lineRule="auto"/>
    </w:pPr>
    <w:rPr>
      <w:rFonts w:ascii="Times New Roman" w:hAnsi="Times New Roman"/>
      <w:kern w:val="0"/>
      <w:sz w:val="24"/>
      <w:lang w:eastAsia="en-US"/>
    </w:rPr>
  </w:style>
  <w:style w:type="character" w:customStyle="1" w:styleId="normaltextrun1">
    <w:name w:val="normaltextrun1"/>
    <w:basedOn w:val="DefaultParagraphFont"/>
    <w:rsid w:val="00362E4B"/>
  </w:style>
  <w:style w:type="character" w:customStyle="1" w:styleId="eop">
    <w:name w:val="eop"/>
    <w:basedOn w:val="DefaultParagraphFont"/>
    <w:rsid w:val="00362E4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0B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7DF4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en-US"/>
    </w:rPr>
  </w:style>
  <w:style w:type="character" w:customStyle="1" w:styleId="CaptionChar">
    <w:name w:val="Caption Char"/>
    <w:aliases w:val="Table Heading Char,Style 15 Char,Légende Car Char"/>
    <w:link w:val="Caption"/>
    <w:rsid w:val="002B678E"/>
    <w:rPr>
      <w:rFonts w:ascii="Calibri" w:eastAsia="Times New Roman" w:hAnsi="Calibri" w:cs="Times New Roman"/>
      <w:b/>
      <w:bCs/>
      <w:kern w:val="24"/>
      <w:szCs w:val="20"/>
      <w:lang w:eastAsia="ja-JP"/>
    </w:rPr>
  </w:style>
  <w:style w:type="paragraph" w:customStyle="1" w:styleId="GlobalSubmitTableCellLeft">
    <w:name w:val="GlobalSubmit Table Cell Left"/>
    <w:basedOn w:val="Normal"/>
    <w:qFormat/>
    <w:rsid w:val="002B678E"/>
    <w:pPr>
      <w:spacing w:before="40" w:after="40" w:line="240" w:lineRule="auto"/>
    </w:pPr>
    <w:rPr>
      <w:rFonts w:ascii="Times New Roman" w:eastAsia="Arial Unicode MS" w:hAnsi="Times New Roman"/>
      <w:kern w:val="0"/>
      <w:sz w:val="20"/>
      <w:lang w:eastAsia="en-US"/>
    </w:rPr>
  </w:style>
  <w:style w:type="paragraph" w:customStyle="1" w:styleId="GlobalSubmitTableHeading">
    <w:name w:val="GlobalSubmit Table Heading"/>
    <w:basedOn w:val="GlobalSubmitTableCellLeft"/>
    <w:qFormat/>
    <w:rsid w:val="002B678E"/>
    <w:pPr>
      <w:keepNext/>
    </w:pPr>
    <w:rPr>
      <w:b/>
    </w:rPr>
  </w:style>
  <w:style w:type="paragraph" w:customStyle="1" w:styleId="GlobalSubmitTableFootnote">
    <w:name w:val="GlobalSubmit Table Footnote"/>
    <w:basedOn w:val="GlobalSubmitTableCellLeft"/>
    <w:next w:val="Normal"/>
    <w:rsid w:val="002B678E"/>
    <w:pPr>
      <w:tabs>
        <w:tab w:val="left" w:pos="360"/>
      </w:tabs>
      <w:spacing w:before="0" w:after="0"/>
      <w:ind w:left="360" w:hanging="360"/>
    </w:pPr>
  </w:style>
  <w:style w:type="character" w:styleId="UnresolvedMention">
    <w:name w:val="Unresolved Mention"/>
    <w:basedOn w:val="DefaultParagraphFont"/>
    <w:uiPriority w:val="99"/>
    <w:semiHidden/>
    <w:unhideWhenUsed/>
    <w:rsid w:val="006B78C6"/>
    <w:rPr>
      <w:color w:val="605E5C"/>
      <w:shd w:val="clear" w:color="auto" w:fill="E1DFDD"/>
    </w:rPr>
  </w:style>
  <w:style w:type="character" w:customStyle="1" w:styleId="text-4505230f--headingh600-23f228db--textcontentfamily-49a318e1">
    <w:name w:val="text-4505230f--headingh600-23f228db--textcontentfamily-49a318e1"/>
    <w:basedOn w:val="DefaultParagraphFont"/>
    <w:rsid w:val="006A569B"/>
  </w:style>
  <w:style w:type="character" w:customStyle="1" w:styleId="apple-converted-space">
    <w:name w:val="apple-converted-space"/>
    <w:basedOn w:val="DefaultParagraphFont"/>
    <w:rsid w:val="006A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6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6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7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90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19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1187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515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31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212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049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969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6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163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3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1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0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45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2356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458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89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00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089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1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705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4367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80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qo7MhQT6U" TargetMode="External"/><Relationship Id="rId13" Type="http://schemas.openxmlformats.org/officeDocument/2006/relationships/hyperlink" Target="http://dx.doi.org/10.1136/bmj.n5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c.gov/coronavirus/2019-ncov/transmission/variant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:/www.pathogensurveillance.net/__;!!IfJP2Nwhk5Z0yJ43lA!fM99cBFzkIadivaYJ4jlfyPiQUB4M6xpV0y4yvOIMlex0Lu6x317rJlW2yYfDQl7$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x.doi.org/10.1099/mgen.0.0000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564B7-05C1-470C-821B-CC3B9D5B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17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Novavax Inc</Company>
  <LinksUpToDate>false</LinksUpToDate>
  <CharactersWithSpaces>34308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Albert</dc:creator>
  <cp:keywords/>
  <dc:description/>
  <cp:lastModifiedBy>Mary</cp:lastModifiedBy>
  <cp:revision>48</cp:revision>
  <cp:lastPrinted>2021-04-20T12:51:00Z</cp:lastPrinted>
  <dcterms:created xsi:type="dcterms:W3CDTF">2021-04-21T14:40:00Z</dcterms:created>
  <dcterms:modified xsi:type="dcterms:W3CDTF">2021-04-30T14:04:00Z</dcterms:modified>
</cp:coreProperties>
</file>