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001"/>
        <w:tblW w:w="11114" w:type="dxa"/>
        <w:tblLook w:val="04A0" w:firstRow="1" w:lastRow="0" w:firstColumn="1" w:lastColumn="0" w:noHBand="0" w:noVBand="1"/>
      </w:tblPr>
      <w:tblGrid>
        <w:gridCol w:w="1497"/>
        <w:gridCol w:w="1242"/>
        <w:gridCol w:w="1665"/>
        <w:gridCol w:w="1516"/>
        <w:gridCol w:w="1516"/>
        <w:gridCol w:w="1516"/>
        <w:gridCol w:w="1260"/>
        <w:gridCol w:w="902"/>
      </w:tblGrid>
      <w:tr w:rsidR="001B099C" w:rsidRPr="00B5320D" w:rsidTr="001B099C">
        <w:trPr>
          <w:trHeight w:val="819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Reference range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Control (688)</w:t>
            </w:r>
          </w:p>
        </w:tc>
        <w:tc>
          <w:tcPr>
            <w:tcW w:w="6710" w:type="dxa"/>
            <w:gridSpan w:val="5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COVID-19 patients (1067)</w:t>
            </w:r>
          </w:p>
        </w:tc>
      </w:tr>
      <w:tr w:rsidR="001B099C" w:rsidRPr="00B5320D" w:rsidTr="001B099C">
        <w:trPr>
          <w:trHeight w:val="819"/>
        </w:trPr>
        <w:tc>
          <w:tcPr>
            <w:tcW w:w="4404" w:type="dxa"/>
            <w:gridSpan w:val="3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Mild (319)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Moderate (391)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Critical (357)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OR (95% CI)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1B099C" w:rsidRPr="00B5320D" w:rsidTr="001B099C">
        <w:trPr>
          <w:trHeight w:val="819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Age, mean ± SD 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57.37 ± 4.62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47.83 ± 19.66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47.87 ± 19.21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47.29 ± 18.76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1B099C" w:rsidRPr="00B5320D" w:rsidTr="001B099C">
        <w:trPr>
          <w:trHeight w:val="819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Gender n (%) 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</w:tr>
      <w:tr w:rsidR="001B099C" w:rsidRPr="00B5320D" w:rsidTr="001B099C">
        <w:trPr>
          <w:trHeight w:val="398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471 (68.4%)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226 (70.8%)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250 (63.9%)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236 (66.1%)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9C" w:rsidRPr="00B5320D" w:rsidTr="001B099C">
        <w:trPr>
          <w:trHeight w:val="421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217 (31.5%)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93 (29.2%)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141 (36.1%)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121 (33.9%)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9C" w:rsidRPr="00B5320D" w:rsidTr="001B099C">
        <w:trPr>
          <w:trHeight w:val="819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BMI (kg/m</w:t>
            </w:r>
            <w:r w:rsidRPr="00B532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) mean ± SD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 xml:space="preserve">27.21 </w:t>
            </w: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± </w:t>
            </w: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27.53 ± 3.71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27.46 ± 3.61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27.45 ± 3.61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0.971</w:t>
            </w:r>
          </w:p>
        </w:tc>
      </w:tr>
      <w:tr w:rsidR="001B099C" w:rsidRPr="00B5320D" w:rsidTr="001B099C">
        <w:trPr>
          <w:trHeight w:val="421"/>
        </w:trPr>
        <w:tc>
          <w:tcPr>
            <w:tcW w:w="11114" w:type="dxa"/>
            <w:gridSpan w:val="8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Comorbid conditions n (%) </w:t>
            </w:r>
          </w:p>
        </w:tc>
      </w:tr>
      <w:tr w:rsidR="001B099C" w:rsidRPr="00B5320D" w:rsidTr="001B099C">
        <w:trPr>
          <w:trHeight w:val="398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93 (29.2%)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120 (30.7%)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97 (27.2%)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</w:p>
        </w:tc>
      </w:tr>
      <w:tr w:rsidR="001B099C" w:rsidRPr="00B5320D" w:rsidTr="001B099C">
        <w:trPr>
          <w:trHeight w:val="421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HTN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111 (34.8%)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129 (33%)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121 (33.9%)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0.880</w:t>
            </w:r>
          </w:p>
        </w:tc>
      </w:tr>
      <w:tr w:rsidR="001B099C" w:rsidRPr="00B5320D" w:rsidTr="001B099C">
        <w:trPr>
          <w:trHeight w:val="421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CVD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96 (30.1%)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93 (23.8%)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93 (26.1%)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0.162</w:t>
            </w:r>
          </w:p>
        </w:tc>
      </w:tr>
      <w:tr w:rsidR="001B099C" w:rsidRPr="00B5320D" w:rsidTr="001B099C">
        <w:trPr>
          <w:trHeight w:val="398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CKD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34 (10.7%)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31 (7.9%)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31 (8.7%)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0.435</w:t>
            </w:r>
          </w:p>
        </w:tc>
      </w:tr>
      <w:tr w:rsidR="001B099C" w:rsidRPr="00B5320D" w:rsidTr="001B099C">
        <w:trPr>
          <w:trHeight w:val="421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Liver disease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29 (9.1%)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50 (12.8%)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59 (16.5%)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0.016</w:t>
            </w:r>
          </w:p>
        </w:tc>
      </w:tr>
      <w:tr w:rsidR="001B099C" w:rsidRPr="00B5320D" w:rsidTr="001B099C">
        <w:trPr>
          <w:trHeight w:val="1218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Hospital stay, days, mean ±</w:t>
            </w: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 ± 1.91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11.65 ± 2.78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31.02 ± 7.65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6.14 (15.13-16.59)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RPr="00B5320D" w:rsidTr="001B099C">
        <w:trPr>
          <w:trHeight w:val="421"/>
        </w:trPr>
        <w:tc>
          <w:tcPr>
            <w:tcW w:w="10212" w:type="dxa"/>
            <w:gridSpan w:val="7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Lab parameters, median (IQR)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9C" w:rsidRPr="00B5320D" w:rsidTr="001B099C">
        <w:trPr>
          <w:trHeight w:val="819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LDL-C (mg/dl)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115 (92,135)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98 (91,134)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97 (81,113)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68 (68,83)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2.43 (97.56-104.51)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RPr="00B5320D" w:rsidTr="001B099C">
        <w:trPr>
          <w:trHeight w:val="819"/>
        </w:trPr>
        <w:tc>
          <w:tcPr>
            <w:tcW w:w="1497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HDL (mg/dl)</w:t>
            </w:r>
          </w:p>
        </w:tc>
        <w:tc>
          <w:tcPr>
            <w:tcW w:w="124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47 (36,52)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45 (37,50)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46 (41,50)</w:t>
            </w:r>
          </w:p>
        </w:tc>
        <w:tc>
          <w:tcPr>
            <w:tcW w:w="1516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40 (37,46)</w:t>
            </w:r>
          </w:p>
        </w:tc>
        <w:tc>
          <w:tcPr>
            <w:tcW w:w="1260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sz w:val="24"/>
                <w:szCs w:val="24"/>
              </w:rPr>
              <w:t>7.49 (43.95-44.93)</w:t>
            </w:r>
          </w:p>
        </w:tc>
        <w:tc>
          <w:tcPr>
            <w:tcW w:w="902" w:type="dxa"/>
          </w:tcPr>
          <w:p w:rsidR="001B099C" w:rsidRPr="00B5320D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D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1218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TC (mg/dl)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(98,254)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(212,238)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(203,213)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(125,187)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 (193.89-198.95)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1218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TG (mg/dl)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(126,235)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(150,245)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(109,198)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(98,154)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 (161.21-169.96)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IL-6 (pg/ml)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(12.20,18.90)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21.70 (17.60,28.70)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43.80 (22.90,54.90)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 (26.76-28.72)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Procalcitonin (ng/ml)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 (0.20,0.50)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 (0.23,0.70)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11.80 (10.20,13.70)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 (0.46-0.49)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Hgb (g/dl)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(11.60,15.30)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11.90 (11.20,13.30)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11.80 (10.20,13.70)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 (12.55-12.84)</w:t>
            </w:r>
          </w:p>
        </w:tc>
        <w:tc>
          <w:tcPr>
            <w:tcW w:w="902" w:type="dxa"/>
          </w:tcPr>
          <w:p w:rsidR="001B099C" w:rsidRPr="001B341B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1B">
              <w:rPr>
                <w:rFonts w:ascii="Times New Roman" w:hAnsi="Times New Roman" w:cs="Times New Roman"/>
                <w:sz w:val="24"/>
                <w:szCs w:val="24"/>
              </w:rPr>
              <w:t>0.162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WBC (mm</w:t>
            </w:r>
            <w:r w:rsidRPr="00D64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 (7000,11000)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(6000,15000)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(6000,19000)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 (10.90-11.64)</w:t>
            </w:r>
          </w:p>
        </w:tc>
        <w:tc>
          <w:tcPr>
            <w:tcW w:w="902" w:type="dxa"/>
          </w:tcPr>
          <w:p w:rsidR="001B099C" w:rsidRPr="001B341B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1B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</w:tr>
      <w:tr w:rsidR="001B099C" w:rsidTr="001B099C">
        <w:trPr>
          <w:trHeight w:val="1218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ALT (unit/l)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(15,45)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(45,89)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(56,187)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23.64 (138.16-177.28)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AST (unit/l)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(23,65)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(43,89)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(45,117)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 (94.37-152)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Creatinine (mg/dl)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 (0.70,1.50)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 (0.90,1.60)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(1.50,3.80)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 (1.60-1.75)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Free T3 (pg/ml)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(2,3)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(1.60,2.70)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(0.90,1.90)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 (1.88-2.01)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Free T4 (ng/dl)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 (0.90,1.80)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 (0.80,1.60)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 (0.40,0.80)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 (1.13-1.24)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19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TSH (miu/dl)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 (1.80,3.80)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 (0.80,1)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 (0.50,0.90)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 (1.44-1.63)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796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CRP (mg/dl)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(8,13)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(11,29)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(27,100)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 (37.32-43.79)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1B099C" w:rsidTr="001B099C">
        <w:trPr>
          <w:trHeight w:val="843"/>
        </w:trPr>
        <w:tc>
          <w:tcPr>
            <w:tcW w:w="1497" w:type="dxa"/>
          </w:tcPr>
          <w:p w:rsidR="001B099C" w:rsidRPr="00D64448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D-dimers (mcg/ml)</w:t>
            </w:r>
          </w:p>
        </w:tc>
        <w:tc>
          <w:tcPr>
            <w:tcW w:w="1242" w:type="dxa"/>
          </w:tcPr>
          <w:p w:rsidR="001B099C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(1,5)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(15,38)</w:t>
            </w:r>
          </w:p>
        </w:tc>
        <w:tc>
          <w:tcPr>
            <w:tcW w:w="1516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(15,40)</w:t>
            </w:r>
          </w:p>
        </w:tc>
        <w:tc>
          <w:tcPr>
            <w:tcW w:w="1260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 (24.01-27.76)</w:t>
            </w:r>
          </w:p>
        </w:tc>
        <w:tc>
          <w:tcPr>
            <w:tcW w:w="902" w:type="dxa"/>
          </w:tcPr>
          <w:p w:rsidR="001B099C" w:rsidRPr="008B0242" w:rsidRDefault="001B099C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4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</w:tbl>
    <w:p w:rsidR="001B099C" w:rsidRPr="003054A0" w:rsidRDefault="001B099C" w:rsidP="001B09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Pr="003054A0">
        <w:rPr>
          <w:rFonts w:ascii="Times New Roman" w:hAnsi="Times New Roman" w:cs="Times New Roman"/>
          <w:b/>
          <w:sz w:val="24"/>
          <w:szCs w:val="24"/>
        </w:rPr>
        <w:t>Patient demographics and lab parameters. Normally distributed variables expressed as mean ± SD, abnormally distributed variables expressed as median (IQR). OR and 95%CI expressed between control and COVID-19 cohort. Categorical variables presented as n (%). P &lt; 0.05 as significant. Odds ratio (OR), confidence interval (CI), standard deviation (SD), interquartile range (IQR), body mass index (BMI), diabetes mellitus (DM), hypertension (HTN), cardiovascular disease (CVD), chronic kidney disease (CKD), low-density lipoprotein (LDL), high-density lipoprotein (HDL), total cholesterol (TC), triglycerides (TG), interleukin (IL), hemoglobin (Hgb), white blood count (WBC), alaninie aminotransferase (ALT), aspartate aminotransferase (AST), triiodothyronine (T3), thyroxine (T4), thyroid stimulating hormone (TSH), C-reactive protein (CRP)</w:t>
      </w:r>
    </w:p>
    <w:p w:rsidR="0062235B" w:rsidRDefault="0062235B"/>
    <w:sectPr w:rsidR="00622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6F"/>
    <w:rsid w:val="001B099C"/>
    <w:rsid w:val="0062235B"/>
    <w:rsid w:val="00D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F584-3444-48C7-BD68-DD12B01F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Jahanzeb</dc:creator>
  <cp:keywords/>
  <dc:description/>
  <cp:lastModifiedBy>Jahanzeb</cp:lastModifiedBy>
  <cp:revision>2</cp:revision>
  <dcterms:created xsi:type="dcterms:W3CDTF">2021-04-04T17:00:00Z</dcterms:created>
  <dcterms:modified xsi:type="dcterms:W3CDTF">2021-04-04T17:01:00Z</dcterms:modified>
</cp:coreProperties>
</file>