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B8AB9" w14:textId="516D9D47" w:rsidR="0079439B" w:rsidRPr="0079439B" w:rsidRDefault="0079439B" w:rsidP="0079439B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bCs/>
        </w:rPr>
      </w:pPr>
      <w:r w:rsidRPr="0079439B">
        <w:rPr>
          <w:rFonts w:asciiTheme="minorHAnsi" w:hAnsiTheme="minorHAnsi" w:cstheme="minorHAnsi"/>
          <w:b w:val="0"/>
          <w:bCs/>
        </w:rPr>
        <w:t>Supplementary Material</w:t>
      </w:r>
      <w:r>
        <w:rPr>
          <w:rFonts w:asciiTheme="minorHAnsi" w:hAnsiTheme="minorHAnsi" w:cstheme="minorHAnsi"/>
          <w:b w:val="0"/>
          <w:bCs/>
        </w:rPr>
        <w:t>:</w:t>
      </w:r>
      <w:r w:rsidRPr="0079439B">
        <w:rPr>
          <w:rFonts w:asciiTheme="minorHAnsi" w:hAnsiTheme="minorHAnsi" w:cstheme="minorHAnsi"/>
          <w:b w:val="0"/>
          <w:bCs/>
        </w:rPr>
        <w:t xml:space="preserve"> </w:t>
      </w:r>
      <w:r w:rsidRPr="0079439B">
        <w:rPr>
          <w:rFonts w:asciiTheme="minorHAnsi" w:hAnsiTheme="minorHAnsi" w:cstheme="minorHAnsi"/>
          <w:b w:val="0"/>
          <w:bCs/>
        </w:rPr>
        <w:t xml:space="preserve">DNA methylation and brain </w:t>
      </w:r>
      <w:proofErr w:type="spellStart"/>
      <w:r w:rsidRPr="0079439B">
        <w:rPr>
          <w:rFonts w:asciiTheme="minorHAnsi" w:hAnsiTheme="minorHAnsi" w:cstheme="minorHAnsi"/>
          <w:b w:val="0"/>
          <w:bCs/>
        </w:rPr>
        <w:t>dysmaturation</w:t>
      </w:r>
      <w:proofErr w:type="spellEnd"/>
      <w:r w:rsidRPr="0079439B">
        <w:rPr>
          <w:rFonts w:asciiTheme="minorHAnsi" w:hAnsiTheme="minorHAnsi" w:cstheme="minorHAnsi"/>
          <w:b w:val="0"/>
          <w:bCs/>
        </w:rPr>
        <w:t xml:space="preserve"> in preterm infants</w:t>
      </w:r>
    </w:p>
    <w:p w14:paraId="0093B90C" w14:textId="09A2AB3A" w:rsidR="0079439B" w:rsidRPr="0079439B" w:rsidRDefault="0079439B" w:rsidP="0079439B">
      <w:pPr>
        <w:spacing w:line="360" w:lineRule="auto"/>
        <w:rPr>
          <w:rFonts w:cstheme="minorHAnsi"/>
          <w:bCs/>
        </w:rPr>
      </w:pPr>
      <w:r w:rsidRPr="0079439B">
        <w:rPr>
          <w:rFonts w:cstheme="minorHAnsi"/>
          <w:bCs/>
        </w:rPr>
        <w:t xml:space="preserve">Emily N. W. </w:t>
      </w:r>
      <w:proofErr w:type="spellStart"/>
      <w:r w:rsidRPr="0079439B">
        <w:rPr>
          <w:rFonts w:cstheme="minorHAnsi"/>
          <w:bCs/>
        </w:rPr>
        <w:t>Wheater</w:t>
      </w:r>
      <w:proofErr w:type="spellEnd"/>
      <w:r w:rsidRPr="0079439B">
        <w:rPr>
          <w:rFonts w:cstheme="minorHAnsi"/>
          <w:bCs/>
        </w:rPr>
        <w:t xml:space="preserve">, Paola </w:t>
      </w:r>
      <w:proofErr w:type="spellStart"/>
      <w:r w:rsidRPr="0079439B">
        <w:rPr>
          <w:rFonts w:cstheme="minorHAnsi"/>
          <w:bCs/>
        </w:rPr>
        <w:t>Galdi</w:t>
      </w:r>
      <w:proofErr w:type="spellEnd"/>
      <w:r w:rsidRPr="0079439B">
        <w:rPr>
          <w:rFonts w:cstheme="minorHAnsi"/>
          <w:bCs/>
        </w:rPr>
        <w:t>, Daniel L. McCartney, Manuel Blesa</w:t>
      </w:r>
      <w:r w:rsidRPr="0079439B">
        <w:rPr>
          <w:rFonts w:cstheme="minorHAnsi"/>
          <w:bCs/>
          <w:vertAlign w:val="superscript"/>
        </w:rPr>
        <w:t>1</w:t>
      </w:r>
      <w:r w:rsidRPr="0079439B">
        <w:rPr>
          <w:rFonts w:cstheme="minorHAnsi"/>
          <w:bCs/>
        </w:rPr>
        <w:t>, Gemma Sullivan</w:t>
      </w:r>
      <w:r w:rsidRPr="0079439B">
        <w:rPr>
          <w:rFonts w:cstheme="minorHAnsi"/>
          <w:bCs/>
          <w:vertAlign w:val="superscript"/>
        </w:rPr>
        <w:t>1</w:t>
      </w:r>
      <w:r w:rsidRPr="0079439B">
        <w:rPr>
          <w:rFonts w:cstheme="minorHAnsi"/>
          <w:bCs/>
        </w:rPr>
        <w:t>, David Q. Stoye</w:t>
      </w:r>
      <w:r w:rsidRPr="0079439B">
        <w:rPr>
          <w:rFonts w:cstheme="minorHAnsi"/>
          <w:bCs/>
          <w:vertAlign w:val="superscript"/>
        </w:rPr>
        <w:t>1</w:t>
      </w:r>
      <w:r w:rsidRPr="0079439B">
        <w:rPr>
          <w:rFonts w:cstheme="minorHAnsi"/>
          <w:bCs/>
        </w:rPr>
        <w:t>, Gillian Lamb</w:t>
      </w:r>
      <w:r w:rsidRPr="0079439B">
        <w:rPr>
          <w:rFonts w:cstheme="minorHAnsi"/>
          <w:bCs/>
          <w:vertAlign w:val="superscript"/>
        </w:rPr>
        <w:t>1</w:t>
      </w:r>
      <w:r w:rsidRPr="0079439B">
        <w:rPr>
          <w:rFonts w:cstheme="minorHAnsi"/>
          <w:bCs/>
        </w:rPr>
        <w:t>, Sarah Sparrow</w:t>
      </w:r>
      <w:r w:rsidRPr="0079439B">
        <w:rPr>
          <w:rFonts w:cstheme="minorHAnsi"/>
          <w:bCs/>
          <w:vertAlign w:val="superscript"/>
        </w:rPr>
        <w:t>1</w:t>
      </w:r>
      <w:r w:rsidRPr="0079439B">
        <w:rPr>
          <w:rFonts w:cstheme="minorHAnsi"/>
          <w:bCs/>
        </w:rPr>
        <w:t>, Lee Murphy</w:t>
      </w:r>
      <w:r w:rsidRPr="0079439B">
        <w:rPr>
          <w:rFonts w:cstheme="minorHAnsi"/>
          <w:bCs/>
          <w:vertAlign w:val="superscript"/>
        </w:rPr>
        <w:t>2</w:t>
      </w:r>
      <w:r w:rsidRPr="0079439B">
        <w:rPr>
          <w:rFonts w:cstheme="minorHAnsi"/>
          <w:bCs/>
        </w:rPr>
        <w:t>, Nicola Wrobel</w:t>
      </w:r>
      <w:r w:rsidRPr="0079439B">
        <w:rPr>
          <w:rFonts w:cstheme="minorHAnsi"/>
          <w:bCs/>
          <w:vertAlign w:val="superscript"/>
        </w:rPr>
        <w:t>2</w:t>
      </w:r>
      <w:r w:rsidRPr="0079439B">
        <w:rPr>
          <w:rFonts w:cstheme="minorHAnsi"/>
          <w:bCs/>
        </w:rPr>
        <w:t>, Alan J. Quigley</w:t>
      </w:r>
      <w:r w:rsidRPr="0079439B">
        <w:rPr>
          <w:rFonts w:cstheme="minorHAnsi"/>
          <w:bCs/>
          <w:vertAlign w:val="superscript"/>
        </w:rPr>
        <w:t>3</w:t>
      </w:r>
      <w:r w:rsidRPr="0079439B">
        <w:rPr>
          <w:rFonts w:cstheme="minorHAnsi"/>
          <w:bCs/>
        </w:rPr>
        <w:t>,</w:t>
      </w:r>
      <w:r w:rsidRPr="0079439B">
        <w:rPr>
          <w:rFonts w:cstheme="minorHAnsi"/>
          <w:bCs/>
          <w:vertAlign w:val="superscript"/>
        </w:rPr>
        <w:t xml:space="preserve"> </w:t>
      </w:r>
      <w:r w:rsidRPr="0079439B">
        <w:rPr>
          <w:rFonts w:cstheme="minorHAnsi"/>
          <w:bCs/>
        </w:rPr>
        <w:t>Scott Semple</w:t>
      </w:r>
      <w:r w:rsidRPr="0079439B">
        <w:rPr>
          <w:rFonts w:cstheme="minorHAnsi"/>
          <w:bCs/>
          <w:vertAlign w:val="superscript"/>
        </w:rPr>
        <w:t>4,5</w:t>
      </w:r>
      <w:r w:rsidRPr="0079439B">
        <w:rPr>
          <w:rFonts w:cstheme="minorHAnsi"/>
          <w:bCs/>
        </w:rPr>
        <w:t>, Michael J. Thrippleton</w:t>
      </w:r>
      <w:r w:rsidRPr="0079439B">
        <w:rPr>
          <w:rFonts w:cstheme="minorHAnsi"/>
          <w:bCs/>
          <w:vertAlign w:val="superscript"/>
        </w:rPr>
        <w:t>4,6</w:t>
      </w:r>
      <w:r w:rsidRPr="0079439B">
        <w:rPr>
          <w:rFonts w:cstheme="minorHAnsi"/>
          <w:bCs/>
        </w:rPr>
        <w:t>, Joanna M. Wardlaw</w:t>
      </w:r>
      <w:r w:rsidRPr="0079439B">
        <w:rPr>
          <w:rFonts w:cstheme="minorHAnsi"/>
          <w:bCs/>
          <w:vertAlign w:val="superscript"/>
        </w:rPr>
        <w:t>6</w:t>
      </w:r>
      <w:r w:rsidRPr="0079439B">
        <w:rPr>
          <w:rFonts w:cstheme="minorHAnsi"/>
          <w:bCs/>
        </w:rPr>
        <w:t>, Mark E. Bastin</w:t>
      </w:r>
      <w:r w:rsidRPr="0079439B">
        <w:rPr>
          <w:rFonts w:cstheme="minorHAnsi"/>
          <w:bCs/>
          <w:vertAlign w:val="superscript"/>
        </w:rPr>
        <w:t>6</w:t>
      </w:r>
      <w:r w:rsidRPr="0079439B">
        <w:rPr>
          <w:rFonts w:cstheme="minorHAnsi"/>
          <w:bCs/>
        </w:rPr>
        <w:t>,</w:t>
      </w:r>
      <w:r w:rsidRPr="0079439B">
        <w:rPr>
          <w:rFonts w:cstheme="minorHAnsi"/>
          <w:bCs/>
          <w:vertAlign w:val="superscript"/>
        </w:rPr>
        <w:t xml:space="preserve"> </w:t>
      </w:r>
      <w:r w:rsidRPr="0079439B">
        <w:rPr>
          <w:rFonts w:cstheme="minorHAnsi"/>
          <w:bCs/>
        </w:rPr>
        <w:t>Riccardo E. Marioni</w:t>
      </w:r>
      <w:r w:rsidRPr="0079439B">
        <w:rPr>
          <w:rFonts w:cstheme="minorHAnsi"/>
          <w:bCs/>
          <w:vertAlign w:val="superscript"/>
        </w:rPr>
        <w:t>2</w:t>
      </w:r>
      <w:r w:rsidRPr="0079439B">
        <w:rPr>
          <w:rFonts w:cstheme="minorHAnsi"/>
          <w:bCs/>
        </w:rPr>
        <w:t>, Simon R. Cox</w:t>
      </w:r>
      <w:r w:rsidRPr="0079439B">
        <w:rPr>
          <w:rFonts w:cstheme="minorHAnsi"/>
          <w:bCs/>
          <w:vertAlign w:val="superscript"/>
        </w:rPr>
        <w:t>7</w:t>
      </w:r>
      <w:r w:rsidRPr="0079439B">
        <w:rPr>
          <w:rFonts w:cstheme="minorHAnsi"/>
          <w:bCs/>
        </w:rPr>
        <w:t>, James P. Boardman</w:t>
      </w:r>
      <w:r w:rsidRPr="0079439B">
        <w:rPr>
          <w:rFonts w:cstheme="minorHAnsi"/>
          <w:bCs/>
          <w:vertAlign w:val="superscript"/>
        </w:rPr>
        <w:t>1,6</w:t>
      </w:r>
    </w:p>
    <w:p w14:paraId="6564BA81" w14:textId="77777777" w:rsidR="0079439B" w:rsidRDefault="0079439B" w:rsidP="0079439B">
      <w:pPr>
        <w:spacing w:line="360" w:lineRule="auto"/>
        <w:jc w:val="center"/>
      </w:pPr>
    </w:p>
    <w:p w14:paraId="189DFFDC" w14:textId="4E77C222" w:rsidR="00A668FA" w:rsidRDefault="00A668FA" w:rsidP="00D46855">
      <w:pPr>
        <w:spacing w:line="36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D682515" w14:textId="214EB0B9" w:rsidR="00A668FA" w:rsidRDefault="00A668FA" w:rsidP="00D46855">
      <w:pPr>
        <w:spacing w:line="36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7AE7192" w14:textId="77777777" w:rsidR="00BA3AC1" w:rsidRDefault="00BA3AC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43B2050" w14:textId="44C58444" w:rsidR="00260372" w:rsidRDefault="007A73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686FF925" wp14:editId="78E883E4">
            <wp:extent cx="4277032" cy="4277032"/>
            <wp:effectExtent l="0" t="0" r="3175" b="317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759" cy="428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2301" w14:textId="77777777" w:rsidR="00260372" w:rsidRDefault="00260372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FF05646" w14:textId="28C49396" w:rsidR="003B78CB" w:rsidRDefault="001E53B2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Supplementary</w:t>
      </w:r>
      <w:r w:rsidR="003B78CB">
        <w:rPr>
          <w:rFonts w:cstheme="minorHAnsi"/>
          <w:b/>
          <w:bCs/>
          <w:color w:val="000000" w:themeColor="text1"/>
          <w:sz w:val="22"/>
          <w:szCs w:val="22"/>
        </w:rPr>
        <w:t xml:space="preserve"> Figure </w:t>
      </w:r>
      <w:r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3B78CB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  <w:r w:rsidR="00F03E7B">
        <w:rPr>
          <w:rFonts w:cstheme="minorHAnsi"/>
          <w:b/>
          <w:bCs/>
          <w:color w:val="000000" w:themeColor="text1"/>
          <w:sz w:val="22"/>
          <w:szCs w:val="22"/>
        </w:rPr>
        <w:t>Quantile-Quantile (</w:t>
      </w:r>
      <w:r w:rsidR="003B78CB">
        <w:rPr>
          <w:rFonts w:cstheme="minorHAnsi"/>
          <w:b/>
          <w:bCs/>
          <w:color w:val="000000" w:themeColor="text1"/>
          <w:sz w:val="22"/>
          <w:szCs w:val="22"/>
        </w:rPr>
        <w:t>QQ</w:t>
      </w:r>
      <w:r w:rsidR="00F03E7B">
        <w:rPr>
          <w:rFonts w:cstheme="minorHAnsi"/>
          <w:b/>
          <w:bCs/>
          <w:color w:val="000000" w:themeColor="text1"/>
          <w:sz w:val="22"/>
          <w:szCs w:val="22"/>
        </w:rPr>
        <w:t>)</w:t>
      </w:r>
      <w:r w:rsidR="003B78CB">
        <w:rPr>
          <w:rFonts w:cstheme="minorHAnsi"/>
          <w:b/>
          <w:bCs/>
          <w:color w:val="000000" w:themeColor="text1"/>
          <w:sz w:val="22"/>
          <w:szCs w:val="22"/>
        </w:rPr>
        <w:t xml:space="preserve"> plot </w:t>
      </w:r>
      <w:r w:rsidR="00F03E7B">
        <w:rPr>
          <w:rFonts w:cstheme="minorHAnsi"/>
          <w:b/>
          <w:bCs/>
          <w:color w:val="000000" w:themeColor="text1"/>
          <w:sz w:val="22"/>
          <w:szCs w:val="22"/>
        </w:rPr>
        <w:t>for EWAS results</w:t>
      </w:r>
      <w:r w:rsidR="000F7024">
        <w:rPr>
          <w:rFonts w:cstheme="minorHAnsi"/>
          <w:b/>
          <w:bCs/>
          <w:color w:val="000000" w:themeColor="text1"/>
          <w:sz w:val="22"/>
          <w:szCs w:val="22"/>
        </w:rPr>
        <w:t>. Genomic inflation factor</w:t>
      </w:r>
      <w:r w:rsidR="00AE2A34">
        <w:rPr>
          <w:rFonts w:cstheme="minorHAnsi"/>
          <w:b/>
          <w:bCs/>
          <w:color w:val="000000" w:themeColor="text1"/>
          <w:sz w:val="22"/>
          <w:szCs w:val="22"/>
        </w:rPr>
        <w:t xml:space="preserve">: </w:t>
      </w:r>
      <w:r w:rsidR="000F7024">
        <w:rPr>
          <w:rFonts w:cstheme="minorHAnsi"/>
          <w:b/>
          <w:bCs/>
          <w:color w:val="000000" w:themeColor="text1"/>
          <w:sz w:val="22"/>
          <w:szCs w:val="22"/>
        </w:rPr>
        <w:t>1.7</w:t>
      </w:r>
      <w:r w:rsidR="00AE2A34">
        <w:rPr>
          <w:rFonts w:cstheme="minorHAnsi"/>
          <w:b/>
          <w:bCs/>
          <w:color w:val="000000" w:themeColor="text1"/>
          <w:sz w:val="22"/>
          <w:szCs w:val="22"/>
        </w:rPr>
        <w:t xml:space="preserve">2. </w:t>
      </w:r>
      <w:r w:rsidR="003B78CB"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351C3E41" w14:textId="5CE93870" w:rsidR="00FB5809" w:rsidRDefault="005D4103" w:rsidP="00D46855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D46855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 xml:space="preserve">Supplementary Figure </w:t>
      </w:r>
      <w:r w:rsidR="001E53B2"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D46855">
        <w:rPr>
          <w:rFonts w:cstheme="minorHAnsi"/>
          <w:color w:val="000000" w:themeColor="text1"/>
          <w:sz w:val="22"/>
          <w:szCs w:val="22"/>
        </w:rPr>
        <w:t xml:space="preserve">. Scatter plots showing the relationship between the </w:t>
      </w:r>
      <w:r w:rsidR="00B94869">
        <w:rPr>
          <w:rFonts w:cstheme="minorHAnsi"/>
          <w:color w:val="000000" w:themeColor="text1"/>
          <w:sz w:val="22"/>
          <w:szCs w:val="22"/>
        </w:rPr>
        <w:t xml:space="preserve">beta values of </w:t>
      </w:r>
      <w:r w:rsidRPr="00D46855">
        <w:rPr>
          <w:rFonts w:cstheme="minorHAnsi"/>
          <w:color w:val="000000" w:themeColor="text1"/>
          <w:sz w:val="22"/>
          <w:szCs w:val="22"/>
        </w:rPr>
        <w:t xml:space="preserve">top ten most significant CpG </w:t>
      </w:r>
      <w:r w:rsidR="00B94869">
        <w:rPr>
          <w:rFonts w:cstheme="minorHAnsi"/>
          <w:color w:val="000000" w:themeColor="text1"/>
          <w:sz w:val="22"/>
          <w:szCs w:val="22"/>
        </w:rPr>
        <w:t>probes</w:t>
      </w:r>
      <w:r w:rsidRPr="00D46855">
        <w:rPr>
          <w:rFonts w:cstheme="minorHAnsi"/>
          <w:color w:val="000000" w:themeColor="text1"/>
          <w:sz w:val="22"/>
          <w:szCs w:val="22"/>
        </w:rPr>
        <w:t xml:space="preserve"> and gestational age at birth</w:t>
      </w:r>
      <w:r w:rsidR="0040264D">
        <w:rPr>
          <w:rFonts w:cstheme="minorHAnsi"/>
          <w:color w:val="000000" w:themeColor="text1"/>
          <w:sz w:val="22"/>
          <w:szCs w:val="22"/>
        </w:rPr>
        <w:t xml:space="preserve"> in weeks</w:t>
      </w:r>
      <w:r w:rsidR="00882BCE">
        <w:rPr>
          <w:rFonts w:cstheme="minorHAnsi"/>
          <w:color w:val="000000" w:themeColor="text1"/>
          <w:sz w:val="22"/>
          <w:szCs w:val="22"/>
        </w:rPr>
        <w:t>, with 95% confidence intervals</w:t>
      </w:r>
      <w:r w:rsidRPr="00D46855">
        <w:rPr>
          <w:rFonts w:cstheme="minorHAnsi"/>
          <w:color w:val="000000" w:themeColor="text1"/>
          <w:sz w:val="22"/>
          <w:szCs w:val="22"/>
        </w:rPr>
        <w:t>.</w:t>
      </w:r>
    </w:p>
    <w:p w14:paraId="71B15D6B" w14:textId="4E78C073" w:rsidR="002A2A02" w:rsidRPr="003948CE" w:rsidRDefault="00FB5809" w:rsidP="003948CE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D9242FA" wp14:editId="4C22322E">
            <wp:extent cx="3778730" cy="8096865"/>
            <wp:effectExtent l="0" t="0" r="6350" b="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521" cy="81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4B94" w14:textId="6124CAFB" w:rsidR="005D4103" w:rsidRDefault="005D4103" w:rsidP="003948CE">
      <w:pPr>
        <w:rPr>
          <w:rFonts w:cstheme="minorHAnsi"/>
          <w:color w:val="000000" w:themeColor="text1"/>
          <w:sz w:val="22"/>
          <w:szCs w:val="22"/>
        </w:rPr>
      </w:pPr>
      <w:r>
        <w:br w:type="page"/>
      </w:r>
      <w:r w:rsidRPr="009547B4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 xml:space="preserve">Supplementary Figure </w:t>
      </w:r>
      <w:r w:rsidR="001E53B2">
        <w:rPr>
          <w:rFonts w:cstheme="minorHAnsi"/>
          <w:b/>
          <w:bCs/>
          <w:color w:val="000000" w:themeColor="text1"/>
          <w:sz w:val="22"/>
          <w:szCs w:val="22"/>
        </w:rPr>
        <w:t>3</w:t>
      </w:r>
      <w:r w:rsidRPr="009547B4">
        <w:rPr>
          <w:rFonts w:cstheme="minorHAnsi"/>
          <w:b/>
          <w:bCs/>
          <w:color w:val="000000" w:themeColor="text1"/>
          <w:sz w:val="22"/>
          <w:szCs w:val="22"/>
        </w:rPr>
        <w:t>.</w:t>
      </w:r>
      <w:r w:rsidRPr="009547B4">
        <w:rPr>
          <w:rFonts w:cstheme="minorHAnsi"/>
          <w:color w:val="000000" w:themeColor="text1"/>
          <w:sz w:val="22"/>
          <w:szCs w:val="22"/>
        </w:rPr>
        <w:t xml:space="preserve"> Batch effects have been successfully removed from the </w:t>
      </w:r>
      <w:proofErr w:type="spellStart"/>
      <w:r w:rsidRPr="009547B4">
        <w:rPr>
          <w:rFonts w:cstheme="minorHAnsi"/>
          <w:color w:val="000000" w:themeColor="text1"/>
          <w:sz w:val="22"/>
          <w:szCs w:val="22"/>
        </w:rPr>
        <w:t>residualised</w:t>
      </w:r>
      <w:proofErr w:type="spellEnd"/>
      <w:r w:rsidRPr="009547B4">
        <w:rPr>
          <w:rFonts w:cstheme="minorHAnsi"/>
          <w:color w:val="000000" w:themeColor="text1"/>
          <w:sz w:val="22"/>
          <w:szCs w:val="22"/>
        </w:rPr>
        <w:t xml:space="preserve"> DNAm data based on </w:t>
      </w:r>
      <w:r w:rsidR="00D46855">
        <w:rPr>
          <w:rFonts w:cstheme="minorHAnsi"/>
          <w:color w:val="000000" w:themeColor="text1"/>
          <w:sz w:val="22"/>
          <w:szCs w:val="22"/>
        </w:rPr>
        <w:t xml:space="preserve">the </w:t>
      </w:r>
      <w:r w:rsidRPr="009547B4">
        <w:rPr>
          <w:rFonts w:cstheme="minorHAnsi"/>
          <w:color w:val="000000" w:themeColor="text1"/>
          <w:sz w:val="22"/>
          <w:szCs w:val="22"/>
        </w:rPr>
        <w:t>top 2 PCs derived from 8</w:t>
      </w:r>
      <w:r w:rsidR="00D46855">
        <w:rPr>
          <w:rFonts w:cstheme="minorHAnsi"/>
          <w:color w:val="000000" w:themeColor="text1"/>
          <w:sz w:val="22"/>
          <w:szCs w:val="22"/>
        </w:rPr>
        <w:t>,</w:t>
      </w:r>
      <w:r w:rsidRPr="009547B4">
        <w:rPr>
          <w:rFonts w:cstheme="minorHAnsi"/>
          <w:color w:val="000000" w:themeColor="text1"/>
          <w:sz w:val="22"/>
          <w:szCs w:val="22"/>
        </w:rPr>
        <w:t>8</w:t>
      </w:r>
      <w:r w:rsidR="008B31EF">
        <w:rPr>
          <w:rFonts w:cstheme="minorHAnsi"/>
          <w:color w:val="000000" w:themeColor="text1"/>
          <w:sz w:val="22"/>
          <w:szCs w:val="22"/>
        </w:rPr>
        <w:t>70</w:t>
      </w:r>
      <w:r w:rsidRPr="009547B4">
        <w:rPr>
          <w:rFonts w:cstheme="minorHAnsi"/>
          <w:color w:val="000000" w:themeColor="text1"/>
          <w:sz w:val="22"/>
          <w:szCs w:val="22"/>
        </w:rPr>
        <w:t xml:space="preserve"> CpG probes that reached genome-wide significance. </w:t>
      </w:r>
    </w:p>
    <w:p w14:paraId="1235F7C1" w14:textId="64268B4C" w:rsidR="007A7345" w:rsidRDefault="007A7345" w:rsidP="003948CE">
      <w:pPr>
        <w:rPr>
          <w:rFonts w:cstheme="minorHAnsi"/>
          <w:color w:val="000000" w:themeColor="text1"/>
          <w:sz w:val="22"/>
          <w:szCs w:val="22"/>
        </w:rPr>
      </w:pPr>
    </w:p>
    <w:p w14:paraId="35BACC09" w14:textId="5496736C" w:rsidR="007A7345" w:rsidRPr="003948CE" w:rsidRDefault="007A7345" w:rsidP="003948CE">
      <w:r>
        <w:rPr>
          <w:noProof/>
        </w:rPr>
        <w:drawing>
          <wp:inline distT="0" distB="0" distL="0" distR="0" wp14:anchorId="2AD6EC06" wp14:editId="0BA21EA1">
            <wp:extent cx="4188542" cy="4188542"/>
            <wp:effectExtent l="0" t="0" r="2540" b="254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659" cy="419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C875" w14:textId="03F206B3" w:rsidR="002A2A02" w:rsidRPr="002C2559" w:rsidRDefault="002A2A02" w:rsidP="00411BD8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6C51C727" w14:textId="77777777" w:rsidR="009547B4" w:rsidRDefault="009547B4" w:rsidP="005D4103">
      <w:pPr>
        <w:rPr>
          <w:rFonts w:ascii="Arial" w:hAnsi="Arial" w:cs="Arial"/>
          <w:b/>
          <w:bCs/>
          <w:color w:val="000000" w:themeColor="text1"/>
        </w:rPr>
      </w:pPr>
    </w:p>
    <w:p w14:paraId="1D699BC8" w14:textId="77777777" w:rsidR="009547B4" w:rsidRDefault="009547B4" w:rsidP="005D4103">
      <w:pPr>
        <w:rPr>
          <w:rFonts w:ascii="Arial" w:hAnsi="Arial" w:cs="Arial"/>
          <w:b/>
          <w:bCs/>
          <w:color w:val="000000" w:themeColor="text1"/>
        </w:rPr>
      </w:pPr>
    </w:p>
    <w:p w14:paraId="06C412E0" w14:textId="77777777" w:rsidR="00F91868" w:rsidRDefault="00F9186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53BC2EE" w14:textId="77777777" w:rsidR="009547B4" w:rsidRDefault="009547B4" w:rsidP="005D4103">
      <w:pPr>
        <w:rPr>
          <w:rFonts w:ascii="Arial" w:hAnsi="Arial" w:cs="Arial"/>
          <w:b/>
          <w:bCs/>
          <w:color w:val="000000" w:themeColor="text1"/>
        </w:rPr>
      </w:pPr>
    </w:p>
    <w:p w14:paraId="6CC2B5BC" w14:textId="77777777" w:rsidR="00C46783" w:rsidRDefault="00C46783" w:rsidP="005D4103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D5BF9B3" w14:textId="299F8690" w:rsidR="00411BD8" w:rsidRPr="002F6581" w:rsidRDefault="005D4103" w:rsidP="005D4103">
      <w:pPr>
        <w:rPr>
          <w:rFonts w:cstheme="minorHAnsi"/>
          <w:color w:val="000000" w:themeColor="text1"/>
          <w:sz w:val="22"/>
          <w:szCs w:val="22"/>
        </w:rPr>
      </w:pPr>
      <w:r w:rsidRPr="009547B4">
        <w:rPr>
          <w:rFonts w:cstheme="minorHAnsi"/>
          <w:b/>
          <w:bCs/>
          <w:color w:val="000000" w:themeColor="text1"/>
          <w:sz w:val="22"/>
          <w:szCs w:val="22"/>
        </w:rPr>
        <w:t>Supplementary Table 1.</w:t>
      </w:r>
      <w:r w:rsidRPr="009547B4">
        <w:rPr>
          <w:rFonts w:cstheme="minorHAnsi"/>
          <w:color w:val="000000" w:themeColor="text1"/>
          <w:sz w:val="22"/>
          <w:szCs w:val="22"/>
        </w:rPr>
        <w:t xml:space="preserve"> Demographics of participants with both PS </w:t>
      </w:r>
      <w:r w:rsidR="002F6581">
        <w:rPr>
          <w:rFonts w:cstheme="minorHAnsi"/>
          <w:color w:val="000000" w:themeColor="text1"/>
          <w:sz w:val="22"/>
          <w:szCs w:val="22"/>
        </w:rPr>
        <w:t xml:space="preserve">(FA and MD) </w:t>
      </w:r>
      <w:r w:rsidRPr="009547B4">
        <w:rPr>
          <w:rFonts w:cstheme="minorHAnsi"/>
          <w:color w:val="000000" w:themeColor="text1"/>
          <w:sz w:val="22"/>
          <w:szCs w:val="22"/>
        </w:rPr>
        <w:t>metrics and DNAm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547B4" w:rsidRPr="009547B4" w14:paraId="50CCA7E6" w14:textId="77777777" w:rsidTr="009547B4">
        <w:trPr>
          <w:trHeight w:val="427"/>
        </w:trPr>
        <w:tc>
          <w:tcPr>
            <w:tcW w:w="3003" w:type="dxa"/>
          </w:tcPr>
          <w:p w14:paraId="492C3DC2" w14:textId="47E09778" w:rsidR="009547B4" w:rsidRPr="009547B4" w:rsidRDefault="009547B4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3" w:type="dxa"/>
          </w:tcPr>
          <w:p w14:paraId="4B4AD41D" w14:textId="5A0AFEF3" w:rsidR="009547B4" w:rsidRPr="009547B4" w:rsidRDefault="009547B4" w:rsidP="009547B4">
            <w:pPr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  <w:t>Preterm Infants</w:t>
            </w:r>
          </w:p>
          <w:p w14:paraId="414A1DEF" w14:textId="71B6DEFB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(n=127)</w:t>
            </w:r>
          </w:p>
        </w:tc>
        <w:tc>
          <w:tcPr>
            <w:tcW w:w="3004" w:type="dxa"/>
          </w:tcPr>
          <w:p w14:paraId="2CE731F1" w14:textId="0175433B" w:rsidR="009547B4" w:rsidRPr="009547B4" w:rsidRDefault="009547B4" w:rsidP="009547B4">
            <w:pPr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  <w:t>Term Infants</w:t>
            </w:r>
          </w:p>
          <w:p w14:paraId="536B2739" w14:textId="3C73B255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(n=87)</w:t>
            </w:r>
          </w:p>
        </w:tc>
      </w:tr>
      <w:tr w:rsidR="009547B4" w:rsidRPr="009547B4" w14:paraId="2170A782" w14:textId="77777777" w:rsidTr="00E0455F">
        <w:tc>
          <w:tcPr>
            <w:tcW w:w="3003" w:type="dxa"/>
          </w:tcPr>
          <w:p w14:paraId="6B229A34" w14:textId="158919F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Gestational age at birth/weeks (range)</w:t>
            </w:r>
          </w:p>
        </w:tc>
        <w:tc>
          <w:tcPr>
            <w:tcW w:w="3003" w:type="dxa"/>
          </w:tcPr>
          <w:p w14:paraId="543A3C56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29.14</w:t>
            </w:r>
          </w:p>
          <w:p w14:paraId="2982BF1E" w14:textId="2865E8D9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(23.28 – 34.86)</w:t>
            </w:r>
          </w:p>
        </w:tc>
        <w:tc>
          <w:tcPr>
            <w:tcW w:w="3004" w:type="dxa"/>
          </w:tcPr>
          <w:p w14:paraId="5718039D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39.74</w:t>
            </w:r>
          </w:p>
          <w:p w14:paraId="17EAB00D" w14:textId="2B2C21C3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(36.43 – 42.14)</w:t>
            </w:r>
          </w:p>
        </w:tc>
      </w:tr>
      <w:tr w:rsidR="00FF3413" w:rsidRPr="009547B4" w14:paraId="424D9EB1" w14:textId="77777777" w:rsidTr="00E0455F">
        <w:tc>
          <w:tcPr>
            <w:tcW w:w="3003" w:type="dxa"/>
          </w:tcPr>
          <w:p w14:paraId="52C7B3A6" w14:textId="1A5351D3" w:rsidR="00FF3413" w:rsidRPr="009547B4" w:rsidRDefault="00FF3413" w:rsidP="009547B4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 xml:space="preserve">Gestational age at </w:t>
            </w:r>
            <w:r>
              <w:rPr>
                <w:rFonts w:ascii="Gill Sans MT" w:hAnsi="Gill Sans MT"/>
                <w:sz w:val="16"/>
                <w:szCs w:val="16"/>
              </w:rPr>
              <w:t>scan</w:t>
            </w:r>
            <w:r w:rsidRPr="009547B4">
              <w:rPr>
                <w:rFonts w:ascii="Gill Sans MT" w:hAnsi="Gill Sans MT"/>
                <w:sz w:val="16"/>
                <w:szCs w:val="16"/>
              </w:rPr>
              <w:t>/weeks (range)</w:t>
            </w:r>
          </w:p>
        </w:tc>
        <w:tc>
          <w:tcPr>
            <w:tcW w:w="3003" w:type="dxa"/>
          </w:tcPr>
          <w:p w14:paraId="57C5A4DC" w14:textId="77777777" w:rsidR="00FF3413" w:rsidRPr="002357B7" w:rsidRDefault="00FF3413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40.44</w:t>
            </w:r>
          </w:p>
          <w:p w14:paraId="5243C09E" w14:textId="2AC2A627" w:rsidR="00FF3413" w:rsidRPr="002357B7" w:rsidRDefault="00FF3413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(37.70-44.29)</w:t>
            </w:r>
          </w:p>
        </w:tc>
        <w:tc>
          <w:tcPr>
            <w:tcW w:w="3004" w:type="dxa"/>
          </w:tcPr>
          <w:p w14:paraId="70DAC7D8" w14:textId="77777777" w:rsidR="00FF3413" w:rsidRPr="002357B7" w:rsidRDefault="00FF3413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42.25</w:t>
            </w:r>
          </w:p>
          <w:p w14:paraId="0C415B06" w14:textId="31FC1645" w:rsidR="00FF3413" w:rsidRPr="002357B7" w:rsidRDefault="00FF3413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(39.84-</w:t>
            </w:r>
            <w:r w:rsidRPr="002357B7">
              <w:rPr>
                <w:color w:val="000000" w:themeColor="text1"/>
              </w:rPr>
              <w:t xml:space="preserve"> 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47.14)</w:t>
            </w:r>
          </w:p>
        </w:tc>
      </w:tr>
      <w:tr w:rsidR="009547B4" w:rsidRPr="009547B4" w14:paraId="5CAFC992" w14:textId="77777777" w:rsidTr="00E0455F">
        <w:tc>
          <w:tcPr>
            <w:tcW w:w="3003" w:type="dxa"/>
          </w:tcPr>
          <w:p w14:paraId="5AE0AB58" w14:textId="77777777" w:rsidR="009547B4" w:rsidRPr="009547B4" w:rsidRDefault="009547B4" w:rsidP="009547B4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Birth weight/g</w:t>
            </w:r>
          </w:p>
          <w:p w14:paraId="79D6F652" w14:textId="781A2D2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(range)</w:t>
            </w:r>
          </w:p>
        </w:tc>
        <w:tc>
          <w:tcPr>
            <w:tcW w:w="3003" w:type="dxa"/>
          </w:tcPr>
          <w:p w14:paraId="5D533568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1184</w:t>
            </w:r>
          </w:p>
          <w:p w14:paraId="46B4AEA9" w14:textId="5C34B57D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(500 – 2100)</w:t>
            </w:r>
          </w:p>
        </w:tc>
        <w:tc>
          <w:tcPr>
            <w:tcW w:w="3004" w:type="dxa"/>
          </w:tcPr>
          <w:p w14:paraId="4DF14E9F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3489</w:t>
            </w:r>
          </w:p>
          <w:p w14:paraId="1C9D6170" w14:textId="3D645A84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(2410 -4670)</w:t>
            </w:r>
          </w:p>
        </w:tc>
      </w:tr>
      <w:tr w:rsidR="009547B4" w:rsidRPr="009547B4" w14:paraId="55229DCC" w14:textId="77777777" w:rsidTr="00E0455F">
        <w:tc>
          <w:tcPr>
            <w:tcW w:w="3003" w:type="dxa"/>
          </w:tcPr>
          <w:p w14:paraId="1557FAC4" w14:textId="77777777" w:rsidR="009547B4" w:rsidRPr="009547B4" w:rsidRDefault="009547B4" w:rsidP="009547B4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Birth weight z-score</w:t>
            </w:r>
          </w:p>
          <w:p w14:paraId="5ED4D59B" w14:textId="6B3BF72F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(range)</w:t>
            </w:r>
          </w:p>
        </w:tc>
        <w:tc>
          <w:tcPr>
            <w:tcW w:w="3003" w:type="dxa"/>
          </w:tcPr>
          <w:p w14:paraId="1A3A7A32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-0.2476</w:t>
            </w:r>
          </w:p>
          <w:p w14:paraId="261386E8" w14:textId="506E8D4E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(-3.1324 – 1.5809)</w:t>
            </w:r>
          </w:p>
        </w:tc>
        <w:tc>
          <w:tcPr>
            <w:tcW w:w="3004" w:type="dxa"/>
          </w:tcPr>
          <w:p w14:paraId="3F4320FB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0.4521</w:t>
            </w:r>
          </w:p>
          <w:p w14:paraId="562B45D3" w14:textId="0D550425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(-2.2952 – 2.9620)</w:t>
            </w:r>
          </w:p>
        </w:tc>
      </w:tr>
      <w:tr w:rsidR="009547B4" w:rsidRPr="009547B4" w14:paraId="49DC3DA3" w14:textId="77777777" w:rsidTr="00E0455F">
        <w:tc>
          <w:tcPr>
            <w:tcW w:w="3003" w:type="dxa"/>
          </w:tcPr>
          <w:p w14:paraId="2C0C7566" w14:textId="2C7B839C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folate supplementation in pregnancy (%)</w:t>
            </w:r>
          </w:p>
        </w:tc>
        <w:tc>
          <w:tcPr>
            <w:tcW w:w="3003" w:type="dxa"/>
          </w:tcPr>
          <w:p w14:paraId="7B3F285F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110</w:t>
            </w:r>
          </w:p>
          <w:p w14:paraId="75009F2C" w14:textId="6C4702B1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(87)</w:t>
            </w:r>
          </w:p>
        </w:tc>
        <w:tc>
          <w:tcPr>
            <w:tcW w:w="3004" w:type="dxa"/>
          </w:tcPr>
          <w:p w14:paraId="276DAE98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76 </w:t>
            </w:r>
          </w:p>
          <w:p w14:paraId="33E74203" w14:textId="35CFB44B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(87)</w:t>
            </w:r>
          </w:p>
        </w:tc>
      </w:tr>
      <w:tr w:rsidR="009547B4" w:rsidRPr="009547B4" w14:paraId="7C8BA73E" w14:textId="77777777" w:rsidTr="00E0455F">
        <w:tc>
          <w:tcPr>
            <w:tcW w:w="3003" w:type="dxa"/>
          </w:tcPr>
          <w:p w14:paraId="21357A2C" w14:textId="3176E994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Sex: Female (%)</w:t>
            </w:r>
          </w:p>
        </w:tc>
        <w:tc>
          <w:tcPr>
            <w:tcW w:w="3003" w:type="dxa"/>
          </w:tcPr>
          <w:p w14:paraId="1B9CA94D" w14:textId="6AF35E10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63 (50)</w:t>
            </w:r>
          </w:p>
        </w:tc>
        <w:tc>
          <w:tcPr>
            <w:tcW w:w="3004" w:type="dxa"/>
          </w:tcPr>
          <w:p w14:paraId="6417B51B" w14:textId="26F5B0AE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39 (45)</w:t>
            </w:r>
          </w:p>
        </w:tc>
      </w:tr>
      <w:tr w:rsidR="009547B4" w:rsidRPr="009547B4" w14:paraId="47B7B4F4" w14:textId="77777777" w:rsidTr="00E0455F">
        <w:tc>
          <w:tcPr>
            <w:tcW w:w="3003" w:type="dxa"/>
          </w:tcPr>
          <w:p w14:paraId="149BFEF2" w14:textId="32368288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age (years)</w:t>
            </w:r>
          </w:p>
        </w:tc>
        <w:tc>
          <w:tcPr>
            <w:tcW w:w="3003" w:type="dxa"/>
          </w:tcPr>
          <w:p w14:paraId="347923AD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31.0</w:t>
            </w:r>
          </w:p>
          <w:p w14:paraId="3F90427C" w14:textId="265A766C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(17-44)</w:t>
            </w:r>
          </w:p>
        </w:tc>
        <w:tc>
          <w:tcPr>
            <w:tcW w:w="3004" w:type="dxa"/>
          </w:tcPr>
          <w:p w14:paraId="5A5B7F73" w14:textId="77777777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33.9</w:t>
            </w:r>
          </w:p>
          <w:p w14:paraId="1C536E35" w14:textId="0335474F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(23 – 45)</w:t>
            </w:r>
          </w:p>
        </w:tc>
      </w:tr>
      <w:tr w:rsidR="009547B4" w:rsidRPr="009547B4" w14:paraId="59443162" w14:textId="77777777" w:rsidTr="00E0455F">
        <w:tc>
          <w:tcPr>
            <w:tcW w:w="3003" w:type="dxa"/>
          </w:tcPr>
          <w:p w14:paraId="6DA5DC57" w14:textId="666AA48F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tobacco smoker in pregnancy (%)</w:t>
            </w:r>
          </w:p>
        </w:tc>
        <w:tc>
          <w:tcPr>
            <w:tcW w:w="3003" w:type="dxa"/>
          </w:tcPr>
          <w:p w14:paraId="0F02DE6F" w14:textId="54B672AA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24 (19)</w:t>
            </w:r>
          </w:p>
        </w:tc>
        <w:tc>
          <w:tcPr>
            <w:tcW w:w="3004" w:type="dxa"/>
          </w:tcPr>
          <w:p w14:paraId="7C1C004B" w14:textId="339776D4" w:rsidR="009547B4" w:rsidRPr="009547B4" w:rsidRDefault="009547B4" w:rsidP="009547B4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 (0)</w:t>
            </w:r>
          </w:p>
        </w:tc>
      </w:tr>
    </w:tbl>
    <w:p w14:paraId="28276B6C" w14:textId="16E1A13E" w:rsidR="005D4103" w:rsidRDefault="005D4103" w:rsidP="005D4103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68F38A95" w14:textId="621865C5" w:rsidR="002F6581" w:rsidRDefault="002F6581" w:rsidP="005D4103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5D052921" w14:textId="2C4E4C4F" w:rsidR="002F6581" w:rsidRPr="002F6581" w:rsidRDefault="002F6581" w:rsidP="002F6581">
      <w:pPr>
        <w:rPr>
          <w:rFonts w:cstheme="minorHAnsi"/>
          <w:color w:val="000000" w:themeColor="text1"/>
          <w:sz w:val="22"/>
          <w:szCs w:val="22"/>
        </w:rPr>
      </w:pPr>
      <w:r w:rsidRPr="009547B4">
        <w:rPr>
          <w:rFonts w:cstheme="minorHAnsi"/>
          <w:b/>
          <w:bCs/>
          <w:color w:val="000000" w:themeColor="text1"/>
          <w:sz w:val="22"/>
          <w:szCs w:val="22"/>
        </w:rPr>
        <w:t xml:space="preserve">Supplementary Table </w:t>
      </w:r>
      <w:r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9547B4">
        <w:rPr>
          <w:rFonts w:cstheme="minorHAnsi"/>
          <w:b/>
          <w:bCs/>
          <w:color w:val="000000" w:themeColor="text1"/>
          <w:sz w:val="22"/>
          <w:szCs w:val="22"/>
        </w:rPr>
        <w:t>.</w:t>
      </w:r>
      <w:r w:rsidRPr="009547B4">
        <w:rPr>
          <w:rFonts w:cstheme="minorHAnsi"/>
          <w:color w:val="000000" w:themeColor="text1"/>
          <w:sz w:val="22"/>
          <w:szCs w:val="22"/>
        </w:rPr>
        <w:t xml:space="preserve"> Demographics of participants with both PS</w:t>
      </w:r>
      <w:r>
        <w:rPr>
          <w:rFonts w:cstheme="minorHAnsi"/>
          <w:color w:val="000000" w:themeColor="text1"/>
          <w:sz w:val="22"/>
          <w:szCs w:val="22"/>
        </w:rPr>
        <w:t xml:space="preserve">NDI </w:t>
      </w:r>
      <w:r w:rsidRPr="009547B4">
        <w:rPr>
          <w:rFonts w:cstheme="minorHAnsi"/>
          <w:color w:val="000000" w:themeColor="text1"/>
          <w:sz w:val="22"/>
          <w:szCs w:val="22"/>
        </w:rPr>
        <w:t>metric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Pr="009547B4">
        <w:rPr>
          <w:rFonts w:cstheme="minorHAnsi"/>
          <w:color w:val="000000" w:themeColor="text1"/>
          <w:sz w:val="22"/>
          <w:szCs w:val="22"/>
        </w:rPr>
        <w:t>and DNAm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F6581" w:rsidRPr="009547B4" w14:paraId="52DFE209" w14:textId="77777777" w:rsidTr="00E0455F">
        <w:trPr>
          <w:trHeight w:val="427"/>
        </w:trPr>
        <w:tc>
          <w:tcPr>
            <w:tcW w:w="3003" w:type="dxa"/>
          </w:tcPr>
          <w:p w14:paraId="3B532452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3" w:type="dxa"/>
          </w:tcPr>
          <w:p w14:paraId="7FA52E55" w14:textId="77777777" w:rsidR="002F6581" w:rsidRPr="009547B4" w:rsidRDefault="002F6581" w:rsidP="00E0455F">
            <w:pPr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  <w:t>Preterm Infants</w:t>
            </w:r>
          </w:p>
          <w:p w14:paraId="7EEF7D31" w14:textId="5D14F710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(n=</w:t>
            </w:r>
            <w:r w:rsidR="009118C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64)</w:t>
            </w:r>
          </w:p>
        </w:tc>
        <w:tc>
          <w:tcPr>
            <w:tcW w:w="3004" w:type="dxa"/>
          </w:tcPr>
          <w:p w14:paraId="44A2CCFE" w14:textId="77777777" w:rsidR="002F6581" w:rsidRPr="009547B4" w:rsidRDefault="002F6581" w:rsidP="00E0455F">
            <w:pPr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b/>
                <w:color w:val="000000" w:themeColor="text1"/>
                <w:sz w:val="16"/>
                <w:szCs w:val="16"/>
              </w:rPr>
              <w:t>Term Infants</w:t>
            </w:r>
          </w:p>
          <w:p w14:paraId="349F006B" w14:textId="447730C5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(n=</w:t>
            </w:r>
            <w:r w:rsidR="00644AEC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57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F6581" w:rsidRPr="009547B4" w14:paraId="28B74AA1" w14:textId="77777777" w:rsidTr="00E0455F">
        <w:tc>
          <w:tcPr>
            <w:tcW w:w="3003" w:type="dxa"/>
          </w:tcPr>
          <w:p w14:paraId="71EF52F3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Gestational age at birth/weeks (range)</w:t>
            </w:r>
          </w:p>
        </w:tc>
        <w:tc>
          <w:tcPr>
            <w:tcW w:w="3003" w:type="dxa"/>
          </w:tcPr>
          <w:p w14:paraId="054E32C3" w14:textId="5930C99F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29</w:t>
            </w:r>
            <w:r w:rsidR="00877BD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.28</w:t>
            </w:r>
          </w:p>
          <w:p w14:paraId="23FE0755" w14:textId="3A1A1296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(23.</w:t>
            </w:r>
            <w:r w:rsidR="00877BD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43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– 3</w:t>
            </w:r>
            <w:r w:rsidR="00877BD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</w:t>
            </w:r>
            <w:r w:rsidR="00877BD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00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636C0CF6" w14:textId="1442F301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39.7</w:t>
            </w:r>
            <w:r w:rsidR="008B22F5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</w:t>
            </w:r>
          </w:p>
          <w:p w14:paraId="433A2557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(36.43 – 42.14)</w:t>
            </w:r>
          </w:p>
        </w:tc>
      </w:tr>
      <w:tr w:rsidR="002F6581" w:rsidRPr="009547B4" w14:paraId="4438FD09" w14:textId="77777777" w:rsidTr="00E0455F">
        <w:tc>
          <w:tcPr>
            <w:tcW w:w="3003" w:type="dxa"/>
          </w:tcPr>
          <w:p w14:paraId="1AB6DC08" w14:textId="77777777" w:rsidR="002F6581" w:rsidRPr="009547B4" w:rsidRDefault="002F6581" w:rsidP="00E0455F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 xml:space="preserve">Gestational age at </w:t>
            </w:r>
            <w:r>
              <w:rPr>
                <w:rFonts w:ascii="Gill Sans MT" w:hAnsi="Gill Sans MT"/>
                <w:sz w:val="16"/>
                <w:szCs w:val="16"/>
              </w:rPr>
              <w:t>scan</w:t>
            </w:r>
            <w:r w:rsidRPr="009547B4">
              <w:rPr>
                <w:rFonts w:ascii="Gill Sans MT" w:hAnsi="Gill Sans MT"/>
                <w:sz w:val="16"/>
                <w:szCs w:val="16"/>
              </w:rPr>
              <w:t>/weeks (range)</w:t>
            </w:r>
          </w:p>
        </w:tc>
        <w:tc>
          <w:tcPr>
            <w:tcW w:w="3003" w:type="dxa"/>
          </w:tcPr>
          <w:p w14:paraId="7423D4B4" w14:textId="77777777" w:rsidR="002F6581" w:rsidRPr="002357B7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40.44</w:t>
            </w:r>
          </w:p>
          <w:p w14:paraId="1DA3E744" w14:textId="49C73A43" w:rsidR="002F6581" w:rsidRPr="002357B7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</w:t>
            </w:r>
            <w:r w:rsidR="00C86B60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38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</w:t>
            </w:r>
            <w:r w:rsidR="00C86B60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29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-44.29)</w:t>
            </w:r>
          </w:p>
        </w:tc>
        <w:tc>
          <w:tcPr>
            <w:tcW w:w="3004" w:type="dxa"/>
          </w:tcPr>
          <w:p w14:paraId="33EBE881" w14:textId="77777777" w:rsidR="002F6581" w:rsidRPr="002357B7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42.25</w:t>
            </w:r>
          </w:p>
          <w:p w14:paraId="7C437DAB" w14:textId="2D19F54E" w:rsidR="002F6581" w:rsidRPr="002357B7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</w:t>
            </w:r>
            <w:r w:rsidR="00DA1FF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40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</w:t>
            </w:r>
            <w:r w:rsidR="00DA1FF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00-</w:t>
            </w:r>
            <w:r w:rsidRPr="002357B7">
              <w:rPr>
                <w:color w:val="000000" w:themeColor="text1"/>
              </w:rPr>
              <w:t xml:space="preserve"> 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</w:t>
            </w:r>
            <w:r w:rsidR="00DA1FF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7</w:t>
            </w:r>
            <w:r w:rsidRPr="002357B7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.14)</w:t>
            </w:r>
          </w:p>
        </w:tc>
      </w:tr>
      <w:tr w:rsidR="002F6581" w:rsidRPr="009547B4" w14:paraId="6954D741" w14:textId="77777777" w:rsidTr="00E0455F">
        <w:tc>
          <w:tcPr>
            <w:tcW w:w="3003" w:type="dxa"/>
          </w:tcPr>
          <w:p w14:paraId="59501C1B" w14:textId="77777777" w:rsidR="002F6581" w:rsidRPr="009547B4" w:rsidRDefault="002F6581" w:rsidP="00E0455F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Birth weight/g</w:t>
            </w:r>
          </w:p>
          <w:p w14:paraId="71532FD7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(range)</w:t>
            </w:r>
          </w:p>
        </w:tc>
        <w:tc>
          <w:tcPr>
            <w:tcW w:w="3003" w:type="dxa"/>
          </w:tcPr>
          <w:p w14:paraId="1F5F4ADC" w14:textId="09AB29B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</w:t>
            </w:r>
            <w:r w:rsidR="00BC5926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266</w:t>
            </w:r>
          </w:p>
          <w:p w14:paraId="25C7A839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(500 – 2100)</w:t>
            </w:r>
          </w:p>
        </w:tc>
        <w:tc>
          <w:tcPr>
            <w:tcW w:w="3004" w:type="dxa"/>
          </w:tcPr>
          <w:p w14:paraId="778D656D" w14:textId="338368F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3</w:t>
            </w:r>
            <w:r w:rsidR="00C633DA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502</w:t>
            </w:r>
          </w:p>
          <w:p w14:paraId="0678F4D2" w14:textId="5A1D5208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(2410 -4</w:t>
            </w:r>
            <w:r w:rsidR="00C633DA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56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0)</w:t>
            </w:r>
          </w:p>
        </w:tc>
      </w:tr>
      <w:tr w:rsidR="002F6581" w:rsidRPr="009547B4" w14:paraId="48C3182A" w14:textId="77777777" w:rsidTr="00E0455F">
        <w:tc>
          <w:tcPr>
            <w:tcW w:w="3003" w:type="dxa"/>
          </w:tcPr>
          <w:p w14:paraId="76D2D6F0" w14:textId="77777777" w:rsidR="002F6581" w:rsidRPr="009547B4" w:rsidRDefault="002F6581" w:rsidP="00E0455F">
            <w:pPr>
              <w:rPr>
                <w:rFonts w:ascii="Gill Sans MT" w:hAnsi="Gill Sans MT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Birth weight z-score</w:t>
            </w:r>
          </w:p>
          <w:p w14:paraId="118CBED5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(range)</w:t>
            </w:r>
          </w:p>
        </w:tc>
        <w:tc>
          <w:tcPr>
            <w:tcW w:w="3003" w:type="dxa"/>
          </w:tcPr>
          <w:p w14:paraId="5F81BEC7" w14:textId="4E1511C6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-0.</w:t>
            </w:r>
            <w:r w:rsidR="00576863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1083</w:t>
            </w:r>
          </w:p>
          <w:p w14:paraId="0F80CA7D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(-3.1324 – 1.5809)</w:t>
            </w:r>
          </w:p>
        </w:tc>
        <w:tc>
          <w:tcPr>
            <w:tcW w:w="3004" w:type="dxa"/>
          </w:tcPr>
          <w:p w14:paraId="5AE4C9FE" w14:textId="3A384455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0.4</w:t>
            </w:r>
            <w:r w:rsidR="002602EF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996</w:t>
            </w:r>
          </w:p>
          <w:p w14:paraId="1625F20A" w14:textId="4A67B5C0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(-2.2952 – 2.</w:t>
            </w:r>
            <w:r w:rsidR="002602EF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5703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F6581" w:rsidRPr="009547B4" w14:paraId="060665FE" w14:textId="77777777" w:rsidTr="00E0455F">
        <w:tc>
          <w:tcPr>
            <w:tcW w:w="3003" w:type="dxa"/>
          </w:tcPr>
          <w:p w14:paraId="7F82D560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folate supplementation in pregnancy (%)</w:t>
            </w:r>
          </w:p>
        </w:tc>
        <w:tc>
          <w:tcPr>
            <w:tcW w:w="3003" w:type="dxa"/>
          </w:tcPr>
          <w:p w14:paraId="5940C713" w14:textId="2516E813" w:rsidR="002F6581" w:rsidRPr="00534781" w:rsidRDefault="007F045E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50</w:t>
            </w:r>
          </w:p>
          <w:p w14:paraId="2521FFD7" w14:textId="542B8999" w:rsidR="002F6581" w:rsidRPr="00534781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</w:t>
            </w:r>
            <w:r w:rsidR="00193A20"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78</w:t>
            </w: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2460B013" w14:textId="61685E89" w:rsidR="002F6581" w:rsidRPr="00534781" w:rsidRDefault="00193A20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47</w:t>
            </w:r>
            <w:r w:rsidR="002F6581"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C4FA1FE" w14:textId="1A603F87" w:rsidR="002F6581" w:rsidRPr="00534781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(8</w:t>
            </w:r>
            <w:r w:rsidR="00193A20"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</w:t>
            </w:r>
            <w:r w:rsidRPr="00534781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F6581" w:rsidRPr="009547B4" w14:paraId="65BE89D6" w14:textId="77777777" w:rsidTr="00E0455F">
        <w:tc>
          <w:tcPr>
            <w:tcW w:w="3003" w:type="dxa"/>
          </w:tcPr>
          <w:p w14:paraId="3E837726" w14:textId="77777777" w:rsidR="002F6581" w:rsidRPr="009547B4" w:rsidRDefault="002F6581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Sex: Female (%)</w:t>
            </w:r>
          </w:p>
        </w:tc>
        <w:tc>
          <w:tcPr>
            <w:tcW w:w="3003" w:type="dxa"/>
          </w:tcPr>
          <w:p w14:paraId="547EB748" w14:textId="4F3FB8B9" w:rsidR="002F6581" w:rsidRPr="009547B4" w:rsidRDefault="00037886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25</w:t>
            </w:r>
            <w:r w:rsidR="002F6581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(</w:t>
            </w:r>
            <w:r w:rsidR="0057787E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39</w:t>
            </w:r>
            <w:r w:rsidR="002F6581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1C4A3421" w14:textId="29648787" w:rsidR="002F6581" w:rsidRPr="009547B4" w:rsidRDefault="00F75E70" w:rsidP="00E0455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25</w:t>
            </w:r>
            <w:r w:rsidR="002F6581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(4</w:t>
            </w: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</w:t>
            </w:r>
            <w:r w:rsidR="002F6581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4B330F" w:rsidRPr="009547B4" w14:paraId="7FA04F87" w14:textId="77777777" w:rsidTr="00E0455F">
        <w:tc>
          <w:tcPr>
            <w:tcW w:w="3003" w:type="dxa"/>
          </w:tcPr>
          <w:p w14:paraId="59BACB41" w14:textId="77777777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age (years)</w:t>
            </w:r>
          </w:p>
        </w:tc>
        <w:tc>
          <w:tcPr>
            <w:tcW w:w="3003" w:type="dxa"/>
          </w:tcPr>
          <w:p w14:paraId="6E1467C2" w14:textId="17FCF80A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</w:t>
            </w:r>
            <w:r w:rsidR="0011534D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.2</w:t>
            </w:r>
          </w:p>
          <w:p w14:paraId="1FDD73F1" w14:textId="304E6538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</w:t>
            </w:r>
            <w:r w:rsidR="0011534D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-44)</w:t>
            </w:r>
          </w:p>
        </w:tc>
        <w:tc>
          <w:tcPr>
            <w:tcW w:w="3004" w:type="dxa"/>
          </w:tcPr>
          <w:p w14:paraId="24F645C2" w14:textId="5EC44DA8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4.2</w:t>
            </w:r>
          </w:p>
          <w:p w14:paraId="0B98CA94" w14:textId="16DEF0F5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23</w:t>
            </w: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-44)</w:t>
            </w:r>
          </w:p>
        </w:tc>
      </w:tr>
      <w:tr w:rsidR="004B330F" w:rsidRPr="009547B4" w14:paraId="3F8FF29D" w14:textId="77777777" w:rsidTr="00E0455F">
        <w:tc>
          <w:tcPr>
            <w:tcW w:w="3003" w:type="dxa"/>
          </w:tcPr>
          <w:p w14:paraId="4417DDFC" w14:textId="77777777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/>
                <w:sz w:val="16"/>
                <w:szCs w:val="16"/>
              </w:rPr>
              <w:t>Maternal tobacco smoker in pregnancy (%)</w:t>
            </w:r>
          </w:p>
        </w:tc>
        <w:tc>
          <w:tcPr>
            <w:tcW w:w="3003" w:type="dxa"/>
          </w:tcPr>
          <w:p w14:paraId="62ABF4C5" w14:textId="36F25213" w:rsidR="004B330F" w:rsidRPr="009547B4" w:rsidRDefault="00E66BA9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11</w:t>
            </w:r>
            <w:r w:rsidR="004B330F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 xml:space="preserve"> (1</w:t>
            </w:r>
            <w:r w:rsidR="009F6209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7</w:t>
            </w:r>
            <w:r w:rsidR="004B330F"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79DA1CCE" w14:textId="77777777" w:rsidR="004B330F" w:rsidRPr="009547B4" w:rsidRDefault="004B330F" w:rsidP="004B330F">
            <w:pPr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</w:pPr>
            <w:r w:rsidRPr="009547B4">
              <w:rPr>
                <w:rFonts w:ascii="Gill Sans MT" w:hAnsi="Gill Sans MT" w:cs="Arial"/>
                <w:color w:val="000000" w:themeColor="text1"/>
                <w:sz w:val="16"/>
                <w:szCs w:val="16"/>
              </w:rPr>
              <w:t>0 (0)</w:t>
            </w:r>
          </w:p>
        </w:tc>
      </w:tr>
    </w:tbl>
    <w:p w14:paraId="4E967A1B" w14:textId="77777777" w:rsidR="005D4103" w:rsidRDefault="005D4103"/>
    <w:sectPr w:rsidR="005D4103" w:rsidSect="001F2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Calibr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3"/>
    <w:rsid w:val="0000670E"/>
    <w:rsid w:val="00037886"/>
    <w:rsid w:val="000F7024"/>
    <w:rsid w:val="0011534D"/>
    <w:rsid w:val="00156CB5"/>
    <w:rsid w:val="00193A20"/>
    <w:rsid w:val="001E53B2"/>
    <w:rsid w:val="001F2E50"/>
    <w:rsid w:val="002357B7"/>
    <w:rsid w:val="002602EF"/>
    <w:rsid w:val="00260372"/>
    <w:rsid w:val="00286320"/>
    <w:rsid w:val="002A2A02"/>
    <w:rsid w:val="002D31FA"/>
    <w:rsid w:val="002E44DD"/>
    <w:rsid w:val="002F6581"/>
    <w:rsid w:val="00306A52"/>
    <w:rsid w:val="0037028B"/>
    <w:rsid w:val="00374FAC"/>
    <w:rsid w:val="003948CE"/>
    <w:rsid w:val="003B78CB"/>
    <w:rsid w:val="003E70D9"/>
    <w:rsid w:val="0040264D"/>
    <w:rsid w:val="00411BD8"/>
    <w:rsid w:val="004303A2"/>
    <w:rsid w:val="00466547"/>
    <w:rsid w:val="004806D7"/>
    <w:rsid w:val="004B330F"/>
    <w:rsid w:val="004D3535"/>
    <w:rsid w:val="004F6B65"/>
    <w:rsid w:val="00510DFD"/>
    <w:rsid w:val="00534781"/>
    <w:rsid w:val="00576863"/>
    <w:rsid w:val="0057787E"/>
    <w:rsid w:val="005B01D7"/>
    <w:rsid w:val="005D4103"/>
    <w:rsid w:val="00601212"/>
    <w:rsid w:val="006074D6"/>
    <w:rsid w:val="00644AEC"/>
    <w:rsid w:val="006E4635"/>
    <w:rsid w:val="0070263E"/>
    <w:rsid w:val="0079439B"/>
    <w:rsid w:val="007A7345"/>
    <w:rsid w:val="007B260B"/>
    <w:rsid w:val="007F045E"/>
    <w:rsid w:val="00810128"/>
    <w:rsid w:val="00836159"/>
    <w:rsid w:val="00865CDE"/>
    <w:rsid w:val="0086682C"/>
    <w:rsid w:val="00870A7D"/>
    <w:rsid w:val="00877BD3"/>
    <w:rsid w:val="00882BCE"/>
    <w:rsid w:val="008B22F5"/>
    <w:rsid w:val="008B31EF"/>
    <w:rsid w:val="009118C3"/>
    <w:rsid w:val="00915374"/>
    <w:rsid w:val="009344BB"/>
    <w:rsid w:val="009547B4"/>
    <w:rsid w:val="009F6209"/>
    <w:rsid w:val="00A36DE3"/>
    <w:rsid w:val="00A668FA"/>
    <w:rsid w:val="00A942E8"/>
    <w:rsid w:val="00AB7B7E"/>
    <w:rsid w:val="00AD0596"/>
    <w:rsid w:val="00AE2A34"/>
    <w:rsid w:val="00B05500"/>
    <w:rsid w:val="00B94869"/>
    <w:rsid w:val="00BA3AC1"/>
    <w:rsid w:val="00BA5057"/>
    <w:rsid w:val="00BB57B3"/>
    <w:rsid w:val="00BC5926"/>
    <w:rsid w:val="00BD16EF"/>
    <w:rsid w:val="00BD36DA"/>
    <w:rsid w:val="00C3365F"/>
    <w:rsid w:val="00C4182F"/>
    <w:rsid w:val="00C46783"/>
    <w:rsid w:val="00C633DA"/>
    <w:rsid w:val="00C817A9"/>
    <w:rsid w:val="00C86B60"/>
    <w:rsid w:val="00D46855"/>
    <w:rsid w:val="00D524BD"/>
    <w:rsid w:val="00D61165"/>
    <w:rsid w:val="00D645D0"/>
    <w:rsid w:val="00DA1FF3"/>
    <w:rsid w:val="00E0455F"/>
    <w:rsid w:val="00E66BA9"/>
    <w:rsid w:val="00E740D7"/>
    <w:rsid w:val="00E81054"/>
    <w:rsid w:val="00E92D60"/>
    <w:rsid w:val="00EC510C"/>
    <w:rsid w:val="00F03E7B"/>
    <w:rsid w:val="00F12628"/>
    <w:rsid w:val="00F526CF"/>
    <w:rsid w:val="00F75E70"/>
    <w:rsid w:val="00F91868"/>
    <w:rsid w:val="00F977F3"/>
    <w:rsid w:val="00FA7A81"/>
    <w:rsid w:val="00FB0B1F"/>
    <w:rsid w:val="00FB5809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6CF5"/>
  <w15:chartTrackingRefBased/>
  <w15:docId w15:val="{518BDB49-74A1-4B81-906C-841966D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0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5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96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439B"/>
    <w:pPr>
      <w:spacing w:line="48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9439B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1F7482-6D5F-124B-B697-B710E08B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327</Words>
  <Characters>1900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 James</dc:creator>
  <cp:keywords/>
  <dc:description/>
  <cp:lastModifiedBy>WHEATER Emily nicola wynne</cp:lastModifiedBy>
  <cp:revision>4</cp:revision>
  <dcterms:created xsi:type="dcterms:W3CDTF">2021-04-01T15:06:00Z</dcterms:created>
  <dcterms:modified xsi:type="dcterms:W3CDTF">2021-04-08T15:10:00Z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http://www.zotero.org/styles/neuroscience-and-biobehavioral-reviews</vt:lpwstr>
  </property>
  <property fmtid="{D5CDD505-2E9C-101B-9397-08002B2CF9AE}" pid="19" name="Mendeley Recent Style Name 8_1">
    <vt:lpwstr>Neuroscience and Biobehavioral Reviews</vt:lpwstr>
  </property>
  <property fmtid="{D5CDD505-2E9C-101B-9397-08002B2CF9AE}" pid="20" name="Mendeley Recent Style Id 9_1">
    <vt:lpwstr>http://www.zotero.org/styles/pnas</vt:lpwstr>
  </property>
  <property fmtid="{D5CDD505-2E9C-101B-9397-08002B2CF9AE}" pid="21" name="Mendeley Recent Style Name 9_1">
    <vt:lpwstr>Proceedings of the National Academy of Sciences of the United States of America</vt:lpwstr>
  </property>
</Properties>
</file>