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229C4" w14:textId="77777777" w:rsidR="007C7886" w:rsidRPr="003802FB" w:rsidRDefault="007C7886" w:rsidP="007C7886">
      <w:pPr>
        <w:pStyle w:val="Heading1"/>
        <w:rPr>
          <w:rFonts w:ascii="Times New Roman" w:hAnsi="Times New Roman" w:cs="Times New Roman"/>
          <w:sz w:val="28"/>
          <w:szCs w:val="28"/>
        </w:rPr>
      </w:pPr>
      <w:r w:rsidRPr="00FF5804">
        <w:rPr>
          <w:rFonts w:ascii="Times New Roman" w:hAnsi="Times New Roman" w:cs="Times New Roman"/>
          <w:sz w:val="28"/>
          <w:szCs w:val="28"/>
        </w:rPr>
        <w:t>Supplementary</w:t>
      </w:r>
      <w:r>
        <w:t xml:space="preserve"> </w:t>
      </w:r>
    </w:p>
    <w:p w14:paraId="5A68F521" w14:textId="77777777" w:rsidR="007C7886" w:rsidRPr="00040047" w:rsidRDefault="007C7886" w:rsidP="007C7886">
      <w:pPr>
        <w:pStyle w:val="ListParagraph"/>
        <w:numPr>
          <w:ilvl w:val="0"/>
          <w:numId w:val="1"/>
        </w:numPr>
        <w:rPr>
          <w:rFonts w:ascii="Times New Roman" w:hAnsi="Times New Roman" w:cs="Times New Roman"/>
          <w:b/>
        </w:rPr>
      </w:pPr>
      <w:bookmarkStart w:id="0" w:name="_Ref49261069"/>
      <w:r>
        <w:rPr>
          <w:rFonts w:ascii="Times New Roman" w:hAnsi="Times New Roman" w:cs="Times New Roman"/>
          <w:b/>
        </w:rPr>
        <w:t xml:space="preserve">Frictional analysis of </w:t>
      </w:r>
      <w:r>
        <w:rPr>
          <w:rFonts w:ascii="Times New Roman" w:hAnsi="Times New Roman" w:cs="Times New Roman"/>
          <w:b/>
          <w:bCs/>
        </w:rPr>
        <w:t>c</w:t>
      </w:r>
      <w:r w:rsidRPr="00040047">
        <w:rPr>
          <w:rFonts w:ascii="Times New Roman" w:hAnsi="Times New Roman" w:cs="Times New Roman"/>
          <w:b/>
          <w:bCs/>
        </w:rPr>
        <w:t>ircumferential radial force device (RF</w:t>
      </w:r>
      <w:r w:rsidRPr="00040047">
        <w:rPr>
          <w:rFonts w:ascii="Times New Roman" w:hAnsi="Times New Roman" w:cs="Times New Roman"/>
          <w:b/>
          <w:bCs/>
          <w:vertAlign w:val="subscript"/>
        </w:rPr>
        <w:t>C</w:t>
      </w:r>
      <w:r w:rsidRPr="00040047">
        <w:rPr>
          <w:rFonts w:ascii="Times New Roman" w:hAnsi="Times New Roman" w:cs="Times New Roman"/>
          <w:b/>
          <w:bCs/>
        </w:rPr>
        <w:t>):</w:t>
      </w:r>
      <w:bookmarkEnd w:id="0"/>
    </w:p>
    <w:p w14:paraId="0790E449" w14:textId="77777777" w:rsidR="007C7886" w:rsidRPr="00A0130E" w:rsidRDefault="007C7886" w:rsidP="007C7886">
      <w:pPr>
        <w:jc w:val="both"/>
      </w:pPr>
      <w:r w:rsidRPr="00FF5804">
        <w:rPr>
          <w:b/>
          <w:bCs/>
          <w:noProof/>
          <w:sz w:val="28"/>
          <w:szCs w:val="28"/>
        </w:rPr>
        <w:drawing>
          <wp:anchor distT="0" distB="0" distL="114300" distR="114300" simplePos="0" relativeHeight="251659264" behindDoc="0" locked="0" layoutInCell="1" allowOverlap="1" wp14:anchorId="35CA58D2" wp14:editId="2EBE2EDB">
            <wp:simplePos x="0" y="0"/>
            <wp:positionH relativeFrom="margin">
              <wp:posOffset>589280</wp:posOffset>
            </wp:positionH>
            <wp:positionV relativeFrom="paragraph">
              <wp:posOffset>960668</wp:posOffset>
            </wp:positionV>
            <wp:extent cx="4545965" cy="3776980"/>
            <wp:effectExtent l="0" t="0" r="6985" b="0"/>
            <wp:wrapTopAndBottom/>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imping_frictional_analysis.jpg"/>
                    <pic:cNvPicPr/>
                  </pic:nvPicPr>
                  <pic:blipFill rotWithShape="1">
                    <a:blip r:embed="rId7" cstate="print">
                      <a:extLst>
                        <a:ext uri="{28A0092B-C50C-407E-A947-70E740481C1C}">
                          <a14:useLocalDpi xmlns:a14="http://schemas.microsoft.com/office/drawing/2010/main" val="0"/>
                        </a:ext>
                      </a:extLst>
                    </a:blip>
                    <a:srcRect l="9494" t="9111" r="11579" b="5195"/>
                    <a:stretch/>
                  </pic:blipFill>
                  <pic:spPr bwMode="auto">
                    <a:xfrm>
                      <a:off x="0" y="0"/>
                      <a:ext cx="4545965" cy="3776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The dynamic friction between the radial blades plays an essential role in the measurements as it scales linearly with the measured radial force from the stents. When this is not accounted for, it results in a higher force than the device's actual force. Therefore, calibration was done by applying a known amount of force to the radial blades, and this was corrected with a correction factor (</w:t>
      </w:r>
      <w:r>
        <w:fldChar w:fldCharType="begin"/>
      </w:r>
      <w:r>
        <w:instrText xml:space="preserve"> REF _Ref48317952 \h </w:instrText>
      </w:r>
      <w:r>
        <w:fldChar w:fldCharType="separate"/>
      </w:r>
      <w:r w:rsidRPr="00A0130E">
        <w:t xml:space="preserve">S. Figure </w:t>
      </w:r>
      <w:r>
        <w:rPr>
          <w:noProof/>
        </w:rPr>
        <w:t>1</w:t>
      </w:r>
      <w:r>
        <w:fldChar w:fldCharType="end"/>
      </w:r>
      <w:r>
        <w:t>). The linear fit in the figure has a slope of 0.59 with an intercept of 1.35.</w:t>
      </w:r>
    </w:p>
    <w:p w14:paraId="5C926A35" w14:textId="77777777" w:rsidR="007C7886" w:rsidRPr="003D0202" w:rsidRDefault="007C7886" w:rsidP="007C7886">
      <w:pPr>
        <w:pStyle w:val="Caption"/>
        <w:jc w:val="both"/>
        <w:rPr>
          <w:rFonts w:ascii="Times New Roman" w:hAnsi="Times New Roman" w:cs="Times New Roman"/>
          <w:color w:val="000000" w:themeColor="text1"/>
          <w:sz w:val="21"/>
          <w:szCs w:val="21"/>
          <w:lang w:val="en-US"/>
        </w:rPr>
      </w:pPr>
      <w:bookmarkStart w:id="1" w:name="_Ref48317952"/>
      <w:bookmarkStart w:id="2" w:name="_Ref38870234"/>
      <w:r w:rsidRPr="00A0130E">
        <w:rPr>
          <w:lang w:val="en-US"/>
        </w:rPr>
        <w:t xml:space="preserve">S. Figure </w:t>
      </w:r>
      <w:r>
        <w:fldChar w:fldCharType="begin"/>
      </w:r>
      <w:r w:rsidRPr="00A0130E">
        <w:rPr>
          <w:lang w:val="en-US"/>
        </w:rPr>
        <w:instrText xml:space="preserve"> SEQ S._Figure \* ARABIC </w:instrText>
      </w:r>
      <w:r>
        <w:fldChar w:fldCharType="separate"/>
      </w:r>
      <w:r>
        <w:rPr>
          <w:noProof/>
          <w:lang w:val="en-US"/>
        </w:rPr>
        <w:t>1</w:t>
      </w:r>
      <w:r>
        <w:fldChar w:fldCharType="end"/>
      </w:r>
      <w:bookmarkEnd w:id="1"/>
      <w:r w:rsidRPr="00A0130E">
        <w:rPr>
          <w:lang w:val="en-US"/>
        </w:rPr>
        <w:t>:</w:t>
      </w:r>
      <w:r>
        <w:rPr>
          <w:rFonts w:ascii="Times New Roman" w:hAnsi="Times New Roman" w:cs="Times New Roman"/>
          <w:color w:val="000000" w:themeColor="text1"/>
          <w:sz w:val="21"/>
          <w:szCs w:val="21"/>
          <w:lang w:val="en-US"/>
        </w:rPr>
        <w:t xml:space="preserve"> </w:t>
      </w:r>
      <w:r w:rsidRPr="00FF5804">
        <w:rPr>
          <w:rFonts w:ascii="Times New Roman" w:hAnsi="Times New Roman" w:cs="Times New Roman"/>
          <w:color w:val="000000" w:themeColor="text1"/>
          <w:sz w:val="21"/>
          <w:szCs w:val="21"/>
          <w:lang w:val="en-US"/>
        </w:rPr>
        <w:t>Frictional analysis of the crimping analysis machine. As the stent expands in the machine, a force acts on the radial blades (</w:t>
      </w:r>
      <w:r>
        <w:rPr>
          <w:rFonts w:ascii="Times New Roman" w:hAnsi="Times New Roman" w:cs="Times New Roman"/>
          <w:color w:val="000000" w:themeColor="text1"/>
          <w:sz w:val="21"/>
          <w:szCs w:val="21"/>
          <w:lang w:val="en-US"/>
        </w:rPr>
        <w:t>Figure 2a</w:t>
      </w:r>
      <w:r w:rsidRPr="00FF5804">
        <w:rPr>
          <w:rFonts w:ascii="Times New Roman" w:hAnsi="Times New Roman" w:cs="Times New Roman"/>
          <w:color w:val="000000" w:themeColor="text1"/>
          <w:sz w:val="21"/>
          <w:szCs w:val="21"/>
          <w:lang w:val="en-US"/>
        </w:rPr>
        <w:t xml:space="preserve">), which creates friction between the radial plates during the analysis. If the friction is not taken into account, the analysis could be very misleading. </w:t>
      </w:r>
      <w:r>
        <w:rPr>
          <w:rFonts w:ascii="Times New Roman" w:hAnsi="Times New Roman" w:cs="Times New Roman"/>
          <w:color w:val="000000" w:themeColor="text1"/>
          <w:sz w:val="21"/>
          <w:szCs w:val="21"/>
          <w:lang w:val="en-US"/>
        </w:rPr>
        <w:t>T</w:t>
      </w:r>
      <w:r w:rsidRPr="00FF5804">
        <w:rPr>
          <w:rFonts w:ascii="Times New Roman" w:hAnsi="Times New Roman" w:cs="Times New Roman"/>
          <w:color w:val="000000" w:themeColor="text1"/>
          <w:sz w:val="21"/>
          <w:szCs w:val="21"/>
          <w:lang w:val="en-US"/>
        </w:rPr>
        <w:t>o correct for friction, a known amount of force was applied (pressure) and was compared with the measured force. The image shows an approximate linear behavior, which one would expect for a dynamic friction scenario, the slope of the line being the coefficient of friction</w:t>
      </w:r>
      <w:r>
        <w:rPr>
          <w:rFonts w:ascii="Times New Roman" w:hAnsi="Times New Roman" w:cs="Times New Roman"/>
          <w:color w:val="000000" w:themeColor="text1"/>
          <w:sz w:val="21"/>
          <w:szCs w:val="21"/>
          <w:lang w:val="en-US"/>
        </w:rPr>
        <w:t xml:space="preserve"> (0.59) with an intercept of 1.35 N</w:t>
      </w:r>
      <w:r w:rsidRPr="00FF5804">
        <w:rPr>
          <w:rFonts w:ascii="Times New Roman" w:hAnsi="Times New Roman" w:cs="Times New Roman"/>
          <w:color w:val="000000" w:themeColor="text1"/>
          <w:sz w:val="21"/>
          <w:szCs w:val="21"/>
          <w:lang w:val="en-US"/>
        </w:rPr>
        <w:t xml:space="preserve"> for the considered apparatus. This also assumes that there is no friction between the stent and the radial blade itself.</w:t>
      </w:r>
      <w:bookmarkEnd w:id="2"/>
    </w:p>
    <w:p w14:paraId="78015B1A" w14:textId="77777777" w:rsidR="007C7886" w:rsidRPr="00C502E6" w:rsidRDefault="007C7886" w:rsidP="007C7886">
      <w:pPr>
        <w:pStyle w:val="ListParagraph"/>
        <w:numPr>
          <w:ilvl w:val="0"/>
          <w:numId w:val="1"/>
        </w:numPr>
        <w:rPr>
          <w:b/>
        </w:rPr>
      </w:pPr>
      <w:r w:rsidRPr="00C502E6">
        <w:rPr>
          <w:b/>
        </w:rPr>
        <w:t>Flow analysis parameters:</w:t>
      </w:r>
    </w:p>
    <w:p w14:paraId="6710EB34" w14:textId="77777777" w:rsidR="007C7886" w:rsidRPr="00FF5804" w:rsidRDefault="007C7886" w:rsidP="007C7886">
      <w:pPr>
        <w:pStyle w:val="Caption"/>
        <w:jc w:val="both"/>
        <w:rPr>
          <w:rFonts w:ascii="Times New Roman" w:hAnsi="Times New Roman" w:cs="Times New Roman"/>
          <w:iCs w:val="0"/>
          <w:color w:val="auto"/>
          <w:sz w:val="22"/>
          <w:szCs w:val="22"/>
          <w:lang w:val="en-GB"/>
        </w:rPr>
      </w:pPr>
      <w:r w:rsidRPr="00FF5804">
        <w:rPr>
          <w:rFonts w:ascii="Times New Roman" w:hAnsi="Times New Roman" w:cs="Times New Roman"/>
          <w:sz w:val="20"/>
          <w:szCs w:val="22"/>
          <w:lang w:val="en-US"/>
        </w:rPr>
        <w:t xml:space="preserve">S. Table </w:t>
      </w:r>
      <w:r w:rsidRPr="00FF5804">
        <w:rPr>
          <w:rFonts w:ascii="Times New Roman" w:hAnsi="Times New Roman" w:cs="Times New Roman"/>
          <w:sz w:val="20"/>
          <w:szCs w:val="22"/>
        </w:rPr>
        <w:fldChar w:fldCharType="begin"/>
      </w:r>
      <w:r w:rsidRPr="00FF5804">
        <w:rPr>
          <w:rFonts w:ascii="Times New Roman" w:hAnsi="Times New Roman" w:cs="Times New Roman"/>
          <w:sz w:val="20"/>
          <w:szCs w:val="22"/>
          <w:lang w:val="en-US"/>
        </w:rPr>
        <w:instrText xml:space="preserve"> SEQ S._Table \* ARABIC </w:instrText>
      </w:r>
      <w:r w:rsidRPr="00FF5804">
        <w:rPr>
          <w:rFonts w:ascii="Times New Roman" w:hAnsi="Times New Roman" w:cs="Times New Roman"/>
          <w:sz w:val="20"/>
          <w:szCs w:val="22"/>
        </w:rPr>
        <w:fldChar w:fldCharType="separate"/>
      </w:r>
      <w:r>
        <w:rPr>
          <w:rFonts w:ascii="Times New Roman" w:hAnsi="Times New Roman" w:cs="Times New Roman"/>
          <w:noProof/>
          <w:sz w:val="20"/>
          <w:szCs w:val="22"/>
          <w:lang w:val="en-US"/>
        </w:rPr>
        <w:t>1</w:t>
      </w:r>
      <w:r w:rsidRPr="00FF5804">
        <w:rPr>
          <w:rFonts w:ascii="Times New Roman" w:hAnsi="Times New Roman" w:cs="Times New Roman"/>
          <w:sz w:val="20"/>
          <w:szCs w:val="22"/>
        </w:rPr>
        <w:fldChar w:fldCharType="end"/>
      </w:r>
      <w:r w:rsidRPr="00FF5804">
        <w:rPr>
          <w:rFonts w:ascii="Times New Roman" w:hAnsi="Times New Roman" w:cs="Times New Roman"/>
          <w:color w:val="auto"/>
          <w:sz w:val="20"/>
          <w:szCs w:val="22"/>
          <w:lang w:val="en-GB"/>
        </w:rPr>
        <w:t xml:space="preserve">. </w:t>
      </w:r>
      <w:r w:rsidRPr="00FF5804">
        <w:rPr>
          <w:rFonts w:ascii="Times New Roman" w:hAnsi="Times New Roman" w:cs="Times New Roman"/>
          <w:iCs w:val="0"/>
          <w:color w:val="auto"/>
          <w:sz w:val="20"/>
          <w:szCs w:val="22"/>
          <w:lang w:val="en-GB"/>
        </w:rPr>
        <w:t xml:space="preserve">Statistical parameters of velocity distribution cm/s in aneurysm sac and </w:t>
      </w:r>
      <w:r w:rsidRPr="00FF5804">
        <w:rPr>
          <w:rFonts w:ascii="Times New Roman" w:hAnsi="Times New Roman" w:cs="Times New Roman"/>
          <w:color w:val="auto"/>
          <w:sz w:val="20"/>
          <w:szCs w:val="22"/>
          <w:lang w:val="en-GB"/>
        </w:rPr>
        <w:t>parental</w:t>
      </w:r>
      <w:r w:rsidRPr="00FF5804">
        <w:rPr>
          <w:rFonts w:ascii="Times New Roman" w:hAnsi="Times New Roman" w:cs="Times New Roman"/>
          <w:iCs w:val="0"/>
          <w:color w:val="auto"/>
          <w:sz w:val="20"/>
          <w:szCs w:val="22"/>
          <w:lang w:val="en-GB"/>
        </w:rPr>
        <w:t xml:space="preserve"> vessel with FD1-3 and without. The graphical representation of velocity distribution is shown in </w:t>
      </w:r>
      <w:r w:rsidRPr="00FF5804">
        <w:rPr>
          <w:rFonts w:ascii="Times New Roman" w:hAnsi="Times New Roman" w:cs="Times New Roman"/>
          <w:iCs w:val="0"/>
          <w:color w:val="auto"/>
          <w:sz w:val="20"/>
          <w:szCs w:val="22"/>
          <w:lang w:val="en-GB"/>
        </w:rPr>
        <w:fldChar w:fldCharType="begin"/>
      </w:r>
      <w:r w:rsidRPr="00FF5804">
        <w:rPr>
          <w:rFonts w:ascii="Times New Roman" w:hAnsi="Times New Roman" w:cs="Times New Roman"/>
          <w:iCs w:val="0"/>
          <w:color w:val="auto"/>
          <w:sz w:val="20"/>
          <w:szCs w:val="22"/>
          <w:lang w:val="en-GB"/>
        </w:rPr>
        <w:instrText xml:space="preserve"> REF _Ref41555603 \h  \* MERGEFORMAT </w:instrText>
      </w:r>
      <w:r w:rsidRPr="00FF5804">
        <w:rPr>
          <w:rFonts w:ascii="Times New Roman" w:hAnsi="Times New Roman" w:cs="Times New Roman"/>
          <w:iCs w:val="0"/>
          <w:color w:val="auto"/>
          <w:sz w:val="20"/>
          <w:szCs w:val="22"/>
          <w:lang w:val="en-GB"/>
        </w:rPr>
      </w:r>
      <w:r w:rsidRPr="00FF5804">
        <w:rPr>
          <w:rFonts w:ascii="Times New Roman" w:hAnsi="Times New Roman" w:cs="Times New Roman"/>
          <w:iCs w:val="0"/>
          <w:color w:val="auto"/>
          <w:sz w:val="20"/>
          <w:szCs w:val="22"/>
          <w:lang w:val="en-GB"/>
        </w:rPr>
        <w:fldChar w:fldCharType="separate"/>
      </w:r>
      <w:r w:rsidRPr="00AB42A7">
        <w:rPr>
          <w:rFonts w:ascii="Times New Roman" w:hAnsi="Times New Roman" w:cs="Times New Roman"/>
          <w:iCs w:val="0"/>
          <w:color w:val="auto"/>
          <w:sz w:val="20"/>
          <w:szCs w:val="22"/>
          <w:lang w:val="en-GB"/>
        </w:rPr>
        <w:t xml:space="preserve">Figure </w:t>
      </w:r>
      <w:r w:rsidRPr="00AB42A7">
        <w:rPr>
          <w:rFonts w:ascii="Times New Roman" w:hAnsi="Times New Roman" w:cs="Times New Roman"/>
          <w:iCs w:val="0"/>
          <w:noProof/>
          <w:color w:val="auto"/>
          <w:sz w:val="20"/>
          <w:szCs w:val="22"/>
          <w:lang w:val="en-GB"/>
        </w:rPr>
        <w:t>3</w:t>
      </w:r>
      <w:r w:rsidRPr="00FF5804">
        <w:rPr>
          <w:rFonts w:ascii="Times New Roman" w:hAnsi="Times New Roman" w:cs="Times New Roman"/>
          <w:iCs w:val="0"/>
          <w:color w:val="auto"/>
          <w:sz w:val="20"/>
          <w:szCs w:val="22"/>
          <w:lang w:val="en-GB"/>
        </w:rPr>
        <w:fldChar w:fldCharType="end"/>
      </w:r>
      <w:r w:rsidRPr="00FF5804">
        <w:rPr>
          <w:rFonts w:ascii="Times New Roman" w:hAnsi="Times New Roman" w:cs="Times New Roman"/>
          <w:iCs w:val="0"/>
          <w:color w:val="auto"/>
          <w:sz w:val="20"/>
          <w:szCs w:val="22"/>
          <w:lang w:val="en-GB"/>
        </w:rPr>
        <w:t xml:space="preserve"> b</w:t>
      </w:r>
      <w:r>
        <w:rPr>
          <w:rFonts w:ascii="Times New Roman" w:hAnsi="Times New Roman" w:cs="Times New Roman"/>
          <w:iCs w:val="0"/>
          <w:color w:val="auto"/>
          <w:sz w:val="20"/>
          <w:szCs w:val="22"/>
          <w:lang w:val="en-GB"/>
        </w:rPr>
        <w:t>-c</w:t>
      </w:r>
      <w:r w:rsidRPr="00FF5804">
        <w:rPr>
          <w:rFonts w:ascii="Times New Roman" w:hAnsi="Times New Roman" w:cs="Times New Roman"/>
          <w:iCs w:val="0"/>
          <w:color w:val="auto"/>
          <w:sz w:val="20"/>
          <w:szCs w:val="22"/>
          <w:lang w:val="en-GB"/>
        </w:rPr>
        <w:t>. Abbreviations: Q1 – lower quantile, Q3 – upper quantile, SD – standard deviation, CV – coefficient of variance.</w:t>
      </w:r>
    </w:p>
    <w:tbl>
      <w:tblPr>
        <w:tblStyle w:val="TableGrid"/>
        <w:tblW w:w="0" w:type="auto"/>
        <w:tblLook w:val="04A0" w:firstRow="1" w:lastRow="0" w:firstColumn="1" w:lastColumn="0" w:noHBand="0" w:noVBand="1"/>
      </w:tblPr>
      <w:tblGrid>
        <w:gridCol w:w="1083"/>
        <w:gridCol w:w="901"/>
        <w:gridCol w:w="903"/>
        <w:gridCol w:w="903"/>
        <w:gridCol w:w="903"/>
        <w:gridCol w:w="900"/>
        <w:gridCol w:w="900"/>
        <w:gridCol w:w="900"/>
        <w:gridCol w:w="901"/>
      </w:tblGrid>
      <w:tr w:rsidR="007C7886" w:rsidRPr="00FF5804" w14:paraId="4F7D23EE" w14:textId="77777777" w:rsidTr="00873C6E">
        <w:tc>
          <w:tcPr>
            <w:tcW w:w="1083" w:type="dxa"/>
          </w:tcPr>
          <w:p w14:paraId="0F1C265A" w14:textId="77777777" w:rsidR="007C7886" w:rsidRPr="00203ADA" w:rsidRDefault="007C7886" w:rsidP="00873C6E">
            <w:pPr>
              <w:spacing w:after="240" w:line="288" w:lineRule="auto"/>
              <w:jc w:val="both"/>
              <w:rPr>
                <w:lang w:val="en-US"/>
              </w:rPr>
            </w:pPr>
          </w:p>
        </w:tc>
        <w:tc>
          <w:tcPr>
            <w:tcW w:w="3610" w:type="dxa"/>
            <w:gridSpan w:val="4"/>
          </w:tcPr>
          <w:p w14:paraId="45F7F2DB" w14:textId="77777777" w:rsidR="007C7886" w:rsidRPr="00FF5804" w:rsidRDefault="007C7886" w:rsidP="00873C6E">
            <w:pPr>
              <w:spacing w:after="240" w:line="288" w:lineRule="auto"/>
              <w:jc w:val="both"/>
            </w:pPr>
            <w:proofErr w:type="spellStart"/>
            <w:r w:rsidRPr="00FF5804">
              <w:t>Aneurysm</w:t>
            </w:r>
            <w:proofErr w:type="spellEnd"/>
            <w:r w:rsidRPr="00FF5804">
              <w:t xml:space="preserve"> </w:t>
            </w:r>
            <w:proofErr w:type="spellStart"/>
            <w:r w:rsidRPr="00FF5804">
              <w:t>sac</w:t>
            </w:r>
            <w:proofErr w:type="spellEnd"/>
          </w:p>
        </w:tc>
        <w:tc>
          <w:tcPr>
            <w:tcW w:w="3601" w:type="dxa"/>
            <w:gridSpan w:val="4"/>
          </w:tcPr>
          <w:p w14:paraId="542CA32F" w14:textId="77777777" w:rsidR="007C7886" w:rsidRPr="00FF5804" w:rsidRDefault="007C7886" w:rsidP="00873C6E">
            <w:pPr>
              <w:spacing w:after="240" w:line="288" w:lineRule="auto"/>
              <w:jc w:val="both"/>
            </w:pPr>
            <w:r w:rsidRPr="00FF5804">
              <w:t xml:space="preserve">Parental </w:t>
            </w:r>
            <w:proofErr w:type="spellStart"/>
            <w:r w:rsidRPr="00FF5804">
              <w:t>vessel</w:t>
            </w:r>
            <w:proofErr w:type="spellEnd"/>
          </w:p>
        </w:tc>
      </w:tr>
      <w:tr w:rsidR="007C7886" w:rsidRPr="00FF5804" w14:paraId="6ABC7DA0" w14:textId="77777777" w:rsidTr="00873C6E">
        <w:tc>
          <w:tcPr>
            <w:tcW w:w="1083" w:type="dxa"/>
          </w:tcPr>
          <w:p w14:paraId="0ED843D8" w14:textId="77777777" w:rsidR="007C7886" w:rsidRPr="00FF5804" w:rsidRDefault="007C7886" w:rsidP="00873C6E">
            <w:pPr>
              <w:spacing w:after="240" w:line="288" w:lineRule="auto"/>
              <w:jc w:val="both"/>
            </w:pPr>
            <w:r w:rsidRPr="00FF5804">
              <w:t xml:space="preserve">Absolute </w:t>
            </w:r>
            <w:proofErr w:type="spellStart"/>
            <w:r w:rsidRPr="00FF5804">
              <w:t>velocity</w:t>
            </w:r>
            <w:proofErr w:type="spellEnd"/>
          </w:p>
        </w:tc>
        <w:tc>
          <w:tcPr>
            <w:tcW w:w="901" w:type="dxa"/>
          </w:tcPr>
          <w:p w14:paraId="19AF7BE7" w14:textId="77777777" w:rsidR="007C7886" w:rsidRPr="00FF5804" w:rsidRDefault="007C7886" w:rsidP="00873C6E">
            <w:pPr>
              <w:spacing w:after="240" w:line="288" w:lineRule="auto"/>
              <w:jc w:val="both"/>
            </w:pPr>
            <w:r w:rsidRPr="00FF5804">
              <w:t>w/o FD</w:t>
            </w:r>
          </w:p>
        </w:tc>
        <w:tc>
          <w:tcPr>
            <w:tcW w:w="903" w:type="dxa"/>
          </w:tcPr>
          <w:p w14:paraId="7C311CDD" w14:textId="77777777" w:rsidR="007C7886" w:rsidRPr="00FF5804" w:rsidRDefault="007C7886" w:rsidP="00873C6E">
            <w:pPr>
              <w:spacing w:after="240" w:line="288" w:lineRule="auto"/>
              <w:jc w:val="both"/>
            </w:pPr>
            <w:r w:rsidRPr="00FF5804">
              <w:t>FD1</w:t>
            </w:r>
          </w:p>
        </w:tc>
        <w:tc>
          <w:tcPr>
            <w:tcW w:w="903" w:type="dxa"/>
          </w:tcPr>
          <w:p w14:paraId="032D4339" w14:textId="77777777" w:rsidR="007C7886" w:rsidRPr="00FF5804" w:rsidRDefault="007C7886" w:rsidP="00873C6E">
            <w:pPr>
              <w:spacing w:after="240" w:line="288" w:lineRule="auto"/>
              <w:jc w:val="both"/>
            </w:pPr>
            <w:r w:rsidRPr="00FF5804">
              <w:t>FD2</w:t>
            </w:r>
          </w:p>
        </w:tc>
        <w:tc>
          <w:tcPr>
            <w:tcW w:w="903" w:type="dxa"/>
          </w:tcPr>
          <w:p w14:paraId="7A789BC6" w14:textId="77777777" w:rsidR="007C7886" w:rsidRPr="00FF5804" w:rsidRDefault="007C7886" w:rsidP="00873C6E">
            <w:pPr>
              <w:spacing w:after="240" w:line="288" w:lineRule="auto"/>
              <w:jc w:val="both"/>
            </w:pPr>
            <w:r w:rsidRPr="00FF5804">
              <w:t>FD3</w:t>
            </w:r>
          </w:p>
        </w:tc>
        <w:tc>
          <w:tcPr>
            <w:tcW w:w="900" w:type="dxa"/>
          </w:tcPr>
          <w:p w14:paraId="7FFCF25D" w14:textId="77777777" w:rsidR="007C7886" w:rsidRPr="00FF5804" w:rsidRDefault="007C7886" w:rsidP="00873C6E">
            <w:pPr>
              <w:spacing w:after="240" w:line="288" w:lineRule="auto"/>
              <w:jc w:val="both"/>
            </w:pPr>
            <w:r w:rsidRPr="00FF5804">
              <w:t>w/o FD</w:t>
            </w:r>
          </w:p>
        </w:tc>
        <w:tc>
          <w:tcPr>
            <w:tcW w:w="900" w:type="dxa"/>
          </w:tcPr>
          <w:p w14:paraId="25EADF3C" w14:textId="77777777" w:rsidR="007C7886" w:rsidRPr="00FF5804" w:rsidRDefault="007C7886" w:rsidP="00873C6E">
            <w:pPr>
              <w:spacing w:after="240" w:line="288" w:lineRule="auto"/>
              <w:jc w:val="both"/>
            </w:pPr>
            <w:r w:rsidRPr="00FF5804">
              <w:t>FD1</w:t>
            </w:r>
          </w:p>
        </w:tc>
        <w:tc>
          <w:tcPr>
            <w:tcW w:w="900" w:type="dxa"/>
          </w:tcPr>
          <w:p w14:paraId="3E82C79B" w14:textId="77777777" w:rsidR="007C7886" w:rsidRPr="00FF5804" w:rsidRDefault="007C7886" w:rsidP="00873C6E">
            <w:pPr>
              <w:spacing w:after="240" w:line="288" w:lineRule="auto"/>
              <w:jc w:val="both"/>
            </w:pPr>
            <w:r w:rsidRPr="00FF5804">
              <w:t>FD2</w:t>
            </w:r>
          </w:p>
        </w:tc>
        <w:tc>
          <w:tcPr>
            <w:tcW w:w="901" w:type="dxa"/>
          </w:tcPr>
          <w:p w14:paraId="3A3051BC" w14:textId="77777777" w:rsidR="007C7886" w:rsidRPr="00FF5804" w:rsidRDefault="007C7886" w:rsidP="00873C6E">
            <w:pPr>
              <w:spacing w:after="240" w:line="288" w:lineRule="auto"/>
              <w:jc w:val="both"/>
            </w:pPr>
            <w:r w:rsidRPr="00FF5804">
              <w:t>FD3</w:t>
            </w:r>
          </w:p>
        </w:tc>
      </w:tr>
      <w:tr w:rsidR="007C7886" w:rsidRPr="00FF5804" w14:paraId="261C8454" w14:textId="77777777" w:rsidTr="00873C6E">
        <w:tc>
          <w:tcPr>
            <w:tcW w:w="1083" w:type="dxa"/>
            <w:vAlign w:val="bottom"/>
          </w:tcPr>
          <w:p w14:paraId="5C2C4548" w14:textId="77777777" w:rsidR="007C7886" w:rsidRPr="00FF5804" w:rsidRDefault="007C7886" w:rsidP="00873C6E">
            <w:pPr>
              <w:spacing w:after="240" w:line="288" w:lineRule="auto"/>
              <w:jc w:val="both"/>
            </w:pPr>
            <w:r w:rsidRPr="00FF5804">
              <w:t>Min</w:t>
            </w:r>
          </w:p>
        </w:tc>
        <w:tc>
          <w:tcPr>
            <w:tcW w:w="901" w:type="dxa"/>
            <w:vAlign w:val="bottom"/>
          </w:tcPr>
          <w:p w14:paraId="296AB30D" w14:textId="77777777" w:rsidR="007C7886" w:rsidRPr="00FF5804" w:rsidRDefault="007C7886" w:rsidP="00873C6E">
            <w:pPr>
              <w:spacing w:after="240" w:line="288" w:lineRule="auto"/>
              <w:jc w:val="both"/>
            </w:pPr>
            <w:r w:rsidRPr="00FF5804">
              <w:rPr>
                <w:color w:val="000000"/>
              </w:rPr>
              <w:t>0.03</w:t>
            </w:r>
          </w:p>
        </w:tc>
        <w:tc>
          <w:tcPr>
            <w:tcW w:w="903" w:type="dxa"/>
            <w:vAlign w:val="bottom"/>
          </w:tcPr>
          <w:p w14:paraId="7D63AFAB" w14:textId="77777777" w:rsidR="007C7886" w:rsidRPr="00FF5804" w:rsidRDefault="007C7886" w:rsidP="00873C6E">
            <w:pPr>
              <w:spacing w:after="240" w:line="288" w:lineRule="auto"/>
              <w:jc w:val="both"/>
            </w:pPr>
            <w:r w:rsidRPr="00FF5804">
              <w:rPr>
                <w:color w:val="000000"/>
              </w:rPr>
              <w:t>0.05</w:t>
            </w:r>
          </w:p>
        </w:tc>
        <w:tc>
          <w:tcPr>
            <w:tcW w:w="903" w:type="dxa"/>
            <w:vAlign w:val="bottom"/>
          </w:tcPr>
          <w:p w14:paraId="74572AEE" w14:textId="77777777" w:rsidR="007C7886" w:rsidRPr="00FF5804" w:rsidRDefault="007C7886" w:rsidP="00873C6E">
            <w:pPr>
              <w:spacing w:after="240" w:line="288" w:lineRule="auto"/>
              <w:jc w:val="both"/>
            </w:pPr>
            <w:r w:rsidRPr="00FF5804">
              <w:rPr>
                <w:color w:val="000000"/>
              </w:rPr>
              <w:t>0.13</w:t>
            </w:r>
          </w:p>
        </w:tc>
        <w:tc>
          <w:tcPr>
            <w:tcW w:w="903" w:type="dxa"/>
            <w:vAlign w:val="bottom"/>
          </w:tcPr>
          <w:p w14:paraId="4F16D762" w14:textId="77777777" w:rsidR="007C7886" w:rsidRPr="00FF5804" w:rsidRDefault="007C7886" w:rsidP="00873C6E">
            <w:pPr>
              <w:spacing w:after="240" w:line="288" w:lineRule="auto"/>
              <w:jc w:val="both"/>
            </w:pPr>
            <w:r w:rsidRPr="00FF5804">
              <w:rPr>
                <w:color w:val="000000"/>
              </w:rPr>
              <w:t>0.20</w:t>
            </w:r>
          </w:p>
        </w:tc>
        <w:tc>
          <w:tcPr>
            <w:tcW w:w="900" w:type="dxa"/>
            <w:vAlign w:val="bottom"/>
          </w:tcPr>
          <w:p w14:paraId="3A51AC3C" w14:textId="77777777" w:rsidR="007C7886" w:rsidRPr="00FF5804" w:rsidRDefault="007C7886" w:rsidP="00873C6E">
            <w:pPr>
              <w:spacing w:after="240" w:line="288" w:lineRule="auto"/>
              <w:jc w:val="both"/>
            </w:pPr>
            <w:r w:rsidRPr="00FF5804">
              <w:rPr>
                <w:color w:val="000000"/>
              </w:rPr>
              <w:t>0.09</w:t>
            </w:r>
          </w:p>
        </w:tc>
        <w:tc>
          <w:tcPr>
            <w:tcW w:w="900" w:type="dxa"/>
            <w:vAlign w:val="bottom"/>
          </w:tcPr>
          <w:p w14:paraId="6A494745" w14:textId="77777777" w:rsidR="007C7886" w:rsidRPr="00FF5804" w:rsidRDefault="007C7886" w:rsidP="00873C6E">
            <w:pPr>
              <w:spacing w:after="240" w:line="288" w:lineRule="auto"/>
              <w:jc w:val="both"/>
            </w:pPr>
            <w:r w:rsidRPr="00FF5804">
              <w:rPr>
                <w:color w:val="000000"/>
              </w:rPr>
              <w:t>0.13</w:t>
            </w:r>
          </w:p>
        </w:tc>
        <w:tc>
          <w:tcPr>
            <w:tcW w:w="900" w:type="dxa"/>
            <w:vAlign w:val="bottom"/>
          </w:tcPr>
          <w:p w14:paraId="18401B3A" w14:textId="77777777" w:rsidR="007C7886" w:rsidRPr="00FF5804" w:rsidRDefault="007C7886" w:rsidP="00873C6E">
            <w:pPr>
              <w:spacing w:after="240" w:line="288" w:lineRule="auto"/>
              <w:jc w:val="both"/>
            </w:pPr>
            <w:r w:rsidRPr="00FF5804">
              <w:rPr>
                <w:color w:val="000000"/>
              </w:rPr>
              <w:t>0.21</w:t>
            </w:r>
          </w:p>
        </w:tc>
        <w:tc>
          <w:tcPr>
            <w:tcW w:w="901" w:type="dxa"/>
            <w:vAlign w:val="bottom"/>
          </w:tcPr>
          <w:p w14:paraId="6E614EE4" w14:textId="77777777" w:rsidR="007C7886" w:rsidRPr="00FF5804" w:rsidRDefault="007C7886" w:rsidP="00873C6E">
            <w:pPr>
              <w:spacing w:after="240" w:line="288" w:lineRule="auto"/>
              <w:jc w:val="both"/>
            </w:pPr>
            <w:r w:rsidRPr="00FF5804">
              <w:rPr>
                <w:color w:val="000000"/>
              </w:rPr>
              <w:t>0.51</w:t>
            </w:r>
          </w:p>
        </w:tc>
      </w:tr>
      <w:tr w:rsidR="007C7886" w:rsidRPr="00FF5804" w14:paraId="423DE7DD" w14:textId="77777777" w:rsidTr="00873C6E">
        <w:tc>
          <w:tcPr>
            <w:tcW w:w="1083" w:type="dxa"/>
            <w:vAlign w:val="bottom"/>
          </w:tcPr>
          <w:p w14:paraId="2F0D5BF7" w14:textId="77777777" w:rsidR="007C7886" w:rsidRPr="00FF5804" w:rsidRDefault="007C7886" w:rsidP="00873C6E">
            <w:pPr>
              <w:spacing w:after="240" w:line="288" w:lineRule="auto"/>
              <w:jc w:val="both"/>
            </w:pPr>
            <w:r w:rsidRPr="00FF5804">
              <w:t>Max</w:t>
            </w:r>
          </w:p>
        </w:tc>
        <w:tc>
          <w:tcPr>
            <w:tcW w:w="901" w:type="dxa"/>
            <w:vAlign w:val="bottom"/>
          </w:tcPr>
          <w:p w14:paraId="2E8DD737" w14:textId="77777777" w:rsidR="007C7886" w:rsidRPr="00FF5804" w:rsidRDefault="007C7886" w:rsidP="00873C6E">
            <w:pPr>
              <w:spacing w:after="240" w:line="288" w:lineRule="auto"/>
              <w:jc w:val="both"/>
            </w:pPr>
            <w:r w:rsidRPr="00FF5804">
              <w:rPr>
                <w:color w:val="000000"/>
              </w:rPr>
              <w:t>78.29</w:t>
            </w:r>
          </w:p>
        </w:tc>
        <w:tc>
          <w:tcPr>
            <w:tcW w:w="903" w:type="dxa"/>
            <w:vAlign w:val="bottom"/>
          </w:tcPr>
          <w:p w14:paraId="12863392" w14:textId="77777777" w:rsidR="007C7886" w:rsidRPr="00FF5804" w:rsidRDefault="007C7886" w:rsidP="00873C6E">
            <w:pPr>
              <w:spacing w:after="240" w:line="288" w:lineRule="auto"/>
              <w:jc w:val="both"/>
            </w:pPr>
            <w:r w:rsidRPr="00FF5804">
              <w:rPr>
                <w:color w:val="000000"/>
              </w:rPr>
              <w:t>101.83</w:t>
            </w:r>
          </w:p>
        </w:tc>
        <w:tc>
          <w:tcPr>
            <w:tcW w:w="903" w:type="dxa"/>
            <w:vAlign w:val="bottom"/>
          </w:tcPr>
          <w:p w14:paraId="417532AB" w14:textId="77777777" w:rsidR="007C7886" w:rsidRPr="00FF5804" w:rsidRDefault="007C7886" w:rsidP="00873C6E">
            <w:pPr>
              <w:spacing w:after="240" w:line="288" w:lineRule="auto"/>
              <w:jc w:val="both"/>
            </w:pPr>
            <w:r w:rsidRPr="00FF5804">
              <w:rPr>
                <w:color w:val="000000"/>
              </w:rPr>
              <w:t>136.31</w:t>
            </w:r>
          </w:p>
        </w:tc>
        <w:tc>
          <w:tcPr>
            <w:tcW w:w="903" w:type="dxa"/>
            <w:vAlign w:val="bottom"/>
          </w:tcPr>
          <w:p w14:paraId="4825A0AA" w14:textId="77777777" w:rsidR="007C7886" w:rsidRPr="00FF5804" w:rsidRDefault="007C7886" w:rsidP="00873C6E">
            <w:pPr>
              <w:spacing w:after="240" w:line="288" w:lineRule="auto"/>
              <w:jc w:val="both"/>
            </w:pPr>
            <w:r w:rsidRPr="00FF5804">
              <w:rPr>
                <w:color w:val="000000"/>
              </w:rPr>
              <w:t>82.87</w:t>
            </w:r>
          </w:p>
        </w:tc>
        <w:tc>
          <w:tcPr>
            <w:tcW w:w="900" w:type="dxa"/>
            <w:vAlign w:val="bottom"/>
          </w:tcPr>
          <w:p w14:paraId="66916BBA" w14:textId="77777777" w:rsidR="007C7886" w:rsidRPr="00FF5804" w:rsidRDefault="007C7886" w:rsidP="00873C6E">
            <w:pPr>
              <w:spacing w:after="240" w:line="288" w:lineRule="auto"/>
              <w:jc w:val="both"/>
            </w:pPr>
            <w:r w:rsidRPr="00FF5804">
              <w:rPr>
                <w:color w:val="000000"/>
              </w:rPr>
              <w:t>112.79</w:t>
            </w:r>
          </w:p>
        </w:tc>
        <w:tc>
          <w:tcPr>
            <w:tcW w:w="900" w:type="dxa"/>
            <w:vAlign w:val="bottom"/>
          </w:tcPr>
          <w:p w14:paraId="73DEB3D5" w14:textId="77777777" w:rsidR="007C7886" w:rsidRPr="00FF5804" w:rsidRDefault="007C7886" w:rsidP="00873C6E">
            <w:pPr>
              <w:spacing w:after="240" w:line="288" w:lineRule="auto"/>
              <w:jc w:val="both"/>
            </w:pPr>
            <w:r w:rsidRPr="00FF5804">
              <w:rPr>
                <w:color w:val="000000"/>
              </w:rPr>
              <w:t>121.14</w:t>
            </w:r>
          </w:p>
        </w:tc>
        <w:tc>
          <w:tcPr>
            <w:tcW w:w="900" w:type="dxa"/>
            <w:vAlign w:val="bottom"/>
          </w:tcPr>
          <w:p w14:paraId="41A5D67C" w14:textId="77777777" w:rsidR="007C7886" w:rsidRPr="00FF5804" w:rsidRDefault="007C7886" w:rsidP="00873C6E">
            <w:pPr>
              <w:spacing w:after="240" w:line="288" w:lineRule="auto"/>
              <w:jc w:val="both"/>
            </w:pPr>
            <w:r w:rsidRPr="00FF5804">
              <w:rPr>
                <w:color w:val="000000"/>
              </w:rPr>
              <w:t>128.24</w:t>
            </w:r>
          </w:p>
        </w:tc>
        <w:tc>
          <w:tcPr>
            <w:tcW w:w="901" w:type="dxa"/>
            <w:vAlign w:val="bottom"/>
          </w:tcPr>
          <w:p w14:paraId="1222204D" w14:textId="77777777" w:rsidR="007C7886" w:rsidRPr="00FF5804" w:rsidRDefault="007C7886" w:rsidP="00873C6E">
            <w:pPr>
              <w:spacing w:after="240" w:line="288" w:lineRule="auto"/>
              <w:jc w:val="both"/>
            </w:pPr>
            <w:r w:rsidRPr="00FF5804">
              <w:rPr>
                <w:color w:val="000000"/>
              </w:rPr>
              <w:t>109.08</w:t>
            </w:r>
          </w:p>
        </w:tc>
      </w:tr>
      <w:tr w:rsidR="007C7886" w:rsidRPr="00FF5804" w14:paraId="29A705E7" w14:textId="77777777" w:rsidTr="00873C6E">
        <w:tc>
          <w:tcPr>
            <w:tcW w:w="1083" w:type="dxa"/>
            <w:vAlign w:val="bottom"/>
          </w:tcPr>
          <w:p w14:paraId="5BF4E479" w14:textId="77777777" w:rsidR="007C7886" w:rsidRPr="00FF5804" w:rsidRDefault="007C7886" w:rsidP="00873C6E">
            <w:pPr>
              <w:spacing w:after="240" w:line="288" w:lineRule="auto"/>
              <w:jc w:val="both"/>
            </w:pPr>
            <w:proofErr w:type="spellStart"/>
            <w:r w:rsidRPr="00FF5804">
              <w:lastRenderedPageBreak/>
              <w:t>Mean</w:t>
            </w:r>
            <w:proofErr w:type="spellEnd"/>
          </w:p>
        </w:tc>
        <w:tc>
          <w:tcPr>
            <w:tcW w:w="901" w:type="dxa"/>
            <w:vAlign w:val="bottom"/>
          </w:tcPr>
          <w:p w14:paraId="5CEDD1F8" w14:textId="77777777" w:rsidR="007C7886" w:rsidRPr="00FF5804" w:rsidRDefault="007C7886" w:rsidP="00873C6E">
            <w:pPr>
              <w:spacing w:after="240" w:line="288" w:lineRule="auto"/>
              <w:jc w:val="both"/>
            </w:pPr>
            <w:r w:rsidRPr="00FF5804">
              <w:rPr>
                <w:color w:val="000000"/>
              </w:rPr>
              <w:t>20.53</w:t>
            </w:r>
          </w:p>
        </w:tc>
        <w:tc>
          <w:tcPr>
            <w:tcW w:w="903" w:type="dxa"/>
            <w:vAlign w:val="bottom"/>
          </w:tcPr>
          <w:p w14:paraId="2A9CF308" w14:textId="77777777" w:rsidR="007C7886" w:rsidRPr="00FF5804" w:rsidRDefault="007C7886" w:rsidP="00873C6E">
            <w:pPr>
              <w:spacing w:after="240" w:line="288" w:lineRule="auto"/>
              <w:jc w:val="both"/>
            </w:pPr>
            <w:r w:rsidRPr="00FF5804">
              <w:rPr>
                <w:color w:val="000000"/>
              </w:rPr>
              <w:t>8.76</w:t>
            </w:r>
          </w:p>
        </w:tc>
        <w:tc>
          <w:tcPr>
            <w:tcW w:w="903" w:type="dxa"/>
            <w:vAlign w:val="bottom"/>
          </w:tcPr>
          <w:p w14:paraId="62244EE0" w14:textId="77777777" w:rsidR="007C7886" w:rsidRPr="00FF5804" w:rsidRDefault="007C7886" w:rsidP="00873C6E">
            <w:pPr>
              <w:spacing w:after="240" w:line="288" w:lineRule="auto"/>
              <w:jc w:val="both"/>
            </w:pPr>
            <w:r w:rsidRPr="00FF5804">
              <w:rPr>
                <w:color w:val="000000"/>
              </w:rPr>
              <w:t>10.35</w:t>
            </w:r>
          </w:p>
        </w:tc>
        <w:tc>
          <w:tcPr>
            <w:tcW w:w="903" w:type="dxa"/>
            <w:vAlign w:val="bottom"/>
          </w:tcPr>
          <w:p w14:paraId="25F2C077" w14:textId="77777777" w:rsidR="007C7886" w:rsidRPr="00FF5804" w:rsidRDefault="007C7886" w:rsidP="00873C6E">
            <w:pPr>
              <w:spacing w:after="240" w:line="288" w:lineRule="auto"/>
              <w:jc w:val="both"/>
            </w:pPr>
            <w:r w:rsidRPr="00FF5804">
              <w:rPr>
                <w:color w:val="000000"/>
              </w:rPr>
              <w:t>8.71</w:t>
            </w:r>
          </w:p>
        </w:tc>
        <w:tc>
          <w:tcPr>
            <w:tcW w:w="900" w:type="dxa"/>
            <w:vAlign w:val="bottom"/>
          </w:tcPr>
          <w:p w14:paraId="6CCE6DF1" w14:textId="77777777" w:rsidR="007C7886" w:rsidRPr="00FF5804" w:rsidRDefault="007C7886" w:rsidP="00873C6E">
            <w:pPr>
              <w:spacing w:after="240" w:line="288" w:lineRule="auto"/>
              <w:jc w:val="both"/>
            </w:pPr>
            <w:r w:rsidRPr="00FF5804">
              <w:rPr>
                <w:color w:val="000000"/>
              </w:rPr>
              <w:t>34.89</w:t>
            </w:r>
          </w:p>
        </w:tc>
        <w:tc>
          <w:tcPr>
            <w:tcW w:w="900" w:type="dxa"/>
            <w:vAlign w:val="bottom"/>
          </w:tcPr>
          <w:p w14:paraId="465CB927" w14:textId="77777777" w:rsidR="007C7886" w:rsidRPr="00FF5804" w:rsidRDefault="007C7886" w:rsidP="00873C6E">
            <w:pPr>
              <w:spacing w:after="240" w:line="288" w:lineRule="auto"/>
              <w:jc w:val="both"/>
            </w:pPr>
            <w:r w:rsidRPr="00FF5804">
              <w:rPr>
                <w:color w:val="000000"/>
              </w:rPr>
              <w:t>36.03</w:t>
            </w:r>
          </w:p>
        </w:tc>
        <w:tc>
          <w:tcPr>
            <w:tcW w:w="900" w:type="dxa"/>
            <w:vAlign w:val="bottom"/>
          </w:tcPr>
          <w:p w14:paraId="6E37D7B8" w14:textId="77777777" w:rsidR="007C7886" w:rsidRPr="00FF5804" w:rsidRDefault="007C7886" w:rsidP="00873C6E">
            <w:pPr>
              <w:spacing w:after="240" w:line="288" w:lineRule="auto"/>
              <w:jc w:val="both"/>
            </w:pPr>
            <w:r w:rsidRPr="00FF5804">
              <w:rPr>
                <w:color w:val="000000"/>
              </w:rPr>
              <w:t>41.27</w:t>
            </w:r>
          </w:p>
        </w:tc>
        <w:tc>
          <w:tcPr>
            <w:tcW w:w="901" w:type="dxa"/>
            <w:vAlign w:val="bottom"/>
          </w:tcPr>
          <w:p w14:paraId="6F5BA3C7" w14:textId="77777777" w:rsidR="007C7886" w:rsidRPr="00FF5804" w:rsidRDefault="007C7886" w:rsidP="00873C6E">
            <w:pPr>
              <w:spacing w:after="240" w:line="288" w:lineRule="auto"/>
              <w:jc w:val="both"/>
            </w:pPr>
            <w:r w:rsidRPr="00FF5804">
              <w:rPr>
                <w:color w:val="000000"/>
              </w:rPr>
              <w:t>36.12</w:t>
            </w:r>
          </w:p>
        </w:tc>
      </w:tr>
      <w:tr w:rsidR="007C7886" w:rsidRPr="00FF5804" w14:paraId="3D6DB07A" w14:textId="77777777" w:rsidTr="00873C6E">
        <w:tc>
          <w:tcPr>
            <w:tcW w:w="1083" w:type="dxa"/>
            <w:vAlign w:val="bottom"/>
          </w:tcPr>
          <w:p w14:paraId="079A2518" w14:textId="77777777" w:rsidR="007C7886" w:rsidRPr="00FF5804" w:rsidRDefault="007C7886" w:rsidP="00873C6E">
            <w:pPr>
              <w:spacing w:after="240" w:line="288" w:lineRule="auto"/>
              <w:jc w:val="both"/>
            </w:pPr>
            <w:r w:rsidRPr="00FF5804">
              <w:t>Q1</w:t>
            </w:r>
          </w:p>
        </w:tc>
        <w:tc>
          <w:tcPr>
            <w:tcW w:w="901" w:type="dxa"/>
            <w:vAlign w:val="bottom"/>
          </w:tcPr>
          <w:p w14:paraId="3F8DC9B5" w14:textId="77777777" w:rsidR="007C7886" w:rsidRPr="00FF5804" w:rsidRDefault="007C7886" w:rsidP="00873C6E">
            <w:pPr>
              <w:spacing w:after="240" w:line="288" w:lineRule="auto"/>
              <w:jc w:val="both"/>
            </w:pPr>
            <w:r w:rsidRPr="00FF5804">
              <w:rPr>
                <w:color w:val="000000"/>
              </w:rPr>
              <w:t>14.34</w:t>
            </w:r>
          </w:p>
        </w:tc>
        <w:tc>
          <w:tcPr>
            <w:tcW w:w="903" w:type="dxa"/>
            <w:vAlign w:val="bottom"/>
          </w:tcPr>
          <w:p w14:paraId="3D80033D" w14:textId="77777777" w:rsidR="007C7886" w:rsidRPr="00FF5804" w:rsidRDefault="007C7886" w:rsidP="00873C6E">
            <w:pPr>
              <w:spacing w:after="240" w:line="288" w:lineRule="auto"/>
              <w:jc w:val="both"/>
            </w:pPr>
            <w:r w:rsidRPr="00FF5804">
              <w:rPr>
                <w:color w:val="000000"/>
              </w:rPr>
              <w:t>5.53</w:t>
            </w:r>
          </w:p>
        </w:tc>
        <w:tc>
          <w:tcPr>
            <w:tcW w:w="903" w:type="dxa"/>
            <w:vAlign w:val="bottom"/>
          </w:tcPr>
          <w:p w14:paraId="730916DF" w14:textId="77777777" w:rsidR="007C7886" w:rsidRPr="00FF5804" w:rsidRDefault="007C7886" w:rsidP="00873C6E">
            <w:pPr>
              <w:spacing w:after="240" w:line="288" w:lineRule="auto"/>
              <w:jc w:val="both"/>
            </w:pPr>
            <w:r w:rsidRPr="00FF5804">
              <w:rPr>
                <w:color w:val="000000"/>
              </w:rPr>
              <w:t>5.67</w:t>
            </w:r>
          </w:p>
        </w:tc>
        <w:tc>
          <w:tcPr>
            <w:tcW w:w="903" w:type="dxa"/>
            <w:vAlign w:val="bottom"/>
          </w:tcPr>
          <w:p w14:paraId="3EBF4F70" w14:textId="77777777" w:rsidR="007C7886" w:rsidRPr="00FF5804" w:rsidRDefault="007C7886" w:rsidP="00873C6E">
            <w:pPr>
              <w:spacing w:after="240" w:line="288" w:lineRule="auto"/>
              <w:jc w:val="both"/>
            </w:pPr>
            <w:r w:rsidRPr="00FF5804">
              <w:rPr>
                <w:color w:val="000000"/>
              </w:rPr>
              <w:t>4.94</w:t>
            </w:r>
          </w:p>
        </w:tc>
        <w:tc>
          <w:tcPr>
            <w:tcW w:w="900" w:type="dxa"/>
            <w:vAlign w:val="bottom"/>
          </w:tcPr>
          <w:p w14:paraId="4C576137" w14:textId="77777777" w:rsidR="007C7886" w:rsidRPr="00FF5804" w:rsidRDefault="007C7886" w:rsidP="00873C6E">
            <w:pPr>
              <w:spacing w:after="240" w:line="288" w:lineRule="auto"/>
              <w:jc w:val="both"/>
            </w:pPr>
            <w:r w:rsidRPr="00FF5804">
              <w:rPr>
                <w:color w:val="000000"/>
              </w:rPr>
              <w:t>21.71</w:t>
            </w:r>
          </w:p>
        </w:tc>
        <w:tc>
          <w:tcPr>
            <w:tcW w:w="900" w:type="dxa"/>
            <w:vAlign w:val="bottom"/>
          </w:tcPr>
          <w:p w14:paraId="4F39598A" w14:textId="77777777" w:rsidR="007C7886" w:rsidRPr="00FF5804" w:rsidRDefault="007C7886" w:rsidP="00873C6E">
            <w:pPr>
              <w:spacing w:after="240" w:line="288" w:lineRule="auto"/>
              <w:jc w:val="both"/>
            </w:pPr>
            <w:r w:rsidRPr="00FF5804">
              <w:rPr>
                <w:color w:val="000000"/>
              </w:rPr>
              <w:t>24.07</w:t>
            </w:r>
          </w:p>
        </w:tc>
        <w:tc>
          <w:tcPr>
            <w:tcW w:w="900" w:type="dxa"/>
            <w:vAlign w:val="bottom"/>
          </w:tcPr>
          <w:p w14:paraId="662CE5D0" w14:textId="77777777" w:rsidR="007C7886" w:rsidRPr="00FF5804" w:rsidRDefault="007C7886" w:rsidP="00873C6E">
            <w:pPr>
              <w:spacing w:after="240" w:line="288" w:lineRule="auto"/>
              <w:jc w:val="both"/>
            </w:pPr>
            <w:r w:rsidRPr="00FF5804">
              <w:rPr>
                <w:color w:val="000000"/>
              </w:rPr>
              <w:t>25.75</w:t>
            </w:r>
          </w:p>
        </w:tc>
        <w:tc>
          <w:tcPr>
            <w:tcW w:w="901" w:type="dxa"/>
            <w:vAlign w:val="bottom"/>
          </w:tcPr>
          <w:p w14:paraId="63793EDE" w14:textId="77777777" w:rsidR="007C7886" w:rsidRPr="00FF5804" w:rsidRDefault="007C7886" w:rsidP="00873C6E">
            <w:pPr>
              <w:spacing w:after="240" w:line="288" w:lineRule="auto"/>
              <w:jc w:val="both"/>
            </w:pPr>
            <w:r w:rsidRPr="00FF5804">
              <w:rPr>
                <w:color w:val="000000"/>
              </w:rPr>
              <w:t>24.16</w:t>
            </w:r>
          </w:p>
        </w:tc>
      </w:tr>
      <w:tr w:rsidR="007C7886" w:rsidRPr="00FF5804" w14:paraId="270E0A17" w14:textId="77777777" w:rsidTr="00873C6E">
        <w:tc>
          <w:tcPr>
            <w:tcW w:w="1083" w:type="dxa"/>
            <w:vAlign w:val="bottom"/>
          </w:tcPr>
          <w:p w14:paraId="34180C64" w14:textId="77777777" w:rsidR="007C7886" w:rsidRPr="00FF5804" w:rsidRDefault="007C7886" w:rsidP="00873C6E">
            <w:pPr>
              <w:spacing w:after="240" w:line="288" w:lineRule="auto"/>
              <w:jc w:val="both"/>
            </w:pPr>
            <w:r w:rsidRPr="00FF5804">
              <w:t>Median</w:t>
            </w:r>
          </w:p>
        </w:tc>
        <w:tc>
          <w:tcPr>
            <w:tcW w:w="901" w:type="dxa"/>
            <w:vAlign w:val="bottom"/>
          </w:tcPr>
          <w:p w14:paraId="19A02A87" w14:textId="77777777" w:rsidR="007C7886" w:rsidRPr="00FF5804" w:rsidRDefault="007C7886" w:rsidP="00873C6E">
            <w:pPr>
              <w:spacing w:after="240" w:line="288" w:lineRule="auto"/>
              <w:jc w:val="both"/>
            </w:pPr>
            <w:r w:rsidRPr="00FF5804">
              <w:rPr>
                <w:color w:val="000000"/>
              </w:rPr>
              <w:t>20.74</w:t>
            </w:r>
          </w:p>
        </w:tc>
        <w:tc>
          <w:tcPr>
            <w:tcW w:w="903" w:type="dxa"/>
            <w:vAlign w:val="bottom"/>
          </w:tcPr>
          <w:p w14:paraId="308C3A7C" w14:textId="77777777" w:rsidR="007C7886" w:rsidRPr="00FF5804" w:rsidRDefault="007C7886" w:rsidP="00873C6E">
            <w:pPr>
              <w:spacing w:after="240" w:line="288" w:lineRule="auto"/>
              <w:jc w:val="both"/>
            </w:pPr>
            <w:r w:rsidRPr="00FF5804">
              <w:rPr>
                <w:color w:val="000000"/>
              </w:rPr>
              <w:t>6.89</w:t>
            </w:r>
          </w:p>
        </w:tc>
        <w:tc>
          <w:tcPr>
            <w:tcW w:w="903" w:type="dxa"/>
            <w:vAlign w:val="bottom"/>
          </w:tcPr>
          <w:p w14:paraId="0EAC7ECB" w14:textId="77777777" w:rsidR="007C7886" w:rsidRPr="00FF5804" w:rsidRDefault="007C7886" w:rsidP="00873C6E">
            <w:pPr>
              <w:spacing w:after="240" w:line="288" w:lineRule="auto"/>
              <w:jc w:val="both"/>
            </w:pPr>
            <w:r w:rsidRPr="00FF5804">
              <w:rPr>
                <w:color w:val="000000"/>
              </w:rPr>
              <w:t>7.42</w:t>
            </w:r>
          </w:p>
        </w:tc>
        <w:tc>
          <w:tcPr>
            <w:tcW w:w="903" w:type="dxa"/>
            <w:vAlign w:val="bottom"/>
          </w:tcPr>
          <w:p w14:paraId="0A88D9C3" w14:textId="77777777" w:rsidR="007C7886" w:rsidRPr="00FF5804" w:rsidRDefault="007C7886" w:rsidP="00873C6E">
            <w:pPr>
              <w:spacing w:after="240" w:line="288" w:lineRule="auto"/>
              <w:jc w:val="both"/>
            </w:pPr>
            <w:r w:rsidRPr="00FF5804">
              <w:rPr>
                <w:color w:val="000000"/>
              </w:rPr>
              <w:t>6.45</w:t>
            </w:r>
          </w:p>
        </w:tc>
        <w:tc>
          <w:tcPr>
            <w:tcW w:w="900" w:type="dxa"/>
            <w:vAlign w:val="bottom"/>
          </w:tcPr>
          <w:p w14:paraId="3F16C12B" w14:textId="77777777" w:rsidR="007C7886" w:rsidRPr="00FF5804" w:rsidRDefault="007C7886" w:rsidP="00873C6E">
            <w:pPr>
              <w:spacing w:after="240" w:line="288" w:lineRule="auto"/>
              <w:jc w:val="both"/>
            </w:pPr>
            <w:r w:rsidRPr="00FF5804">
              <w:rPr>
                <w:color w:val="000000"/>
              </w:rPr>
              <w:t>35.21</w:t>
            </w:r>
          </w:p>
        </w:tc>
        <w:tc>
          <w:tcPr>
            <w:tcW w:w="900" w:type="dxa"/>
            <w:vAlign w:val="bottom"/>
          </w:tcPr>
          <w:p w14:paraId="66FD525B" w14:textId="77777777" w:rsidR="007C7886" w:rsidRPr="00FF5804" w:rsidRDefault="007C7886" w:rsidP="00873C6E">
            <w:pPr>
              <w:spacing w:after="240" w:line="288" w:lineRule="auto"/>
              <w:jc w:val="both"/>
            </w:pPr>
            <w:r w:rsidRPr="00FF5804">
              <w:rPr>
                <w:color w:val="000000"/>
              </w:rPr>
              <w:t>36.67</w:t>
            </w:r>
          </w:p>
        </w:tc>
        <w:tc>
          <w:tcPr>
            <w:tcW w:w="900" w:type="dxa"/>
            <w:vAlign w:val="bottom"/>
          </w:tcPr>
          <w:p w14:paraId="1F4D4EB1" w14:textId="77777777" w:rsidR="007C7886" w:rsidRPr="00FF5804" w:rsidRDefault="007C7886" w:rsidP="00873C6E">
            <w:pPr>
              <w:spacing w:after="240" w:line="288" w:lineRule="auto"/>
              <w:jc w:val="both"/>
            </w:pPr>
            <w:r w:rsidRPr="00FF5804">
              <w:rPr>
                <w:color w:val="000000"/>
              </w:rPr>
              <w:t>42.14</w:t>
            </w:r>
          </w:p>
        </w:tc>
        <w:tc>
          <w:tcPr>
            <w:tcW w:w="901" w:type="dxa"/>
            <w:vAlign w:val="bottom"/>
          </w:tcPr>
          <w:p w14:paraId="73D0A9C6" w14:textId="77777777" w:rsidR="007C7886" w:rsidRPr="00FF5804" w:rsidRDefault="007C7886" w:rsidP="00873C6E">
            <w:pPr>
              <w:spacing w:after="240" w:line="288" w:lineRule="auto"/>
              <w:jc w:val="both"/>
            </w:pPr>
            <w:r w:rsidRPr="00FF5804">
              <w:rPr>
                <w:color w:val="000000"/>
              </w:rPr>
              <w:t>35.55</w:t>
            </w:r>
          </w:p>
        </w:tc>
      </w:tr>
      <w:tr w:rsidR="007C7886" w:rsidRPr="00FF5804" w14:paraId="63231F92" w14:textId="77777777" w:rsidTr="00873C6E">
        <w:tc>
          <w:tcPr>
            <w:tcW w:w="1083" w:type="dxa"/>
            <w:vAlign w:val="bottom"/>
          </w:tcPr>
          <w:p w14:paraId="60A5E341" w14:textId="77777777" w:rsidR="007C7886" w:rsidRPr="00FF5804" w:rsidRDefault="007C7886" w:rsidP="00873C6E">
            <w:pPr>
              <w:spacing w:after="240" w:line="288" w:lineRule="auto"/>
              <w:jc w:val="both"/>
            </w:pPr>
            <w:r w:rsidRPr="00FF5804">
              <w:t>Q3</w:t>
            </w:r>
          </w:p>
        </w:tc>
        <w:tc>
          <w:tcPr>
            <w:tcW w:w="901" w:type="dxa"/>
            <w:vAlign w:val="bottom"/>
          </w:tcPr>
          <w:p w14:paraId="570C18B7" w14:textId="77777777" w:rsidR="007C7886" w:rsidRPr="00FF5804" w:rsidRDefault="007C7886" w:rsidP="00873C6E">
            <w:pPr>
              <w:spacing w:after="240" w:line="288" w:lineRule="auto"/>
              <w:jc w:val="both"/>
            </w:pPr>
            <w:r w:rsidRPr="00FF5804">
              <w:rPr>
                <w:color w:val="000000"/>
              </w:rPr>
              <w:t>27.39</w:t>
            </w:r>
          </w:p>
        </w:tc>
        <w:tc>
          <w:tcPr>
            <w:tcW w:w="903" w:type="dxa"/>
            <w:vAlign w:val="bottom"/>
          </w:tcPr>
          <w:p w14:paraId="061D1819" w14:textId="77777777" w:rsidR="007C7886" w:rsidRPr="00FF5804" w:rsidRDefault="007C7886" w:rsidP="00873C6E">
            <w:pPr>
              <w:spacing w:after="240" w:line="288" w:lineRule="auto"/>
              <w:jc w:val="both"/>
            </w:pPr>
            <w:r w:rsidRPr="00FF5804">
              <w:rPr>
                <w:color w:val="000000"/>
              </w:rPr>
              <w:t>9.04</w:t>
            </w:r>
          </w:p>
        </w:tc>
        <w:tc>
          <w:tcPr>
            <w:tcW w:w="903" w:type="dxa"/>
            <w:vAlign w:val="bottom"/>
          </w:tcPr>
          <w:p w14:paraId="253234FA" w14:textId="77777777" w:rsidR="007C7886" w:rsidRPr="00FF5804" w:rsidRDefault="007C7886" w:rsidP="00873C6E">
            <w:pPr>
              <w:spacing w:after="240" w:line="288" w:lineRule="auto"/>
              <w:jc w:val="both"/>
            </w:pPr>
            <w:r w:rsidRPr="00FF5804">
              <w:rPr>
                <w:color w:val="000000"/>
              </w:rPr>
              <w:t>10.20</w:t>
            </w:r>
          </w:p>
        </w:tc>
        <w:tc>
          <w:tcPr>
            <w:tcW w:w="903" w:type="dxa"/>
            <w:vAlign w:val="bottom"/>
          </w:tcPr>
          <w:p w14:paraId="12270FA6" w14:textId="77777777" w:rsidR="007C7886" w:rsidRPr="00FF5804" w:rsidRDefault="007C7886" w:rsidP="00873C6E">
            <w:pPr>
              <w:spacing w:after="240" w:line="288" w:lineRule="auto"/>
              <w:jc w:val="both"/>
            </w:pPr>
            <w:r w:rsidRPr="00FF5804">
              <w:rPr>
                <w:color w:val="000000"/>
              </w:rPr>
              <w:t>8.62</w:t>
            </w:r>
          </w:p>
        </w:tc>
        <w:tc>
          <w:tcPr>
            <w:tcW w:w="900" w:type="dxa"/>
            <w:vAlign w:val="bottom"/>
          </w:tcPr>
          <w:p w14:paraId="7F9008F3" w14:textId="77777777" w:rsidR="007C7886" w:rsidRPr="00FF5804" w:rsidRDefault="007C7886" w:rsidP="00873C6E">
            <w:pPr>
              <w:spacing w:after="240" w:line="288" w:lineRule="auto"/>
              <w:jc w:val="both"/>
            </w:pPr>
            <w:r w:rsidRPr="00FF5804">
              <w:rPr>
                <w:color w:val="000000"/>
              </w:rPr>
              <w:t>49.49</w:t>
            </w:r>
          </w:p>
        </w:tc>
        <w:tc>
          <w:tcPr>
            <w:tcW w:w="900" w:type="dxa"/>
            <w:vAlign w:val="bottom"/>
          </w:tcPr>
          <w:p w14:paraId="53B45494" w14:textId="77777777" w:rsidR="007C7886" w:rsidRPr="00FF5804" w:rsidRDefault="007C7886" w:rsidP="00873C6E">
            <w:pPr>
              <w:spacing w:after="240" w:line="288" w:lineRule="auto"/>
              <w:jc w:val="both"/>
            </w:pPr>
            <w:r w:rsidRPr="00FF5804">
              <w:rPr>
                <w:color w:val="000000"/>
              </w:rPr>
              <w:t>47.21</w:t>
            </w:r>
          </w:p>
        </w:tc>
        <w:tc>
          <w:tcPr>
            <w:tcW w:w="900" w:type="dxa"/>
            <w:vAlign w:val="bottom"/>
          </w:tcPr>
          <w:p w14:paraId="481D86CF" w14:textId="77777777" w:rsidR="007C7886" w:rsidRPr="00FF5804" w:rsidRDefault="007C7886" w:rsidP="00873C6E">
            <w:pPr>
              <w:spacing w:after="240" w:line="288" w:lineRule="auto"/>
              <w:jc w:val="both"/>
            </w:pPr>
            <w:r w:rsidRPr="00FF5804">
              <w:rPr>
                <w:color w:val="000000"/>
              </w:rPr>
              <w:t>55.70</w:t>
            </w:r>
          </w:p>
        </w:tc>
        <w:tc>
          <w:tcPr>
            <w:tcW w:w="901" w:type="dxa"/>
            <w:vAlign w:val="bottom"/>
          </w:tcPr>
          <w:p w14:paraId="2FC99342" w14:textId="77777777" w:rsidR="007C7886" w:rsidRPr="00FF5804" w:rsidRDefault="007C7886" w:rsidP="00873C6E">
            <w:pPr>
              <w:spacing w:after="240" w:line="288" w:lineRule="auto"/>
              <w:jc w:val="both"/>
            </w:pPr>
            <w:r w:rsidRPr="00FF5804">
              <w:rPr>
                <w:color w:val="000000"/>
              </w:rPr>
              <w:t>46.89</w:t>
            </w:r>
          </w:p>
        </w:tc>
      </w:tr>
      <w:tr w:rsidR="007C7886" w:rsidRPr="00FF5804" w14:paraId="3C148B68" w14:textId="77777777" w:rsidTr="00873C6E">
        <w:tc>
          <w:tcPr>
            <w:tcW w:w="1083" w:type="dxa"/>
            <w:vAlign w:val="bottom"/>
          </w:tcPr>
          <w:p w14:paraId="557F00A6" w14:textId="77777777" w:rsidR="007C7886" w:rsidRPr="00FF5804" w:rsidRDefault="007C7886" w:rsidP="00873C6E">
            <w:pPr>
              <w:spacing w:after="240" w:line="288" w:lineRule="auto"/>
              <w:jc w:val="both"/>
            </w:pPr>
            <w:r w:rsidRPr="00FF5804">
              <w:t>SD</w:t>
            </w:r>
          </w:p>
        </w:tc>
        <w:tc>
          <w:tcPr>
            <w:tcW w:w="901" w:type="dxa"/>
            <w:vAlign w:val="bottom"/>
          </w:tcPr>
          <w:p w14:paraId="0448CDA1" w14:textId="77777777" w:rsidR="007C7886" w:rsidRPr="00FF5804" w:rsidRDefault="007C7886" w:rsidP="00873C6E">
            <w:pPr>
              <w:spacing w:after="240" w:line="288" w:lineRule="auto"/>
              <w:jc w:val="both"/>
            </w:pPr>
            <w:r w:rsidRPr="00FF5804">
              <w:rPr>
                <w:color w:val="000000"/>
              </w:rPr>
              <w:t>13.53</w:t>
            </w:r>
          </w:p>
        </w:tc>
        <w:tc>
          <w:tcPr>
            <w:tcW w:w="903" w:type="dxa"/>
            <w:vAlign w:val="bottom"/>
          </w:tcPr>
          <w:p w14:paraId="78054D7C" w14:textId="77777777" w:rsidR="007C7886" w:rsidRPr="00FF5804" w:rsidRDefault="007C7886" w:rsidP="00873C6E">
            <w:pPr>
              <w:spacing w:after="240" w:line="288" w:lineRule="auto"/>
              <w:jc w:val="both"/>
            </w:pPr>
            <w:r w:rsidRPr="00FF5804">
              <w:rPr>
                <w:color w:val="000000"/>
              </w:rPr>
              <w:t>8.45</w:t>
            </w:r>
          </w:p>
        </w:tc>
        <w:tc>
          <w:tcPr>
            <w:tcW w:w="903" w:type="dxa"/>
            <w:vAlign w:val="bottom"/>
          </w:tcPr>
          <w:p w14:paraId="7E7A907E" w14:textId="77777777" w:rsidR="007C7886" w:rsidRPr="00FF5804" w:rsidRDefault="007C7886" w:rsidP="00873C6E">
            <w:pPr>
              <w:spacing w:after="240" w:line="288" w:lineRule="auto"/>
              <w:jc w:val="both"/>
            </w:pPr>
            <w:r w:rsidRPr="00FF5804">
              <w:rPr>
                <w:color w:val="000000"/>
              </w:rPr>
              <w:t>11.32</w:t>
            </w:r>
          </w:p>
        </w:tc>
        <w:tc>
          <w:tcPr>
            <w:tcW w:w="903" w:type="dxa"/>
            <w:vAlign w:val="bottom"/>
          </w:tcPr>
          <w:p w14:paraId="3F063B1E" w14:textId="77777777" w:rsidR="007C7886" w:rsidRPr="00FF5804" w:rsidRDefault="007C7886" w:rsidP="00873C6E">
            <w:pPr>
              <w:spacing w:after="240" w:line="288" w:lineRule="auto"/>
              <w:jc w:val="both"/>
            </w:pPr>
            <w:r w:rsidRPr="00FF5804">
              <w:rPr>
                <w:color w:val="000000"/>
              </w:rPr>
              <w:t>9.02</w:t>
            </w:r>
          </w:p>
        </w:tc>
        <w:tc>
          <w:tcPr>
            <w:tcW w:w="900" w:type="dxa"/>
            <w:vAlign w:val="bottom"/>
          </w:tcPr>
          <w:p w14:paraId="6D16C5C9" w14:textId="77777777" w:rsidR="007C7886" w:rsidRPr="00FF5804" w:rsidRDefault="007C7886" w:rsidP="00873C6E">
            <w:pPr>
              <w:spacing w:after="240" w:line="288" w:lineRule="auto"/>
              <w:jc w:val="both"/>
            </w:pPr>
            <w:r w:rsidRPr="00FF5804">
              <w:rPr>
                <w:color w:val="000000"/>
              </w:rPr>
              <w:t>20.12</w:t>
            </w:r>
          </w:p>
        </w:tc>
        <w:tc>
          <w:tcPr>
            <w:tcW w:w="900" w:type="dxa"/>
            <w:vAlign w:val="bottom"/>
          </w:tcPr>
          <w:p w14:paraId="1DAEB2B2" w14:textId="77777777" w:rsidR="007C7886" w:rsidRPr="00FF5804" w:rsidRDefault="007C7886" w:rsidP="00873C6E">
            <w:pPr>
              <w:spacing w:after="240" w:line="288" w:lineRule="auto"/>
              <w:jc w:val="both"/>
            </w:pPr>
            <w:r w:rsidRPr="00FF5804">
              <w:rPr>
                <w:color w:val="000000"/>
              </w:rPr>
              <w:t>17.54</w:t>
            </w:r>
          </w:p>
        </w:tc>
        <w:tc>
          <w:tcPr>
            <w:tcW w:w="900" w:type="dxa"/>
            <w:vAlign w:val="bottom"/>
          </w:tcPr>
          <w:p w14:paraId="520A281C" w14:textId="77777777" w:rsidR="007C7886" w:rsidRPr="00FF5804" w:rsidRDefault="007C7886" w:rsidP="00873C6E">
            <w:pPr>
              <w:spacing w:after="240" w:line="288" w:lineRule="auto"/>
              <w:jc w:val="both"/>
            </w:pPr>
            <w:r w:rsidRPr="00FF5804">
              <w:rPr>
                <w:color w:val="000000"/>
              </w:rPr>
              <w:t>21.33</w:t>
            </w:r>
          </w:p>
        </w:tc>
        <w:tc>
          <w:tcPr>
            <w:tcW w:w="901" w:type="dxa"/>
            <w:vAlign w:val="bottom"/>
          </w:tcPr>
          <w:p w14:paraId="6AB1A504" w14:textId="77777777" w:rsidR="007C7886" w:rsidRPr="00FF5804" w:rsidRDefault="007C7886" w:rsidP="00873C6E">
            <w:pPr>
              <w:spacing w:after="240" w:line="288" w:lineRule="auto"/>
              <w:jc w:val="both"/>
            </w:pPr>
            <w:r w:rsidRPr="00FF5804">
              <w:rPr>
                <w:color w:val="000000"/>
              </w:rPr>
              <w:t>16.74</w:t>
            </w:r>
          </w:p>
        </w:tc>
      </w:tr>
      <w:tr w:rsidR="007C7886" w:rsidRPr="00FF5804" w14:paraId="2DC5329F" w14:textId="77777777" w:rsidTr="00873C6E">
        <w:tc>
          <w:tcPr>
            <w:tcW w:w="1083" w:type="dxa"/>
            <w:vAlign w:val="bottom"/>
          </w:tcPr>
          <w:p w14:paraId="7B34DF68" w14:textId="77777777" w:rsidR="007C7886" w:rsidRPr="00FF5804" w:rsidRDefault="007C7886" w:rsidP="00873C6E">
            <w:pPr>
              <w:spacing w:after="240" w:line="288" w:lineRule="auto"/>
              <w:jc w:val="both"/>
            </w:pPr>
            <w:r w:rsidRPr="00FF5804">
              <w:t>CV</w:t>
            </w:r>
          </w:p>
        </w:tc>
        <w:tc>
          <w:tcPr>
            <w:tcW w:w="901" w:type="dxa"/>
            <w:vAlign w:val="bottom"/>
          </w:tcPr>
          <w:p w14:paraId="366B95B0" w14:textId="77777777" w:rsidR="007C7886" w:rsidRPr="00FF5804" w:rsidRDefault="007C7886" w:rsidP="00873C6E">
            <w:pPr>
              <w:spacing w:after="240" w:line="288" w:lineRule="auto"/>
              <w:jc w:val="both"/>
            </w:pPr>
            <w:r w:rsidRPr="00FF5804">
              <w:rPr>
                <w:color w:val="000000"/>
              </w:rPr>
              <w:t>65.90</w:t>
            </w:r>
          </w:p>
        </w:tc>
        <w:tc>
          <w:tcPr>
            <w:tcW w:w="903" w:type="dxa"/>
            <w:vAlign w:val="bottom"/>
          </w:tcPr>
          <w:p w14:paraId="585A52FC" w14:textId="77777777" w:rsidR="007C7886" w:rsidRPr="00FF5804" w:rsidRDefault="007C7886" w:rsidP="00873C6E">
            <w:pPr>
              <w:spacing w:after="240" w:line="288" w:lineRule="auto"/>
              <w:jc w:val="both"/>
            </w:pPr>
            <w:r w:rsidRPr="00FF5804">
              <w:rPr>
                <w:color w:val="000000"/>
              </w:rPr>
              <w:t>96.53</w:t>
            </w:r>
          </w:p>
        </w:tc>
        <w:tc>
          <w:tcPr>
            <w:tcW w:w="903" w:type="dxa"/>
            <w:vAlign w:val="bottom"/>
          </w:tcPr>
          <w:p w14:paraId="1C2E636B" w14:textId="77777777" w:rsidR="007C7886" w:rsidRPr="00FF5804" w:rsidRDefault="007C7886" w:rsidP="00873C6E">
            <w:pPr>
              <w:spacing w:after="240" w:line="288" w:lineRule="auto"/>
              <w:jc w:val="both"/>
            </w:pPr>
            <w:r w:rsidRPr="00FF5804">
              <w:rPr>
                <w:color w:val="000000"/>
              </w:rPr>
              <w:t>109.40</w:t>
            </w:r>
          </w:p>
        </w:tc>
        <w:tc>
          <w:tcPr>
            <w:tcW w:w="903" w:type="dxa"/>
            <w:vAlign w:val="bottom"/>
          </w:tcPr>
          <w:p w14:paraId="3AA8B97E" w14:textId="77777777" w:rsidR="007C7886" w:rsidRPr="00FF5804" w:rsidRDefault="007C7886" w:rsidP="00873C6E">
            <w:pPr>
              <w:spacing w:after="240" w:line="288" w:lineRule="auto"/>
              <w:jc w:val="both"/>
            </w:pPr>
            <w:r w:rsidRPr="00FF5804">
              <w:rPr>
                <w:color w:val="000000"/>
              </w:rPr>
              <w:t>103.56</w:t>
            </w:r>
          </w:p>
        </w:tc>
        <w:tc>
          <w:tcPr>
            <w:tcW w:w="900" w:type="dxa"/>
            <w:vAlign w:val="bottom"/>
          </w:tcPr>
          <w:p w14:paraId="75E0E465" w14:textId="77777777" w:rsidR="007C7886" w:rsidRPr="00FF5804" w:rsidRDefault="007C7886" w:rsidP="00873C6E">
            <w:pPr>
              <w:spacing w:after="240" w:line="288" w:lineRule="auto"/>
              <w:jc w:val="both"/>
            </w:pPr>
            <w:r w:rsidRPr="00FF5804">
              <w:rPr>
                <w:color w:val="000000"/>
              </w:rPr>
              <w:t>57.66</w:t>
            </w:r>
          </w:p>
        </w:tc>
        <w:tc>
          <w:tcPr>
            <w:tcW w:w="900" w:type="dxa"/>
            <w:vAlign w:val="bottom"/>
          </w:tcPr>
          <w:p w14:paraId="4FA6FDC9" w14:textId="77777777" w:rsidR="007C7886" w:rsidRPr="00FF5804" w:rsidRDefault="007C7886" w:rsidP="00873C6E">
            <w:pPr>
              <w:spacing w:after="240" w:line="288" w:lineRule="auto"/>
              <w:jc w:val="both"/>
            </w:pPr>
            <w:r w:rsidRPr="00FF5804">
              <w:rPr>
                <w:color w:val="000000"/>
              </w:rPr>
              <w:t>48.68</w:t>
            </w:r>
          </w:p>
        </w:tc>
        <w:tc>
          <w:tcPr>
            <w:tcW w:w="900" w:type="dxa"/>
            <w:vAlign w:val="bottom"/>
          </w:tcPr>
          <w:p w14:paraId="5462F50A" w14:textId="77777777" w:rsidR="007C7886" w:rsidRPr="00FF5804" w:rsidRDefault="007C7886" w:rsidP="00873C6E">
            <w:pPr>
              <w:spacing w:after="240" w:line="288" w:lineRule="auto"/>
              <w:jc w:val="both"/>
            </w:pPr>
            <w:r w:rsidRPr="00FF5804">
              <w:rPr>
                <w:color w:val="000000"/>
              </w:rPr>
              <w:t>51.69</w:t>
            </w:r>
          </w:p>
        </w:tc>
        <w:tc>
          <w:tcPr>
            <w:tcW w:w="901" w:type="dxa"/>
            <w:vAlign w:val="bottom"/>
          </w:tcPr>
          <w:p w14:paraId="735F657C" w14:textId="77777777" w:rsidR="007C7886" w:rsidRPr="00FF5804" w:rsidRDefault="007C7886" w:rsidP="00873C6E">
            <w:pPr>
              <w:spacing w:after="240" w:line="288" w:lineRule="auto"/>
              <w:jc w:val="both"/>
            </w:pPr>
            <w:r w:rsidRPr="00FF5804">
              <w:rPr>
                <w:color w:val="000000"/>
              </w:rPr>
              <w:t>46.34</w:t>
            </w:r>
          </w:p>
        </w:tc>
      </w:tr>
    </w:tbl>
    <w:p w14:paraId="0133B8E2" w14:textId="77777777" w:rsidR="007C7886" w:rsidRPr="00C502E6" w:rsidRDefault="007C7886" w:rsidP="007C7886">
      <w:pPr>
        <w:pStyle w:val="ListParagraph"/>
        <w:spacing w:after="240" w:line="288" w:lineRule="auto"/>
        <w:jc w:val="both"/>
        <w:rPr>
          <w:rFonts w:ascii="Times New Roman" w:hAnsi="Times New Roman" w:cs="Times New Roman"/>
          <w:i/>
        </w:rPr>
      </w:pPr>
    </w:p>
    <w:p w14:paraId="384875A4" w14:textId="77777777" w:rsidR="007C7886" w:rsidRPr="00C502E6" w:rsidRDefault="007C7886" w:rsidP="007C7886">
      <w:pPr>
        <w:pStyle w:val="ListParagraph"/>
        <w:numPr>
          <w:ilvl w:val="0"/>
          <w:numId w:val="1"/>
        </w:numPr>
        <w:spacing w:after="240" w:line="288" w:lineRule="auto"/>
        <w:jc w:val="both"/>
        <w:rPr>
          <w:rFonts w:ascii="Times New Roman" w:hAnsi="Times New Roman" w:cs="Times New Roman"/>
          <w:i/>
        </w:rPr>
      </w:pPr>
      <w:r>
        <w:rPr>
          <w:b/>
        </w:rPr>
        <w:t>Design</w:t>
      </w:r>
      <w:r w:rsidRPr="00C502E6">
        <w:rPr>
          <w:b/>
        </w:rPr>
        <w:t xml:space="preserve"> parameters:</w:t>
      </w:r>
    </w:p>
    <w:p w14:paraId="4ED5EF9E" w14:textId="77777777" w:rsidR="007C7886" w:rsidRPr="00FF5804" w:rsidRDefault="007C7886" w:rsidP="007C7886">
      <w:pPr>
        <w:pStyle w:val="Caption"/>
        <w:jc w:val="center"/>
        <w:rPr>
          <w:rFonts w:ascii="Times New Roman" w:hAnsi="Times New Roman" w:cs="Times New Roman"/>
          <w:color w:val="000000" w:themeColor="text1"/>
          <w:sz w:val="21"/>
          <w:szCs w:val="21"/>
          <w:lang w:val="en-US"/>
        </w:rPr>
      </w:pPr>
      <w:r w:rsidRPr="00FF5804">
        <w:rPr>
          <w:rFonts w:ascii="Times New Roman" w:hAnsi="Times New Roman" w:cs="Times New Roman"/>
          <w:color w:val="000000" w:themeColor="text1"/>
          <w:sz w:val="21"/>
          <w:szCs w:val="21"/>
          <w:lang w:val="en-US"/>
        </w:rPr>
        <w:t xml:space="preserve">S. Table </w:t>
      </w:r>
      <w:r w:rsidRPr="00FF5804">
        <w:rPr>
          <w:rFonts w:ascii="Times New Roman" w:hAnsi="Times New Roman" w:cs="Times New Roman"/>
          <w:color w:val="000000" w:themeColor="text1"/>
          <w:sz w:val="21"/>
          <w:szCs w:val="21"/>
        </w:rPr>
        <w:fldChar w:fldCharType="begin"/>
      </w:r>
      <w:r w:rsidRPr="00FF5804">
        <w:rPr>
          <w:rFonts w:ascii="Times New Roman" w:hAnsi="Times New Roman" w:cs="Times New Roman"/>
          <w:color w:val="000000" w:themeColor="text1"/>
          <w:sz w:val="21"/>
          <w:szCs w:val="21"/>
          <w:lang w:val="en-US"/>
        </w:rPr>
        <w:instrText xml:space="preserve"> SEQ S._Table \* ARABIC </w:instrText>
      </w:r>
      <w:r w:rsidRPr="00FF5804">
        <w:rPr>
          <w:rFonts w:ascii="Times New Roman" w:hAnsi="Times New Roman" w:cs="Times New Roman"/>
          <w:color w:val="000000" w:themeColor="text1"/>
          <w:sz w:val="21"/>
          <w:szCs w:val="21"/>
        </w:rPr>
        <w:fldChar w:fldCharType="separate"/>
      </w:r>
      <w:r>
        <w:rPr>
          <w:rFonts w:ascii="Times New Roman" w:hAnsi="Times New Roman" w:cs="Times New Roman"/>
          <w:noProof/>
          <w:color w:val="000000" w:themeColor="text1"/>
          <w:sz w:val="21"/>
          <w:szCs w:val="21"/>
          <w:lang w:val="en-US"/>
        </w:rPr>
        <w:t>2</w:t>
      </w:r>
      <w:r w:rsidRPr="00FF5804">
        <w:rPr>
          <w:rFonts w:ascii="Times New Roman" w:hAnsi="Times New Roman" w:cs="Times New Roman"/>
          <w:color w:val="000000" w:themeColor="text1"/>
          <w:sz w:val="21"/>
          <w:szCs w:val="21"/>
        </w:rPr>
        <w:fldChar w:fldCharType="end"/>
      </w:r>
      <w:r w:rsidRPr="00FF5804">
        <w:rPr>
          <w:rFonts w:ascii="Times New Roman" w:hAnsi="Times New Roman" w:cs="Times New Roman"/>
          <w:color w:val="000000" w:themeColor="text1"/>
          <w:sz w:val="21"/>
          <w:szCs w:val="21"/>
          <w:lang w:val="en-US"/>
        </w:rPr>
        <w:t>: Calculated cell</w:t>
      </w:r>
      <w:r>
        <w:rPr>
          <w:rFonts w:ascii="Times New Roman" w:hAnsi="Times New Roman" w:cs="Times New Roman"/>
          <w:color w:val="000000" w:themeColor="text1"/>
          <w:sz w:val="21"/>
          <w:szCs w:val="21"/>
          <w:lang w:val="en-US"/>
        </w:rPr>
        <w:t>-</w:t>
      </w:r>
      <w:r w:rsidRPr="00FF5804">
        <w:rPr>
          <w:rFonts w:ascii="Times New Roman" w:hAnsi="Times New Roman" w:cs="Times New Roman"/>
          <w:color w:val="000000" w:themeColor="text1"/>
          <w:sz w:val="21"/>
          <w:szCs w:val="21"/>
          <w:lang w:val="en-US"/>
        </w:rPr>
        <w:t>area values for FD 1-3 at Pos. 1-3. The area was calculated by obtaining the dimensions of the cells using laser images</w:t>
      </w:r>
      <w:r>
        <w:rPr>
          <w:rFonts w:ascii="Times New Roman" w:hAnsi="Times New Roman" w:cs="Times New Roman"/>
          <w:color w:val="000000" w:themeColor="text1"/>
          <w:sz w:val="21"/>
          <w:szCs w:val="21"/>
          <w:lang w:val="en-US"/>
        </w:rPr>
        <w:t xml:space="preserve"> </w:t>
      </w:r>
      <w:r w:rsidRPr="00FF5804">
        <w:rPr>
          <w:rFonts w:ascii="Times New Roman" w:hAnsi="Times New Roman" w:cs="Times New Roman"/>
          <w:color w:val="000000" w:themeColor="text1"/>
          <w:sz w:val="21"/>
          <w:szCs w:val="21"/>
          <w:lang w:val="en-US"/>
        </w:rPr>
        <w:t>(</w:t>
      </w:r>
      <w:r>
        <w:rPr>
          <w:rFonts w:ascii="Times New Roman" w:hAnsi="Times New Roman" w:cs="Times New Roman"/>
          <w:color w:val="000000" w:themeColor="text1"/>
          <w:sz w:val="21"/>
          <w:szCs w:val="21"/>
          <w:lang w:val="en-US"/>
        </w:rPr>
        <w:fldChar w:fldCharType="begin"/>
      </w:r>
      <w:r>
        <w:rPr>
          <w:rFonts w:ascii="Times New Roman" w:hAnsi="Times New Roman" w:cs="Times New Roman"/>
          <w:color w:val="000000" w:themeColor="text1"/>
          <w:sz w:val="21"/>
          <w:szCs w:val="21"/>
          <w:lang w:val="en-US"/>
        </w:rPr>
        <w:instrText xml:space="preserve"> REF _Ref48306708 \h </w:instrText>
      </w:r>
      <w:r>
        <w:rPr>
          <w:rFonts w:ascii="Times New Roman" w:hAnsi="Times New Roman" w:cs="Times New Roman"/>
          <w:color w:val="000000" w:themeColor="text1"/>
          <w:sz w:val="21"/>
          <w:szCs w:val="21"/>
          <w:lang w:val="en-US"/>
        </w:rPr>
      </w:r>
      <w:r>
        <w:rPr>
          <w:rFonts w:ascii="Times New Roman" w:hAnsi="Times New Roman" w:cs="Times New Roman"/>
          <w:color w:val="000000" w:themeColor="text1"/>
          <w:sz w:val="21"/>
          <w:szCs w:val="21"/>
          <w:lang w:val="en-US"/>
        </w:rPr>
        <w:fldChar w:fldCharType="separate"/>
      </w:r>
      <w:r w:rsidRPr="00FF5804">
        <w:rPr>
          <w:rFonts w:ascii="Times New Roman" w:hAnsi="Times New Roman" w:cs="Times New Roman"/>
          <w:color w:val="000000" w:themeColor="text1"/>
          <w:sz w:val="20"/>
          <w:szCs w:val="20"/>
          <w:lang w:val="en-GB"/>
        </w:rPr>
        <w:t xml:space="preserve">Figure </w:t>
      </w:r>
      <w:r>
        <w:rPr>
          <w:rFonts w:ascii="Times New Roman" w:hAnsi="Times New Roman" w:cs="Times New Roman"/>
          <w:noProof/>
          <w:color w:val="000000" w:themeColor="text1"/>
          <w:sz w:val="20"/>
          <w:szCs w:val="20"/>
          <w:lang w:val="en-GB"/>
        </w:rPr>
        <w:t>1</w:t>
      </w:r>
      <w:r>
        <w:rPr>
          <w:rFonts w:ascii="Times New Roman" w:hAnsi="Times New Roman" w:cs="Times New Roman"/>
          <w:color w:val="000000" w:themeColor="text1"/>
          <w:sz w:val="21"/>
          <w:szCs w:val="21"/>
          <w:lang w:val="en-US"/>
        </w:rPr>
        <w:fldChar w:fldCharType="end"/>
      </w:r>
      <w:r>
        <w:rPr>
          <w:rFonts w:ascii="Times New Roman" w:hAnsi="Times New Roman" w:cs="Times New Roman"/>
          <w:color w:val="000000" w:themeColor="text1"/>
          <w:sz w:val="21"/>
          <w:szCs w:val="21"/>
          <w:lang w:val="en-US"/>
        </w:rPr>
        <w:t>e</w:t>
      </w:r>
      <w:r w:rsidRPr="00FF5804">
        <w:rPr>
          <w:rFonts w:ascii="Times New Roman" w:hAnsi="Times New Roman" w:cs="Times New Roman"/>
          <w:color w:val="000000" w:themeColor="text1"/>
          <w:sz w:val="21"/>
          <w:szCs w:val="21"/>
          <w:lang w:val="en-US"/>
        </w:rPr>
        <w:t xml:space="preserve">). </w:t>
      </w:r>
    </w:p>
    <w:tbl>
      <w:tblPr>
        <w:tblStyle w:val="TableGrid"/>
        <w:tblW w:w="0" w:type="auto"/>
        <w:jc w:val="center"/>
        <w:tblLook w:val="04A0" w:firstRow="1" w:lastRow="0" w:firstColumn="1" w:lastColumn="0" w:noHBand="0" w:noVBand="1"/>
      </w:tblPr>
      <w:tblGrid>
        <w:gridCol w:w="1345"/>
        <w:gridCol w:w="2610"/>
        <w:gridCol w:w="2430"/>
        <w:gridCol w:w="2430"/>
      </w:tblGrid>
      <w:tr w:rsidR="007C7886" w:rsidRPr="00FF5804" w14:paraId="2AE6B338" w14:textId="77777777" w:rsidTr="00873C6E">
        <w:trPr>
          <w:jc w:val="center"/>
        </w:trPr>
        <w:tc>
          <w:tcPr>
            <w:tcW w:w="1345" w:type="dxa"/>
            <w:vAlign w:val="center"/>
          </w:tcPr>
          <w:p w14:paraId="005659F1" w14:textId="77777777" w:rsidR="007C7886" w:rsidRPr="00FF5804" w:rsidRDefault="007C7886" w:rsidP="00873C6E">
            <w:pPr>
              <w:jc w:val="center"/>
              <w:rPr>
                <w:sz w:val="21"/>
                <w:szCs w:val="21"/>
                <w:lang w:val="en-US"/>
              </w:rPr>
            </w:pPr>
          </w:p>
        </w:tc>
        <w:tc>
          <w:tcPr>
            <w:tcW w:w="2610" w:type="dxa"/>
            <w:vAlign w:val="center"/>
          </w:tcPr>
          <w:p w14:paraId="0BC5285A" w14:textId="77777777" w:rsidR="007C7886" w:rsidRPr="00FF5804" w:rsidRDefault="007C7886" w:rsidP="00873C6E">
            <w:pPr>
              <w:jc w:val="center"/>
              <w:rPr>
                <w:sz w:val="21"/>
                <w:szCs w:val="21"/>
              </w:rPr>
            </w:pPr>
            <w:r w:rsidRPr="00FF5804">
              <w:rPr>
                <w:sz w:val="21"/>
                <w:szCs w:val="21"/>
              </w:rPr>
              <w:t>Pos. 1 (</w:t>
            </w:r>
            <w:r w:rsidRPr="00FF5804">
              <w:rPr>
                <w:sz w:val="21"/>
                <w:szCs w:val="21"/>
                <w:lang w:val="en-US"/>
              </w:rPr>
              <w:t>*</w:t>
            </w:r>
            <w:r w:rsidRPr="00FF5804">
              <w:rPr>
                <w:sz w:val="21"/>
                <w:szCs w:val="21"/>
              </w:rPr>
              <w:t>10</w:t>
            </w:r>
            <w:r w:rsidRPr="00FF5804">
              <w:rPr>
                <w:sz w:val="21"/>
                <w:szCs w:val="21"/>
                <w:vertAlign w:val="superscript"/>
              </w:rPr>
              <w:t>3</w:t>
            </w:r>
            <w:r w:rsidRPr="00FF5804">
              <w:rPr>
                <w:sz w:val="21"/>
                <w:szCs w:val="21"/>
              </w:rPr>
              <w:t xml:space="preserve"> µm</w:t>
            </w:r>
            <w:r w:rsidRPr="00FF5804">
              <w:rPr>
                <w:sz w:val="21"/>
                <w:szCs w:val="21"/>
                <w:vertAlign w:val="superscript"/>
              </w:rPr>
              <w:t>2</w:t>
            </w:r>
            <w:r w:rsidRPr="00FF5804">
              <w:rPr>
                <w:sz w:val="21"/>
                <w:szCs w:val="21"/>
              </w:rPr>
              <w:t>)</w:t>
            </w:r>
          </w:p>
        </w:tc>
        <w:tc>
          <w:tcPr>
            <w:tcW w:w="2430" w:type="dxa"/>
            <w:vAlign w:val="center"/>
          </w:tcPr>
          <w:p w14:paraId="25A9C836" w14:textId="77777777" w:rsidR="007C7886" w:rsidRPr="00FF5804" w:rsidRDefault="007C7886" w:rsidP="00873C6E">
            <w:pPr>
              <w:jc w:val="center"/>
              <w:rPr>
                <w:sz w:val="21"/>
                <w:szCs w:val="21"/>
              </w:rPr>
            </w:pPr>
            <w:r w:rsidRPr="00FF5804">
              <w:rPr>
                <w:sz w:val="21"/>
                <w:szCs w:val="21"/>
              </w:rPr>
              <w:t>Pos. 2 (</w:t>
            </w:r>
            <w:r w:rsidRPr="00FF5804">
              <w:rPr>
                <w:sz w:val="21"/>
                <w:szCs w:val="21"/>
                <w:lang w:val="en-US"/>
              </w:rPr>
              <w:t>*</w:t>
            </w:r>
            <w:r w:rsidRPr="00FF5804">
              <w:rPr>
                <w:sz w:val="21"/>
                <w:szCs w:val="21"/>
              </w:rPr>
              <w:t>10</w:t>
            </w:r>
            <w:r w:rsidRPr="00FF5804">
              <w:rPr>
                <w:sz w:val="21"/>
                <w:szCs w:val="21"/>
                <w:vertAlign w:val="superscript"/>
              </w:rPr>
              <w:t>3</w:t>
            </w:r>
            <w:r w:rsidRPr="00FF5804">
              <w:rPr>
                <w:sz w:val="21"/>
                <w:szCs w:val="21"/>
              </w:rPr>
              <w:t xml:space="preserve"> µm</w:t>
            </w:r>
            <w:r w:rsidRPr="00FF5804">
              <w:rPr>
                <w:sz w:val="21"/>
                <w:szCs w:val="21"/>
                <w:vertAlign w:val="superscript"/>
              </w:rPr>
              <w:t>2</w:t>
            </w:r>
            <w:r w:rsidRPr="00FF5804">
              <w:rPr>
                <w:sz w:val="21"/>
                <w:szCs w:val="21"/>
              </w:rPr>
              <w:t>)</w:t>
            </w:r>
          </w:p>
        </w:tc>
        <w:tc>
          <w:tcPr>
            <w:tcW w:w="2430" w:type="dxa"/>
            <w:vAlign w:val="center"/>
          </w:tcPr>
          <w:p w14:paraId="7D72745B" w14:textId="77777777" w:rsidR="007C7886" w:rsidRPr="00FF5804" w:rsidRDefault="007C7886" w:rsidP="00873C6E">
            <w:pPr>
              <w:jc w:val="center"/>
              <w:rPr>
                <w:sz w:val="21"/>
                <w:szCs w:val="21"/>
              </w:rPr>
            </w:pPr>
            <w:r w:rsidRPr="00FF5804">
              <w:rPr>
                <w:sz w:val="21"/>
                <w:szCs w:val="21"/>
              </w:rPr>
              <w:t>Pos.3 (</w:t>
            </w:r>
            <w:r w:rsidRPr="00FF5804">
              <w:rPr>
                <w:sz w:val="21"/>
                <w:szCs w:val="21"/>
                <w:lang w:val="en-US"/>
              </w:rPr>
              <w:t>*</w:t>
            </w:r>
            <w:r w:rsidRPr="00FF5804">
              <w:rPr>
                <w:sz w:val="21"/>
                <w:szCs w:val="21"/>
              </w:rPr>
              <w:t>10</w:t>
            </w:r>
            <w:r w:rsidRPr="00FF5804">
              <w:rPr>
                <w:sz w:val="21"/>
                <w:szCs w:val="21"/>
                <w:vertAlign w:val="superscript"/>
              </w:rPr>
              <w:t>3</w:t>
            </w:r>
            <w:r w:rsidRPr="00FF5804">
              <w:rPr>
                <w:sz w:val="21"/>
                <w:szCs w:val="21"/>
              </w:rPr>
              <w:t xml:space="preserve"> µm</w:t>
            </w:r>
            <w:r w:rsidRPr="00FF5804">
              <w:rPr>
                <w:sz w:val="21"/>
                <w:szCs w:val="21"/>
                <w:vertAlign w:val="superscript"/>
              </w:rPr>
              <w:t>2</w:t>
            </w:r>
            <w:r w:rsidRPr="00FF5804">
              <w:rPr>
                <w:sz w:val="21"/>
                <w:szCs w:val="21"/>
              </w:rPr>
              <w:t>)</w:t>
            </w:r>
          </w:p>
        </w:tc>
      </w:tr>
      <w:tr w:rsidR="007C7886" w:rsidRPr="00FF5804" w14:paraId="5E57243E" w14:textId="77777777" w:rsidTr="00873C6E">
        <w:trPr>
          <w:jc w:val="center"/>
        </w:trPr>
        <w:tc>
          <w:tcPr>
            <w:tcW w:w="1345" w:type="dxa"/>
            <w:vAlign w:val="center"/>
          </w:tcPr>
          <w:p w14:paraId="6F7639A4" w14:textId="77777777" w:rsidR="007C7886" w:rsidRPr="00FF5804" w:rsidRDefault="007C7886" w:rsidP="00873C6E">
            <w:pPr>
              <w:jc w:val="center"/>
              <w:rPr>
                <w:sz w:val="21"/>
                <w:szCs w:val="21"/>
              </w:rPr>
            </w:pPr>
            <w:r w:rsidRPr="00FF5804">
              <w:rPr>
                <w:sz w:val="21"/>
                <w:szCs w:val="21"/>
              </w:rPr>
              <w:t>FD 1</w:t>
            </w:r>
          </w:p>
        </w:tc>
        <w:tc>
          <w:tcPr>
            <w:tcW w:w="2610" w:type="dxa"/>
            <w:vAlign w:val="center"/>
          </w:tcPr>
          <w:p w14:paraId="258E41AA" w14:textId="77777777" w:rsidR="007C7886" w:rsidRPr="00FF5804" w:rsidRDefault="007C7886" w:rsidP="00873C6E">
            <w:pPr>
              <w:jc w:val="center"/>
              <w:rPr>
                <w:sz w:val="21"/>
                <w:szCs w:val="21"/>
              </w:rPr>
            </w:pPr>
            <w:r w:rsidRPr="00FF5804">
              <w:rPr>
                <w:sz w:val="21"/>
                <w:szCs w:val="21"/>
              </w:rPr>
              <w:t xml:space="preserve">48.10 </w:t>
            </w:r>
            <w:r w:rsidRPr="00FF5804">
              <w:rPr>
                <w:sz w:val="21"/>
                <w:szCs w:val="21"/>
              </w:rPr>
              <w:sym w:font="Symbol" w:char="F020"/>
            </w:r>
            <w:r w:rsidRPr="00FF5804">
              <w:rPr>
                <w:sz w:val="21"/>
                <w:szCs w:val="21"/>
              </w:rPr>
              <w:sym w:font="Symbol" w:char="F0B1"/>
            </w:r>
            <w:r w:rsidRPr="00FF5804">
              <w:rPr>
                <w:sz w:val="21"/>
                <w:szCs w:val="21"/>
              </w:rPr>
              <w:t xml:space="preserve"> 11.01</w:t>
            </w:r>
          </w:p>
        </w:tc>
        <w:tc>
          <w:tcPr>
            <w:tcW w:w="2430" w:type="dxa"/>
            <w:vAlign w:val="center"/>
          </w:tcPr>
          <w:p w14:paraId="5D79DE9D" w14:textId="77777777" w:rsidR="007C7886" w:rsidRPr="00FF5804" w:rsidRDefault="007C7886" w:rsidP="00873C6E">
            <w:pPr>
              <w:jc w:val="center"/>
              <w:rPr>
                <w:sz w:val="21"/>
                <w:szCs w:val="21"/>
              </w:rPr>
            </w:pPr>
            <w:r w:rsidRPr="00FF5804">
              <w:rPr>
                <w:sz w:val="21"/>
                <w:szCs w:val="21"/>
              </w:rPr>
              <w:t xml:space="preserve">41.66 </w:t>
            </w:r>
            <w:r w:rsidRPr="00FF5804">
              <w:rPr>
                <w:sz w:val="21"/>
                <w:szCs w:val="21"/>
              </w:rPr>
              <w:sym w:font="Symbol" w:char="F020"/>
            </w:r>
            <w:r w:rsidRPr="00FF5804">
              <w:rPr>
                <w:sz w:val="21"/>
                <w:szCs w:val="21"/>
              </w:rPr>
              <w:sym w:font="Symbol" w:char="F0B1"/>
            </w:r>
            <w:r w:rsidRPr="00FF5804">
              <w:rPr>
                <w:sz w:val="21"/>
                <w:szCs w:val="21"/>
              </w:rPr>
              <w:t xml:space="preserve"> 4.98</w:t>
            </w:r>
          </w:p>
        </w:tc>
        <w:tc>
          <w:tcPr>
            <w:tcW w:w="2430" w:type="dxa"/>
            <w:vAlign w:val="center"/>
          </w:tcPr>
          <w:p w14:paraId="275E0E4B" w14:textId="77777777" w:rsidR="007C7886" w:rsidRPr="00FF5804" w:rsidRDefault="007C7886" w:rsidP="00873C6E">
            <w:pPr>
              <w:jc w:val="center"/>
              <w:rPr>
                <w:sz w:val="21"/>
                <w:szCs w:val="21"/>
              </w:rPr>
            </w:pPr>
            <w:r w:rsidRPr="00FF5804">
              <w:rPr>
                <w:sz w:val="21"/>
                <w:szCs w:val="21"/>
              </w:rPr>
              <w:t xml:space="preserve">36.80 </w:t>
            </w:r>
            <w:r w:rsidRPr="00FF5804">
              <w:rPr>
                <w:sz w:val="21"/>
                <w:szCs w:val="21"/>
              </w:rPr>
              <w:sym w:font="Symbol" w:char="F020"/>
            </w:r>
            <w:r w:rsidRPr="00FF5804">
              <w:rPr>
                <w:sz w:val="21"/>
                <w:szCs w:val="21"/>
              </w:rPr>
              <w:sym w:font="Symbol" w:char="F0B1"/>
            </w:r>
            <w:r w:rsidRPr="00FF5804">
              <w:rPr>
                <w:sz w:val="21"/>
                <w:szCs w:val="21"/>
              </w:rPr>
              <w:t xml:space="preserve"> 3.69</w:t>
            </w:r>
          </w:p>
        </w:tc>
      </w:tr>
      <w:tr w:rsidR="007C7886" w:rsidRPr="00FF5804" w14:paraId="14FE0F07" w14:textId="77777777" w:rsidTr="00873C6E">
        <w:trPr>
          <w:jc w:val="center"/>
        </w:trPr>
        <w:tc>
          <w:tcPr>
            <w:tcW w:w="1345" w:type="dxa"/>
            <w:vAlign w:val="center"/>
          </w:tcPr>
          <w:p w14:paraId="501645EC" w14:textId="77777777" w:rsidR="007C7886" w:rsidRPr="00FF5804" w:rsidRDefault="007C7886" w:rsidP="00873C6E">
            <w:pPr>
              <w:jc w:val="center"/>
              <w:rPr>
                <w:sz w:val="21"/>
                <w:szCs w:val="21"/>
              </w:rPr>
            </w:pPr>
            <w:r w:rsidRPr="00FF5804">
              <w:rPr>
                <w:sz w:val="21"/>
                <w:szCs w:val="21"/>
              </w:rPr>
              <w:t>FD 2</w:t>
            </w:r>
          </w:p>
        </w:tc>
        <w:tc>
          <w:tcPr>
            <w:tcW w:w="2610" w:type="dxa"/>
            <w:vAlign w:val="center"/>
          </w:tcPr>
          <w:p w14:paraId="0185620E" w14:textId="77777777" w:rsidR="007C7886" w:rsidRPr="00FF5804" w:rsidRDefault="007C7886" w:rsidP="00873C6E">
            <w:pPr>
              <w:jc w:val="center"/>
              <w:rPr>
                <w:sz w:val="21"/>
                <w:szCs w:val="21"/>
              </w:rPr>
            </w:pPr>
            <w:r w:rsidRPr="00FF5804">
              <w:rPr>
                <w:sz w:val="21"/>
                <w:szCs w:val="21"/>
              </w:rPr>
              <w:t xml:space="preserve">78.02 </w:t>
            </w:r>
            <w:r w:rsidRPr="00FF5804">
              <w:rPr>
                <w:sz w:val="21"/>
                <w:szCs w:val="21"/>
              </w:rPr>
              <w:sym w:font="Symbol" w:char="F020"/>
            </w:r>
            <w:r w:rsidRPr="00FF5804">
              <w:rPr>
                <w:sz w:val="21"/>
                <w:szCs w:val="21"/>
              </w:rPr>
              <w:sym w:font="Symbol" w:char="F0B1"/>
            </w:r>
            <w:r w:rsidRPr="00FF5804">
              <w:rPr>
                <w:sz w:val="21"/>
                <w:szCs w:val="21"/>
              </w:rPr>
              <w:t xml:space="preserve"> 7.34</w:t>
            </w:r>
          </w:p>
        </w:tc>
        <w:tc>
          <w:tcPr>
            <w:tcW w:w="2430" w:type="dxa"/>
            <w:vAlign w:val="center"/>
          </w:tcPr>
          <w:p w14:paraId="750F551A" w14:textId="77777777" w:rsidR="007C7886" w:rsidRPr="00FF5804" w:rsidRDefault="007C7886" w:rsidP="00873C6E">
            <w:pPr>
              <w:jc w:val="center"/>
              <w:rPr>
                <w:sz w:val="21"/>
                <w:szCs w:val="21"/>
              </w:rPr>
            </w:pPr>
            <w:r w:rsidRPr="00FF5804">
              <w:rPr>
                <w:sz w:val="21"/>
                <w:szCs w:val="21"/>
              </w:rPr>
              <w:t xml:space="preserve">73.02 </w:t>
            </w:r>
            <w:r w:rsidRPr="00FF5804">
              <w:rPr>
                <w:sz w:val="21"/>
                <w:szCs w:val="21"/>
              </w:rPr>
              <w:sym w:font="Symbol" w:char="F020"/>
            </w:r>
            <w:r w:rsidRPr="00FF5804">
              <w:rPr>
                <w:sz w:val="21"/>
                <w:szCs w:val="21"/>
              </w:rPr>
              <w:sym w:font="Symbol" w:char="F0B1"/>
            </w:r>
            <w:r w:rsidRPr="00FF5804">
              <w:rPr>
                <w:sz w:val="21"/>
                <w:szCs w:val="21"/>
              </w:rPr>
              <w:t xml:space="preserve"> 7.02</w:t>
            </w:r>
          </w:p>
        </w:tc>
        <w:tc>
          <w:tcPr>
            <w:tcW w:w="2430" w:type="dxa"/>
            <w:vAlign w:val="center"/>
          </w:tcPr>
          <w:p w14:paraId="6840B21E" w14:textId="77777777" w:rsidR="007C7886" w:rsidRPr="00FF5804" w:rsidRDefault="007C7886" w:rsidP="00873C6E">
            <w:pPr>
              <w:jc w:val="center"/>
              <w:rPr>
                <w:sz w:val="21"/>
                <w:szCs w:val="21"/>
              </w:rPr>
            </w:pPr>
            <w:r w:rsidRPr="00FF5804">
              <w:rPr>
                <w:sz w:val="21"/>
                <w:szCs w:val="21"/>
              </w:rPr>
              <w:t xml:space="preserve">68.62 </w:t>
            </w:r>
            <w:r w:rsidRPr="00FF5804">
              <w:rPr>
                <w:sz w:val="21"/>
                <w:szCs w:val="21"/>
              </w:rPr>
              <w:sym w:font="Symbol" w:char="F020"/>
            </w:r>
            <w:r w:rsidRPr="00FF5804">
              <w:rPr>
                <w:sz w:val="21"/>
                <w:szCs w:val="21"/>
              </w:rPr>
              <w:sym w:font="Symbol" w:char="F0B1"/>
            </w:r>
            <w:r w:rsidRPr="00FF5804">
              <w:rPr>
                <w:sz w:val="21"/>
                <w:szCs w:val="21"/>
              </w:rPr>
              <w:t xml:space="preserve"> 10.13</w:t>
            </w:r>
          </w:p>
        </w:tc>
      </w:tr>
      <w:tr w:rsidR="007C7886" w:rsidRPr="00FF5804" w14:paraId="7FC69085" w14:textId="77777777" w:rsidTr="00873C6E">
        <w:trPr>
          <w:jc w:val="center"/>
        </w:trPr>
        <w:tc>
          <w:tcPr>
            <w:tcW w:w="1345" w:type="dxa"/>
            <w:vAlign w:val="center"/>
          </w:tcPr>
          <w:p w14:paraId="7193491F" w14:textId="77777777" w:rsidR="007C7886" w:rsidRPr="00FF5804" w:rsidRDefault="007C7886" w:rsidP="00873C6E">
            <w:pPr>
              <w:jc w:val="center"/>
              <w:rPr>
                <w:sz w:val="21"/>
                <w:szCs w:val="21"/>
              </w:rPr>
            </w:pPr>
            <w:r w:rsidRPr="00FF5804">
              <w:rPr>
                <w:sz w:val="21"/>
                <w:szCs w:val="21"/>
              </w:rPr>
              <w:t>FD 3</w:t>
            </w:r>
          </w:p>
        </w:tc>
        <w:tc>
          <w:tcPr>
            <w:tcW w:w="2610" w:type="dxa"/>
            <w:vAlign w:val="center"/>
          </w:tcPr>
          <w:p w14:paraId="3A691256" w14:textId="77777777" w:rsidR="007C7886" w:rsidRPr="00FF5804" w:rsidRDefault="007C7886" w:rsidP="00873C6E">
            <w:pPr>
              <w:jc w:val="center"/>
              <w:rPr>
                <w:sz w:val="21"/>
                <w:szCs w:val="21"/>
              </w:rPr>
            </w:pPr>
            <w:r w:rsidRPr="00FF5804">
              <w:rPr>
                <w:sz w:val="21"/>
                <w:szCs w:val="21"/>
              </w:rPr>
              <w:t xml:space="preserve">99.06 </w:t>
            </w:r>
            <w:r w:rsidRPr="00FF5804">
              <w:rPr>
                <w:sz w:val="21"/>
                <w:szCs w:val="21"/>
              </w:rPr>
              <w:sym w:font="Symbol" w:char="F020"/>
            </w:r>
            <w:r w:rsidRPr="00FF5804">
              <w:rPr>
                <w:sz w:val="21"/>
                <w:szCs w:val="21"/>
              </w:rPr>
              <w:sym w:font="Symbol" w:char="F0B1"/>
            </w:r>
            <w:r w:rsidRPr="00FF5804">
              <w:rPr>
                <w:sz w:val="21"/>
                <w:szCs w:val="21"/>
              </w:rPr>
              <w:t xml:space="preserve"> 11.79</w:t>
            </w:r>
          </w:p>
        </w:tc>
        <w:tc>
          <w:tcPr>
            <w:tcW w:w="2430" w:type="dxa"/>
            <w:vAlign w:val="center"/>
          </w:tcPr>
          <w:p w14:paraId="6BF1529E" w14:textId="77777777" w:rsidR="007C7886" w:rsidRPr="00FF5804" w:rsidRDefault="007C7886" w:rsidP="00873C6E">
            <w:pPr>
              <w:jc w:val="center"/>
              <w:rPr>
                <w:sz w:val="21"/>
                <w:szCs w:val="21"/>
              </w:rPr>
            </w:pPr>
            <w:r w:rsidRPr="00FF5804">
              <w:rPr>
                <w:sz w:val="21"/>
                <w:szCs w:val="21"/>
              </w:rPr>
              <w:t xml:space="preserve">92.30 </w:t>
            </w:r>
            <w:r w:rsidRPr="00FF5804">
              <w:rPr>
                <w:sz w:val="21"/>
                <w:szCs w:val="21"/>
              </w:rPr>
              <w:sym w:font="Symbol" w:char="F020"/>
            </w:r>
            <w:r w:rsidRPr="00FF5804">
              <w:rPr>
                <w:sz w:val="21"/>
                <w:szCs w:val="21"/>
              </w:rPr>
              <w:sym w:font="Symbol" w:char="F0B1"/>
            </w:r>
            <w:r w:rsidRPr="00FF5804">
              <w:rPr>
                <w:sz w:val="21"/>
                <w:szCs w:val="21"/>
              </w:rPr>
              <w:t xml:space="preserve"> 13.60</w:t>
            </w:r>
          </w:p>
        </w:tc>
        <w:tc>
          <w:tcPr>
            <w:tcW w:w="2430" w:type="dxa"/>
            <w:vAlign w:val="center"/>
          </w:tcPr>
          <w:p w14:paraId="23FB6E63" w14:textId="77777777" w:rsidR="007C7886" w:rsidRPr="00FF5804" w:rsidRDefault="007C7886" w:rsidP="00873C6E">
            <w:pPr>
              <w:jc w:val="center"/>
              <w:rPr>
                <w:sz w:val="21"/>
                <w:szCs w:val="21"/>
              </w:rPr>
            </w:pPr>
            <w:r w:rsidRPr="00FF5804">
              <w:rPr>
                <w:sz w:val="21"/>
                <w:szCs w:val="21"/>
              </w:rPr>
              <w:t>94.31</w:t>
            </w:r>
            <w:r w:rsidRPr="00FF5804">
              <w:rPr>
                <w:sz w:val="21"/>
                <w:szCs w:val="21"/>
              </w:rPr>
              <w:sym w:font="Symbol" w:char="F020"/>
            </w:r>
            <w:r w:rsidRPr="00FF5804">
              <w:rPr>
                <w:sz w:val="21"/>
                <w:szCs w:val="21"/>
              </w:rPr>
              <w:sym w:font="Symbol" w:char="F0B1"/>
            </w:r>
            <w:r w:rsidRPr="00FF5804">
              <w:rPr>
                <w:sz w:val="21"/>
                <w:szCs w:val="21"/>
              </w:rPr>
              <w:t xml:space="preserve"> 8.68</w:t>
            </w:r>
          </w:p>
        </w:tc>
      </w:tr>
    </w:tbl>
    <w:p w14:paraId="7FA3463C" w14:textId="77777777" w:rsidR="007C7886" w:rsidRPr="00FF5804" w:rsidRDefault="007C7886" w:rsidP="007C7886">
      <w:pPr>
        <w:rPr>
          <w:sz w:val="21"/>
          <w:szCs w:val="21"/>
        </w:rPr>
      </w:pPr>
    </w:p>
    <w:p w14:paraId="6A3D1D9E" w14:textId="77777777" w:rsidR="00460F6E" w:rsidRDefault="00460F6E"/>
    <w:sectPr w:rsidR="00460F6E" w:rsidSect="0022563E">
      <w:footerReference w:type="even" r:id="rId8"/>
      <w:footerReference w:type="default" r:id="rId9"/>
      <w:pgSz w:w="11906" w:h="16838" w:code="9"/>
      <w:pgMar w:top="1440" w:right="1440" w:bottom="1152"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CDC2C" w14:textId="77777777" w:rsidR="00D132F0" w:rsidRDefault="00D132F0">
      <w:r>
        <w:separator/>
      </w:r>
    </w:p>
  </w:endnote>
  <w:endnote w:type="continuationSeparator" w:id="0">
    <w:p w14:paraId="24221D39" w14:textId="77777777" w:rsidR="00D132F0" w:rsidRDefault="00D1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7180118"/>
      <w:docPartObj>
        <w:docPartGallery w:val="Page Numbers (Bottom of Page)"/>
        <w:docPartUnique/>
      </w:docPartObj>
    </w:sdtPr>
    <w:sdtEndPr>
      <w:rPr>
        <w:rStyle w:val="PageNumber"/>
      </w:rPr>
    </w:sdtEndPr>
    <w:sdtContent>
      <w:p w14:paraId="511854BC" w14:textId="77777777" w:rsidR="003903BD" w:rsidRDefault="007C7886" w:rsidP="00430E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778D96" w14:textId="77777777" w:rsidR="003903BD" w:rsidRDefault="00D132F0" w:rsidP="00AD0A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234573"/>
      <w:docPartObj>
        <w:docPartGallery w:val="Page Numbers (Bottom of Page)"/>
        <w:docPartUnique/>
      </w:docPartObj>
    </w:sdtPr>
    <w:sdtEndPr>
      <w:rPr>
        <w:rStyle w:val="PageNumber"/>
      </w:rPr>
    </w:sdtEndPr>
    <w:sdtContent>
      <w:p w14:paraId="596FE053" w14:textId="77777777" w:rsidR="003903BD" w:rsidRDefault="007C7886" w:rsidP="00430E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33FDAF9D" w14:textId="77777777" w:rsidR="003903BD" w:rsidRDefault="00D132F0" w:rsidP="00AD0A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5293E" w14:textId="77777777" w:rsidR="00D132F0" w:rsidRDefault="00D132F0">
      <w:r>
        <w:separator/>
      </w:r>
    </w:p>
  </w:footnote>
  <w:footnote w:type="continuationSeparator" w:id="0">
    <w:p w14:paraId="310D1609" w14:textId="77777777" w:rsidR="00D132F0" w:rsidRDefault="00D13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8C37A9"/>
    <w:multiLevelType w:val="hybridMultilevel"/>
    <w:tmpl w:val="A4EEA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86"/>
    <w:rsid w:val="00356AF5"/>
    <w:rsid w:val="00460F6E"/>
    <w:rsid w:val="007241E2"/>
    <w:rsid w:val="00726BA0"/>
    <w:rsid w:val="007C7886"/>
    <w:rsid w:val="00A20688"/>
    <w:rsid w:val="00D1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117718"/>
  <w15:chartTrackingRefBased/>
  <w15:docId w15:val="{50C79938-4EA8-7649-B3DA-241C2789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86"/>
    <w:rPr>
      <w:rFonts w:ascii="Times New Roman" w:eastAsia="Times New Roman" w:hAnsi="Times New Roman" w:cs="Times New Roman"/>
    </w:rPr>
  </w:style>
  <w:style w:type="paragraph" w:styleId="Heading1">
    <w:name w:val="heading 1"/>
    <w:basedOn w:val="Normal"/>
    <w:next w:val="Normal"/>
    <w:link w:val="Heading1Char"/>
    <w:uiPriority w:val="9"/>
    <w:qFormat/>
    <w:rsid w:val="007C7886"/>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886"/>
    <w:rPr>
      <w:rFonts w:asciiTheme="majorHAnsi" w:eastAsiaTheme="majorEastAsia" w:hAnsiTheme="majorHAnsi" w:cstheme="majorBidi"/>
      <w:color w:val="2F5496" w:themeColor="accent1" w:themeShade="BF"/>
      <w:sz w:val="32"/>
      <w:szCs w:val="32"/>
      <w:lang w:val="en-GB"/>
    </w:rPr>
  </w:style>
  <w:style w:type="paragraph" w:styleId="Caption">
    <w:name w:val="caption"/>
    <w:basedOn w:val="Normal"/>
    <w:next w:val="Normal"/>
    <w:uiPriority w:val="35"/>
    <w:unhideWhenUsed/>
    <w:qFormat/>
    <w:rsid w:val="007C7886"/>
    <w:pPr>
      <w:spacing w:after="200"/>
    </w:pPr>
    <w:rPr>
      <w:rFonts w:asciiTheme="minorHAnsi" w:eastAsiaTheme="minorHAnsi" w:hAnsiTheme="minorHAnsi" w:cstheme="minorBidi"/>
      <w:i/>
      <w:iCs/>
      <w:color w:val="44546A" w:themeColor="text2"/>
      <w:sz w:val="18"/>
      <w:szCs w:val="18"/>
      <w:lang w:val="de-DE"/>
    </w:rPr>
  </w:style>
  <w:style w:type="table" w:styleId="TableGrid">
    <w:name w:val="Table Grid"/>
    <w:basedOn w:val="TableNormal"/>
    <w:uiPriority w:val="39"/>
    <w:rsid w:val="007C7886"/>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886"/>
    <w:pPr>
      <w:spacing w:after="160" w:line="259" w:lineRule="auto"/>
      <w:ind w:left="720"/>
      <w:contextualSpacing/>
    </w:pPr>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rsid w:val="007C7886"/>
    <w:pPr>
      <w:tabs>
        <w:tab w:val="center" w:pos="4680"/>
        <w:tab w:val="right" w:pos="9360"/>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7C7886"/>
    <w:rPr>
      <w:sz w:val="22"/>
      <w:szCs w:val="22"/>
      <w:lang w:val="en-GB"/>
    </w:rPr>
  </w:style>
  <w:style w:type="character" w:styleId="PageNumber">
    <w:name w:val="page number"/>
    <w:basedOn w:val="DefaultParagraphFont"/>
    <w:uiPriority w:val="99"/>
    <w:semiHidden/>
    <w:unhideWhenUsed/>
    <w:rsid w:val="007C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prasanth velvaluri</dc:creator>
  <cp:keywords/>
  <dc:description/>
  <cp:lastModifiedBy>prasanth velvaluri</cp:lastModifiedBy>
  <cp:revision>2</cp:revision>
  <dcterms:created xsi:type="dcterms:W3CDTF">2021-03-19T07:28:00Z</dcterms:created>
  <dcterms:modified xsi:type="dcterms:W3CDTF">2021-03-19T07:28:00Z</dcterms:modified>
</cp:coreProperties>
</file>