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497"/>
        <w:gridCol w:w="1829"/>
        <w:gridCol w:w="1352"/>
        <w:gridCol w:w="2070"/>
        <w:gridCol w:w="1899"/>
        <w:gridCol w:w="4155"/>
      </w:tblGrid>
      <w:tr w:rsidR="00BA017A" w:rsidRPr="008514C7" w:rsidTr="00872146">
        <w:trPr>
          <w:trHeight w:val="667"/>
        </w:trPr>
        <w:tc>
          <w:tcPr>
            <w:tcW w:w="2411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Study (Year)</w:t>
            </w:r>
          </w:p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829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Design</w:t>
            </w:r>
          </w:p>
        </w:tc>
        <w:tc>
          <w:tcPr>
            <w:tcW w:w="1352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Population</w:t>
            </w:r>
          </w:p>
        </w:tc>
        <w:tc>
          <w:tcPr>
            <w:tcW w:w="2070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Sample size</w:t>
            </w:r>
          </w:p>
        </w:tc>
        <w:tc>
          <w:tcPr>
            <w:tcW w:w="1899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 xml:space="preserve">Data Reporting Format </w:t>
            </w:r>
          </w:p>
        </w:tc>
        <w:tc>
          <w:tcPr>
            <w:tcW w:w="4155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 xml:space="preserve">Limitations </w:t>
            </w:r>
          </w:p>
        </w:tc>
      </w:tr>
      <w:tr w:rsidR="00BA017A" w:rsidRPr="008514C7" w:rsidTr="00872146">
        <w:trPr>
          <w:trHeight w:val="667"/>
        </w:trPr>
        <w:tc>
          <w:tcPr>
            <w:tcW w:w="2411" w:type="dxa"/>
          </w:tcPr>
          <w:p w:rsidR="00BA017A" w:rsidRPr="008514C7" w:rsidRDefault="00BA017A" w:rsidP="00082114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Titus S et al. (</w:t>
            </w:r>
            <w:r w:rsidRPr="008514C7">
              <w:rPr>
                <w:iCs/>
                <w:sz w:val="20"/>
                <w:szCs w:val="20"/>
                <w:lang w:val="en-US"/>
              </w:rPr>
              <w:t>2013)*</w:t>
            </w:r>
          </w:p>
          <w:p w:rsidR="00BA017A" w:rsidRPr="008514C7" w:rsidRDefault="00BA017A" w:rsidP="00CD2AC6">
            <w:pPr>
              <w:rPr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1497" w:type="dxa"/>
          </w:tcPr>
          <w:p w:rsidR="00BA017A" w:rsidRPr="008514C7" w:rsidRDefault="00BA017A" w:rsidP="00CD2AC6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United States</w:t>
            </w:r>
          </w:p>
        </w:tc>
        <w:tc>
          <w:tcPr>
            <w:tcW w:w="1829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Prospective</w:t>
            </w:r>
          </w:p>
        </w:tc>
        <w:tc>
          <w:tcPr>
            <w:tcW w:w="1352" w:type="dxa"/>
          </w:tcPr>
          <w:p w:rsidR="00BA017A" w:rsidRPr="008514C7" w:rsidRDefault="00BA017A" w:rsidP="00D06396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Affected with breast cancer</w:t>
            </w:r>
          </w:p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BA017A" w:rsidRPr="008514C7" w:rsidRDefault="00BA017A" w:rsidP="0059782A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i/>
                <w:sz w:val="20"/>
                <w:szCs w:val="20"/>
                <w:lang w:val="en-US"/>
              </w:rPr>
              <w:t xml:space="preserve">gBRCA1/2+ </w:t>
            </w:r>
            <w:r w:rsidRPr="008514C7">
              <w:rPr>
                <w:sz w:val="20"/>
                <w:szCs w:val="20"/>
                <w:lang w:val="en-US"/>
              </w:rPr>
              <w:t xml:space="preserve">(n=24) </w:t>
            </w:r>
          </w:p>
          <w:p w:rsidR="00BA017A" w:rsidRPr="008514C7" w:rsidRDefault="00BA017A" w:rsidP="0059782A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i/>
                <w:sz w:val="20"/>
                <w:szCs w:val="20"/>
                <w:lang w:val="en-US"/>
              </w:rPr>
              <w:t>gBRCA</w:t>
            </w:r>
            <w:r w:rsidRPr="008514C7">
              <w:rPr>
                <w:sz w:val="20"/>
                <w:szCs w:val="20"/>
                <w:lang w:val="en-US"/>
              </w:rPr>
              <w:t xml:space="preserve">- (n=60) </w:t>
            </w:r>
          </w:p>
        </w:tc>
        <w:tc>
          <w:tcPr>
            <w:tcW w:w="1899" w:type="dxa"/>
          </w:tcPr>
          <w:p w:rsidR="00BA017A" w:rsidRPr="008514C7" w:rsidRDefault="00BA017A" w:rsidP="0059782A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Mean/SD</w:t>
            </w:r>
          </w:p>
        </w:tc>
        <w:tc>
          <w:tcPr>
            <w:tcW w:w="4155" w:type="dxa"/>
          </w:tcPr>
          <w:p w:rsidR="00BA017A" w:rsidRPr="008514C7" w:rsidRDefault="00BA017A" w:rsidP="0059782A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Not adjusted for OCP and smoking.</w:t>
            </w:r>
          </w:p>
        </w:tc>
      </w:tr>
      <w:tr w:rsidR="00BA017A" w:rsidRPr="008514C7" w:rsidTr="00872146">
        <w:trPr>
          <w:trHeight w:val="667"/>
        </w:trPr>
        <w:tc>
          <w:tcPr>
            <w:tcW w:w="2411" w:type="dxa"/>
          </w:tcPr>
          <w:p w:rsidR="00BA017A" w:rsidRPr="008514C7" w:rsidRDefault="00BA017A" w:rsidP="00082114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Wang ET et al. (2014)*</w:t>
            </w:r>
          </w:p>
          <w:p w:rsidR="00BA017A" w:rsidRPr="008514C7" w:rsidRDefault="00BA017A" w:rsidP="00CD2AC6">
            <w:pPr>
              <w:rPr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1497" w:type="dxa"/>
          </w:tcPr>
          <w:p w:rsidR="00BA017A" w:rsidRPr="008514C7" w:rsidRDefault="00BA017A" w:rsidP="00CD2AC6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United States</w:t>
            </w:r>
          </w:p>
        </w:tc>
        <w:tc>
          <w:tcPr>
            <w:tcW w:w="1829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352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 xml:space="preserve">Unaffected </w:t>
            </w:r>
          </w:p>
        </w:tc>
        <w:tc>
          <w:tcPr>
            <w:tcW w:w="2070" w:type="dxa"/>
          </w:tcPr>
          <w:p w:rsidR="00BA017A" w:rsidRPr="008514C7" w:rsidRDefault="00BA017A" w:rsidP="0059782A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i/>
                <w:sz w:val="20"/>
                <w:szCs w:val="20"/>
                <w:lang w:val="en-US"/>
              </w:rPr>
              <w:t>gBRCA1/2</w:t>
            </w:r>
            <w:r w:rsidRPr="008514C7">
              <w:rPr>
                <w:sz w:val="20"/>
                <w:szCs w:val="20"/>
                <w:lang w:val="en-US"/>
              </w:rPr>
              <w:t>+ (n=99)</w:t>
            </w:r>
          </w:p>
          <w:p w:rsidR="00BA017A" w:rsidRPr="008514C7" w:rsidRDefault="00BA017A" w:rsidP="0059782A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i/>
                <w:sz w:val="20"/>
                <w:szCs w:val="20"/>
                <w:lang w:val="en-US"/>
              </w:rPr>
              <w:t>gBRCA</w:t>
            </w:r>
            <w:r w:rsidRPr="008514C7">
              <w:rPr>
                <w:sz w:val="20"/>
                <w:szCs w:val="20"/>
                <w:lang w:val="en-US"/>
              </w:rPr>
              <w:t xml:space="preserve">- (n=54) </w:t>
            </w:r>
          </w:p>
        </w:tc>
        <w:tc>
          <w:tcPr>
            <w:tcW w:w="1899" w:type="dxa"/>
          </w:tcPr>
          <w:p w:rsidR="00BA017A" w:rsidRPr="008514C7" w:rsidRDefault="00BA017A" w:rsidP="0059782A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Mean/SD</w:t>
            </w:r>
          </w:p>
        </w:tc>
        <w:tc>
          <w:tcPr>
            <w:tcW w:w="4155" w:type="dxa"/>
          </w:tcPr>
          <w:p w:rsidR="00BA017A" w:rsidRPr="008514C7" w:rsidRDefault="00BA017A" w:rsidP="0059782A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No adjustment for OCP and smoking.</w:t>
            </w:r>
          </w:p>
        </w:tc>
      </w:tr>
      <w:tr w:rsidR="00BA017A" w:rsidRPr="008514C7" w:rsidTr="00872146">
        <w:trPr>
          <w:trHeight w:val="667"/>
        </w:trPr>
        <w:tc>
          <w:tcPr>
            <w:tcW w:w="2411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Phillips KA et al. (2016)</w:t>
            </w:r>
          </w:p>
        </w:tc>
        <w:tc>
          <w:tcPr>
            <w:tcW w:w="1497" w:type="dxa"/>
          </w:tcPr>
          <w:p w:rsidR="00BA017A" w:rsidRPr="008514C7" w:rsidRDefault="00BA017A" w:rsidP="00CD2AC6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Australia</w:t>
            </w:r>
          </w:p>
        </w:tc>
        <w:tc>
          <w:tcPr>
            <w:tcW w:w="1829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Cross-sectional</w:t>
            </w:r>
          </w:p>
        </w:tc>
        <w:tc>
          <w:tcPr>
            <w:tcW w:w="1352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 xml:space="preserve">Unaffected </w:t>
            </w:r>
          </w:p>
        </w:tc>
        <w:tc>
          <w:tcPr>
            <w:tcW w:w="2070" w:type="dxa"/>
          </w:tcPr>
          <w:p w:rsidR="00BA017A" w:rsidRPr="008514C7" w:rsidRDefault="00BA017A" w:rsidP="0059782A">
            <w:pPr>
              <w:rPr>
                <w:sz w:val="20"/>
                <w:szCs w:val="20"/>
                <w:lang w:val="pt-BR"/>
              </w:rPr>
            </w:pPr>
            <w:r w:rsidRPr="008514C7">
              <w:rPr>
                <w:i/>
                <w:sz w:val="20"/>
                <w:szCs w:val="20"/>
                <w:lang w:val="pt-BR"/>
              </w:rPr>
              <w:t>gBRCA1</w:t>
            </w:r>
            <w:r w:rsidRPr="008514C7">
              <w:rPr>
                <w:sz w:val="20"/>
                <w:szCs w:val="20"/>
                <w:lang w:val="pt-BR"/>
              </w:rPr>
              <w:t xml:space="preserve">+ (n=172) </w:t>
            </w:r>
          </w:p>
          <w:p w:rsidR="00BA017A" w:rsidRPr="008514C7" w:rsidRDefault="00BA017A" w:rsidP="0059782A">
            <w:pPr>
              <w:rPr>
                <w:sz w:val="20"/>
                <w:szCs w:val="20"/>
                <w:lang w:val="pt-BR"/>
              </w:rPr>
            </w:pPr>
            <w:r w:rsidRPr="008514C7">
              <w:rPr>
                <w:i/>
                <w:sz w:val="20"/>
                <w:szCs w:val="20"/>
                <w:lang w:val="pt-BR"/>
              </w:rPr>
              <w:t>gBRCA1</w:t>
            </w:r>
            <w:r w:rsidRPr="008514C7">
              <w:rPr>
                <w:sz w:val="20"/>
                <w:szCs w:val="20"/>
                <w:lang w:val="pt-BR"/>
              </w:rPr>
              <w:t xml:space="preserve">- (n=216) </w:t>
            </w:r>
          </w:p>
          <w:p w:rsidR="00BA017A" w:rsidRPr="008514C7" w:rsidRDefault="00BA017A" w:rsidP="0059782A">
            <w:pPr>
              <w:rPr>
                <w:sz w:val="20"/>
                <w:szCs w:val="20"/>
                <w:lang w:val="pt-BR"/>
              </w:rPr>
            </w:pPr>
            <w:r w:rsidRPr="008514C7">
              <w:rPr>
                <w:i/>
                <w:sz w:val="20"/>
                <w:szCs w:val="20"/>
                <w:lang w:val="pt-BR"/>
              </w:rPr>
              <w:t>gBRCA2</w:t>
            </w:r>
            <w:r w:rsidRPr="008514C7">
              <w:rPr>
                <w:sz w:val="20"/>
                <w:szCs w:val="20"/>
                <w:lang w:val="pt-BR"/>
              </w:rPr>
              <w:t xml:space="preserve">+ (n=147) </w:t>
            </w:r>
          </w:p>
          <w:p w:rsidR="00BA017A" w:rsidRPr="008514C7" w:rsidRDefault="00BA017A" w:rsidP="0059782A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i/>
                <w:sz w:val="20"/>
                <w:szCs w:val="20"/>
                <w:lang w:val="en-US"/>
              </w:rPr>
              <w:t>gBRCA2</w:t>
            </w:r>
            <w:r w:rsidRPr="008514C7">
              <w:rPr>
                <w:sz w:val="20"/>
                <w:szCs w:val="20"/>
                <w:lang w:val="en-US"/>
              </w:rPr>
              <w:t>- (n=158)</w:t>
            </w:r>
          </w:p>
        </w:tc>
        <w:tc>
          <w:tcPr>
            <w:tcW w:w="1899" w:type="dxa"/>
          </w:tcPr>
          <w:p w:rsidR="00BA017A" w:rsidRPr="008514C7" w:rsidRDefault="00BA017A" w:rsidP="0059782A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Adjusted % decrease (CI) available in natural log in linear regression in terms of beta coefficient</w:t>
            </w:r>
          </w:p>
        </w:tc>
        <w:tc>
          <w:tcPr>
            <w:tcW w:w="4155" w:type="dxa"/>
          </w:tcPr>
          <w:p w:rsidR="00BA017A" w:rsidRPr="008514C7" w:rsidRDefault="00BA017A" w:rsidP="0059782A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-</w:t>
            </w:r>
          </w:p>
        </w:tc>
      </w:tr>
      <w:tr w:rsidR="00BA017A" w:rsidRPr="008514C7" w:rsidTr="00872146">
        <w:trPr>
          <w:trHeight w:val="712"/>
        </w:trPr>
        <w:tc>
          <w:tcPr>
            <w:tcW w:w="2411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 xml:space="preserve">Johnson L et al. (2017) </w:t>
            </w:r>
          </w:p>
        </w:tc>
        <w:tc>
          <w:tcPr>
            <w:tcW w:w="1497" w:type="dxa"/>
          </w:tcPr>
          <w:p w:rsidR="00BA017A" w:rsidRPr="008514C7" w:rsidRDefault="00BA017A" w:rsidP="00CD2AC6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United States</w:t>
            </w:r>
          </w:p>
        </w:tc>
        <w:tc>
          <w:tcPr>
            <w:tcW w:w="1829" w:type="dxa"/>
          </w:tcPr>
          <w:p w:rsidR="00BA017A" w:rsidRPr="008514C7" w:rsidRDefault="00BA017A" w:rsidP="00CD2AC6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Prospective</w:t>
            </w:r>
          </w:p>
        </w:tc>
        <w:tc>
          <w:tcPr>
            <w:tcW w:w="1352" w:type="dxa"/>
          </w:tcPr>
          <w:p w:rsidR="00BA017A" w:rsidRPr="008514C7" w:rsidRDefault="00BA017A" w:rsidP="00D0639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 xml:space="preserve">Unaffected </w:t>
            </w:r>
          </w:p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BA017A" w:rsidRPr="008514C7" w:rsidRDefault="00BA017A" w:rsidP="0059782A">
            <w:pPr>
              <w:rPr>
                <w:sz w:val="20"/>
                <w:szCs w:val="20"/>
                <w:lang w:val="pt-BR"/>
              </w:rPr>
            </w:pPr>
            <w:r w:rsidRPr="008514C7">
              <w:rPr>
                <w:i/>
                <w:sz w:val="20"/>
                <w:szCs w:val="20"/>
                <w:lang w:val="pt-BR"/>
              </w:rPr>
              <w:t>gBRCA1</w:t>
            </w:r>
            <w:r w:rsidRPr="008514C7">
              <w:rPr>
                <w:sz w:val="20"/>
                <w:szCs w:val="20"/>
                <w:lang w:val="pt-BR"/>
              </w:rPr>
              <w:t>+ (n=55)</w:t>
            </w:r>
          </w:p>
          <w:p w:rsidR="00BA017A" w:rsidRPr="008514C7" w:rsidRDefault="00BA017A" w:rsidP="0059782A">
            <w:pPr>
              <w:rPr>
                <w:sz w:val="20"/>
                <w:szCs w:val="20"/>
                <w:lang w:val="pt-BR"/>
              </w:rPr>
            </w:pPr>
            <w:r w:rsidRPr="008514C7">
              <w:rPr>
                <w:i/>
                <w:sz w:val="20"/>
                <w:szCs w:val="20"/>
                <w:lang w:val="pt-BR"/>
              </w:rPr>
              <w:t>gBRCA2</w:t>
            </w:r>
            <w:r w:rsidRPr="008514C7">
              <w:rPr>
                <w:sz w:val="20"/>
                <w:szCs w:val="20"/>
                <w:lang w:val="pt-BR"/>
              </w:rPr>
              <w:t xml:space="preserve">+ (n=50) </w:t>
            </w:r>
          </w:p>
          <w:p w:rsidR="00BA017A" w:rsidRPr="008514C7" w:rsidRDefault="00BA017A" w:rsidP="0059782A">
            <w:pPr>
              <w:rPr>
                <w:sz w:val="20"/>
                <w:szCs w:val="20"/>
                <w:lang w:val="pt-BR"/>
              </w:rPr>
            </w:pPr>
            <w:r w:rsidRPr="008514C7">
              <w:rPr>
                <w:i/>
                <w:sz w:val="20"/>
                <w:szCs w:val="20"/>
                <w:lang w:val="pt-BR"/>
              </w:rPr>
              <w:t>gBRCA</w:t>
            </w:r>
            <w:r w:rsidRPr="008514C7">
              <w:rPr>
                <w:sz w:val="20"/>
                <w:szCs w:val="20"/>
                <w:lang w:val="pt-BR"/>
              </w:rPr>
              <w:t xml:space="preserve">- (n=26) </w:t>
            </w:r>
          </w:p>
          <w:p w:rsidR="00BA017A" w:rsidRPr="008514C7" w:rsidRDefault="00BA017A" w:rsidP="0059782A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Low risk controls (n=64)</w:t>
            </w:r>
          </w:p>
        </w:tc>
        <w:tc>
          <w:tcPr>
            <w:tcW w:w="1899" w:type="dxa"/>
          </w:tcPr>
          <w:p w:rsidR="00BA017A" w:rsidRPr="008514C7" w:rsidRDefault="00BA017A" w:rsidP="0059782A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Mean (CI) available for geometric mean, and odds ratio for binary outcome (AMH&lt;1)</w:t>
            </w:r>
          </w:p>
        </w:tc>
        <w:tc>
          <w:tcPr>
            <w:tcW w:w="4155" w:type="dxa"/>
          </w:tcPr>
          <w:p w:rsidR="00BA017A" w:rsidRPr="008514C7" w:rsidRDefault="00BA017A" w:rsidP="0059782A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Relatively younger study groups. BMI was available for only 41% of the subjects. Affected women and women with RRSO were excluded.</w:t>
            </w:r>
          </w:p>
        </w:tc>
      </w:tr>
      <w:tr w:rsidR="00BA017A" w:rsidRPr="008514C7" w:rsidTr="00872146">
        <w:trPr>
          <w:trHeight w:val="712"/>
        </w:trPr>
        <w:tc>
          <w:tcPr>
            <w:tcW w:w="2411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Lambertini M et al. (2018)*</w:t>
            </w:r>
          </w:p>
        </w:tc>
        <w:tc>
          <w:tcPr>
            <w:tcW w:w="1497" w:type="dxa"/>
          </w:tcPr>
          <w:p w:rsidR="00BA017A" w:rsidRPr="008514C7" w:rsidRDefault="00BA017A" w:rsidP="00CD2AC6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Belgium</w:t>
            </w:r>
          </w:p>
        </w:tc>
        <w:tc>
          <w:tcPr>
            <w:tcW w:w="1829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Retrospective analysis of database from two previous studies</w:t>
            </w:r>
          </w:p>
        </w:tc>
        <w:tc>
          <w:tcPr>
            <w:tcW w:w="1352" w:type="dxa"/>
          </w:tcPr>
          <w:p w:rsidR="00BA017A" w:rsidRPr="008514C7" w:rsidRDefault="00BA017A" w:rsidP="00D54A35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Affected with breast cancer</w:t>
            </w:r>
          </w:p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 xml:space="preserve"> </w:t>
            </w:r>
          </w:p>
          <w:p w:rsidR="00BA017A" w:rsidRPr="008514C7" w:rsidRDefault="00BA017A" w:rsidP="001A790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70" w:type="dxa"/>
          </w:tcPr>
          <w:p w:rsidR="00BA017A" w:rsidRPr="008514C7" w:rsidRDefault="00BA017A" w:rsidP="00D54A35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i/>
                <w:sz w:val="20"/>
                <w:szCs w:val="20"/>
                <w:lang w:val="en-US"/>
              </w:rPr>
              <w:t>gBRCA</w:t>
            </w:r>
            <w:r w:rsidRPr="008514C7">
              <w:rPr>
                <w:sz w:val="20"/>
                <w:szCs w:val="20"/>
                <w:lang w:val="en-US"/>
              </w:rPr>
              <w:t>+ (n=29)</w:t>
            </w:r>
          </w:p>
          <w:p w:rsidR="00BA017A" w:rsidRPr="008514C7" w:rsidRDefault="00BA017A" w:rsidP="00D54A35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i/>
                <w:sz w:val="20"/>
                <w:szCs w:val="20"/>
                <w:lang w:val="en-US"/>
              </w:rPr>
              <w:t>gBRCA</w:t>
            </w:r>
            <w:r w:rsidRPr="008514C7">
              <w:rPr>
                <w:sz w:val="20"/>
                <w:szCs w:val="20"/>
                <w:lang w:val="en-US"/>
              </w:rPr>
              <w:t>- (n=72)</w:t>
            </w:r>
          </w:p>
        </w:tc>
        <w:tc>
          <w:tcPr>
            <w:tcW w:w="1899" w:type="dxa"/>
          </w:tcPr>
          <w:p w:rsidR="00BA017A" w:rsidRPr="008514C7" w:rsidRDefault="00BA017A" w:rsidP="00D54A35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Median and interquartile range</w:t>
            </w:r>
          </w:p>
        </w:tc>
        <w:tc>
          <w:tcPr>
            <w:tcW w:w="4155" w:type="dxa"/>
          </w:tcPr>
          <w:p w:rsidR="00BA017A" w:rsidRPr="008514C7" w:rsidRDefault="00BA017A" w:rsidP="00D54A35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 xml:space="preserve">No adjustment for potential confounders+. </w:t>
            </w:r>
          </w:p>
        </w:tc>
      </w:tr>
      <w:tr w:rsidR="00BA017A" w:rsidRPr="008514C7" w:rsidTr="00872146">
        <w:trPr>
          <w:trHeight w:val="712"/>
        </w:trPr>
        <w:tc>
          <w:tcPr>
            <w:tcW w:w="2411" w:type="dxa"/>
          </w:tcPr>
          <w:p w:rsidR="00BA017A" w:rsidRPr="008514C7" w:rsidRDefault="00BA017A" w:rsidP="00082114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fr-FR"/>
              </w:rPr>
              <w:t xml:space="preserve">Michaelson-Cohen R et al. </w:t>
            </w:r>
            <w:r w:rsidRPr="008514C7">
              <w:rPr>
                <w:iCs/>
                <w:sz w:val="20"/>
                <w:szCs w:val="20"/>
                <w:lang w:val="en-US"/>
              </w:rPr>
              <w:t>(2014)</w:t>
            </w:r>
          </w:p>
        </w:tc>
        <w:tc>
          <w:tcPr>
            <w:tcW w:w="1497" w:type="dxa"/>
          </w:tcPr>
          <w:p w:rsidR="00BA017A" w:rsidRPr="008514C7" w:rsidRDefault="00BA017A" w:rsidP="00EB60C4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Israel</w:t>
            </w:r>
          </w:p>
        </w:tc>
        <w:tc>
          <w:tcPr>
            <w:tcW w:w="1829" w:type="dxa"/>
          </w:tcPr>
          <w:p w:rsidR="00BA017A" w:rsidRPr="008514C7" w:rsidRDefault="00BA017A" w:rsidP="00EB60C4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Retrospective</w:t>
            </w:r>
          </w:p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:rsidR="00BA017A" w:rsidRPr="008514C7" w:rsidRDefault="00BA017A" w:rsidP="000F34BC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 xml:space="preserve">Unaffected </w:t>
            </w:r>
          </w:p>
        </w:tc>
        <w:tc>
          <w:tcPr>
            <w:tcW w:w="2070" w:type="dxa"/>
          </w:tcPr>
          <w:p w:rsidR="00BA017A" w:rsidRPr="008514C7" w:rsidRDefault="00BA017A" w:rsidP="00D54A35">
            <w:pPr>
              <w:rPr>
                <w:sz w:val="20"/>
                <w:szCs w:val="20"/>
                <w:lang w:val="pt-BR"/>
              </w:rPr>
            </w:pPr>
            <w:r w:rsidRPr="008514C7">
              <w:rPr>
                <w:i/>
                <w:sz w:val="20"/>
                <w:szCs w:val="20"/>
                <w:lang w:val="pt-BR"/>
              </w:rPr>
              <w:t>gBRCA</w:t>
            </w:r>
            <w:r w:rsidRPr="008514C7">
              <w:rPr>
                <w:sz w:val="20"/>
                <w:szCs w:val="20"/>
                <w:lang w:val="pt-BR"/>
              </w:rPr>
              <w:t>1/2+ (n=41)</w:t>
            </w:r>
          </w:p>
          <w:p w:rsidR="00BA017A" w:rsidRPr="008514C7" w:rsidRDefault="00BA017A" w:rsidP="00CD2AC6">
            <w:pPr>
              <w:rPr>
                <w:sz w:val="20"/>
                <w:szCs w:val="20"/>
                <w:lang w:val="pt-BR"/>
              </w:rPr>
            </w:pPr>
            <w:r w:rsidRPr="008514C7">
              <w:rPr>
                <w:sz w:val="20"/>
                <w:szCs w:val="20"/>
                <w:lang w:val="pt-BR"/>
              </w:rPr>
              <w:t>Healthy controls (n=324)</w:t>
            </w:r>
          </w:p>
        </w:tc>
        <w:tc>
          <w:tcPr>
            <w:tcW w:w="1899" w:type="dxa"/>
          </w:tcPr>
          <w:p w:rsidR="00BA017A" w:rsidRPr="008514C7" w:rsidRDefault="00BA017A" w:rsidP="00D54A35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Mean/SD available, along with age-matched mean/SE</w:t>
            </w:r>
          </w:p>
        </w:tc>
        <w:tc>
          <w:tcPr>
            <w:tcW w:w="4155" w:type="dxa"/>
          </w:tcPr>
          <w:p w:rsidR="00BA017A" w:rsidRPr="008514C7" w:rsidRDefault="00BA017A" w:rsidP="00D54A35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 xml:space="preserve">No adjustment for potential confounders+. Women with polycystic ovary syndrome were not excluded*, BRCA1 and 2 mutation carriers were analysed collectively. </w:t>
            </w:r>
          </w:p>
        </w:tc>
      </w:tr>
      <w:tr w:rsidR="00BA017A" w:rsidRPr="008514C7" w:rsidTr="00872146">
        <w:trPr>
          <w:trHeight w:val="712"/>
        </w:trPr>
        <w:tc>
          <w:tcPr>
            <w:tcW w:w="2411" w:type="dxa"/>
          </w:tcPr>
          <w:p w:rsidR="00BA017A" w:rsidRPr="008514C7" w:rsidRDefault="00BA017A" w:rsidP="00082114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 xml:space="preserve">Giordano S et al. (2016) </w:t>
            </w:r>
          </w:p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</w:tcPr>
          <w:p w:rsidR="00BA017A" w:rsidRPr="008514C7" w:rsidRDefault="00BA017A" w:rsidP="00EB60C4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United States</w:t>
            </w:r>
          </w:p>
        </w:tc>
        <w:tc>
          <w:tcPr>
            <w:tcW w:w="1829" w:type="dxa"/>
          </w:tcPr>
          <w:p w:rsidR="00BA017A" w:rsidRPr="008514C7" w:rsidRDefault="00BA017A" w:rsidP="00EB60C4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Prospective</w:t>
            </w:r>
          </w:p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:rsidR="00BA017A" w:rsidRPr="008514C7" w:rsidRDefault="00BA017A" w:rsidP="000F34BC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 xml:space="preserve">Unaffected </w:t>
            </w:r>
          </w:p>
        </w:tc>
        <w:tc>
          <w:tcPr>
            <w:tcW w:w="2070" w:type="dxa"/>
          </w:tcPr>
          <w:p w:rsidR="00BA017A" w:rsidRPr="008514C7" w:rsidRDefault="00BA017A" w:rsidP="00D54A35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i/>
                <w:sz w:val="20"/>
                <w:szCs w:val="20"/>
                <w:lang w:val="en-US"/>
              </w:rPr>
              <w:t>gBRCA1</w:t>
            </w:r>
            <w:r w:rsidRPr="008514C7">
              <w:rPr>
                <w:sz w:val="20"/>
                <w:szCs w:val="20"/>
                <w:lang w:val="en-US"/>
              </w:rPr>
              <w:t>+ (n=68)</w:t>
            </w:r>
          </w:p>
          <w:p w:rsidR="00BA017A" w:rsidRPr="008514C7" w:rsidRDefault="00BA017A" w:rsidP="00D54A35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i/>
                <w:sz w:val="20"/>
                <w:szCs w:val="20"/>
                <w:lang w:val="en-US"/>
              </w:rPr>
              <w:t>gBRCA</w:t>
            </w:r>
            <w:r w:rsidRPr="008514C7">
              <w:rPr>
                <w:sz w:val="20"/>
                <w:szCs w:val="20"/>
                <w:lang w:val="en-US"/>
              </w:rPr>
              <w:t>- (n=56)</w:t>
            </w:r>
          </w:p>
        </w:tc>
        <w:tc>
          <w:tcPr>
            <w:tcW w:w="1899" w:type="dxa"/>
          </w:tcPr>
          <w:p w:rsidR="00BA017A" w:rsidRPr="008514C7" w:rsidRDefault="00BA017A" w:rsidP="00D54A35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Mean only, no SD</w:t>
            </w:r>
          </w:p>
        </w:tc>
        <w:tc>
          <w:tcPr>
            <w:tcW w:w="4155" w:type="dxa"/>
          </w:tcPr>
          <w:p w:rsidR="00BA017A" w:rsidRPr="008514C7" w:rsidRDefault="00BA017A" w:rsidP="00D54A35">
            <w:pPr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No adjustment for potential confounders+.</w:t>
            </w:r>
            <w:r w:rsidRPr="008514C7">
              <w:t xml:space="preserve"> </w:t>
            </w:r>
          </w:p>
        </w:tc>
      </w:tr>
      <w:tr w:rsidR="00BA017A" w:rsidRPr="008514C7" w:rsidTr="00872146">
        <w:trPr>
          <w:trHeight w:val="712"/>
        </w:trPr>
        <w:tc>
          <w:tcPr>
            <w:tcW w:w="2411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da-DK"/>
              </w:rPr>
              <w:t xml:space="preserve">Van Tilborg TC et al. </w:t>
            </w:r>
            <w:r w:rsidRPr="008514C7">
              <w:rPr>
                <w:sz w:val="20"/>
                <w:szCs w:val="20"/>
                <w:lang w:val="en-US"/>
              </w:rPr>
              <w:t>(2016)</w:t>
            </w:r>
          </w:p>
        </w:tc>
        <w:tc>
          <w:tcPr>
            <w:tcW w:w="1497" w:type="dxa"/>
          </w:tcPr>
          <w:p w:rsidR="00BA017A" w:rsidRPr="008514C7" w:rsidRDefault="00BA017A" w:rsidP="00EB60C4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Netherlands</w:t>
            </w:r>
          </w:p>
        </w:tc>
        <w:tc>
          <w:tcPr>
            <w:tcW w:w="1829" w:type="dxa"/>
          </w:tcPr>
          <w:p w:rsidR="00BA017A" w:rsidRPr="008514C7" w:rsidRDefault="00BA017A" w:rsidP="00EB60C4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 xml:space="preserve">Cross-sectional </w:t>
            </w:r>
          </w:p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</w:tcPr>
          <w:p w:rsidR="00BA017A" w:rsidRPr="008514C7" w:rsidRDefault="00BA017A" w:rsidP="00F55DF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 xml:space="preserve">Unaffected </w:t>
            </w:r>
          </w:p>
        </w:tc>
        <w:tc>
          <w:tcPr>
            <w:tcW w:w="2070" w:type="dxa"/>
          </w:tcPr>
          <w:p w:rsidR="00BA017A" w:rsidRPr="008514C7" w:rsidRDefault="00BA017A" w:rsidP="00D54A3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514C7">
              <w:rPr>
                <w:i/>
                <w:sz w:val="20"/>
                <w:szCs w:val="20"/>
                <w:lang w:val="en-US"/>
              </w:rPr>
              <w:t>gBRCA1/2</w:t>
            </w:r>
            <w:r w:rsidRPr="008514C7">
              <w:rPr>
                <w:sz w:val="20"/>
                <w:szCs w:val="20"/>
                <w:lang w:val="en-US"/>
              </w:rPr>
              <w:t xml:space="preserve"> + (n=124)</w:t>
            </w:r>
          </w:p>
          <w:p w:rsidR="00BA017A" w:rsidRPr="008514C7" w:rsidRDefault="00BA017A" w:rsidP="00B318B1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 xml:space="preserve">Non carriers (n=131) </w:t>
            </w:r>
          </w:p>
        </w:tc>
        <w:tc>
          <w:tcPr>
            <w:tcW w:w="1899" w:type="dxa"/>
          </w:tcPr>
          <w:p w:rsidR="00BA017A" w:rsidRPr="008514C7" w:rsidRDefault="00BA017A" w:rsidP="00D54A3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Median/range, relative change (CI)</w:t>
            </w:r>
          </w:p>
        </w:tc>
        <w:tc>
          <w:tcPr>
            <w:tcW w:w="4155" w:type="dxa"/>
          </w:tcPr>
          <w:p w:rsidR="00BA017A" w:rsidRPr="008514C7" w:rsidRDefault="00BA017A" w:rsidP="00D54A3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8514C7">
              <w:rPr>
                <w:iCs/>
                <w:sz w:val="20"/>
                <w:szCs w:val="20"/>
                <w:lang w:val="en-US"/>
              </w:rPr>
              <w:t>Relatively young mean age. BRCA1 and 2 mutation carriers were analysed collectively.</w:t>
            </w:r>
          </w:p>
        </w:tc>
      </w:tr>
      <w:tr w:rsidR="00BA017A" w:rsidRPr="008514C7" w:rsidTr="00872146">
        <w:trPr>
          <w:trHeight w:val="712"/>
        </w:trPr>
        <w:tc>
          <w:tcPr>
            <w:tcW w:w="2411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da-DK"/>
              </w:rPr>
              <w:t xml:space="preserve">Ben-Aharon I et al. </w:t>
            </w:r>
            <w:r w:rsidRPr="008514C7">
              <w:rPr>
                <w:sz w:val="20"/>
                <w:szCs w:val="20"/>
                <w:lang w:val="en-US"/>
              </w:rPr>
              <w:t>(2018)</w:t>
            </w:r>
          </w:p>
        </w:tc>
        <w:tc>
          <w:tcPr>
            <w:tcW w:w="1497" w:type="dxa"/>
          </w:tcPr>
          <w:p w:rsidR="00BA017A" w:rsidRPr="008514C7" w:rsidRDefault="00BA017A" w:rsidP="00EB60C4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Israel</w:t>
            </w:r>
          </w:p>
        </w:tc>
        <w:tc>
          <w:tcPr>
            <w:tcW w:w="1829" w:type="dxa"/>
          </w:tcPr>
          <w:p w:rsidR="00BA017A" w:rsidRPr="008514C7" w:rsidRDefault="00BA017A" w:rsidP="00EB60C4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Prospective</w:t>
            </w:r>
          </w:p>
        </w:tc>
        <w:tc>
          <w:tcPr>
            <w:tcW w:w="1352" w:type="dxa"/>
          </w:tcPr>
          <w:p w:rsidR="00BA017A" w:rsidRPr="008514C7" w:rsidRDefault="00BA017A" w:rsidP="009B0E9D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 xml:space="preserve">Unaffected </w:t>
            </w:r>
          </w:p>
          <w:p w:rsidR="00BA017A" w:rsidRPr="008514C7" w:rsidRDefault="00BA017A" w:rsidP="009B0E9D">
            <w:pPr>
              <w:rPr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BA017A" w:rsidRPr="008514C7" w:rsidRDefault="00BA017A" w:rsidP="00D54A35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i/>
                <w:sz w:val="20"/>
                <w:szCs w:val="20"/>
                <w:lang w:val="en-US"/>
              </w:rPr>
              <w:t>gBRCA</w:t>
            </w:r>
            <w:r w:rsidRPr="008514C7">
              <w:rPr>
                <w:bCs/>
                <w:sz w:val="20"/>
                <w:szCs w:val="20"/>
                <w:lang w:val="en-US"/>
              </w:rPr>
              <w:t>+ (n=33)</w:t>
            </w:r>
          </w:p>
          <w:p w:rsidR="00BA017A" w:rsidRPr="008514C7" w:rsidRDefault="00BA017A" w:rsidP="00D54A35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i/>
                <w:sz w:val="20"/>
                <w:szCs w:val="20"/>
                <w:lang w:val="en-US"/>
              </w:rPr>
              <w:t>gBRCA</w:t>
            </w:r>
            <w:r w:rsidRPr="008514C7">
              <w:rPr>
                <w:bCs/>
                <w:sz w:val="20"/>
                <w:szCs w:val="20"/>
                <w:lang w:val="en-US"/>
              </w:rPr>
              <w:t>- (n=15)</w:t>
            </w:r>
          </w:p>
        </w:tc>
        <w:tc>
          <w:tcPr>
            <w:tcW w:w="1899" w:type="dxa"/>
          </w:tcPr>
          <w:p w:rsidR="00BA017A" w:rsidRPr="008514C7" w:rsidRDefault="00BA017A" w:rsidP="00D54A35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shd w:val="clear" w:color="auto" w:fill="FFFFFF"/>
              </w:rPr>
              <w:t>% of control, with associated SE. Raw age available (but unpaired with AMH)</w:t>
            </w:r>
          </w:p>
        </w:tc>
        <w:tc>
          <w:tcPr>
            <w:tcW w:w="4155" w:type="dxa"/>
          </w:tcPr>
          <w:p w:rsidR="00BA017A" w:rsidRPr="008514C7" w:rsidRDefault="00BA017A" w:rsidP="00D54A35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8514C7">
              <w:rPr>
                <w:bCs/>
                <w:iCs/>
                <w:sz w:val="20"/>
                <w:szCs w:val="20"/>
                <w:lang w:val="en-US"/>
              </w:rPr>
              <w:t>No adjustment for potential confounders+.</w:t>
            </w:r>
          </w:p>
        </w:tc>
      </w:tr>
      <w:tr w:rsidR="00BA017A" w:rsidRPr="008514C7" w:rsidTr="00872146">
        <w:trPr>
          <w:trHeight w:val="712"/>
        </w:trPr>
        <w:tc>
          <w:tcPr>
            <w:tcW w:w="2411" w:type="dxa"/>
          </w:tcPr>
          <w:p w:rsidR="00BA017A" w:rsidRPr="008514C7" w:rsidRDefault="00BA017A" w:rsidP="00CD2AC6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Gunnala V et al. (2019)</w:t>
            </w:r>
          </w:p>
        </w:tc>
        <w:tc>
          <w:tcPr>
            <w:tcW w:w="1497" w:type="dxa"/>
          </w:tcPr>
          <w:p w:rsidR="00BA017A" w:rsidRPr="008514C7" w:rsidRDefault="00BA017A" w:rsidP="00EB60C4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United States</w:t>
            </w:r>
          </w:p>
        </w:tc>
        <w:tc>
          <w:tcPr>
            <w:tcW w:w="1829" w:type="dxa"/>
          </w:tcPr>
          <w:p w:rsidR="00BA017A" w:rsidRPr="008514C7" w:rsidRDefault="00BA017A" w:rsidP="00EB60C4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 xml:space="preserve">Retrospective </w:t>
            </w:r>
          </w:p>
        </w:tc>
        <w:tc>
          <w:tcPr>
            <w:tcW w:w="1352" w:type="dxa"/>
          </w:tcPr>
          <w:p w:rsidR="00BA017A" w:rsidRPr="008514C7" w:rsidRDefault="00BA017A" w:rsidP="000F34BC">
            <w:pPr>
              <w:rPr>
                <w:bCs/>
                <w:sz w:val="20"/>
                <w:szCs w:val="20"/>
                <w:u w:val="single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 xml:space="preserve">Women affected and unaffected with breast cancer </w:t>
            </w:r>
          </w:p>
        </w:tc>
        <w:tc>
          <w:tcPr>
            <w:tcW w:w="2070" w:type="dxa"/>
          </w:tcPr>
          <w:p w:rsidR="00BA017A" w:rsidRPr="008514C7" w:rsidRDefault="00BA017A" w:rsidP="00D54A35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i/>
                <w:sz w:val="20"/>
                <w:szCs w:val="20"/>
                <w:lang w:val="en-US"/>
              </w:rPr>
              <w:t>gBRCA</w:t>
            </w:r>
            <w:r w:rsidRPr="008514C7">
              <w:rPr>
                <w:bCs/>
                <w:sz w:val="20"/>
                <w:szCs w:val="20"/>
                <w:lang w:val="en-US"/>
              </w:rPr>
              <w:t>+ (n=57)</w:t>
            </w:r>
          </w:p>
          <w:p w:rsidR="00BA017A" w:rsidRPr="008514C7" w:rsidRDefault="00BA017A" w:rsidP="00D54A35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i/>
                <w:sz w:val="20"/>
                <w:szCs w:val="20"/>
                <w:lang w:val="en-US"/>
              </w:rPr>
              <w:t>gBRCA</w:t>
            </w:r>
            <w:r w:rsidRPr="008514C7">
              <w:rPr>
                <w:bCs/>
                <w:sz w:val="20"/>
                <w:szCs w:val="20"/>
                <w:lang w:val="en-US"/>
              </w:rPr>
              <w:t>- (n=738)</w:t>
            </w:r>
          </w:p>
        </w:tc>
        <w:tc>
          <w:tcPr>
            <w:tcW w:w="1899" w:type="dxa"/>
          </w:tcPr>
          <w:p w:rsidR="00BA017A" w:rsidRPr="008514C7" w:rsidRDefault="00BA017A" w:rsidP="00D54A35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8514C7">
              <w:rPr>
                <w:sz w:val="20"/>
                <w:szCs w:val="20"/>
                <w:shd w:val="clear" w:color="auto" w:fill="FFFFFF"/>
              </w:rPr>
              <w:t>Unadjusted mean/SD, and adjusted mean difference (CI) available.</w:t>
            </w:r>
          </w:p>
        </w:tc>
        <w:tc>
          <w:tcPr>
            <w:tcW w:w="4155" w:type="dxa"/>
          </w:tcPr>
          <w:p w:rsidR="00BA017A" w:rsidRPr="008514C7" w:rsidRDefault="00BA017A" w:rsidP="00D54A35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8514C7">
              <w:rPr>
                <w:bCs/>
                <w:iCs/>
                <w:sz w:val="20"/>
                <w:szCs w:val="20"/>
                <w:lang w:val="en-US"/>
              </w:rPr>
              <w:t>No adjustment for potential confounders+. Assume the controls are in fact BRCA-negative even though they were not tested. Potential selection bias (including patients that underwent fertility preservation and those with severe mutations that underwent RRSO were not taken into account)</w:t>
            </w:r>
          </w:p>
        </w:tc>
      </w:tr>
      <w:tr w:rsidR="00BA017A" w:rsidRPr="008514C7" w:rsidTr="00872146">
        <w:trPr>
          <w:trHeight w:val="712"/>
        </w:trPr>
        <w:tc>
          <w:tcPr>
            <w:tcW w:w="2411" w:type="dxa"/>
          </w:tcPr>
          <w:p w:rsidR="00BA017A" w:rsidRPr="008514C7" w:rsidRDefault="00BA017A" w:rsidP="00CD2AC6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Son KA et al. (2019)*</w:t>
            </w:r>
          </w:p>
        </w:tc>
        <w:tc>
          <w:tcPr>
            <w:tcW w:w="1497" w:type="dxa"/>
          </w:tcPr>
          <w:p w:rsidR="00BA017A" w:rsidRPr="008514C7" w:rsidRDefault="00BA017A" w:rsidP="00EB60C4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South Korea</w:t>
            </w:r>
          </w:p>
        </w:tc>
        <w:tc>
          <w:tcPr>
            <w:tcW w:w="1829" w:type="dxa"/>
          </w:tcPr>
          <w:p w:rsidR="00BA017A" w:rsidRPr="008514C7" w:rsidRDefault="00BA017A" w:rsidP="00EB60C4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Retrospective</w:t>
            </w:r>
          </w:p>
        </w:tc>
        <w:tc>
          <w:tcPr>
            <w:tcW w:w="1352" w:type="dxa"/>
          </w:tcPr>
          <w:p w:rsidR="00BA017A" w:rsidRPr="008514C7" w:rsidRDefault="00BA017A" w:rsidP="00DD49A1">
            <w:pPr>
              <w:rPr>
                <w:bCs/>
                <w:sz w:val="20"/>
                <w:szCs w:val="20"/>
                <w:u w:val="single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 xml:space="preserve">Affected with breast cancer </w:t>
            </w:r>
          </w:p>
          <w:p w:rsidR="00BA017A" w:rsidRPr="008514C7" w:rsidRDefault="00BA017A" w:rsidP="00DD49A1">
            <w:pPr>
              <w:rPr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BA017A" w:rsidRPr="008514C7" w:rsidRDefault="00BA017A" w:rsidP="00823705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i/>
                <w:sz w:val="20"/>
                <w:szCs w:val="20"/>
                <w:lang w:val="en-US"/>
              </w:rPr>
              <w:t>gBRCA</w:t>
            </w:r>
            <w:r w:rsidRPr="008514C7">
              <w:rPr>
                <w:bCs/>
                <w:sz w:val="20"/>
                <w:szCs w:val="20"/>
                <w:lang w:val="en-US"/>
              </w:rPr>
              <w:t>+ (n=52</w:t>
            </w:r>
            <w:r w:rsidRPr="008514C7">
              <w:rPr>
                <w:sz w:val="20"/>
                <w:szCs w:val="20"/>
                <w:shd w:val="clear" w:color="auto" w:fill="FFFCF0"/>
                <w:lang w:val="en-US"/>
              </w:rPr>
              <w:t>)</w:t>
            </w:r>
            <w:r w:rsidRPr="008514C7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BA017A" w:rsidRPr="008514C7" w:rsidRDefault="00BA017A" w:rsidP="00823705">
            <w:pPr>
              <w:rPr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Non-carriers (n=264)</w:t>
            </w:r>
          </w:p>
        </w:tc>
        <w:tc>
          <w:tcPr>
            <w:tcW w:w="1899" w:type="dxa"/>
          </w:tcPr>
          <w:p w:rsidR="00BA017A" w:rsidRPr="008514C7" w:rsidRDefault="00BA017A" w:rsidP="00823705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8514C7">
              <w:rPr>
                <w:bCs/>
                <w:iCs/>
                <w:sz w:val="20"/>
                <w:szCs w:val="20"/>
                <w:lang w:val="en-US"/>
              </w:rPr>
              <w:t>Median (interquartile range) or number (percentage)</w:t>
            </w:r>
          </w:p>
        </w:tc>
        <w:tc>
          <w:tcPr>
            <w:tcW w:w="4155" w:type="dxa"/>
          </w:tcPr>
          <w:p w:rsidR="00BA017A" w:rsidRPr="008514C7" w:rsidRDefault="00BA017A" w:rsidP="00823705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8514C7">
              <w:rPr>
                <w:bCs/>
                <w:iCs/>
                <w:sz w:val="20"/>
                <w:szCs w:val="20"/>
                <w:lang w:val="en-US"/>
              </w:rPr>
              <w:t>-</w:t>
            </w:r>
          </w:p>
        </w:tc>
      </w:tr>
      <w:tr w:rsidR="00BA017A" w:rsidRPr="008514C7" w:rsidTr="00872146">
        <w:trPr>
          <w:trHeight w:val="712"/>
        </w:trPr>
        <w:tc>
          <w:tcPr>
            <w:tcW w:w="2411" w:type="dxa"/>
          </w:tcPr>
          <w:p w:rsidR="00BA017A" w:rsidRPr="008514C7" w:rsidRDefault="00BA017A" w:rsidP="00CD2AC6">
            <w:pPr>
              <w:rPr>
                <w:sz w:val="20"/>
                <w:szCs w:val="20"/>
                <w:highlight w:val="lightGray"/>
                <w:lang w:val="en-US"/>
              </w:rPr>
            </w:pPr>
            <w:r w:rsidRPr="008514C7">
              <w:rPr>
                <w:sz w:val="20"/>
                <w:szCs w:val="20"/>
                <w:lang w:val="en-US"/>
              </w:rPr>
              <w:t>Lambertini M et al (2019)*</w:t>
            </w:r>
          </w:p>
        </w:tc>
        <w:tc>
          <w:tcPr>
            <w:tcW w:w="1497" w:type="dxa"/>
          </w:tcPr>
          <w:p w:rsidR="00BA017A" w:rsidRPr="008514C7" w:rsidRDefault="00BA017A" w:rsidP="00EB60C4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France</w:t>
            </w:r>
          </w:p>
        </w:tc>
        <w:tc>
          <w:tcPr>
            <w:tcW w:w="1829" w:type="dxa"/>
          </w:tcPr>
          <w:p w:rsidR="00BA017A" w:rsidRPr="008514C7" w:rsidRDefault="00BA017A" w:rsidP="00EB60C4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Secondary analysis of prospectively collected samples</w:t>
            </w:r>
          </w:p>
        </w:tc>
        <w:tc>
          <w:tcPr>
            <w:tcW w:w="1352" w:type="dxa"/>
          </w:tcPr>
          <w:p w:rsidR="00BA017A" w:rsidRPr="008514C7" w:rsidRDefault="00BA017A" w:rsidP="00DD49A1">
            <w:pPr>
              <w:rPr>
                <w:bCs/>
                <w:sz w:val="20"/>
                <w:szCs w:val="20"/>
                <w:u w:val="single"/>
                <w:lang w:val="en-US"/>
              </w:rPr>
            </w:pPr>
            <w:r w:rsidRPr="008514C7">
              <w:rPr>
                <w:bCs/>
                <w:sz w:val="20"/>
                <w:szCs w:val="20"/>
                <w:lang w:val="en-US"/>
              </w:rPr>
              <w:t>Affected with breast cancer</w:t>
            </w:r>
            <w:r w:rsidRPr="008514C7">
              <w:rPr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BA017A" w:rsidRPr="008514C7" w:rsidRDefault="00BA017A" w:rsidP="00823705">
            <w:pPr>
              <w:rPr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070" w:type="dxa"/>
          </w:tcPr>
          <w:p w:rsidR="00BA017A" w:rsidRPr="008514C7" w:rsidRDefault="00BA017A" w:rsidP="00823705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i/>
                <w:sz w:val="20"/>
                <w:szCs w:val="20"/>
                <w:lang w:val="en-US"/>
              </w:rPr>
              <w:t>gBRCA</w:t>
            </w:r>
            <w:r w:rsidRPr="008514C7">
              <w:rPr>
                <w:bCs/>
                <w:sz w:val="20"/>
                <w:szCs w:val="20"/>
                <w:lang w:val="en-US"/>
              </w:rPr>
              <w:t>+ (n=35)</w:t>
            </w:r>
          </w:p>
          <w:p w:rsidR="00BA017A" w:rsidRPr="008514C7" w:rsidRDefault="00BA017A" w:rsidP="00823705">
            <w:pPr>
              <w:rPr>
                <w:bCs/>
                <w:sz w:val="20"/>
                <w:szCs w:val="20"/>
                <w:lang w:val="en-US"/>
              </w:rPr>
            </w:pPr>
            <w:r w:rsidRPr="008514C7">
              <w:rPr>
                <w:bCs/>
                <w:i/>
                <w:sz w:val="20"/>
                <w:szCs w:val="20"/>
                <w:lang w:val="en-US"/>
              </w:rPr>
              <w:t>gBRCA</w:t>
            </w:r>
            <w:r w:rsidRPr="008514C7">
              <w:rPr>
                <w:bCs/>
                <w:sz w:val="20"/>
                <w:szCs w:val="20"/>
                <w:lang w:val="en-US"/>
              </w:rPr>
              <w:t xml:space="preserve">- (n=113) </w:t>
            </w:r>
          </w:p>
          <w:p w:rsidR="00BA017A" w:rsidRPr="008514C7" w:rsidRDefault="00BA017A" w:rsidP="00C058A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</w:tcPr>
          <w:p w:rsidR="00BA017A" w:rsidRPr="008514C7" w:rsidRDefault="00BA017A" w:rsidP="00823705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8514C7">
              <w:rPr>
                <w:bCs/>
                <w:iCs/>
                <w:sz w:val="20"/>
                <w:szCs w:val="20"/>
                <w:lang w:val="en-US"/>
              </w:rPr>
              <w:t>Median with interquartile range</w:t>
            </w:r>
          </w:p>
        </w:tc>
        <w:tc>
          <w:tcPr>
            <w:tcW w:w="4155" w:type="dxa"/>
          </w:tcPr>
          <w:p w:rsidR="00BA017A" w:rsidRPr="008514C7" w:rsidRDefault="00BA017A" w:rsidP="00823705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8514C7">
              <w:rPr>
                <w:bCs/>
                <w:iCs/>
                <w:sz w:val="20"/>
                <w:szCs w:val="20"/>
                <w:lang w:val="en-US"/>
              </w:rPr>
              <w:t xml:space="preserve">No adjustment for potential confounders+. </w:t>
            </w:r>
          </w:p>
        </w:tc>
      </w:tr>
    </w:tbl>
    <w:p w:rsidR="00BA017A" w:rsidRPr="008514C7" w:rsidRDefault="00BA017A" w:rsidP="00CD2AC6">
      <w:pPr>
        <w:rPr>
          <w:lang w:val="en-US"/>
        </w:rPr>
      </w:pPr>
    </w:p>
    <w:p w:rsidR="00BA017A" w:rsidRPr="008514C7" w:rsidRDefault="00BA017A" w:rsidP="00CD2AC6">
      <w:pPr>
        <w:rPr>
          <w:lang w:val="en-US"/>
        </w:rPr>
      </w:pPr>
    </w:p>
    <w:p w:rsidR="00BA017A" w:rsidRPr="008514C7" w:rsidRDefault="00BA017A" w:rsidP="00CD2AC6">
      <w:pPr>
        <w:rPr>
          <w:lang w:val="en-US"/>
        </w:rPr>
      </w:pPr>
      <w:r w:rsidRPr="008514C7">
        <w:rPr>
          <w:lang w:val="en-US"/>
        </w:rPr>
        <w:t xml:space="preserve">Supplemental table 1: Description and limitations of the original studies investigating the association between germline pathogenic </w:t>
      </w:r>
      <w:r w:rsidRPr="008514C7">
        <w:rPr>
          <w:i/>
          <w:iCs/>
          <w:lang w:val="en-US"/>
        </w:rPr>
        <w:t>BRCA</w:t>
      </w:r>
      <w:r w:rsidRPr="008514C7">
        <w:rPr>
          <w:lang w:val="en-US"/>
        </w:rPr>
        <w:t xml:space="preserve"> variants (g</w:t>
      </w:r>
      <w:r w:rsidRPr="008514C7">
        <w:rPr>
          <w:i/>
          <w:iCs/>
          <w:lang w:val="en-US"/>
        </w:rPr>
        <w:t>BRCA</w:t>
      </w:r>
      <w:r w:rsidRPr="008514C7">
        <w:rPr>
          <w:lang w:val="en-US"/>
        </w:rPr>
        <w:t xml:space="preserve">) and serum AMH levels that were targeted for individual patient data collection. </w:t>
      </w:r>
    </w:p>
    <w:p w:rsidR="00BA017A" w:rsidRPr="008514C7" w:rsidRDefault="00BA017A" w:rsidP="00F96DAB">
      <w:pPr>
        <w:rPr>
          <w:lang w:val="en-US"/>
        </w:rPr>
      </w:pPr>
    </w:p>
    <w:p w:rsidR="00BA017A" w:rsidRPr="008514C7" w:rsidRDefault="00BA017A" w:rsidP="00F96DAB">
      <w:pPr>
        <w:rPr>
          <w:lang w:val="en-US"/>
        </w:rPr>
      </w:pPr>
      <w:r w:rsidRPr="008514C7">
        <w:rPr>
          <w:lang w:val="en-US"/>
        </w:rPr>
        <w:t>* The studies that provided raw data and were included in the IPD meta-analysis.</w:t>
      </w:r>
    </w:p>
    <w:p w:rsidR="00BA017A" w:rsidRPr="008514C7" w:rsidRDefault="00BA017A" w:rsidP="00F96DAB">
      <w:pPr>
        <w:rPr>
          <w:lang w:val="en-US"/>
        </w:rPr>
      </w:pPr>
      <w:r w:rsidRPr="008514C7">
        <w:rPr>
          <w:lang w:val="en-US"/>
        </w:rPr>
        <w:t>PCOS= Associated with spuriously elevated AMH levels</w:t>
      </w:r>
    </w:p>
    <w:p w:rsidR="00BA017A" w:rsidRPr="008514C7" w:rsidRDefault="00BA017A" w:rsidP="00F96DAB">
      <w:pPr>
        <w:rPr>
          <w:lang w:val="en-US"/>
        </w:rPr>
      </w:pPr>
      <w:r w:rsidRPr="008514C7">
        <w:rPr>
          <w:lang w:val="en-US"/>
        </w:rPr>
        <w:t>+Potential confounders: Age, body mass index (BMI), OCP use and smoking,</w:t>
      </w:r>
    </w:p>
    <w:p w:rsidR="00BA017A" w:rsidRPr="008514C7" w:rsidRDefault="00BA017A" w:rsidP="00F96DAB">
      <w:pPr>
        <w:rPr>
          <w:lang w:val="en-US"/>
        </w:rPr>
      </w:pPr>
    </w:p>
    <w:p w:rsidR="00BA017A" w:rsidRPr="008514C7" w:rsidRDefault="00BA017A" w:rsidP="00F96DAB">
      <w:pPr>
        <w:rPr>
          <w:lang w:val="en-US"/>
        </w:rPr>
      </w:pPr>
      <w:r w:rsidRPr="008514C7">
        <w:rPr>
          <w:lang w:val="en-US"/>
        </w:rPr>
        <w:t>Abbreviations: AMH, Anti-mullerian hormone; OCP, oral contraceptive pill; RRSO, risk reducing salpingo-oophorectomy</w:t>
      </w:r>
    </w:p>
    <w:sectPr w:rsidR="00BA017A" w:rsidRPr="008514C7" w:rsidSect="00CD26BD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17A" w:rsidRDefault="00BA017A">
      <w:r>
        <w:separator/>
      </w:r>
    </w:p>
  </w:endnote>
  <w:endnote w:type="continuationSeparator" w:id="0">
    <w:p w:rsidR="00BA017A" w:rsidRDefault="00BA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7A" w:rsidRDefault="00BA017A" w:rsidP="00672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017A" w:rsidRDefault="00BA017A" w:rsidP="00865AD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7A" w:rsidRDefault="00BA017A" w:rsidP="006728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A017A" w:rsidRDefault="00BA017A" w:rsidP="00865A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17A" w:rsidRDefault="00BA017A">
      <w:r>
        <w:separator/>
      </w:r>
    </w:p>
  </w:footnote>
  <w:footnote w:type="continuationSeparator" w:id="0">
    <w:p w:rsidR="00BA017A" w:rsidRDefault="00BA0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93F"/>
    <w:multiLevelType w:val="hybridMultilevel"/>
    <w:tmpl w:val="4A7CD89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11BFE"/>
    <w:multiLevelType w:val="hybridMultilevel"/>
    <w:tmpl w:val="2D9E650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B8F"/>
    <w:rsid w:val="0001339D"/>
    <w:rsid w:val="000157BD"/>
    <w:rsid w:val="00025601"/>
    <w:rsid w:val="000320F2"/>
    <w:rsid w:val="0003455E"/>
    <w:rsid w:val="00042FD1"/>
    <w:rsid w:val="00050266"/>
    <w:rsid w:val="00050B3F"/>
    <w:rsid w:val="00051AEF"/>
    <w:rsid w:val="00063996"/>
    <w:rsid w:val="00065582"/>
    <w:rsid w:val="00075468"/>
    <w:rsid w:val="00082114"/>
    <w:rsid w:val="0008265D"/>
    <w:rsid w:val="0008430C"/>
    <w:rsid w:val="000851A2"/>
    <w:rsid w:val="000917A1"/>
    <w:rsid w:val="000924C0"/>
    <w:rsid w:val="00094810"/>
    <w:rsid w:val="000A086F"/>
    <w:rsid w:val="000B028A"/>
    <w:rsid w:val="000B1E64"/>
    <w:rsid w:val="000B21E6"/>
    <w:rsid w:val="000B3F1F"/>
    <w:rsid w:val="000B6290"/>
    <w:rsid w:val="000C47F0"/>
    <w:rsid w:val="000E0FD4"/>
    <w:rsid w:val="000E5898"/>
    <w:rsid w:val="000F34BC"/>
    <w:rsid w:val="00103040"/>
    <w:rsid w:val="0012632F"/>
    <w:rsid w:val="0013175E"/>
    <w:rsid w:val="00132CF5"/>
    <w:rsid w:val="00135E1A"/>
    <w:rsid w:val="00136246"/>
    <w:rsid w:val="00136C05"/>
    <w:rsid w:val="00143659"/>
    <w:rsid w:val="00144797"/>
    <w:rsid w:val="00145F0E"/>
    <w:rsid w:val="00155BBE"/>
    <w:rsid w:val="00161E3B"/>
    <w:rsid w:val="0016784B"/>
    <w:rsid w:val="00174538"/>
    <w:rsid w:val="00181AE2"/>
    <w:rsid w:val="00183EAD"/>
    <w:rsid w:val="00190373"/>
    <w:rsid w:val="00191B21"/>
    <w:rsid w:val="00193A21"/>
    <w:rsid w:val="001946A8"/>
    <w:rsid w:val="001A18F3"/>
    <w:rsid w:val="001A7906"/>
    <w:rsid w:val="001B188A"/>
    <w:rsid w:val="001B2105"/>
    <w:rsid w:val="001C2672"/>
    <w:rsid w:val="001C6734"/>
    <w:rsid w:val="001D3C5A"/>
    <w:rsid w:val="001D4E46"/>
    <w:rsid w:val="001E76D4"/>
    <w:rsid w:val="001F590B"/>
    <w:rsid w:val="001F6883"/>
    <w:rsid w:val="00212265"/>
    <w:rsid w:val="00216272"/>
    <w:rsid w:val="00217465"/>
    <w:rsid w:val="002204F0"/>
    <w:rsid w:val="002264D0"/>
    <w:rsid w:val="00230437"/>
    <w:rsid w:val="00236192"/>
    <w:rsid w:val="00250456"/>
    <w:rsid w:val="0025529F"/>
    <w:rsid w:val="00256031"/>
    <w:rsid w:val="00271239"/>
    <w:rsid w:val="00271288"/>
    <w:rsid w:val="00271416"/>
    <w:rsid w:val="00273A82"/>
    <w:rsid w:val="0027416E"/>
    <w:rsid w:val="002763C3"/>
    <w:rsid w:val="00276C83"/>
    <w:rsid w:val="00277CBC"/>
    <w:rsid w:val="00284B2C"/>
    <w:rsid w:val="0028561C"/>
    <w:rsid w:val="002A4E21"/>
    <w:rsid w:val="002B13AD"/>
    <w:rsid w:val="002B60AB"/>
    <w:rsid w:val="002B696B"/>
    <w:rsid w:val="002C5051"/>
    <w:rsid w:val="002D0DAA"/>
    <w:rsid w:val="002D1BC7"/>
    <w:rsid w:val="002D3D53"/>
    <w:rsid w:val="002D3FDC"/>
    <w:rsid w:val="002D5A05"/>
    <w:rsid w:val="002E1D0D"/>
    <w:rsid w:val="002F6321"/>
    <w:rsid w:val="0030246D"/>
    <w:rsid w:val="00303906"/>
    <w:rsid w:val="00303970"/>
    <w:rsid w:val="00306473"/>
    <w:rsid w:val="00306924"/>
    <w:rsid w:val="003147A2"/>
    <w:rsid w:val="00315F0D"/>
    <w:rsid w:val="0032120A"/>
    <w:rsid w:val="003317C0"/>
    <w:rsid w:val="00332159"/>
    <w:rsid w:val="003323F8"/>
    <w:rsid w:val="00333E82"/>
    <w:rsid w:val="00346D9D"/>
    <w:rsid w:val="00361E0B"/>
    <w:rsid w:val="00362C7F"/>
    <w:rsid w:val="003638C5"/>
    <w:rsid w:val="0036709B"/>
    <w:rsid w:val="00376E38"/>
    <w:rsid w:val="0038096D"/>
    <w:rsid w:val="003831D3"/>
    <w:rsid w:val="003948A0"/>
    <w:rsid w:val="00396A9B"/>
    <w:rsid w:val="00396D6D"/>
    <w:rsid w:val="00396DE8"/>
    <w:rsid w:val="003A6135"/>
    <w:rsid w:val="003A79E2"/>
    <w:rsid w:val="003B3587"/>
    <w:rsid w:val="003C56AC"/>
    <w:rsid w:val="003D4C2B"/>
    <w:rsid w:val="003D6A5D"/>
    <w:rsid w:val="003F1D1E"/>
    <w:rsid w:val="003F2DAD"/>
    <w:rsid w:val="003F31C9"/>
    <w:rsid w:val="00404799"/>
    <w:rsid w:val="00407C92"/>
    <w:rsid w:val="00412D92"/>
    <w:rsid w:val="00413EFC"/>
    <w:rsid w:val="00422B12"/>
    <w:rsid w:val="00423030"/>
    <w:rsid w:val="00425664"/>
    <w:rsid w:val="00427561"/>
    <w:rsid w:val="00431CA3"/>
    <w:rsid w:val="004365B4"/>
    <w:rsid w:val="00437095"/>
    <w:rsid w:val="00437B8A"/>
    <w:rsid w:val="004413FE"/>
    <w:rsid w:val="00446BB0"/>
    <w:rsid w:val="00451718"/>
    <w:rsid w:val="00461924"/>
    <w:rsid w:val="0047147D"/>
    <w:rsid w:val="00471589"/>
    <w:rsid w:val="00473629"/>
    <w:rsid w:val="00483967"/>
    <w:rsid w:val="0048679B"/>
    <w:rsid w:val="00495041"/>
    <w:rsid w:val="004A176B"/>
    <w:rsid w:val="004B4EDE"/>
    <w:rsid w:val="004B5446"/>
    <w:rsid w:val="004B61D5"/>
    <w:rsid w:val="004B76B0"/>
    <w:rsid w:val="004C160E"/>
    <w:rsid w:val="004C5A4D"/>
    <w:rsid w:val="004D017B"/>
    <w:rsid w:val="004E0EAB"/>
    <w:rsid w:val="004E312E"/>
    <w:rsid w:val="004F1D47"/>
    <w:rsid w:val="0050327B"/>
    <w:rsid w:val="00505FDB"/>
    <w:rsid w:val="005069E8"/>
    <w:rsid w:val="00515B0F"/>
    <w:rsid w:val="00516DB8"/>
    <w:rsid w:val="00521386"/>
    <w:rsid w:val="0053474B"/>
    <w:rsid w:val="00534B45"/>
    <w:rsid w:val="00543777"/>
    <w:rsid w:val="00545940"/>
    <w:rsid w:val="00546FC2"/>
    <w:rsid w:val="00552D90"/>
    <w:rsid w:val="005570DA"/>
    <w:rsid w:val="005574E2"/>
    <w:rsid w:val="00557D0E"/>
    <w:rsid w:val="00561801"/>
    <w:rsid w:val="00570DD6"/>
    <w:rsid w:val="005734F4"/>
    <w:rsid w:val="0057356C"/>
    <w:rsid w:val="00575DFF"/>
    <w:rsid w:val="00575EE0"/>
    <w:rsid w:val="00575F67"/>
    <w:rsid w:val="00582F3E"/>
    <w:rsid w:val="00583306"/>
    <w:rsid w:val="00583357"/>
    <w:rsid w:val="00585D3A"/>
    <w:rsid w:val="00590665"/>
    <w:rsid w:val="00590EB4"/>
    <w:rsid w:val="005958D7"/>
    <w:rsid w:val="0059782A"/>
    <w:rsid w:val="005A010C"/>
    <w:rsid w:val="005A012E"/>
    <w:rsid w:val="005A7C38"/>
    <w:rsid w:val="005B37DC"/>
    <w:rsid w:val="005B683E"/>
    <w:rsid w:val="005C3DA7"/>
    <w:rsid w:val="005C4252"/>
    <w:rsid w:val="005C64C0"/>
    <w:rsid w:val="005D57EC"/>
    <w:rsid w:val="005D6A16"/>
    <w:rsid w:val="005E0014"/>
    <w:rsid w:val="005E6209"/>
    <w:rsid w:val="005F12E0"/>
    <w:rsid w:val="005F67E9"/>
    <w:rsid w:val="006161A0"/>
    <w:rsid w:val="00617346"/>
    <w:rsid w:val="0062709A"/>
    <w:rsid w:val="00631B24"/>
    <w:rsid w:val="00641B46"/>
    <w:rsid w:val="00653D58"/>
    <w:rsid w:val="00653F59"/>
    <w:rsid w:val="00654E73"/>
    <w:rsid w:val="00655944"/>
    <w:rsid w:val="0065653F"/>
    <w:rsid w:val="006569F2"/>
    <w:rsid w:val="00656A7B"/>
    <w:rsid w:val="006571FB"/>
    <w:rsid w:val="00662B53"/>
    <w:rsid w:val="0067284C"/>
    <w:rsid w:val="00672F0D"/>
    <w:rsid w:val="00674F8E"/>
    <w:rsid w:val="0068721B"/>
    <w:rsid w:val="00692852"/>
    <w:rsid w:val="00694C0C"/>
    <w:rsid w:val="00694EF8"/>
    <w:rsid w:val="00694F58"/>
    <w:rsid w:val="006A4E28"/>
    <w:rsid w:val="006A5888"/>
    <w:rsid w:val="006B0F2D"/>
    <w:rsid w:val="006B378F"/>
    <w:rsid w:val="006B7CA7"/>
    <w:rsid w:val="006C1A47"/>
    <w:rsid w:val="006C260F"/>
    <w:rsid w:val="006C3006"/>
    <w:rsid w:val="006C612E"/>
    <w:rsid w:val="006D50BB"/>
    <w:rsid w:val="006D6470"/>
    <w:rsid w:val="006E2A0D"/>
    <w:rsid w:val="006E7D7B"/>
    <w:rsid w:val="006F4A66"/>
    <w:rsid w:val="007001D3"/>
    <w:rsid w:val="00715E99"/>
    <w:rsid w:val="007210A7"/>
    <w:rsid w:val="00726EFE"/>
    <w:rsid w:val="00734D25"/>
    <w:rsid w:val="0073735E"/>
    <w:rsid w:val="00746FBB"/>
    <w:rsid w:val="00756BF3"/>
    <w:rsid w:val="00772BE3"/>
    <w:rsid w:val="0077311C"/>
    <w:rsid w:val="0079326D"/>
    <w:rsid w:val="00795A8D"/>
    <w:rsid w:val="007A25E1"/>
    <w:rsid w:val="007A26FE"/>
    <w:rsid w:val="007B5055"/>
    <w:rsid w:val="007C20D8"/>
    <w:rsid w:val="007C7814"/>
    <w:rsid w:val="007D243F"/>
    <w:rsid w:val="007E54D5"/>
    <w:rsid w:val="007E7136"/>
    <w:rsid w:val="007E7218"/>
    <w:rsid w:val="007F357C"/>
    <w:rsid w:val="008134DB"/>
    <w:rsid w:val="00820CB2"/>
    <w:rsid w:val="00823705"/>
    <w:rsid w:val="00825305"/>
    <w:rsid w:val="008264BF"/>
    <w:rsid w:val="00841C41"/>
    <w:rsid w:val="00841CF1"/>
    <w:rsid w:val="008424AE"/>
    <w:rsid w:val="00844FB2"/>
    <w:rsid w:val="00847815"/>
    <w:rsid w:val="00847953"/>
    <w:rsid w:val="008514C7"/>
    <w:rsid w:val="00855D7D"/>
    <w:rsid w:val="008573DA"/>
    <w:rsid w:val="00857C47"/>
    <w:rsid w:val="00862267"/>
    <w:rsid w:val="00865AD2"/>
    <w:rsid w:val="00866A53"/>
    <w:rsid w:val="00870F3A"/>
    <w:rsid w:val="00871454"/>
    <w:rsid w:val="00872146"/>
    <w:rsid w:val="00880BF9"/>
    <w:rsid w:val="00887EE8"/>
    <w:rsid w:val="008925DB"/>
    <w:rsid w:val="008956CC"/>
    <w:rsid w:val="00897BC6"/>
    <w:rsid w:val="008A47E8"/>
    <w:rsid w:val="008A4E66"/>
    <w:rsid w:val="008B22CB"/>
    <w:rsid w:val="008B453B"/>
    <w:rsid w:val="008B62AF"/>
    <w:rsid w:val="008C1609"/>
    <w:rsid w:val="008C7D65"/>
    <w:rsid w:val="008D0AB9"/>
    <w:rsid w:val="008D6586"/>
    <w:rsid w:val="008D732B"/>
    <w:rsid w:val="008D7456"/>
    <w:rsid w:val="008F68F0"/>
    <w:rsid w:val="00903F58"/>
    <w:rsid w:val="009177B9"/>
    <w:rsid w:val="0092502F"/>
    <w:rsid w:val="00927195"/>
    <w:rsid w:val="0093088B"/>
    <w:rsid w:val="009311BB"/>
    <w:rsid w:val="00943F7F"/>
    <w:rsid w:val="00951FE5"/>
    <w:rsid w:val="009533B3"/>
    <w:rsid w:val="009562FF"/>
    <w:rsid w:val="00956F45"/>
    <w:rsid w:val="00961AE7"/>
    <w:rsid w:val="00962F90"/>
    <w:rsid w:val="00972BE3"/>
    <w:rsid w:val="009743CA"/>
    <w:rsid w:val="00987378"/>
    <w:rsid w:val="00990A63"/>
    <w:rsid w:val="009941FB"/>
    <w:rsid w:val="009970AD"/>
    <w:rsid w:val="009A154E"/>
    <w:rsid w:val="009A3F05"/>
    <w:rsid w:val="009A625E"/>
    <w:rsid w:val="009B0444"/>
    <w:rsid w:val="009B0E9D"/>
    <w:rsid w:val="009B141C"/>
    <w:rsid w:val="009B1DFC"/>
    <w:rsid w:val="009C0391"/>
    <w:rsid w:val="009C3B4A"/>
    <w:rsid w:val="009C56F7"/>
    <w:rsid w:val="009D3B0D"/>
    <w:rsid w:val="009D69F1"/>
    <w:rsid w:val="009D6FD3"/>
    <w:rsid w:val="009E01E8"/>
    <w:rsid w:val="009E5225"/>
    <w:rsid w:val="009F6C1D"/>
    <w:rsid w:val="00A011F0"/>
    <w:rsid w:val="00A0270D"/>
    <w:rsid w:val="00A03DA9"/>
    <w:rsid w:val="00A05C22"/>
    <w:rsid w:val="00A12E10"/>
    <w:rsid w:val="00A1325B"/>
    <w:rsid w:val="00A16FDD"/>
    <w:rsid w:val="00A26882"/>
    <w:rsid w:val="00A26A24"/>
    <w:rsid w:val="00A27EAC"/>
    <w:rsid w:val="00A31E2A"/>
    <w:rsid w:val="00A33DC8"/>
    <w:rsid w:val="00A44D67"/>
    <w:rsid w:val="00A4718A"/>
    <w:rsid w:val="00A50924"/>
    <w:rsid w:val="00A51124"/>
    <w:rsid w:val="00A56945"/>
    <w:rsid w:val="00A57061"/>
    <w:rsid w:val="00A62321"/>
    <w:rsid w:val="00A63AE8"/>
    <w:rsid w:val="00A71371"/>
    <w:rsid w:val="00A726CD"/>
    <w:rsid w:val="00A8454B"/>
    <w:rsid w:val="00A8665F"/>
    <w:rsid w:val="00A97FA7"/>
    <w:rsid w:val="00AA3B6E"/>
    <w:rsid w:val="00AA4B7B"/>
    <w:rsid w:val="00AA4CFD"/>
    <w:rsid w:val="00AB0D94"/>
    <w:rsid w:val="00AB0F57"/>
    <w:rsid w:val="00AB22EC"/>
    <w:rsid w:val="00AB26A6"/>
    <w:rsid w:val="00AB2828"/>
    <w:rsid w:val="00AB5FAB"/>
    <w:rsid w:val="00AC3E3E"/>
    <w:rsid w:val="00AC43A7"/>
    <w:rsid w:val="00AD656C"/>
    <w:rsid w:val="00AE1A8B"/>
    <w:rsid w:val="00AE1B8F"/>
    <w:rsid w:val="00AF5129"/>
    <w:rsid w:val="00AF52D6"/>
    <w:rsid w:val="00AF712C"/>
    <w:rsid w:val="00B02D78"/>
    <w:rsid w:val="00B05BFD"/>
    <w:rsid w:val="00B10757"/>
    <w:rsid w:val="00B11C24"/>
    <w:rsid w:val="00B16E1B"/>
    <w:rsid w:val="00B20518"/>
    <w:rsid w:val="00B25AD2"/>
    <w:rsid w:val="00B2614D"/>
    <w:rsid w:val="00B318B1"/>
    <w:rsid w:val="00B34620"/>
    <w:rsid w:val="00B4207D"/>
    <w:rsid w:val="00B45C84"/>
    <w:rsid w:val="00B46C83"/>
    <w:rsid w:val="00B505AE"/>
    <w:rsid w:val="00B51250"/>
    <w:rsid w:val="00B52AAD"/>
    <w:rsid w:val="00B544AA"/>
    <w:rsid w:val="00B62758"/>
    <w:rsid w:val="00B66F37"/>
    <w:rsid w:val="00B7389E"/>
    <w:rsid w:val="00B73AA9"/>
    <w:rsid w:val="00B73EB0"/>
    <w:rsid w:val="00B779C0"/>
    <w:rsid w:val="00B81EC2"/>
    <w:rsid w:val="00B84E80"/>
    <w:rsid w:val="00B9017C"/>
    <w:rsid w:val="00B90191"/>
    <w:rsid w:val="00B924F3"/>
    <w:rsid w:val="00B96A4B"/>
    <w:rsid w:val="00BA017A"/>
    <w:rsid w:val="00BA2772"/>
    <w:rsid w:val="00BB10BC"/>
    <w:rsid w:val="00BB4EE9"/>
    <w:rsid w:val="00BB76FA"/>
    <w:rsid w:val="00BC1EE8"/>
    <w:rsid w:val="00BD0EBC"/>
    <w:rsid w:val="00BD5B11"/>
    <w:rsid w:val="00BD7329"/>
    <w:rsid w:val="00BE37DF"/>
    <w:rsid w:val="00BF138D"/>
    <w:rsid w:val="00BF4475"/>
    <w:rsid w:val="00BF67D7"/>
    <w:rsid w:val="00C017DD"/>
    <w:rsid w:val="00C01EF9"/>
    <w:rsid w:val="00C03D6D"/>
    <w:rsid w:val="00C047F3"/>
    <w:rsid w:val="00C058AF"/>
    <w:rsid w:val="00C060D9"/>
    <w:rsid w:val="00C103C3"/>
    <w:rsid w:val="00C1056E"/>
    <w:rsid w:val="00C149D6"/>
    <w:rsid w:val="00C246E8"/>
    <w:rsid w:val="00C27E01"/>
    <w:rsid w:val="00C3134E"/>
    <w:rsid w:val="00C31BBA"/>
    <w:rsid w:val="00C35B98"/>
    <w:rsid w:val="00C377BA"/>
    <w:rsid w:val="00C417DC"/>
    <w:rsid w:val="00C4311E"/>
    <w:rsid w:val="00C431B2"/>
    <w:rsid w:val="00C5319E"/>
    <w:rsid w:val="00C54E1C"/>
    <w:rsid w:val="00C56988"/>
    <w:rsid w:val="00C62F98"/>
    <w:rsid w:val="00C64055"/>
    <w:rsid w:val="00C650FC"/>
    <w:rsid w:val="00C66B62"/>
    <w:rsid w:val="00C6721F"/>
    <w:rsid w:val="00C70A9E"/>
    <w:rsid w:val="00C70F70"/>
    <w:rsid w:val="00C713DA"/>
    <w:rsid w:val="00C72277"/>
    <w:rsid w:val="00C73A60"/>
    <w:rsid w:val="00C81CDE"/>
    <w:rsid w:val="00C90B15"/>
    <w:rsid w:val="00C92B11"/>
    <w:rsid w:val="00C979D5"/>
    <w:rsid w:val="00C97A12"/>
    <w:rsid w:val="00CB1E44"/>
    <w:rsid w:val="00CB2B49"/>
    <w:rsid w:val="00CB67D0"/>
    <w:rsid w:val="00CC318B"/>
    <w:rsid w:val="00CC69E6"/>
    <w:rsid w:val="00CC7321"/>
    <w:rsid w:val="00CD2570"/>
    <w:rsid w:val="00CD26BD"/>
    <w:rsid w:val="00CD2AC6"/>
    <w:rsid w:val="00CD572A"/>
    <w:rsid w:val="00CE5489"/>
    <w:rsid w:val="00CE691C"/>
    <w:rsid w:val="00CE7DA4"/>
    <w:rsid w:val="00D02B6C"/>
    <w:rsid w:val="00D06396"/>
    <w:rsid w:val="00D1074B"/>
    <w:rsid w:val="00D127B4"/>
    <w:rsid w:val="00D2218C"/>
    <w:rsid w:val="00D24C59"/>
    <w:rsid w:val="00D31FC1"/>
    <w:rsid w:val="00D32B3A"/>
    <w:rsid w:val="00D333DB"/>
    <w:rsid w:val="00D50B76"/>
    <w:rsid w:val="00D52BF2"/>
    <w:rsid w:val="00D54A35"/>
    <w:rsid w:val="00D54C50"/>
    <w:rsid w:val="00D56D45"/>
    <w:rsid w:val="00D60FFF"/>
    <w:rsid w:val="00D61256"/>
    <w:rsid w:val="00D71043"/>
    <w:rsid w:val="00D743F0"/>
    <w:rsid w:val="00D760CD"/>
    <w:rsid w:val="00D81651"/>
    <w:rsid w:val="00D81C83"/>
    <w:rsid w:val="00D87584"/>
    <w:rsid w:val="00D92BE2"/>
    <w:rsid w:val="00D94748"/>
    <w:rsid w:val="00D9520D"/>
    <w:rsid w:val="00DA0683"/>
    <w:rsid w:val="00DA2280"/>
    <w:rsid w:val="00DB6FD7"/>
    <w:rsid w:val="00DC187E"/>
    <w:rsid w:val="00DD1827"/>
    <w:rsid w:val="00DD49A1"/>
    <w:rsid w:val="00DD4E97"/>
    <w:rsid w:val="00DD73A1"/>
    <w:rsid w:val="00DE687B"/>
    <w:rsid w:val="00DE7AC1"/>
    <w:rsid w:val="00DF4108"/>
    <w:rsid w:val="00DF5632"/>
    <w:rsid w:val="00DF7456"/>
    <w:rsid w:val="00E06E67"/>
    <w:rsid w:val="00E112F8"/>
    <w:rsid w:val="00E20983"/>
    <w:rsid w:val="00E26773"/>
    <w:rsid w:val="00E329B1"/>
    <w:rsid w:val="00E36218"/>
    <w:rsid w:val="00E41826"/>
    <w:rsid w:val="00E43F26"/>
    <w:rsid w:val="00E47E4B"/>
    <w:rsid w:val="00E566AB"/>
    <w:rsid w:val="00E57F40"/>
    <w:rsid w:val="00E600C7"/>
    <w:rsid w:val="00E631D1"/>
    <w:rsid w:val="00E66984"/>
    <w:rsid w:val="00E711C0"/>
    <w:rsid w:val="00E74703"/>
    <w:rsid w:val="00E77626"/>
    <w:rsid w:val="00E8014E"/>
    <w:rsid w:val="00E87B09"/>
    <w:rsid w:val="00E959EE"/>
    <w:rsid w:val="00E95C35"/>
    <w:rsid w:val="00EA0158"/>
    <w:rsid w:val="00EA20DF"/>
    <w:rsid w:val="00EA24B5"/>
    <w:rsid w:val="00EA253B"/>
    <w:rsid w:val="00EA4F24"/>
    <w:rsid w:val="00EA5E44"/>
    <w:rsid w:val="00EA6D71"/>
    <w:rsid w:val="00EB1B22"/>
    <w:rsid w:val="00EB3DD0"/>
    <w:rsid w:val="00EB60C4"/>
    <w:rsid w:val="00EC242C"/>
    <w:rsid w:val="00EC2EE8"/>
    <w:rsid w:val="00EC3DA2"/>
    <w:rsid w:val="00EC4FFE"/>
    <w:rsid w:val="00EC6A3E"/>
    <w:rsid w:val="00ED025D"/>
    <w:rsid w:val="00ED1E30"/>
    <w:rsid w:val="00ED20A2"/>
    <w:rsid w:val="00ED278F"/>
    <w:rsid w:val="00ED3295"/>
    <w:rsid w:val="00ED6003"/>
    <w:rsid w:val="00EE1AF8"/>
    <w:rsid w:val="00EE2151"/>
    <w:rsid w:val="00EE2169"/>
    <w:rsid w:val="00EE4E33"/>
    <w:rsid w:val="00EF3E2E"/>
    <w:rsid w:val="00F00874"/>
    <w:rsid w:val="00F00EAD"/>
    <w:rsid w:val="00F03D45"/>
    <w:rsid w:val="00F06761"/>
    <w:rsid w:val="00F07EC3"/>
    <w:rsid w:val="00F12BF5"/>
    <w:rsid w:val="00F1464A"/>
    <w:rsid w:val="00F151B3"/>
    <w:rsid w:val="00F16CB0"/>
    <w:rsid w:val="00F2038C"/>
    <w:rsid w:val="00F20E45"/>
    <w:rsid w:val="00F243B1"/>
    <w:rsid w:val="00F24DEB"/>
    <w:rsid w:val="00F333BF"/>
    <w:rsid w:val="00F34C5C"/>
    <w:rsid w:val="00F36FDC"/>
    <w:rsid w:val="00F40E9D"/>
    <w:rsid w:val="00F44555"/>
    <w:rsid w:val="00F44A97"/>
    <w:rsid w:val="00F44E81"/>
    <w:rsid w:val="00F55DF8"/>
    <w:rsid w:val="00F65792"/>
    <w:rsid w:val="00F74E24"/>
    <w:rsid w:val="00F86B48"/>
    <w:rsid w:val="00F94E67"/>
    <w:rsid w:val="00F965E5"/>
    <w:rsid w:val="00F96DAB"/>
    <w:rsid w:val="00FA1560"/>
    <w:rsid w:val="00FA28FB"/>
    <w:rsid w:val="00FA6539"/>
    <w:rsid w:val="00FA6EFE"/>
    <w:rsid w:val="00FA77B3"/>
    <w:rsid w:val="00FC0FE5"/>
    <w:rsid w:val="00FC505A"/>
    <w:rsid w:val="00FD58A8"/>
    <w:rsid w:val="00FE1DB2"/>
    <w:rsid w:val="00FF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5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012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65A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3A8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65AD2"/>
    <w:rPr>
      <w:rFonts w:cs="Times New Roman"/>
    </w:rPr>
  </w:style>
  <w:style w:type="table" w:styleId="TableGrid">
    <w:name w:val="Table Grid"/>
    <w:basedOn w:val="TableNormal"/>
    <w:uiPriority w:val="99"/>
    <w:rsid w:val="004E312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B9019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90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90191"/>
    <w:rPr>
      <w:rFonts w:cs="Times New Roman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90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90191"/>
    <w:rPr>
      <w:b/>
    </w:rPr>
  </w:style>
  <w:style w:type="paragraph" w:styleId="BalloonText">
    <w:name w:val="Balloon Text"/>
    <w:basedOn w:val="Normal"/>
    <w:link w:val="BalloonTextChar"/>
    <w:uiPriority w:val="99"/>
    <w:rsid w:val="00B9019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90191"/>
    <w:rPr>
      <w:rFonts w:ascii="Segoe UI" w:hAnsi="Segoe UI" w:cs="Times New Roman"/>
      <w:sz w:val="18"/>
      <w:lang w:val="tr-TR" w:eastAsia="tr-TR"/>
    </w:rPr>
  </w:style>
  <w:style w:type="character" w:customStyle="1" w:styleId="apple-converted-space">
    <w:name w:val="apple-converted-space"/>
    <w:basedOn w:val="DefaultParagraphFont"/>
    <w:uiPriority w:val="99"/>
    <w:rsid w:val="00B25AD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25AD2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96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4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8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88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8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0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97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98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329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2961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3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99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960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329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2895">
                                  <w:marLeft w:val="46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8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88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867">
              <w:marLeft w:val="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3298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3289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905">
              <w:marLeft w:val="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95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3291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934">
              <w:marLeft w:val="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3294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6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88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948">
              <w:marLeft w:val="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9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63296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952">
              <w:marLeft w:val="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92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63297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885">
              <w:marLeft w:val="4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87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6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8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8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8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298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3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530</Words>
  <Characters>3024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Toshiba</dc:creator>
  <cp:keywords/>
  <dc:description/>
  <cp:lastModifiedBy>Toshiba</cp:lastModifiedBy>
  <cp:revision>3</cp:revision>
  <dcterms:created xsi:type="dcterms:W3CDTF">2021-02-13T15:34:00Z</dcterms:created>
  <dcterms:modified xsi:type="dcterms:W3CDTF">2021-02-13T15:35:00Z</dcterms:modified>
</cp:coreProperties>
</file>