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7D07B" w14:textId="77777777" w:rsidR="007A31B0" w:rsidRPr="00C33D49" w:rsidRDefault="007A31B0" w:rsidP="007A31B0">
      <w:pPr>
        <w:ind w:right="1000"/>
        <w:jc w:val="both"/>
        <w:rPr>
          <w:lang w:val="en-GB"/>
        </w:rPr>
      </w:pPr>
      <w:bookmarkStart w:id="0" w:name="_GoBack"/>
      <w:bookmarkEnd w:id="0"/>
    </w:p>
    <w:tbl>
      <w:tblPr>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68"/>
        <w:gridCol w:w="2549"/>
        <w:gridCol w:w="1709"/>
        <w:gridCol w:w="2699"/>
      </w:tblGrid>
      <w:tr w:rsidR="007A31B0" w:rsidRPr="00C33D49" w14:paraId="6648B1B1" w14:textId="77777777" w:rsidTr="006C5FA2">
        <w:trPr>
          <w:trHeight w:val="215"/>
        </w:trPr>
        <w:tc>
          <w:tcPr>
            <w:tcW w:w="20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5F7B0" w14:textId="77777777" w:rsidR="007A31B0" w:rsidRPr="00C33D49" w:rsidRDefault="007A31B0" w:rsidP="006C5FA2">
            <w:pPr>
              <w:ind w:right="-100"/>
              <w:jc w:val="both"/>
              <w:rPr>
                <w:b/>
                <w:sz w:val="20"/>
                <w:szCs w:val="20"/>
                <w:lang w:val="en-GB"/>
              </w:rPr>
            </w:pPr>
            <w:proofErr w:type="spellStart"/>
            <w:r w:rsidRPr="00C33D49">
              <w:rPr>
                <w:b/>
                <w:sz w:val="20"/>
                <w:szCs w:val="20"/>
                <w:lang w:val="en-GB"/>
              </w:rPr>
              <w:t>Center</w:t>
            </w:r>
            <w:proofErr w:type="spellEnd"/>
          </w:p>
        </w:tc>
        <w:tc>
          <w:tcPr>
            <w:tcW w:w="254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8DC28A1" w14:textId="77777777" w:rsidR="007A31B0" w:rsidRPr="00C33D49" w:rsidRDefault="007A31B0" w:rsidP="006C5FA2">
            <w:pPr>
              <w:ind w:right="-140"/>
              <w:rPr>
                <w:b/>
                <w:sz w:val="20"/>
                <w:szCs w:val="20"/>
                <w:lang w:val="en-GB"/>
              </w:rPr>
            </w:pPr>
            <w:r w:rsidRPr="00C33D49">
              <w:rPr>
                <w:b/>
                <w:sz w:val="20"/>
                <w:szCs w:val="20"/>
                <w:lang w:val="en-GB"/>
              </w:rPr>
              <w:t>Initial case definition</w:t>
            </w:r>
          </w:p>
        </w:tc>
        <w:tc>
          <w:tcPr>
            <w:tcW w:w="170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10F6E8C" w14:textId="77777777" w:rsidR="007A31B0" w:rsidRPr="00C33D49" w:rsidRDefault="007A31B0" w:rsidP="006C5FA2">
            <w:pPr>
              <w:ind w:right="-120"/>
              <w:rPr>
                <w:b/>
                <w:sz w:val="20"/>
                <w:szCs w:val="20"/>
                <w:lang w:val="en-GB"/>
              </w:rPr>
            </w:pPr>
            <w:r w:rsidRPr="00C33D49">
              <w:rPr>
                <w:b/>
                <w:sz w:val="20"/>
                <w:szCs w:val="20"/>
                <w:lang w:val="en-GB"/>
              </w:rPr>
              <w:t>PCR approach</w:t>
            </w:r>
          </w:p>
        </w:tc>
        <w:tc>
          <w:tcPr>
            <w:tcW w:w="269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810C454" w14:textId="77777777" w:rsidR="007A31B0" w:rsidRPr="00C33D49" w:rsidRDefault="007A31B0" w:rsidP="006C5FA2">
            <w:pPr>
              <w:rPr>
                <w:b/>
                <w:sz w:val="20"/>
                <w:szCs w:val="20"/>
                <w:lang w:val="en-GB"/>
              </w:rPr>
            </w:pPr>
            <w:r w:rsidRPr="00C33D49">
              <w:rPr>
                <w:b/>
                <w:sz w:val="20"/>
                <w:szCs w:val="20"/>
                <w:lang w:val="en-GB"/>
              </w:rPr>
              <w:t>Sequencing method</w:t>
            </w:r>
          </w:p>
        </w:tc>
      </w:tr>
      <w:tr w:rsidR="007A31B0" w:rsidRPr="00C33D49" w14:paraId="0F43769A" w14:textId="77777777" w:rsidTr="006C5FA2">
        <w:trPr>
          <w:trHeight w:val="868"/>
        </w:trPr>
        <w:tc>
          <w:tcPr>
            <w:tcW w:w="2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D5B1B7" w14:textId="77777777" w:rsidR="007A31B0" w:rsidRPr="00C33D49" w:rsidRDefault="007A31B0" w:rsidP="006C5FA2">
            <w:pPr>
              <w:ind w:right="40"/>
              <w:jc w:val="both"/>
              <w:rPr>
                <w:sz w:val="20"/>
                <w:szCs w:val="20"/>
                <w:lang w:val="en-GB"/>
              </w:rPr>
            </w:pPr>
            <w:r w:rsidRPr="00C33D49">
              <w:rPr>
                <w:sz w:val="20"/>
                <w:szCs w:val="20"/>
                <w:lang w:val="en-GB"/>
              </w:rPr>
              <w:t xml:space="preserve">Microbiological Laboratory EOC </w:t>
            </w:r>
            <w:proofErr w:type="spellStart"/>
            <w:r w:rsidRPr="00C33D49">
              <w:rPr>
                <w:sz w:val="20"/>
                <w:szCs w:val="20"/>
                <w:lang w:val="en-GB"/>
              </w:rPr>
              <w:t>Bellinzona</w:t>
            </w:r>
            <w:proofErr w:type="spellEnd"/>
          </w:p>
        </w:tc>
        <w:tc>
          <w:tcPr>
            <w:tcW w:w="2548" w:type="dxa"/>
            <w:tcBorders>
              <w:bottom w:val="single" w:sz="8" w:space="0" w:color="000000"/>
              <w:right w:val="single" w:sz="8" w:space="0" w:color="000000"/>
            </w:tcBorders>
            <w:tcMar>
              <w:top w:w="100" w:type="dxa"/>
              <w:left w:w="100" w:type="dxa"/>
              <w:bottom w:w="100" w:type="dxa"/>
              <w:right w:w="100" w:type="dxa"/>
            </w:tcMar>
          </w:tcPr>
          <w:p w14:paraId="5A0F67DC" w14:textId="77777777" w:rsidR="007A31B0" w:rsidRPr="00C33D49" w:rsidRDefault="007A31B0" w:rsidP="006C5FA2">
            <w:pPr>
              <w:ind w:right="-140"/>
              <w:rPr>
                <w:sz w:val="20"/>
                <w:szCs w:val="20"/>
                <w:lang w:val="en-GB"/>
              </w:rPr>
            </w:pPr>
            <w:r w:rsidRPr="00C33D49">
              <w:rPr>
                <w:sz w:val="20"/>
                <w:szCs w:val="20"/>
                <w:lang w:val="en-GB"/>
              </w:rPr>
              <w:t>Epidemiological</w:t>
            </w:r>
          </w:p>
        </w:tc>
        <w:tc>
          <w:tcPr>
            <w:tcW w:w="1709" w:type="dxa"/>
            <w:tcBorders>
              <w:bottom w:val="single" w:sz="8" w:space="0" w:color="000000"/>
              <w:right w:val="single" w:sz="8" w:space="0" w:color="000000"/>
            </w:tcBorders>
            <w:tcMar>
              <w:top w:w="100" w:type="dxa"/>
              <w:left w:w="100" w:type="dxa"/>
              <w:bottom w:w="100" w:type="dxa"/>
              <w:right w:w="100" w:type="dxa"/>
            </w:tcMar>
          </w:tcPr>
          <w:p w14:paraId="1C104D79" w14:textId="77777777" w:rsidR="007A31B0" w:rsidRPr="00C33D49" w:rsidRDefault="007A31B0" w:rsidP="006C5FA2">
            <w:pPr>
              <w:ind w:right="-120"/>
              <w:rPr>
                <w:sz w:val="20"/>
                <w:szCs w:val="20"/>
                <w:lang w:val="en-GB"/>
              </w:rPr>
            </w:pPr>
            <w:r w:rsidRPr="00C33D49">
              <w:rPr>
                <w:sz w:val="20"/>
                <w:szCs w:val="20"/>
                <w:lang w:val="en-GB"/>
              </w:rPr>
              <w:t>N501Y</w:t>
            </w:r>
          </w:p>
        </w:tc>
        <w:tc>
          <w:tcPr>
            <w:tcW w:w="2698" w:type="dxa"/>
            <w:tcBorders>
              <w:bottom w:val="single" w:sz="8" w:space="0" w:color="000000"/>
              <w:right w:val="single" w:sz="8" w:space="0" w:color="000000"/>
            </w:tcBorders>
            <w:tcMar>
              <w:top w:w="100" w:type="dxa"/>
              <w:left w:w="100" w:type="dxa"/>
              <w:bottom w:w="100" w:type="dxa"/>
              <w:right w:w="100" w:type="dxa"/>
            </w:tcMar>
          </w:tcPr>
          <w:p w14:paraId="3878D9AC" w14:textId="77777777" w:rsidR="007A31B0" w:rsidRPr="00C33D49" w:rsidRDefault="007A31B0" w:rsidP="006C5FA2">
            <w:pPr>
              <w:rPr>
                <w:sz w:val="20"/>
                <w:szCs w:val="20"/>
                <w:lang w:val="en-GB"/>
              </w:rPr>
            </w:pPr>
            <w:r w:rsidRPr="00C33D49">
              <w:rPr>
                <w:sz w:val="20"/>
                <w:szCs w:val="20"/>
                <w:lang w:val="en-GB"/>
              </w:rPr>
              <w:t xml:space="preserve">Sent to University </w:t>
            </w:r>
            <w:proofErr w:type="spellStart"/>
            <w:r w:rsidRPr="00C33D49">
              <w:rPr>
                <w:sz w:val="20"/>
                <w:szCs w:val="20"/>
                <w:lang w:val="en-GB"/>
              </w:rPr>
              <w:t>center</w:t>
            </w:r>
            <w:proofErr w:type="spellEnd"/>
          </w:p>
        </w:tc>
      </w:tr>
      <w:tr w:rsidR="007A31B0" w:rsidRPr="00C33D49" w14:paraId="3D3CAFFA" w14:textId="77777777" w:rsidTr="006C5FA2">
        <w:trPr>
          <w:trHeight w:val="501"/>
        </w:trPr>
        <w:tc>
          <w:tcPr>
            <w:tcW w:w="2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29A0A1" w14:textId="77777777" w:rsidR="007A31B0" w:rsidRPr="00C33D49" w:rsidRDefault="007A31B0" w:rsidP="006C5FA2">
            <w:pPr>
              <w:ind w:right="40"/>
              <w:jc w:val="both"/>
              <w:rPr>
                <w:sz w:val="20"/>
                <w:szCs w:val="20"/>
                <w:lang w:val="en-GB"/>
              </w:rPr>
            </w:pPr>
            <w:r w:rsidRPr="00C33D49">
              <w:rPr>
                <w:sz w:val="20"/>
                <w:szCs w:val="20"/>
                <w:lang w:val="en-GB"/>
              </w:rPr>
              <w:t xml:space="preserve">LMZ </w:t>
            </w:r>
            <w:proofErr w:type="spellStart"/>
            <w:r w:rsidRPr="00C33D49">
              <w:rPr>
                <w:sz w:val="20"/>
                <w:szCs w:val="20"/>
                <w:lang w:val="en-GB"/>
              </w:rPr>
              <w:t>Dr.</w:t>
            </w:r>
            <w:proofErr w:type="spellEnd"/>
            <w:r w:rsidRPr="00C33D49">
              <w:rPr>
                <w:sz w:val="20"/>
                <w:szCs w:val="20"/>
                <w:lang w:val="en-GB"/>
              </w:rPr>
              <w:t xml:space="preserve"> </w:t>
            </w:r>
            <w:proofErr w:type="spellStart"/>
            <w:r w:rsidRPr="00C33D49">
              <w:rPr>
                <w:sz w:val="20"/>
                <w:szCs w:val="20"/>
                <w:lang w:val="en-GB"/>
              </w:rPr>
              <w:t>Risch</w:t>
            </w:r>
            <w:proofErr w:type="spellEnd"/>
            <w:r w:rsidRPr="00C33D49">
              <w:rPr>
                <w:sz w:val="20"/>
                <w:szCs w:val="20"/>
                <w:lang w:val="en-GB"/>
              </w:rPr>
              <w:t xml:space="preserve"> AG</w:t>
            </w:r>
          </w:p>
        </w:tc>
        <w:tc>
          <w:tcPr>
            <w:tcW w:w="2548" w:type="dxa"/>
            <w:tcBorders>
              <w:bottom w:val="single" w:sz="8" w:space="0" w:color="000000"/>
              <w:right w:val="single" w:sz="8" w:space="0" w:color="000000"/>
            </w:tcBorders>
            <w:tcMar>
              <w:top w:w="100" w:type="dxa"/>
              <w:left w:w="100" w:type="dxa"/>
              <w:bottom w:w="100" w:type="dxa"/>
              <w:right w:w="100" w:type="dxa"/>
            </w:tcMar>
          </w:tcPr>
          <w:p w14:paraId="1A03FA30" w14:textId="77777777" w:rsidR="007A31B0" w:rsidRPr="00C33D49" w:rsidRDefault="007A31B0" w:rsidP="006C5FA2">
            <w:pPr>
              <w:ind w:right="-140"/>
              <w:rPr>
                <w:sz w:val="20"/>
                <w:szCs w:val="20"/>
                <w:lang w:val="en-GB"/>
              </w:rPr>
            </w:pPr>
            <w:r w:rsidRPr="00C33D49">
              <w:rPr>
                <w:sz w:val="20"/>
                <w:szCs w:val="20"/>
                <w:lang w:val="en-GB"/>
              </w:rPr>
              <w:t>Epidemiological</w:t>
            </w:r>
          </w:p>
          <w:p w14:paraId="25A1B1AC" w14:textId="77777777" w:rsidR="007A31B0" w:rsidRPr="00C33D49" w:rsidRDefault="007A31B0" w:rsidP="006C5FA2">
            <w:pPr>
              <w:ind w:right="-140"/>
              <w:rPr>
                <w:sz w:val="20"/>
                <w:szCs w:val="20"/>
                <w:lang w:val="en-GB"/>
              </w:rPr>
            </w:pPr>
            <w:r w:rsidRPr="00C33D49">
              <w:rPr>
                <w:sz w:val="20"/>
                <w:szCs w:val="20"/>
                <w:lang w:val="en-GB"/>
              </w:rPr>
              <w:t>S gene dropout</w:t>
            </w:r>
          </w:p>
        </w:tc>
        <w:tc>
          <w:tcPr>
            <w:tcW w:w="1709" w:type="dxa"/>
            <w:tcBorders>
              <w:bottom w:val="single" w:sz="8" w:space="0" w:color="000000"/>
              <w:right w:val="single" w:sz="8" w:space="0" w:color="000000"/>
            </w:tcBorders>
            <w:tcMar>
              <w:top w:w="100" w:type="dxa"/>
              <w:left w:w="100" w:type="dxa"/>
              <w:bottom w:w="100" w:type="dxa"/>
              <w:right w:w="100" w:type="dxa"/>
            </w:tcMar>
          </w:tcPr>
          <w:p w14:paraId="4729C9BB" w14:textId="77777777" w:rsidR="007A31B0" w:rsidRPr="00C33D49" w:rsidRDefault="007A31B0" w:rsidP="006C5FA2">
            <w:pPr>
              <w:ind w:right="-120"/>
              <w:rPr>
                <w:sz w:val="20"/>
                <w:szCs w:val="20"/>
                <w:lang w:val="en-GB"/>
              </w:rPr>
            </w:pPr>
            <w:r w:rsidRPr="00C33D49">
              <w:rPr>
                <w:sz w:val="20"/>
                <w:szCs w:val="20"/>
                <w:lang w:val="en-GB"/>
              </w:rPr>
              <w:t>N501Y</w:t>
            </w:r>
          </w:p>
        </w:tc>
        <w:tc>
          <w:tcPr>
            <w:tcW w:w="2698" w:type="dxa"/>
            <w:tcBorders>
              <w:bottom w:val="single" w:sz="8" w:space="0" w:color="000000"/>
              <w:right w:val="single" w:sz="8" w:space="0" w:color="000000"/>
            </w:tcBorders>
            <w:tcMar>
              <w:top w:w="100" w:type="dxa"/>
              <w:left w:w="100" w:type="dxa"/>
              <w:bottom w:w="100" w:type="dxa"/>
              <w:right w:w="100" w:type="dxa"/>
            </w:tcMar>
          </w:tcPr>
          <w:p w14:paraId="292CF841" w14:textId="77777777" w:rsidR="007A31B0" w:rsidRPr="00C33D49" w:rsidRDefault="007A31B0" w:rsidP="006C5FA2">
            <w:pPr>
              <w:rPr>
                <w:sz w:val="20"/>
                <w:szCs w:val="20"/>
                <w:lang w:val="en-GB"/>
              </w:rPr>
            </w:pPr>
            <w:r w:rsidRPr="00C33D49">
              <w:rPr>
                <w:sz w:val="20"/>
                <w:szCs w:val="20"/>
                <w:lang w:val="en-GB"/>
              </w:rPr>
              <w:t xml:space="preserve">Sent to University </w:t>
            </w:r>
            <w:proofErr w:type="spellStart"/>
            <w:r w:rsidRPr="00C33D49">
              <w:rPr>
                <w:sz w:val="20"/>
                <w:szCs w:val="20"/>
                <w:lang w:val="en-GB"/>
              </w:rPr>
              <w:t>center</w:t>
            </w:r>
            <w:proofErr w:type="spellEnd"/>
          </w:p>
        </w:tc>
      </w:tr>
      <w:tr w:rsidR="007A31B0" w:rsidRPr="00663496" w14:paraId="6A23ABA7" w14:textId="77777777" w:rsidTr="006C5FA2">
        <w:trPr>
          <w:trHeight w:val="735"/>
        </w:trPr>
        <w:tc>
          <w:tcPr>
            <w:tcW w:w="2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37E5E8" w14:textId="77777777" w:rsidR="007A31B0" w:rsidRPr="00C33D49" w:rsidRDefault="007A31B0" w:rsidP="006C5FA2">
            <w:pPr>
              <w:ind w:right="40"/>
              <w:jc w:val="both"/>
              <w:rPr>
                <w:sz w:val="20"/>
                <w:szCs w:val="20"/>
                <w:lang w:val="en-GB"/>
              </w:rPr>
            </w:pPr>
            <w:r w:rsidRPr="00C33D49">
              <w:rPr>
                <w:sz w:val="20"/>
                <w:szCs w:val="20"/>
                <w:lang w:val="en-GB"/>
              </w:rPr>
              <w:t>University Hospital Basel</w:t>
            </w:r>
          </w:p>
        </w:tc>
        <w:tc>
          <w:tcPr>
            <w:tcW w:w="2548" w:type="dxa"/>
            <w:tcBorders>
              <w:bottom w:val="single" w:sz="8" w:space="0" w:color="000000"/>
              <w:right w:val="single" w:sz="8" w:space="0" w:color="000000"/>
            </w:tcBorders>
            <w:tcMar>
              <w:top w:w="100" w:type="dxa"/>
              <w:left w:w="100" w:type="dxa"/>
              <w:bottom w:w="100" w:type="dxa"/>
              <w:right w:w="100" w:type="dxa"/>
            </w:tcMar>
          </w:tcPr>
          <w:p w14:paraId="677BD82F" w14:textId="77777777" w:rsidR="007A31B0" w:rsidRPr="00C33D49" w:rsidRDefault="007A31B0" w:rsidP="006C5FA2">
            <w:pPr>
              <w:ind w:right="-140"/>
              <w:rPr>
                <w:sz w:val="20"/>
                <w:szCs w:val="20"/>
                <w:lang w:val="en-GB"/>
              </w:rPr>
            </w:pPr>
            <w:r w:rsidRPr="00C33D49">
              <w:rPr>
                <w:sz w:val="20"/>
                <w:szCs w:val="20"/>
                <w:lang w:val="en-GB"/>
              </w:rPr>
              <w:t>Epidemiological</w:t>
            </w:r>
          </w:p>
        </w:tc>
        <w:tc>
          <w:tcPr>
            <w:tcW w:w="1709" w:type="dxa"/>
            <w:tcBorders>
              <w:bottom w:val="single" w:sz="8" w:space="0" w:color="000000"/>
              <w:right w:val="single" w:sz="8" w:space="0" w:color="000000"/>
            </w:tcBorders>
            <w:tcMar>
              <w:top w:w="100" w:type="dxa"/>
              <w:left w:w="100" w:type="dxa"/>
              <w:bottom w:w="100" w:type="dxa"/>
              <w:right w:w="100" w:type="dxa"/>
            </w:tcMar>
          </w:tcPr>
          <w:p w14:paraId="15217A4A" w14:textId="77777777" w:rsidR="007A31B0" w:rsidRPr="00C33D49" w:rsidRDefault="007A31B0" w:rsidP="006C5FA2">
            <w:pPr>
              <w:ind w:right="-120"/>
              <w:rPr>
                <w:sz w:val="20"/>
                <w:szCs w:val="20"/>
                <w:lang w:val="en-GB"/>
              </w:rPr>
            </w:pPr>
            <w:r w:rsidRPr="00C33D49">
              <w:rPr>
                <w:sz w:val="20"/>
                <w:szCs w:val="20"/>
                <w:lang w:val="en-GB"/>
              </w:rPr>
              <w:t>N501Y</w:t>
            </w:r>
          </w:p>
          <w:p w14:paraId="405D1BFC" w14:textId="77777777" w:rsidR="007A31B0" w:rsidRPr="00C33D49" w:rsidRDefault="007A31B0" w:rsidP="006C5FA2">
            <w:pPr>
              <w:ind w:right="-120"/>
              <w:rPr>
                <w:sz w:val="20"/>
                <w:szCs w:val="20"/>
                <w:lang w:val="en-GB"/>
              </w:rPr>
            </w:pPr>
            <w:r w:rsidRPr="00C33D49">
              <w:rPr>
                <w:sz w:val="20"/>
                <w:szCs w:val="20"/>
                <w:lang w:val="en-GB"/>
              </w:rPr>
              <w:t xml:space="preserve">(additional </w:t>
            </w:r>
            <w:proofErr w:type="gramStart"/>
            <w:r w:rsidRPr="00C33D49">
              <w:rPr>
                <w:sz w:val="20"/>
                <w:szCs w:val="20"/>
                <w:lang w:val="en-GB"/>
              </w:rPr>
              <w:t>in house</w:t>
            </w:r>
            <w:proofErr w:type="gramEnd"/>
            <w:r w:rsidRPr="00C33D49">
              <w:rPr>
                <w:sz w:val="20"/>
                <w:szCs w:val="20"/>
                <w:lang w:val="en-GB"/>
              </w:rPr>
              <w:t xml:space="preserve"> method)</w:t>
            </w:r>
          </w:p>
        </w:tc>
        <w:tc>
          <w:tcPr>
            <w:tcW w:w="2698" w:type="dxa"/>
            <w:tcBorders>
              <w:bottom w:val="single" w:sz="8" w:space="0" w:color="000000"/>
              <w:right w:val="single" w:sz="8" w:space="0" w:color="000000"/>
            </w:tcBorders>
            <w:tcMar>
              <w:top w:w="100" w:type="dxa"/>
              <w:left w:w="100" w:type="dxa"/>
              <w:bottom w:w="100" w:type="dxa"/>
              <w:right w:w="100" w:type="dxa"/>
            </w:tcMar>
          </w:tcPr>
          <w:p w14:paraId="4F0767BD" w14:textId="77777777" w:rsidR="007A31B0" w:rsidRPr="00C33D49" w:rsidRDefault="007A31B0" w:rsidP="006C5FA2">
            <w:pPr>
              <w:rPr>
                <w:sz w:val="20"/>
                <w:szCs w:val="20"/>
                <w:lang w:val="en-GB"/>
              </w:rPr>
            </w:pPr>
            <w:r w:rsidRPr="00C33D49">
              <w:rPr>
                <w:sz w:val="20"/>
                <w:szCs w:val="20"/>
                <w:lang w:val="en-GB"/>
              </w:rPr>
              <w:t>Illumina and Oxford Nanopore based whole genome sequencing</w:t>
            </w:r>
          </w:p>
        </w:tc>
      </w:tr>
      <w:tr w:rsidR="007A31B0" w:rsidRPr="00663496" w14:paraId="2C92581F" w14:textId="77777777" w:rsidTr="006C5FA2">
        <w:trPr>
          <w:trHeight w:val="1205"/>
        </w:trPr>
        <w:tc>
          <w:tcPr>
            <w:tcW w:w="2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7D1861" w14:textId="77777777" w:rsidR="007A31B0" w:rsidRPr="00C33D49" w:rsidRDefault="007A31B0" w:rsidP="006C5FA2">
            <w:pPr>
              <w:ind w:right="40"/>
              <w:jc w:val="both"/>
              <w:rPr>
                <w:sz w:val="20"/>
                <w:szCs w:val="20"/>
                <w:lang w:val="en-GB"/>
              </w:rPr>
            </w:pPr>
            <w:r w:rsidRPr="00C33D49">
              <w:rPr>
                <w:sz w:val="20"/>
                <w:szCs w:val="20"/>
                <w:lang w:val="en-GB"/>
              </w:rPr>
              <w:t>University of Bern</w:t>
            </w:r>
          </w:p>
        </w:tc>
        <w:tc>
          <w:tcPr>
            <w:tcW w:w="2548" w:type="dxa"/>
            <w:tcBorders>
              <w:bottom w:val="single" w:sz="8" w:space="0" w:color="000000"/>
              <w:right w:val="single" w:sz="8" w:space="0" w:color="000000"/>
            </w:tcBorders>
            <w:tcMar>
              <w:top w:w="100" w:type="dxa"/>
              <w:left w:w="100" w:type="dxa"/>
              <w:bottom w:w="100" w:type="dxa"/>
              <w:right w:w="100" w:type="dxa"/>
            </w:tcMar>
          </w:tcPr>
          <w:p w14:paraId="5B1D44F6" w14:textId="77777777" w:rsidR="007A31B0" w:rsidRPr="00C33D49" w:rsidRDefault="007A31B0" w:rsidP="006C5FA2">
            <w:pPr>
              <w:ind w:right="-140"/>
              <w:rPr>
                <w:sz w:val="20"/>
                <w:szCs w:val="20"/>
                <w:lang w:val="en-GB"/>
              </w:rPr>
            </w:pPr>
            <w:r w:rsidRPr="00C33D49">
              <w:rPr>
                <w:sz w:val="20"/>
                <w:szCs w:val="20"/>
                <w:lang w:val="en-GB"/>
              </w:rPr>
              <w:t>Epidemiological</w:t>
            </w:r>
          </w:p>
        </w:tc>
        <w:tc>
          <w:tcPr>
            <w:tcW w:w="1709" w:type="dxa"/>
            <w:tcBorders>
              <w:bottom w:val="single" w:sz="8" w:space="0" w:color="000000"/>
              <w:right w:val="single" w:sz="8" w:space="0" w:color="000000"/>
            </w:tcBorders>
            <w:tcMar>
              <w:top w:w="100" w:type="dxa"/>
              <w:left w:w="100" w:type="dxa"/>
              <w:bottom w:w="100" w:type="dxa"/>
              <w:right w:w="100" w:type="dxa"/>
            </w:tcMar>
          </w:tcPr>
          <w:p w14:paraId="0CEB77CC" w14:textId="77777777" w:rsidR="007A31B0" w:rsidRPr="00C33D49" w:rsidRDefault="007A31B0" w:rsidP="006C5FA2">
            <w:pPr>
              <w:ind w:right="-120"/>
              <w:rPr>
                <w:sz w:val="20"/>
                <w:szCs w:val="20"/>
                <w:lang w:val="en-GB"/>
              </w:rPr>
            </w:pPr>
            <w:r w:rsidRPr="00C33D49">
              <w:rPr>
                <w:sz w:val="20"/>
                <w:szCs w:val="20"/>
                <w:lang w:val="en-GB"/>
              </w:rPr>
              <w:t>N501Y</w:t>
            </w:r>
          </w:p>
        </w:tc>
        <w:tc>
          <w:tcPr>
            <w:tcW w:w="2698" w:type="dxa"/>
            <w:tcBorders>
              <w:bottom w:val="single" w:sz="8" w:space="0" w:color="000000"/>
              <w:right w:val="single" w:sz="8" w:space="0" w:color="000000"/>
            </w:tcBorders>
            <w:tcMar>
              <w:top w:w="100" w:type="dxa"/>
              <w:left w:w="100" w:type="dxa"/>
              <w:bottom w:w="100" w:type="dxa"/>
              <w:right w:w="100" w:type="dxa"/>
            </w:tcMar>
          </w:tcPr>
          <w:p w14:paraId="405F8C33" w14:textId="77777777" w:rsidR="007A31B0" w:rsidRPr="00C33D49" w:rsidRDefault="007A31B0" w:rsidP="006C5FA2">
            <w:pPr>
              <w:rPr>
                <w:sz w:val="20"/>
                <w:szCs w:val="20"/>
                <w:lang w:val="en-GB"/>
              </w:rPr>
            </w:pPr>
            <w:r w:rsidRPr="00C33D49">
              <w:rPr>
                <w:sz w:val="20"/>
                <w:szCs w:val="20"/>
                <w:lang w:val="en-GB"/>
              </w:rPr>
              <w:t>Oxford Nanopore based amplicon and whole genome sequencing</w:t>
            </w:r>
          </w:p>
        </w:tc>
      </w:tr>
      <w:tr w:rsidR="007A31B0" w:rsidRPr="00663496" w14:paraId="5DF1B6CA" w14:textId="77777777" w:rsidTr="006C5FA2">
        <w:trPr>
          <w:trHeight w:val="594"/>
        </w:trPr>
        <w:tc>
          <w:tcPr>
            <w:tcW w:w="2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4B5DB4" w14:textId="77777777" w:rsidR="007A31B0" w:rsidRPr="00C33D49" w:rsidRDefault="007A31B0" w:rsidP="006C5FA2">
            <w:pPr>
              <w:ind w:right="40"/>
              <w:jc w:val="both"/>
              <w:rPr>
                <w:sz w:val="20"/>
                <w:szCs w:val="20"/>
                <w:lang w:val="en-GB"/>
              </w:rPr>
            </w:pPr>
            <w:r w:rsidRPr="00C33D49">
              <w:rPr>
                <w:sz w:val="20"/>
                <w:szCs w:val="20"/>
                <w:lang w:val="en-GB"/>
              </w:rPr>
              <w:t>University Hospital Geneva</w:t>
            </w:r>
          </w:p>
        </w:tc>
        <w:tc>
          <w:tcPr>
            <w:tcW w:w="2548" w:type="dxa"/>
            <w:tcBorders>
              <w:bottom w:val="single" w:sz="8" w:space="0" w:color="000000"/>
              <w:right w:val="single" w:sz="8" w:space="0" w:color="000000"/>
            </w:tcBorders>
            <w:tcMar>
              <w:top w:w="100" w:type="dxa"/>
              <w:left w:w="100" w:type="dxa"/>
              <w:bottom w:w="100" w:type="dxa"/>
              <w:right w:w="100" w:type="dxa"/>
            </w:tcMar>
          </w:tcPr>
          <w:p w14:paraId="37567DF6" w14:textId="77777777" w:rsidR="007A31B0" w:rsidRPr="00C33D49" w:rsidRDefault="007A31B0" w:rsidP="006C5FA2">
            <w:pPr>
              <w:ind w:right="-140"/>
              <w:rPr>
                <w:sz w:val="20"/>
                <w:szCs w:val="20"/>
                <w:lang w:val="en-GB"/>
              </w:rPr>
            </w:pPr>
            <w:r w:rsidRPr="00C33D49">
              <w:rPr>
                <w:sz w:val="20"/>
                <w:szCs w:val="20"/>
                <w:lang w:val="en-GB"/>
              </w:rPr>
              <w:t>Epidemiological</w:t>
            </w:r>
          </w:p>
          <w:p w14:paraId="0C2B095B" w14:textId="77777777" w:rsidR="007A31B0" w:rsidRPr="00C33D49" w:rsidRDefault="007A31B0" w:rsidP="006C5FA2">
            <w:pPr>
              <w:ind w:right="-140"/>
              <w:rPr>
                <w:sz w:val="20"/>
                <w:szCs w:val="20"/>
                <w:lang w:val="en-GB"/>
              </w:rPr>
            </w:pPr>
            <w:r w:rsidRPr="00C33D49">
              <w:rPr>
                <w:sz w:val="20"/>
                <w:szCs w:val="20"/>
                <w:lang w:val="en-GB"/>
              </w:rPr>
              <w:t>S gene dropout</w:t>
            </w:r>
          </w:p>
        </w:tc>
        <w:tc>
          <w:tcPr>
            <w:tcW w:w="1709" w:type="dxa"/>
            <w:tcBorders>
              <w:bottom w:val="single" w:sz="8" w:space="0" w:color="000000"/>
              <w:right w:val="single" w:sz="8" w:space="0" w:color="000000"/>
            </w:tcBorders>
            <w:tcMar>
              <w:top w:w="100" w:type="dxa"/>
              <w:left w:w="100" w:type="dxa"/>
              <w:bottom w:w="100" w:type="dxa"/>
              <w:right w:w="100" w:type="dxa"/>
            </w:tcMar>
          </w:tcPr>
          <w:p w14:paraId="6A12AA5E" w14:textId="77777777" w:rsidR="007A31B0" w:rsidRPr="00C33D49" w:rsidRDefault="007A31B0" w:rsidP="006C5FA2">
            <w:pPr>
              <w:ind w:right="-120"/>
              <w:rPr>
                <w:sz w:val="20"/>
                <w:szCs w:val="20"/>
                <w:lang w:val="en-GB"/>
              </w:rPr>
            </w:pPr>
            <w:r w:rsidRPr="00C33D49">
              <w:rPr>
                <w:sz w:val="20"/>
                <w:szCs w:val="20"/>
                <w:lang w:val="en-GB"/>
              </w:rPr>
              <w:t>N501Y</w:t>
            </w:r>
          </w:p>
        </w:tc>
        <w:tc>
          <w:tcPr>
            <w:tcW w:w="2698" w:type="dxa"/>
            <w:tcBorders>
              <w:bottom w:val="single" w:sz="8" w:space="0" w:color="000000"/>
              <w:right w:val="single" w:sz="8" w:space="0" w:color="000000"/>
            </w:tcBorders>
            <w:tcMar>
              <w:top w:w="100" w:type="dxa"/>
              <w:left w:w="100" w:type="dxa"/>
              <w:bottom w:w="100" w:type="dxa"/>
              <w:right w:w="100" w:type="dxa"/>
            </w:tcMar>
          </w:tcPr>
          <w:p w14:paraId="691ECED5" w14:textId="77777777" w:rsidR="007A31B0" w:rsidRPr="00C33D49" w:rsidRDefault="007A31B0" w:rsidP="006C5FA2">
            <w:pPr>
              <w:rPr>
                <w:sz w:val="20"/>
                <w:szCs w:val="20"/>
                <w:lang w:val="en-GB"/>
              </w:rPr>
            </w:pPr>
            <w:r w:rsidRPr="00C33D49">
              <w:rPr>
                <w:sz w:val="20"/>
                <w:szCs w:val="20"/>
                <w:lang w:val="en-GB"/>
              </w:rPr>
              <w:t>Amplicon based Sanger sequencing and WGS</w:t>
            </w:r>
          </w:p>
        </w:tc>
      </w:tr>
      <w:tr w:rsidR="007A31B0" w:rsidRPr="00663496" w14:paraId="1830C4B4" w14:textId="77777777" w:rsidTr="006C5FA2">
        <w:trPr>
          <w:trHeight w:val="1205"/>
        </w:trPr>
        <w:tc>
          <w:tcPr>
            <w:tcW w:w="2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FE556D" w14:textId="77777777" w:rsidR="007A31B0" w:rsidRPr="00C33D49" w:rsidRDefault="007A31B0" w:rsidP="006C5FA2">
            <w:pPr>
              <w:ind w:right="40"/>
              <w:jc w:val="both"/>
              <w:rPr>
                <w:sz w:val="20"/>
                <w:szCs w:val="20"/>
                <w:lang w:val="en-GB"/>
              </w:rPr>
            </w:pPr>
            <w:r w:rsidRPr="00C33D49">
              <w:rPr>
                <w:sz w:val="20"/>
                <w:szCs w:val="20"/>
                <w:lang w:val="en-GB"/>
              </w:rPr>
              <w:t>University Hospital Lausanne</w:t>
            </w:r>
          </w:p>
        </w:tc>
        <w:tc>
          <w:tcPr>
            <w:tcW w:w="2548" w:type="dxa"/>
            <w:tcBorders>
              <w:bottom w:val="single" w:sz="8" w:space="0" w:color="000000"/>
              <w:right w:val="single" w:sz="8" w:space="0" w:color="000000"/>
            </w:tcBorders>
            <w:tcMar>
              <w:top w:w="100" w:type="dxa"/>
              <w:left w:w="100" w:type="dxa"/>
              <w:bottom w:w="100" w:type="dxa"/>
              <w:right w:w="100" w:type="dxa"/>
            </w:tcMar>
          </w:tcPr>
          <w:p w14:paraId="641FFB9B" w14:textId="77777777" w:rsidR="007A31B0" w:rsidRPr="00C33D49" w:rsidRDefault="007A31B0" w:rsidP="006C5FA2">
            <w:pPr>
              <w:ind w:right="-140"/>
              <w:rPr>
                <w:sz w:val="20"/>
                <w:szCs w:val="20"/>
                <w:lang w:val="en-GB"/>
              </w:rPr>
            </w:pPr>
            <w:r w:rsidRPr="00C33D49">
              <w:rPr>
                <w:sz w:val="20"/>
                <w:szCs w:val="20"/>
                <w:lang w:val="en-GB"/>
              </w:rPr>
              <w:t>Epidemiological</w:t>
            </w:r>
          </w:p>
          <w:p w14:paraId="3A044E50" w14:textId="77777777" w:rsidR="007A31B0" w:rsidRPr="00C33D49" w:rsidRDefault="007A31B0" w:rsidP="006C5FA2">
            <w:pPr>
              <w:ind w:right="-140"/>
              <w:rPr>
                <w:sz w:val="20"/>
                <w:szCs w:val="20"/>
                <w:lang w:val="en-GB"/>
              </w:rPr>
            </w:pPr>
            <w:r w:rsidRPr="00C33D49">
              <w:rPr>
                <w:sz w:val="20"/>
                <w:szCs w:val="20"/>
                <w:lang w:val="en-GB"/>
              </w:rPr>
              <w:t>S gene dropout</w:t>
            </w:r>
          </w:p>
        </w:tc>
        <w:tc>
          <w:tcPr>
            <w:tcW w:w="1709" w:type="dxa"/>
            <w:tcBorders>
              <w:bottom w:val="single" w:sz="8" w:space="0" w:color="000000"/>
              <w:right w:val="single" w:sz="8" w:space="0" w:color="000000"/>
            </w:tcBorders>
            <w:tcMar>
              <w:top w:w="100" w:type="dxa"/>
              <w:left w:w="100" w:type="dxa"/>
              <w:bottom w:w="100" w:type="dxa"/>
              <w:right w:w="100" w:type="dxa"/>
            </w:tcMar>
          </w:tcPr>
          <w:p w14:paraId="523D2735" w14:textId="77777777" w:rsidR="007A31B0" w:rsidRPr="00C33D49" w:rsidRDefault="007A31B0" w:rsidP="006C5FA2">
            <w:pPr>
              <w:ind w:right="-120"/>
              <w:rPr>
                <w:sz w:val="20"/>
                <w:szCs w:val="20"/>
                <w:lang w:val="en-GB"/>
              </w:rPr>
            </w:pPr>
            <w:r w:rsidRPr="00C33D49">
              <w:rPr>
                <w:sz w:val="20"/>
                <w:szCs w:val="20"/>
                <w:lang w:val="en-GB"/>
              </w:rPr>
              <w:t>N501Y</w:t>
            </w:r>
          </w:p>
          <w:p w14:paraId="0F15F56C" w14:textId="77777777" w:rsidR="007A31B0" w:rsidRPr="00C33D49" w:rsidRDefault="007A31B0" w:rsidP="006C5FA2">
            <w:pPr>
              <w:ind w:right="-120"/>
              <w:rPr>
                <w:sz w:val="20"/>
                <w:szCs w:val="20"/>
                <w:lang w:val="en-GB"/>
              </w:rPr>
            </w:pPr>
            <w:r w:rsidRPr="00C33D49">
              <w:rPr>
                <w:sz w:val="20"/>
                <w:szCs w:val="20"/>
                <w:lang w:val="en-GB"/>
              </w:rPr>
              <w:t xml:space="preserve">(additional </w:t>
            </w:r>
            <w:proofErr w:type="gramStart"/>
            <w:r w:rsidRPr="00C33D49">
              <w:rPr>
                <w:sz w:val="20"/>
                <w:szCs w:val="20"/>
                <w:lang w:val="en-GB"/>
              </w:rPr>
              <w:t>in house</w:t>
            </w:r>
            <w:proofErr w:type="gramEnd"/>
            <w:r w:rsidRPr="00C33D49">
              <w:rPr>
                <w:sz w:val="20"/>
                <w:szCs w:val="20"/>
                <w:lang w:val="en-GB"/>
              </w:rPr>
              <w:t xml:space="preserve"> method, i.e. targeting ORF8)</w:t>
            </w:r>
          </w:p>
        </w:tc>
        <w:tc>
          <w:tcPr>
            <w:tcW w:w="2698" w:type="dxa"/>
            <w:tcBorders>
              <w:bottom w:val="single" w:sz="8" w:space="0" w:color="000000"/>
              <w:right w:val="single" w:sz="8" w:space="0" w:color="000000"/>
            </w:tcBorders>
            <w:tcMar>
              <w:top w:w="100" w:type="dxa"/>
              <w:left w:w="100" w:type="dxa"/>
              <w:bottom w:w="100" w:type="dxa"/>
              <w:right w:w="100" w:type="dxa"/>
            </w:tcMar>
          </w:tcPr>
          <w:p w14:paraId="5874E98E" w14:textId="77777777" w:rsidR="007A31B0" w:rsidRPr="00C33D49" w:rsidRDefault="007A31B0" w:rsidP="006C5FA2">
            <w:pPr>
              <w:rPr>
                <w:sz w:val="20"/>
                <w:szCs w:val="20"/>
                <w:lang w:val="en-GB"/>
              </w:rPr>
            </w:pPr>
            <w:r w:rsidRPr="00C33D49">
              <w:rPr>
                <w:sz w:val="20"/>
                <w:szCs w:val="20"/>
                <w:lang w:val="en-GB"/>
              </w:rPr>
              <w:t>Illumina based whole genome sequencing</w:t>
            </w:r>
          </w:p>
        </w:tc>
      </w:tr>
      <w:tr w:rsidR="007A31B0" w:rsidRPr="00663496" w14:paraId="1E21B112" w14:textId="77777777" w:rsidTr="006C5FA2">
        <w:trPr>
          <w:trHeight w:val="527"/>
        </w:trPr>
        <w:tc>
          <w:tcPr>
            <w:tcW w:w="2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F6F83F" w14:textId="77777777" w:rsidR="007A31B0" w:rsidRPr="00C33D49" w:rsidRDefault="007A31B0" w:rsidP="006C5FA2">
            <w:pPr>
              <w:ind w:right="40"/>
              <w:jc w:val="both"/>
              <w:rPr>
                <w:sz w:val="20"/>
                <w:szCs w:val="20"/>
                <w:lang w:val="en-GB"/>
              </w:rPr>
            </w:pPr>
            <w:r w:rsidRPr="00C33D49">
              <w:rPr>
                <w:sz w:val="20"/>
                <w:szCs w:val="20"/>
                <w:lang w:val="en-GB"/>
              </w:rPr>
              <w:t>University of Zurich</w:t>
            </w:r>
          </w:p>
        </w:tc>
        <w:tc>
          <w:tcPr>
            <w:tcW w:w="2548" w:type="dxa"/>
            <w:tcBorders>
              <w:bottom w:val="single" w:sz="8" w:space="0" w:color="000000"/>
              <w:right w:val="single" w:sz="8" w:space="0" w:color="000000"/>
            </w:tcBorders>
            <w:tcMar>
              <w:top w:w="100" w:type="dxa"/>
              <w:left w:w="100" w:type="dxa"/>
              <w:bottom w:w="100" w:type="dxa"/>
              <w:right w:w="100" w:type="dxa"/>
            </w:tcMar>
          </w:tcPr>
          <w:p w14:paraId="1A9E4DF9" w14:textId="77777777" w:rsidR="007A31B0" w:rsidRPr="00C33D49" w:rsidRDefault="007A31B0" w:rsidP="006C5FA2">
            <w:pPr>
              <w:ind w:right="-140"/>
              <w:rPr>
                <w:sz w:val="20"/>
                <w:szCs w:val="20"/>
                <w:lang w:val="en-GB"/>
              </w:rPr>
            </w:pPr>
            <w:r w:rsidRPr="00C33D49">
              <w:rPr>
                <w:sz w:val="20"/>
                <w:szCs w:val="20"/>
                <w:lang w:val="en-GB"/>
              </w:rPr>
              <w:t>Epidemiological</w:t>
            </w:r>
          </w:p>
        </w:tc>
        <w:tc>
          <w:tcPr>
            <w:tcW w:w="1709" w:type="dxa"/>
            <w:tcBorders>
              <w:bottom w:val="single" w:sz="8" w:space="0" w:color="000000"/>
              <w:right w:val="single" w:sz="8" w:space="0" w:color="000000"/>
            </w:tcBorders>
            <w:tcMar>
              <w:top w:w="100" w:type="dxa"/>
              <w:left w:w="100" w:type="dxa"/>
              <w:bottom w:w="100" w:type="dxa"/>
              <w:right w:w="100" w:type="dxa"/>
            </w:tcMar>
          </w:tcPr>
          <w:p w14:paraId="46220F11" w14:textId="77777777" w:rsidR="007A31B0" w:rsidRPr="00C33D49" w:rsidRDefault="007A31B0" w:rsidP="006C5FA2">
            <w:pPr>
              <w:ind w:right="-120"/>
              <w:rPr>
                <w:sz w:val="20"/>
                <w:szCs w:val="20"/>
                <w:lang w:val="en-GB"/>
              </w:rPr>
            </w:pPr>
            <w:r w:rsidRPr="00C33D49">
              <w:rPr>
                <w:sz w:val="20"/>
                <w:szCs w:val="20"/>
                <w:lang w:val="en-GB"/>
              </w:rPr>
              <w:t>N501Y</w:t>
            </w:r>
          </w:p>
        </w:tc>
        <w:tc>
          <w:tcPr>
            <w:tcW w:w="2698" w:type="dxa"/>
            <w:tcBorders>
              <w:bottom w:val="single" w:sz="8" w:space="0" w:color="000000"/>
              <w:right w:val="single" w:sz="8" w:space="0" w:color="000000"/>
            </w:tcBorders>
            <w:tcMar>
              <w:top w:w="100" w:type="dxa"/>
              <w:left w:w="100" w:type="dxa"/>
              <w:bottom w:w="100" w:type="dxa"/>
              <w:right w:w="100" w:type="dxa"/>
            </w:tcMar>
          </w:tcPr>
          <w:p w14:paraId="23A8CF34" w14:textId="77777777" w:rsidR="007A31B0" w:rsidRPr="00C33D49" w:rsidRDefault="007A31B0" w:rsidP="006C5FA2">
            <w:pPr>
              <w:rPr>
                <w:sz w:val="20"/>
                <w:szCs w:val="20"/>
                <w:lang w:val="en-GB"/>
              </w:rPr>
            </w:pPr>
            <w:r w:rsidRPr="00C33D49">
              <w:rPr>
                <w:sz w:val="20"/>
                <w:szCs w:val="20"/>
                <w:lang w:val="en-GB"/>
              </w:rPr>
              <w:t>Illumina based whole genome sequencing</w:t>
            </w:r>
          </w:p>
        </w:tc>
      </w:tr>
      <w:tr w:rsidR="007A31B0" w:rsidRPr="00663496" w14:paraId="4B192567" w14:textId="77777777" w:rsidTr="006C5FA2">
        <w:trPr>
          <w:trHeight w:val="875"/>
        </w:trPr>
        <w:tc>
          <w:tcPr>
            <w:tcW w:w="2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92B557" w14:textId="77777777" w:rsidR="007A31B0" w:rsidRPr="00C33D49" w:rsidRDefault="007A31B0" w:rsidP="006C5FA2">
            <w:pPr>
              <w:ind w:right="40"/>
              <w:jc w:val="both"/>
              <w:rPr>
                <w:sz w:val="20"/>
                <w:szCs w:val="20"/>
                <w:lang w:val="en-GB"/>
              </w:rPr>
            </w:pPr>
            <w:r w:rsidRPr="00C33D49">
              <w:rPr>
                <w:sz w:val="20"/>
                <w:szCs w:val="20"/>
                <w:lang w:val="en-GB"/>
              </w:rPr>
              <w:t>Centre for Laboratory Medicine St. Gall</w:t>
            </w:r>
          </w:p>
        </w:tc>
        <w:tc>
          <w:tcPr>
            <w:tcW w:w="2548" w:type="dxa"/>
            <w:tcBorders>
              <w:bottom w:val="single" w:sz="8" w:space="0" w:color="000000"/>
              <w:right w:val="single" w:sz="8" w:space="0" w:color="000000"/>
            </w:tcBorders>
            <w:tcMar>
              <w:top w:w="100" w:type="dxa"/>
              <w:left w:w="100" w:type="dxa"/>
              <w:bottom w:w="100" w:type="dxa"/>
              <w:right w:w="100" w:type="dxa"/>
            </w:tcMar>
          </w:tcPr>
          <w:p w14:paraId="50438E1D" w14:textId="77777777" w:rsidR="007A31B0" w:rsidRPr="00C33D49" w:rsidRDefault="007A31B0" w:rsidP="006C5FA2">
            <w:pPr>
              <w:ind w:right="-140"/>
              <w:rPr>
                <w:sz w:val="20"/>
                <w:szCs w:val="20"/>
                <w:lang w:val="en-GB"/>
              </w:rPr>
            </w:pPr>
            <w:r w:rsidRPr="00C33D49">
              <w:rPr>
                <w:sz w:val="20"/>
                <w:szCs w:val="20"/>
                <w:lang w:val="en-GB"/>
              </w:rPr>
              <w:t>Epidemiological</w:t>
            </w:r>
          </w:p>
        </w:tc>
        <w:tc>
          <w:tcPr>
            <w:tcW w:w="1709" w:type="dxa"/>
            <w:tcBorders>
              <w:bottom w:val="single" w:sz="8" w:space="0" w:color="000000"/>
              <w:right w:val="single" w:sz="8" w:space="0" w:color="000000"/>
            </w:tcBorders>
            <w:tcMar>
              <w:top w:w="100" w:type="dxa"/>
              <w:left w:w="100" w:type="dxa"/>
              <w:bottom w:w="100" w:type="dxa"/>
              <w:right w:w="100" w:type="dxa"/>
            </w:tcMar>
          </w:tcPr>
          <w:p w14:paraId="4AAFE1A0" w14:textId="77777777" w:rsidR="007A31B0" w:rsidRPr="00C33D49" w:rsidRDefault="007A31B0" w:rsidP="006C5FA2">
            <w:pPr>
              <w:ind w:right="-120"/>
              <w:rPr>
                <w:sz w:val="20"/>
                <w:szCs w:val="20"/>
                <w:lang w:val="en-GB"/>
              </w:rPr>
            </w:pPr>
            <w:r w:rsidRPr="00C33D49">
              <w:rPr>
                <w:sz w:val="20"/>
                <w:szCs w:val="20"/>
                <w:lang w:val="en-GB"/>
              </w:rPr>
              <w:t>N501Y</w:t>
            </w:r>
          </w:p>
        </w:tc>
        <w:tc>
          <w:tcPr>
            <w:tcW w:w="2698" w:type="dxa"/>
            <w:tcBorders>
              <w:bottom w:val="single" w:sz="8" w:space="0" w:color="000000"/>
              <w:right w:val="single" w:sz="8" w:space="0" w:color="000000"/>
            </w:tcBorders>
            <w:tcMar>
              <w:top w:w="100" w:type="dxa"/>
              <w:left w:w="100" w:type="dxa"/>
              <w:bottom w:w="100" w:type="dxa"/>
              <w:right w:w="100" w:type="dxa"/>
            </w:tcMar>
          </w:tcPr>
          <w:p w14:paraId="586F90F6" w14:textId="77777777" w:rsidR="007A31B0" w:rsidRPr="00C33D49" w:rsidRDefault="007A31B0" w:rsidP="006C5FA2">
            <w:pPr>
              <w:rPr>
                <w:sz w:val="20"/>
                <w:szCs w:val="20"/>
                <w:lang w:val="en-GB"/>
              </w:rPr>
            </w:pPr>
            <w:r w:rsidRPr="00C33D49">
              <w:rPr>
                <w:sz w:val="20"/>
                <w:szCs w:val="20"/>
                <w:lang w:val="en-GB"/>
              </w:rPr>
              <w:t>Illumina based whole genome sequencing</w:t>
            </w:r>
          </w:p>
        </w:tc>
      </w:tr>
    </w:tbl>
    <w:p w14:paraId="1EBCB9CF" w14:textId="77777777" w:rsidR="007A31B0" w:rsidRPr="00C33D49" w:rsidRDefault="007A31B0" w:rsidP="007A31B0">
      <w:pPr>
        <w:jc w:val="both"/>
        <w:rPr>
          <w:sz w:val="18"/>
          <w:szCs w:val="18"/>
          <w:lang w:val="en-GB"/>
        </w:rPr>
      </w:pPr>
      <w:r w:rsidRPr="00C33D49">
        <w:rPr>
          <w:b/>
          <w:sz w:val="18"/>
          <w:szCs w:val="18"/>
          <w:lang w:val="en-GB"/>
        </w:rPr>
        <w:t>Table S3.</w:t>
      </w:r>
      <w:r w:rsidRPr="00C33D49">
        <w:rPr>
          <w:sz w:val="18"/>
          <w:szCs w:val="18"/>
          <w:lang w:val="en-GB"/>
        </w:rPr>
        <w:t xml:space="preserve"> </w:t>
      </w:r>
      <w:r w:rsidRPr="00C33D49">
        <w:rPr>
          <w:b/>
          <w:sz w:val="18"/>
          <w:szCs w:val="18"/>
          <w:lang w:val="en-GB"/>
        </w:rPr>
        <w:t>Screening methods used by different diagnostic laboratories as of 20th January 2021.</w:t>
      </w:r>
      <w:r w:rsidRPr="00C33D49">
        <w:rPr>
          <w:sz w:val="18"/>
          <w:szCs w:val="18"/>
          <w:lang w:val="en-GB"/>
        </w:rPr>
        <w:t xml:space="preserve"> N501Y screening assay was most commonly used from TIB MOLBIOL (Germany), but also in-house developed assays were used. University </w:t>
      </w:r>
      <w:proofErr w:type="spellStart"/>
      <w:r w:rsidRPr="00C33D49">
        <w:rPr>
          <w:sz w:val="18"/>
          <w:szCs w:val="18"/>
          <w:lang w:val="en-GB"/>
        </w:rPr>
        <w:t>centers</w:t>
      </w:r>
      <w:proofErr w:type="spellEnd"/>
      <w:r w:rsidRPr="00C33D49">
        <w:rPr>
          <w:sz w:val="18"/>
          <w:szCs w:val="18"/>
          <w:lang w:val="en-GB"/>
        </w:rPr>
        <w:t xml:space="preserve"> offering whole genome sequencing included the University Hospital Basel (Division of Clinical Bacteriology and Mycology), University of Bern (Institute for Infectious Diseases), University Hospital Geneva (Virology Laboratory), University Hospital Lausanne (Institute of Microbiology), and the University of Zurich (Institute of Medical Virology). In addition, ETHZ (D-BSSE core facility) sequenced samples. </w:t>
      </w:r>
    </w:p>
    <w:p w14:paraId="4931086D" w14:textId="77777777" w:rsidR="007A31B0" w:rsidRPr="00C33D49" w:rsidRDefault="007A31B0" w:rsidP="007A31B0">
      <w:pPr>
        <w:jc w:val="both"/>
        <w:rPr>
          <w:sz w:val="18"/>
          <w:szCs w:val="18"/>
          <w:lang w:val="en-GB"/>
        </w:rPr>
      </w:pPr>
    </w:p>
    <w:p w14:paraId="6F16C9B1" w14:textId="77777777" w:rsidR="00D14F15" w:rsidRDefault="00D14F15"/>
    <w:sectPr w:rsidR="00D14F15" w:rsidSect="00A51F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B0"/>
    <w:rsid w:val="000E7A1C"/>
    <w:rsid w:val="00293014"/>
    <w:rsid w:val="002B7E55"/>
    <w:rsid w:val="002D3EA2"/>
    <w:rsid w:val="002E15CE"/>
    <w:rsid w:val="00300E28"/>
    <w:rsid w:val="003405CB"/>
    <w:rsid w:val="003E04F1"/>
    <w:rsid w:val="004419D5"/>
    <w:rsid w:val="004C76A4"/>
    <w:rsid w:val="004D064C"/>
    <w:rsid w:val="00514EF0"/>
    <w:rsid w:val="00530331"/>
    <w:rsid w:val="00602C9F"/>
    <w:rsid w:val="0064053A"/>
    <w:rsid w:val="006A26C3"/>
    <w:rsid w:val="006C3879"/>
    <w:rsid w:val="00751B53"/>
    <w:rsid w:val="007A31B0"/>
    <w:rsid w:val="007B3C10"/>
    <w:rsid w:val="00816528"/>
    <w:rsid w:val="008815E5"/>
    <w:rsid w:val="00A51FBE"/>
    <w:rsid w:val="00BB1202"/>
    <w:rsid w:val="00BB2868"/>
    <w:rsid w:val="00C2182B"/>
    <w:rsid w:val="00C76C65"/>
    <w:rsid w:val="00CA7315"/>
    <w:rsid w:val="00CB6BEE"/>
    <w:rsid w:val="00D06F14"/>
    <w:rsid w:val="00D14F15"/>
    <w:rsid w:val="00D437AA"/>
    <w:rsid w:val="00DD7ED4"/>
    <w:rsid w:val="00DF0EA1"/>
    <w:rsid w:val="00EC6B51"/>
    <w:rsid w:val="00F5292D"/>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578C1256"/>
  <w15:chartTrackingRefBased/>
  <w15:docId w15:val="{B1067AC6-A793-1C4C-8286-F6118A80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1B0"/>
    <w:pPr>
      <w:spacing w:line="276" w:lineRule="auto"/>
    </w:pPr>
    <w:rPr>
      <w:rFonts w:ascii="Arial" w:eastAsia="Arial" w:hAnsi="Arial" w:cs="Arial"/>
      <w:sz w:val="22"/>
      <w:szCs w:val="22"/>
      <w:lang w:val="d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Office Word</Application>
  <DocSecurity>0</DocSecurity>
  <Lines>11</Lines>
  <Paragraphs>3</Paragraphs>
  <ScaleCrop>false</ScaleCrop>
  <Company>University Hospital Basel</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Egli</dc:creator>
  <cp:keywords/>
  <dc:description/>
  <cp:lastModifiedBy>Adrian Egli</cp:lastModifiedBy>
  <cp:revision>1</cp:revision>
  <dcterms:created xsi:type="dcterms:W3CDTF">2021-02-06T21:23:00Z</dcterms:created>
  <dcterms:modified xsi:type="dcterms:W3CDTF">2021-02-06T21:23:00Z</dcterms:modified>
</cp:coreProperties>
</file>