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52ED" w14:textId="77777777" w:rsidR="00656E77" w:rsidRDefault="00656E77" w:rsidP="00656E77">
      <w:pPr>
        <w:jc w:val="center"/>
        <w:rPr>
          <w:b/>
        </w:rPr>
      </w:pPr>
      <w:r w:rsidRPr="00B32C3D">
        <w:rPr>
          <w:b/>
        </w:rPr>
        <w:t>Supplementary Materials</w:t>
      </w:r>
    </w:p>
    <w:p w14:paraId="634B1C19" w14:textId="77777777" w:rsidR="00656E77" w:rsidRDefault="00656E77" w:rsidP="00656E77">
      <w:pPr>
        <w:jc w:val="center"/>
        <w:rPr>
          <w:b/>
        </w:rPr>
      </w:pPr>
    </w:p>
    <w:p w14:paraId="5381C84B" w14:textId="77777777" w:rsidR="00656E77" w:rsidRDefault="00656E77" w:rsidP="00656E77">
      <w:pPr>
        <w:rPr>
          <w:b/>
        </w:rPr>
      </w:pPr>
      <w:r>
        <w:rPr>
          <w:b/>
        </w:rPr>
        <w:t>Supplement 1: Inverse Probability Weighting</w:t>
      </w:r>
    </w:p>
    <w:p w14:paraId="34EDBD96" w14:textId="77777777" w:rsidR="00656E77" w:rsidRPr="00B32C3D" w:rsidRDefault="00656E77" w:rsidP="00656E77">
      <w:r w:rsidRPr="00E85ECE">
        <w:t xml:space="preserve">To address potential bias caused by non-random missing data, Inverse Probability Weighting (IPW) was conducted </w:t>
      </w:r>
      <w:r w:rsidRPr="00E85ECE">
        <w:rPr>
          <w:noProof/>
        </w:rPr>
        <w:t>(Seaman &amp; White, 2013)</w:t>
      </w:r>
      <w:r>
        <w:t>.</w:t>
      </w:r>
      <w:r w:rsidRPr="00E85ECE">
        <w:t xml:space="preserve"> This involved weighting the analysis sample by the inverse probability of being missing. Variables measured at the first wave were examined as predictors of </w:t>
      </w:r>
      <w:proofErr w:type="spellStart"/>
      <w:r w:rsidRPr="00E85ECE">
        <w:t>missingness</w:t>
      </w:r>
      <w:proofErr w:type="spellEnd"/>
      <w:r w:rsidRPr="00E85ECE">
        <w:t xml:space="preserve"> from the analysis sample</w:t>
      </w:r>
      <w:r>
        <w:t xml:space="preserve"> (Supplement 4)</w:t>
      </w:r>
      <w:r w:rsidRPr="00E85ECE">
        <w:t xml:space="preserve">, including baseline reports of financial income, education, presence of a partner, number of children, anxiety or depression problems and comorbid illness. These formed the </w:t>
      </w:r>
      <w:proofErr w:type="spellStart"/>
      <w:r w:rsidRPr="00E85ECE">
        <w:t>missingness</w:t>
      </w:r>
      <w:proofErr w:type="spellEnd"/>
      <w:r w:rsidRPr="00E85ECE">
        <w:t xml:space="preserve"> model from which the weights were created. Minimal missing data on these predictors were singly imputed as the modal value (all predictors had &lt;13% of values missing). The Hosmer-</w:t>
      </w:r>
      <w:proofErr w:type="spellStart"/>
      <w:r w:rsidRPr="00E85ECE">
        <w:t>Lemeshow</w:t>
      </w:r>
      <w:proofErr w:type="spellEnd"/>
      <w:r w:rsidRPr="00E85ECE">
        <w:t xml:space="preserve"> test showed no indication of poor fit for the </w:t>
      </w:r>
      <w:proofErr w:type="spellStart"/>
      <w:r w:rsidRPr="00E85ECE">
        <w:t>missingness</w:t>
      </w:r>
      <w:proofErr w:type="spellEnd"/>
      <w:r w:rsidRPr="00E85ECE">
        <w:t xml:space="preserve"> model (Hosmer-</w:t>
      </w:r>
      <w:proofErr w:type="spellStart"/>
      <w:r w:rsidRPr="00E85ECE">
        <w:t>Lemeshow</w:t>
      </w:r>
      <w:proofErr w:type="spellEnd"/>
      <w:r w:rsidRPr="00E85ECE">
        <w:t xml:space="preserve"> χ2(</w:t>
      </w:r>
      <w:proofErr w:type="gramStart"/>
      <w:r w:rsidRPr="00E85ECE">
        <w:t>8)=</w:t>
      </w:r>
      <w:proofErr w:type="gramEnd"/>
      <w:r w:rsidRPr="00E85ECE">
        <w:t xml:space="preserve">12.04, p=0.149). Weights ranged from 1.29 to 8.07. Regression analyses were conducted again with the IPW weights applied to address potential bias caused by missing data. Results remained similar to the unweighted results (Supplement </w:t>
      </w:r>
      <w:r>
        <w:t>3</w:t>
      </w:r>
      <w:r w:rsidRPr="00E85ECE">
        <w:t>).</w:t>
      </w:r>
    </w:p>
    <w:p w14:paraId="1F8F0341" w14:textId="77777777" w:rsidR="00656E77" w:rsidRDefault="00656E77" w:rsidP="00656E77">
      <w:pPr>
        <w:rPr>
          <w:b/>
        </w:rPr>
      </w:pPr>
    </w:p>
    <w:p w14:paraId="4C7C8D55" w14:textId="77777777" w:rsidR="00656E77" w:rsidRDefault="00656E77" w:rsidP="00656E77">
      <w:pPr>
        <w:rPr>
          <w:b/>
        </w:rPr>
      </w:pPr>
    </w:p>
    <w:p w14:paraId="6146E2F9" w14:textId="77777777" w:rsidR="00656E77" w:rsidRDefault="00656E77" w:rsidP="00656E77">
      <w:pPr>
        <w:rPr>
          <w:b/>
        </w:rPr>
      </w:pPr>
    </w:p>
    <w:p w14:paraId="777E5647" w14:textId="77777777" w:rsidR="00656E77" w:rsidRDefault="00656E77" w:rsidP="00656E77">
      <w:pPr>
        <w:rPr>
          <w:b/>
        </w:rPr>
      </w:pPr>
    </w:p>
    <w:p w14:paraId="44C0CA3E" w14:textId="77777777" w:rsidR="00656E77" w:rsidRDefault="00656E77" w:rsidP="00656E77">
      <w:pPr>
        <w:rPr>
          <w:b/>
        </w:rPr>
      </w:pPr>
    </w:p>
    <w:p w14:paraId="331B8E75" w14:textId="77777777" w:rsidR="00656E77" w:rsidRDefault="00656E77" w:rsidP="00656E77">
      <w:pPr>
        <w:rPr>
          <w:b/>
        </w:rPr>
      </w:pPr>
    </w:p>
    <w:p w14:paraId="4334E17D" w14:textId="77777777" w:rsidR="00656E77" w:rsidRDefault="00656E77" w:rsidP="00656E77">
      <w:pPr>
        <w:rPr>
          <w:b/>
        </w:rPr>
      </w:pPr>
    </w:p>
    <w:p w14:paraId="5EBB6115" w14:textId="77777777" w:rsidR="00656E77" w:rsidRDefault="00656E77" w:rsidP="00656E77">
      <w:pPr>
        <w:rPr>
          <w:b/>
        </w:rPr>
      </w:pPr>
    </w:p>
    <w:p w14:paraId="55885950" w14:textId="77777777" w:rsidR="00656E77" w:rsidRDefault="00656E77" w:rsidP="00656E77">
      <w:pPr>
        <w:rPr>
          <w:b/>
        </w:rPr>
      </w:pPr>
    </w:p>
    <w:p w14:paraId="6AD74779" w14:textId="77777777" w:rsidR="00656E77" w:rsidRDefault="00656E77" w:rsidP="00656E77">
      <w:pPr>
        <w:rPr>
          <w:b/>
        </w:rPr>
      </w:pPr>
    </w:p>
    <w:p w14:paraId="5FDDDEFF" w14:textId="77777777" w:rsidR="00656E77" w:rsidRDefault="00656E77" w:rsidP="00656E77">
      <w:pPr>
        <w:rPr>
          <w:b/>
        </w:rPr>
      </w:pPr>
    </w:p>
    <w:p w14:paraId="5DC0C828" w14:textId="77777777" w:rsidR="00656E77" w:rsidRDefault="00656E77" w:rsidP="00656E77">
      <w:pPr>
        <w:rPr>
          <w:b/>
        </w:rPr>
      </w:pPr>
    </w:p>
    <w:p w14:paraId="47CB9979" w14:textId="77777777" w:rsidR="00656E77" w:rsidRDefault="00656E77" w:rsidP="00656E77">
      <w:pPr>
        <w:rPr>
          <w:b/>
        </w:rPr>
      </w:pPr>
      <w:r>
        <w:rPr>
          <w:b/>
        </w:rPr>
        <w:lastRenderedPageBreak/>
        <w:t>Supplement 2:</w:t>
      </w:r>
      <w:r w:rsidRPr="001221CB">
        <w:t xml:space="preserve"> </w:t>
      </w:r>
      <w:r>
        <w:rPr>
          <w:b/>
        </w:rPr>
        <w:t xml:space="preserve">Psychotropic medications </w:t>
      </w:r>
    </w:p>
    <w:p w14:paraId="68CB82DB" w14:textId="77777777" w:rsidR="00656E77" w:rsidRDefault="00656E77" w:rsidP="00656E77">
      <w:pPr>
        <w:rPr>
          <w:b/>
        </w:rPr>
      </w:pPr>
    </w:p>
    <w:tbl>
      <w:tblPr>
        <w:tblpPr w:leftFromText="180" w:rightFromText="180" w:vertAnchor="page" w:horzAnchor="margin" w:tblpY="2281"/>
        <w:tblW w:w="13770" w:type="dxa"/>
        <w:tblCellMar>
          <w:left w:w="0" w:type="dxa"/>
          <w:right w:w="0" w:type="dxa"/>
        </w:tblCellMar>
        <w:tblLook w:val="0420" w:firstRow="1" w:lastRow="0" w:firstColumn="0" w:lastColumn="0" w:noHBand="0" w:noVBand="1"/>
      </w:tblPr>
      <w:tblGrid>
        <w:gridCol w:w="10016"/>
        <w:gridCol w:w="1753"/>
        <w:gridCol w:w="2001"/>
      </w:tblGrid>
      <w:tr w:rsidR="00656E77" w:rsidRPr="00FC319A" w14:paraId="646B1E9C" w14:textId="77777777" w:rsidTr="003A1979">
        <w:trPr>
          <w:trHeight w:val="308"/>
        </w:trPr>
        <w:tc>
          <w:tcPr>
            <w:tcW w:w="10016"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2680BD6" w14:textId="77777777" w:rsidR="00656E77" w:rsidRPr="00FC319A" w:rsidRDefault="00656E77" w:rsidP="003A1979">
            <w:pPr>
              <w:rPr>
                <w:b/>
              </w:rPr>
            </w:pPr>
            <w:r>
              <w:rPr>
                <w:b/>
              </w:rPr>
              <w:t>Drug</w:t>
            </w:r>
            <w:r w:rsidRPr="00FC319A">
              <w:rPr>
                <w:b/>
              </w:rPr>
              <w:t xml:space="preserve"> category </w:t>
            </w:r>
          </w:p>
        </w:tc>
        <w:tc>
          <w:tcPr>
            <w:tcW w:w="175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4C9AE962" w14:textId="77777777" w:rsidR="00656E77" w:rsidRPr="00FC319A" w:rsidRDefault="00656E77" w:rsidP="003A1979">
            <w:pPr>
              <w:rPr>
                <w:b/>
              </w:rPr>
            </w:pPr>
            <w:r w:rsidRPr="00FC319A">
              <w:rPr>
                <w:b/>
              </w:rPr>
              <w:t>N</w:t>
            </w:r>
          </w:p>
        </w:tc>
        <w:tc>
          <w:tcPr>
            <w:tcW w:w="2001"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DF829DE" w14:textId="77777777" w:rsidR="00656E77" w:rsidRPr="00FC319A" w:rsidRDefault="00656E77" w:rsidP="003A1979">
            <w:pPr>
              <w:rPr>
                <w:b/>
              </w:rPr>
            </w:pPr>
            <w:r w:rsidRPr="00FC319A">
              <w:rPr>
                <w:b/>
              </w:rPr>
              <w:t>% of 148</w:t>
            </w:r>
          </w:p>
        </w:tc>
      </w:tr>
      <w:tr w:rsidR="00656E77" w:rsidRPr="00CA2897" w14:paraId="72F64E86" w14:textId="77777777" w:rsidTr="003A1979">
        <w:trPr>
          <w:trHeight w:val="318"/>
        </w:trPr>
        <w:tc>
          <w:tcPr>
            <w:tcW w:w="10016"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7C823556" w14:textId="77777777" w:rsidR="00656E77" w:rsidRPr="00CA2897" w:rsidRDefault="00656E77" w:rsidP="003A1979">
            <w:r>
              <w:t>S</w:t>
            </w:r>
            <w:r w:rsidRPr="001F3155">
              <w:t xml:space="preserve">elective serotonin reuptake inhibitors </w:t>
            </w:r>
            <w:r>
              <w:t>(</w:t>
            </w:r>
            <w:r w:rsidRPr="00CA2897">
              <w:t>SSRIs</w:t>
            </w:r>
            <w:r>
              <w:t>)</w:t>
            </w:r>
          </w:p>
        </w:tc>
        <w:tc>
          <w:tcPr>
            <w:tcW w:w="175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2A452F50" w14:textId="77777777" w:rsidR="00656E77" w:rsidRPr="00CA2897" w:rsidRDefault="00656E77" w:rsidP="003A1979">
            <w:r w:rsidRPr="00CA2897">
              <w:t>70</w:t>
            </w:r>
          </w:p>
        </w:tc>
        <w:tc>
          <w:tcPr>
            <w:tcW w:w="2001"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3B34C856" w14:textId="77777777" w:rsidR="00656E77" w:rsidRPr="00CA2897" w:rsidRDefault="00656E77" w:rsidP="003A1979">
            <w:r w:rsidRPr="00CA2897">
              <w:t>47.3</w:t>
            </w:r>
          </w:p>
        </w:tc>
      </w:tr>
      <w:tr w:rsidR="00656E77" w:rsidRPr="00CA2897" w14:paraId="66745789" w14:textId="77777777" w:rsidTr="003A1979">
        <w:trPr>
          <w:trHeight w:val="318"/>
        </w:trPr>
        <w:tc>
          <w:tcPr>
            <w:tcW w:w="10016" w:type="dxa"/>
            <w:tcBorders>
              <w:top w:val="nil"/>
              <w:left w:val="nil"/>
              <w:bottom w:val="nil"/>
              <w:right w:val="nil"/>
            </w:tcBorders>
            <w:shd w:val="clear" w:color="auto" w:fill="auto"/>
            <w:tcMar>
              <w:top w:w="72" w:type="dxa"/>
              <w:left w:w="144" w:type="dxa"/>
              <w:bottom w:w="72" w:type="dxa"/>
              <w:right w:w="144" w:type="dxa"/>
            </w:tcMar>
            <w:hideMark/>
          </w:tcPr>
          <w:p w14:paraId="6E2F6F3A" w14:textId="77777777" w:rsidR="00656E77" w:rsidRPr="00CA2897" w:rsidRDefault="00656E77" w:rsidP="003A1979">
            <w:r>
              <w:t>Other serotonin reuptake inhibitors (</w:t>
            </w:r>
            <w:r w:rsidRPr="00CA2897">
              <w:t>SNRIs</w:t>
            </w:r>
            <w:r>
              <w:t xml:space="preserve"> or SARIs)</w:t>
            </w:r>
          </w:p>
        </w:tc>
        <w:tc>
          <w:tcPr>
            <w:tcW w:w="1753" w:type="dxa"/>
            <w:tcBorders>
              <w:top w:val="nil"/>
              <w:left w:val="nil"/>
              <w:bottom w:val="nil"/>
              <w:right w:val="nil"/>
            </w:tcBorders>
            <w:shd w:val="clear" w:color="auto" w:fill="auto"/>
            <w:tcMar>
              <w:top w:w="72" w:type="dxa"/>
              <w:left w:w="144" w:type="dxa"/>
              <w:bottom w:w="72" w:type="dxa"/>
              <w:right w:w="144" w:type="dxa"/>
            </w:tcMar>
            <w:hideMark/>
          </w:tcPr>
          <w:p w14:paraId="2CCAEA59" w14:textId="77777777" w:rsidR="00656E77" w:rsidRPr="00CA2897" w:rsidRDefault="00656E77" w:rsidP="003A1979">
            <w:r w:rsidRPr="00CA2897">
              <w:t>1</w:t>
            </w:r>
            <w:r>
              <w:t>5</w:t>
            </w:r>
          </w:p>
        </w:tc>
        <w:tc>
          <w:tcPr>
            <w:tcW w:w="2001" w:type="dxa"/>
            <w:tcBorders>
              <w:top w:val="nil"/>
              <w:left w:val="nil"/>
              <w:bottom w:val="nil"/>
              <w:right w:val="nil"/>
            </w:tcBorders>
            <w:shd w:val="clear" w:color="auto" w:fill="auto"/>
            <w:tcMar>
              <w:top w:w="72" w:type="dxa"/>
              <w:left w:w="144" w:type="dxa"/>
              <w:bottom w:w="72" w:type="dxa"/>
              <w:right w:w="144" w:type="dxa"/>
            </w:tcMar>
            <w:hideMark/>
          </w:tcPr>
          <w:p w14:paraId="7F8D2FEB" w14:textId="77777777" w:rsidR="00656E77" w:rsidRPr="00CA2897" w:rsidRDefault="00656E77" w:rsidP="003A1979">
            <w:r w:rsidRPr="001F3155">
              <w:t>10.1</w:t>
            </w:r>
          </w:p>
        </w:tc>
      </w:tr>
      <w:tr w:rsidR="00656E77" w:rsidRPr="00CA2897" w14:paraId="6DD7E08B" w14:textId="77777777" w:rsidTr="003A1979">
        <w:trPr>
          <w:trHeight w:val="318"/>
        </w:trPr>
        <w:tc>
          <w:tcPr>
            <w:tcW w:w="10016" w:type="dxa"/>
            <w:tcBorders>
              <w:top w:val="nil"/>
              <w:left w:val="nil"/>
              <w:bottom w:val="nil"/>
              <w:right w:val="nil"/>
            </w:tcBorders>
            <w:shd w:val="clear" w:color="auto" w:fill="auto"/>
            <w:tcMar>
              <w:top w:w="72" w:type="dxa"/>
              <w:left w:w="144" w:type="dxa"/>
              <w:bottom w:w="72" w:type="dxa"/>
              <w:right w:w="144" w:type="dxa"/>
            </w:tcMar>
            <w:hideMark/>
          </w:tcPr>
          <w:p w14:paraId="184F04B4" w14:textId="77777777" w:rsidR="00656E77" w:rsidRPr="00CA2897" w:rsidRDefault="00656E77" w:rsidP="003A1979">
            <w:r>
              <w:t>First generation antidepressants (t</w:t>
            </w:r>
            <w:r w:rsidRPr="00CA2897">
              <w:t>ricyclic</w:t>
            </w:r>
            <w:r>
              <w:t xml:space="preserve">s or </w:t>
            </w:r>
            <w:r w:rsidRPr="00CA2897">
              <w:t>MOAIs</w:t>
            </w:r>
            <w:r>
              <w:t>)</w:t>
            </w:r>
          </w:p>
        </w:tc>
        <w:tc>
          <w:tcPr>
            <w:tcW w:w="1753" w:type="dxa"/>
            <w:tcBorders>
              <w:top w:val="nil"/>
              <w:left w:val="nil"/>
              <w:bottom w:val="nil"/>
              <w:right w:val="nil"/>
            </w:tcBorders>
            <w:shd w:val="clear" w:color="auto" w:fill="auto"/>
            <w:tcMar>
              <w:top w:w="72" w:type="dxa"/>
              <w:left w:w="144" w:type="dxa"/>
              <w:bottom w:w="72" w:type="dxa"/>
              <w:right w:w="144" w:type="dxa"/>
            </w:tcMar>
            <w:hideMark/>
          </w:tcPr>
          <w:p w14:paraId="2A743061" w14:textId="77777777" w:rsidR="00656E77" w:rsidRPr="001F3155" w:rsidRDefault="00656E77" w:rsidP="003A1979">
            <w:r w:rsidRPr="001F3155">
              <w:t>11</w:t>
            </w:r>
          </w:p>
        </w:tc>
        <w:tc>
          <w:tcPr>
            <w:tcW w:w="2001" w:type="dxa"/>
            <w:tcBorders>
              <w:top w:val="nil"/>
              <w:left w:val="nil"/>
              <w:bottom w:val="nil"/>
              <w:right w:val="nil"/>
            </w:tcBorders>
            <w:shd w:val="clear" w:color="auto" w:fill="auto"/>
            <w:tcMar>
              <w:top w:w="72" w:type="dxa"/>
              <w:left w:w="144" w:type="dxa"/>
              <w:bottom w:w="72" w:type="dxa"/>
              <w:right w:w="144" w:type="dxa"/>
            </w:tcMar>
            <w:hideMark/>
          </w:tcPr>
          <w:p w14:paraId="4670BB8D" w14:textId="77777777" w:rsidR="00656E77" w:rsidRPr="001F3155" w:rsidRDefault="00656E77" w:rsidP="003A1979">
            <w:r w:rsidRPr="001F3155">
              <w:t>7.4</w:t>
            </w:r>
          </w:p>
        </w:tc>
      </w:tr>
      <w:tr w:rsidR="00656E77" w:rsidRPr="00CA2897" w14:paraId="1B4267CB" w14:textId="77777777" w:rsidTr="003A1979">
        <w:trPr>
          <w:trHeight w:val="318"/>
        </w:trPr>
        <w:tc>
          <w:tcPr>
            <w:tcW w:w="10016" w:type="dxa"/>
            <w:tcBorders>
              <w:top w:val="nil"/>
              <w:left w:val="nil"/>
              <w:bottom w:val="nil"/>
              <w:right w:val="nil"/>
            </w:tcBorders>
            <w:shd w:val="clear" w:color="auto" w:fill="auto"/>
            <w:tcMar>
              <w:top w:w="72" w:type="dxa"/>
              <w:left w:w="144" w:type="dxa"/>
              <w:bottom w:w="72" w:type="dxa"/>
              <w:right w:w="144" w:type="dxa"/>
            </w:tcMar>
            <w:hideMark/>
          </w:tcPr>
          <w:p w14:paraId="0DCE29EA" w14:textId="77777777" w:rsidR="00656E77" w:rsidRPr="00CA2897" w:rsidRDefault="00656E77" w:rsidP="003A1979">
            <w:r>
              <w:t>Atypical antidepressants (</w:t>
            </w:r>
            <w:proofErr w:type="spellStart"/>
            <w:r>
              <w:t>t</w:t>
            </w:r>
            <w:r w:rsidRPr="00CA2897">
              <w:t>etracyclic</w:t>
            </w:r>
            <w:r>
              <w:t>s</w:t>
            </w:r>
            <w:proofErr w:type="spellEnd"/>
            <w:r>
              <w:t>)</w:t>
            </w:r>
            <w:r w:rsidRPr="00CA2897">
              <w:t xml:space="preserve"> </w:t>
            </w:r>
          </w:p>
        </w:tc>
        <w:tc>
          <w:tcPr>
            <w:tcW w:w="1753" w:type="dxa"/>
            <w:tcBorders>
              <w:top w:val="nil"/>
              <w:left w:val="nil"/>
              <w:bottom w:val="nil"/>
              <w:right w:val="nil"/>
            </w:tcBorders>
            <w:shd w:val="clear" w:color="auto" w:fill="auto"/>
            <w:tcMar>
              <w:top w:w="72" w:type="dxa"/>
              <w:left w:w="144" w:type="dxa"/>
              <w:bottom w:w="72" w:type="dxa"/>
              <w:right w:w="144" w:type="dxa"/>
            </w:tcMar>
            <w:hideMark/>
          </w:tcPr>
          <w:p w14:paraId="392A9B66" w14:textId="77777777" w:rsidR="00656E77" w:rsidRPr="00CA2897" w:rsidRDefault="00656E77" w:rsidP="003A1979">
            <w:r w:rsidRPr="00CA2897">
              <w:t>4</w:t>
            </w:r>
          </w:p>
        </w:tc>
        <w:tc>
          <w:tcPr>
            <w:tcW w:w="2001" w:type="dxa"/>
            <w:tcBorders>
              <w:top w:val="nil"/>
              <w:left w:val="nil"/>
              <w:bottom w:val="nil"/>
              <w:right w:val="nil"/>
            </w:tcBorders>
            <w:shd w:val="clear" w:color="auto" w:fill="auto"/>
            <w:tcMar>
              <w:top w:w="72" w:type="dxa"/>
              <w:left w:w="144" w:type="dxa"/>
              <w:bottom w:w="72" w:type="dxa"/>
              <w:right w:w="144" w:type="dxa"/>
            </w:tcMar>
            <w:hideMark/>
          </w:tcPr>
          <w:p w14:paraId="32986408" w14:textId="77777777" w:rsidR="00656E77" w:rsidRPr="00CA2897" w:rsidRDefault="00656E77" w:rsidP="003A1979">
            <w:r w:rsidRPr="00CA2897">
              <w:t>2.7</w:t>
            </w:r>
          </w:p>
        </w:tc>
      </w:tr>
      <w:tr w:rsidR="00656E77" w:rsidRPr="00CA2897" w14:paraId="64E13851" w14:textId="77777777" w:rsidTr="003A1979">
        <w:trPr>
          <w:trHeight w:val="318"/>
        </w:trPr>
        <w:tc>
          <w:tcPr>
            <w:tcW w:w="10016" w:type="dxa"/>
            <w:tcBorders>
              <w:top w:val="nil"/>
              <w:left w:val="nil"/>
              <w:right w:val="nil"/>
            </w:tcBorders>
            <w:shd w:val="clear" w:color="auto" w:fill="auto"/>
            <w:tcMar>
              <w:top w:w="72" w:type="dxa"/>
              <w:left w:w="144" w:type="dxa"/>
              <w:bottom w:w="72" w:type="dxa"/>
              <w:right w:w="144" w:type="dxa"/>
            </w:tcMar>
            <w:hideMark/>
          </w:tcPr>
          <w:p w14:paraId="5D9484E7" w14:textId="77777777" w:rsidR="00656E77" w:rsidRPr="00CA2897" w:rsidRDefault="00656E77" w:rsidP="003A1979">
            <w:r>
              <w:t>Antipsychotics</w:t>
            </w:r>
          </w:p>
        </w:tc>
        <w:tc>
          <w:tcPr>
            <w:tcW w:w="1753" w:type="dxa"/>
            <w:tcBorders>
              <w:top w:val="nil"/>
              <w:left w:val="nil"/>
              <w:right w:val="nil"/>
            </w:tcBorders>
            <w:shd w:val="clear" w:color="auto" w:fill="auto"/>
            <w:tcMar>
              <w:top w:w="72" w:type="dxa"/>
              <w:left w:w="144" w:type="dxa"/>
              <w:bottom w:w="72" w:type="dxa"/>
              <w:right w:w="144" w:type="dxa"/>
            </w:tcMar>
            <w:hideMark/>
          </w:tcPr>
          <w:p w14:paraId="25BB6790" w14:textId="77777777" w:rsidR="00656E77" w:rsidRPr="00CA2897" w:rsidRDefault="00656E77" w:rsidP="003A1979">
            <w:r w:rsidRPr="00CA2897">
              <w:t>7</w:t>
            </w:r>
          </w:p>
        </w:tc>
        <w:tc>
          <w:tcPr>
            <w:tcW w:w="2001" w:type="dxa"/>
            <w:tcBorders>
              <w:top w:val="nil"/>
              <w:left w:val="nil"/>
              <w:right w:val="nil"/>
            </w:tcBorders>
            <w:shd w:val="clear" w:color="auto" w:fill="auto"/>
            <w:tcMar>
              <w:top w:w="72" w:type="dxa"/>
              <w:left w:w="144" w:type="dxa"/>
              <w:bottom w:w="72" w:type="dxa"/>
              <w:right w:w="144" w:type="dxa"/>
            </w:tcMar>
            <w:hideMark/>
          </w:tcPr>
          <w:p w14:paraId="2180CA65" w14:textId="77777777" w:rsidR="00656E77" w:rsidRPr="00CA2897" w:rsidRDefault="00656E77" w:rsidP="003A1979">
            <w:r w:rsidRPr="00CA2897">
              <w:t>4.7</w:t>
            </w:r>
          </w:p>
        </w:tc>
      </w:tr>
      <w:tr w:rsidR="00656E77" w:rsidRPr="00CA2897" w14:paraId="49EE25B1" w14:textId="77777777" w:rsidTr="003A1979">
        <w:trPr>
          <w:trHeight w:val="318"/>
        </w:trPr>
        <w:tc>
          <w:tcPr>
            <w:tcW w:w="10016" w:type="dxa"/>
            <w:tcBorders>
              <w:top w:val="nil"/>
              <w:left w:val="nil"/>
              <w:bottom w:val="dashed" w:sz="4" w:space="0" w:color="auto"/>
              <w:right w:val="nil"/>
            </w:tcBorders>
            <w:shd w:val="clear" w:color="auto" w:fill="auto"/>
            <w:tcMar>
              <w:top w:w="72" w:type="dxa"/>
              <w:left w:w="144" w:type="dxa"/>
              <w:bottom w:w="72" w:type="dxa"/>
              <w:right w:w="144" w:type="dxa"/>
            </w:tcMar>
            <w:hideMark/>
          </w:tcPr>
          <w:p w14:paraId="2F3A5B09" w14:textId="77777777" w:rsidR="00656E77" w:rsidRPr="00CA2897" w:rsidRDefault="00656E77" w:rsidP="003A1979">
            <w:r w:rsidRPr="00CA2897">
              <w:t>Lithium</w:t>
            </w:r>
          </w:p>
        </w:tc>
        <w:tc>
          <w:tcPr>
            <w:tcW w:w="1753" w:type="dxa"/>
            <w:tcBorders>
              <w:top w:val="nil"/>
              <w:left w:val="nil"/>
              <w:bottom w:val="dashed" w:sz="4" w:space="0" w:color="auto"/>
              <w:right w:val="nil"/>
            </w:tcBorders>
            <w:shd w:val="clear" w:color="auto" w:fill="auto"/>
            <w:tcMar>
              <w:top w:w="72" w:type="dxa"/>
              <w:left w:w="144" w:type="dxa"/>
              <w:bottom w:w="72" w:type="dxa"/>
              <w:right w:w="144" w:type="dxa"/>
            </w:tcMar>
            <w:hideMark/>
          </w:tcPr>
          <w:p w14:paraId="6CC3396A" w14:textId="77777777" w:rsidR="00656E77" w:rsidRPr="00CA2897" w:rsidRDefault="00656E77" w:rsidP="003A1979">
            <w:r w:rsidRPr="00CA2897">
              <w:t>4</w:t>
            </w:r>
          </w:p>
        </w:tc>
        <w:tc>
          <w:tcPr>
            <w:tcW w:w="2001" w:type="dxa"/>
            <w:tcBorders>
              <w:top w:val="nil"/>
              <w:left w:val="nil"/>
              <w:bottom w:val="dashed" w:sz="4" w:space="0" w:color="auto"/>
              <w:right w:val="nil"/>
            </w:tcBorders>
            <w:shd w:val="clear" w:color="auto" w:fill="auto"/>
            <w:tcMar>
              <w:top w:w="72" w:type="dxa"/>
              <w:left w:w="144" w:type="dxa"/>
              <w:bottom w:w="72" w:type="dxa"/>
              <w:right w:w="144" w:type="dxa"/>
            </w:tcMar>
            <w:hideMark/>
          </w:tcPr>
          <w:p w14:paraId="187E8CD9" w14:textId="77777777" w:rsidR="00656E77" w:rsidRPr="00CA2897" w:rsidRDefault="00656E77" w:rsidP="003A1979">
            <w:r w:rsidRPr="00CA2897">
              <w:t>2.7</w:t>
            </w:r>
          </w:p>
        </w:tc>
      </w:tr>
      <w:tr w:rsidR="00656E77" w:rsidRPr="00CA2897" w14:paraId="6101D9CD" w14:textId="77777777" w:rsidTr="003A1979">
        <w:trPr>
          <w:trHeight w:val="318"/>
        </w:trPr>
        <w:tc>
          <w:tcPr>
            <w:tcW w:w="10016" w:type="dxa"/>
            <w:tcBorders>
              <w:top w:val="dashed" w:sz="4" w:space="0" w:color="auto"/>
              <w:left w:val="nil"/>
              <w:bottom w:val="nil"/>
              <w:right w:val="nil"/>
            </w:tcBorders>
            <w:shd w:val="clear" w:color="auto" w:fill="auto"/>
            <w:tcMar>
              <w:top w:w="72" w:type="dxa"/>
              <w:left w:w="144" w:type="dxa"/>
              <w:bottom w:w="72" w:type="dxa"/>
              <w:right w:w="144" w:type="dxa"/>
            </w:tcMar>
            <w:hideMark/>
          </w:tcPr>
          <w:p w14:paraId="5028CE5E" w14:textId="77777777" w:rsidR="00656E77" w:rsidRPr="00CA2897" w:rsidRDefault="00656E77" w:rsidP="003A1979">
            <w:r w:rsidRPr="00CA2897">
              <w:t>Mood stabilisers/anti-epileptic</w:t>
            </w:r>
          </w:p>
        </w:tc>
        <w:tc>
          <w:tcPr>
            <w:tcW w:w="1753" w:type="dxa"/>
            <w:tcBorders>
              <w:top w:val="dashed" w:sz="4" w:space="0" w:color="auto"/>
              <w:left w:val="nil"/>
              <w:bottom w:val="nil"/>
              <w:right w:val="nil"/>
            </w:tcBorders>
            <w:shd w:val="clear" w:color="auto" w:fill="auto"/>
            <w:tcMar>
              <w:top w:w="72" w:type="dxa"/>
              <w:left w:w="144" w:type="dxa"/>
              <w:bottom w:w="72" w:type="dxa"/>
              <w:right w:w="144" w:type="dxa"/>
            </w:tcMar>
            <w:hideMark/>
          </w:tcPr>
          <w:p w14:paraId="4881C889" w14:textId="77777777" w:rsidR="00656E77" w:rsidRPr="00CA2897" w:rsidRDefault="00656E77" w:rsidP="003A1979">
            <w:r>
              <w:t>5</w:t>
            </w:r>
          </w:p>
        </w:tc>
        <w:tc>
          <w:tcPr>
            <w:tcW w:w="2001" w:type="dxa"/>
            <w:tcBorders>
              <w:top w:val="dashed" w:sz="4" w:space="0" w:color="auto"/>
              <w:left w:val="nil"/>
              <w:bottom w:val="nil"/>
              <w:right w:val="nil"/>
            </w:tcBorders>
            <w:shd w:val="clear" w:color="auto" w:fill="auto"/>
            <w:tcMar>
              <w:top w:w="72" w:type="dxa"/>
              <w:left w:w="144" w:type="dxa"/>
              <w:bottom w:w="72" w:type="dxa"/>
              <w:right w:w="144" w:type="dxa"/>
            </w:tcMar>
            <w:hideMark/>
          </w:tcPr>
          <w:p w14:paraId="35F70830" w14:textId="77777777" w:rsidR="00656E77" w:rsidRPr="00CA2897" w:rsidRDefault="00656E77" w:rsidP="003A1979">
            <w:r w:rsidRPr="00CA2897">
              <w:t>2.7</w:t>
            </w:r>
          </w:p>
        </w:tc>
      </w:tr>
      <w:tr w:rsidR="00656E77" w:rsidRPr="00CA2897" w14:paraId="028F7335" w14:textId="77777777" w:rsidTr="003A1979">
        <w:trPr>
          <w:trHeight w:val="318"/>
        </w:trPr>
        <w:tc>
          <w:tcPr>
            <w:tcW w:w="10016" w:type="dxa"/>
            <w:tcBorders>
              <w:top w:val="nil"/>
              <w:left w:val="nil"/>
              <w:bottom w:val="nil"/>
              <w:right w:val="nil"/>
            </w:tcBorders>
            <w:shd w:val="clear" w:color="auto" w:fill="auto"/>
            <w:tcMar>
              <w:top w:w="72" w:type="dxa"/>
              <w:left w:w="144" w:type="dxa"/>
              <w:bottom w:w="72" w:type="dxa"/>
              <w:right w:w="144" w:type="dxa"/>
            </w:tcMar>
            <w:hideMark/>
          </w:tcPr>
          <w:p w14:paraId="1F0D6870" w14:textId="77777777" w:rsidR="00656E77" w:rsidRPr="00CA2897" w:rsidRDefault="00656E77" w:rsidP="003A1979">
            <w:r w:rsidRPr="00CA2897">
              <w:t>Anti-anxiety</w:t>
            </w:r>
            <w:r>
              <w:t xml:space="preserve"> (</w:t>
            </w:r>
            <w:proofErr w:type="spellStart"/>
            <w:r>
              <w:t>benzodiazapines</w:t>
            </w:r>
            <w:proofErr w:type="spellEnd"/>
            <w:r>
              <w:t xml:space="preserve">, propranolol and </w:t>
            </w:r>
            <w:proofErr w:type="spellStart"/>
            <w:r>
              <w:t>buspirone</w:t>
            </w:r>
            <w:proofErr w:type="spellEnd"/>
            <w:r>
              <w:t>)</w:t>
            </w:r>
          </w:p>
        </w:tc>
        <w:tc>
          <w:tcPr>
            <w:tcW w:w="1753" w:type="dxa"/>
            <w:tcBorders>
              <w:top w:val="nil"/>
              <w:left w:val="nil"/>
              <w:bottom w:val="nil"/>
              <w:right w:val="nil"/>
            </w:tcBorders>
            <w:shd w:val="clear" w:color="auto" w:fill="auto"/>
            <w:tcMar>
              <w:top w:w="72" w:type="dxa"/>
              <w:left w:w="144" w:type="dxa"/>
              <w:bottom w:w="72" w:type="dxa"/>
              <w:right w:w="144" w:type="dxa"/>
            </w:tcMar>
            <w:hideMark/>
          </w:tcPr>
          <w:p w14:paraId="606C57CB" w14:textId="77777777" w:rsidR="00656E77" w:rsidRPr="00CA2897" w:rsidRDefault="00656E77" w:rsidP="003A1979">
            <w:r w:rsidRPr="00CA2897">
              <w:t>11</w:t>
            </w:r>
          </w:p>
        </w:tc>
        <w:tc>
          <w:tcPr>
            <w:tcW w:w="2001" w:type="dxa"/>
            <w:tcBorders>
              <w:top w:val="nil"/>
              <w:left w:val="nil"/>
              <w:bottom w:val="nil"/>
              <w:right w:val="nil"/>
            </w:tcBorders>
            <w:shd w:val="clear" w:color="auto" w:fill="auto"/>
            <w:tcMar>
              <w:top w:w="72" w:type="dxa"/>
              <w:left w:w="144" w:type="dxa"/>
              <w:bottom w:w="72" w:type="dxa"/>
              <w:right w:w="144" w:type="dxa"/>
            </w:tcMar>
            <w:hideMark/>
          </w:tcPr>
          <w:p w14:paraId="3770EF0C" w14:textId="77777777" w:rsidR="00656E77" w:rsidRPr="00CA2897" w:rsidRDefault="00656E77" w:rsidP="003A1979">
            <w:r w:rsidRPr="00CA2897">
              <w:t>7.4</w:t>
            </w:r>
          </w:p>
        </w:tc>
      </w:tr>
      <w:tr w:rsidR="00656E77" w:rsidRPr="00CA2897" w14:paraId="6A48F11C" w14:textId="77777777" w:rsidTr="003A1979">
        <w:trPr>
          <w:trHeight w:val="318"/>
        </w:trPr>
        <w:tc>
          <w:tcPr>
            <w:tcW w:w="10016" w:type="dxa"/>
            <w:tcBorders>
              <w:top w:val="nil"/>
              <w:left w:val="nil"/>
              <w:bottom w:val="nil"/>
              <w:right w:val="nil"/>
            </w:tcBorders>
            <w:shd w:val="clear" w:color="auto" w:fill="auto"/>
            <w:tcMar>
              <w:top w:w="72" w:type="dxa"/>
              <w:left w:w="144" w:type="dxa"/>
              <w:bottom w:w="72" w:type="dxa"/>
              <w:right w:w="144" w:type="dxa"/>
            </w:tcMar>
            <w:hideMark/>
          </w:tcPr>
          <w:p w14:paraId="5443758B" w14:textId="77777777" w:rsidR="00656E77" w:rsidRPr="00CA2897" w:rsidRDefault="00656E77" w:rsidP="003A1979">
            <w:r>
              <w:t>Insomnia medication (hypnotics)</w:t>
            </w:r>
          </w:p>
        </w:tc>
        <w:tc>
          <w:tcPr>
            <w:tcW w:w="1753" w:type="dxa"/>
            <w:tcBorders>
              <w:top w:val="nil"/>
              <w:left w:val="nil"/>
              <w:bottom w:val="nil"/>
              <w:right w:val="nil"/>
            </w:tcBorders>
            <w:shd w:val="clear" w:color="auto" w:fill="auto"/>
            <w:tcMar>
              <w:top w:w="72" w:type="dxa"/>
              <w:left w:w="144" w:type="dxa"/>
              <w:bottom w:w="72" w:type="dxa"/>
              <w:right w:w="144" w:type="dxa"/>
            </w:tcMar>
            <w:hideMark/>
          </w:tcPr>
          <w:p w14:paraId="3B0145AB" w14:textId="77777777" w:rsidR="00656E77" w:rsidRPr="00CA2897" w:rsidRDefault="00656E77" w:rsidP="003A1979">
            <w:r w:rsidRPr="00CA2897">
              <w:t>4</w:t>
            </w:r>
          </w:p>
        </w:tc>
        <w:tc>
          <w:tcPr>
            <w:tcW w:w="2001" w:type="dxa"/>
            <w:tcBorders>
              <w:top w:val="nil"/>
              <w:left w:val="nil"/>
              <w:bottom w:val="nil"/>
              <w:right w:val="nil"/>
            </w:tcBorders>
            <w:shd w:val="clear" w:color="auto" w:fill="auto"/>
            <w:tcMar>
              <w:top w:w="72" w:type="dxa"/>
              <w:left w:w="144" w:type="dxa"/>
              <w:bottom w:w="72" w:type="dxa"/>
              <w:right w:w="144" w:type="dxa"/>
            </w:tcMar>
            <w:hideMark/>
          </w:tcPr>
          <w:p w14:paraId="3ADA7861" w14:textId="77777777" w:rsidR="00656E77" w:rsidRPr="00CA2897" w:rsidRDefault="00656E77" w:rsidP="003A1979">
            <w:r w:rsidRPr="00CA2897">
              <w:t>2.7</w:t>
            </w:r>
          </w:p>
        </w:tc>
      </w:tr>
      <w:tr w:rsidR="00656E77" w:rsidRPr="00CA2897" w14:paraId="1DDE71F4" w14:textId="77777777" w:rsidTr="003A1979">
        <w:trPr>
          <w:trHeight w:val="298"/>
        </w:trPr>
        <w:tc>
          <w:tcPr>
            <w:tcW w:w="10016" w:type="dxa"/>
            <w:tcBorders>
              <w:top w:val="nil"/>
              <w:left w:val="nil"/>
              <w:bottom w:val="single" w:sz="8" w:space="0" w:color="000000"/>
              <w:right w:val="nil"/>
            </w:tcBorders>
            <w:shd w:val="clear" w:color="auto" w:fill="auto"/>
            <w:tcMar>
              <w:top w:w="72" w:type="dxa"/>
              <w:left w:w="144" w:type="dxa"/>
              <w:bottom w:w="72" w:type="dxa"/>
              <w:right w:w="144" w:type="dxa"/>
            </w:tcMar>
          </w:tcPr>
          <w:p w14:paraId="0B56B124" w14:textId="77777777" w:rsidR="00656E77" w:rsidRDefault="00656E77" w:rsidP="003A1979">
            <w:proofErr w:type="spellStart"/>
            <w:r>
              <w:t>G</w:t>
            </w:r>
            <w:r w:rsidRPr="00CA2897">
              <w:t>abapentinoid</w:t>
            </w:r>
            <w:r>
              <w:t>s</w:t>
            </w:r>
            <w:proofErr w:type="spellEnd"/>
          </w:p>
        </w:tc>
        <w:tc>
          <w:tcPr>
            <w:tcW w:w="1753" w:type="dxa"/>
            <w:tcBorders>
              <w:top w:val="nil"/>
              <w:left w:val="nil"/>
              <w:bottom w:val="single" w:sz="8" w:space="0" w:color="000000"/>
              <w:right w:val="nil"/>
            </w:tcBorders>
            <w:shd w:val="clear" w:color="auto" w:fill="auto"/>
            <w:tcMar>
              <w:top w:w="72" w:type="dxa"/>
              <w:left w:w="144" w:type="dxa"/>
              <w:bottom w:w="72" w:type="dxa"/>
              <w:right w:w="144" w:type="dxa"/>
            </w:tcMar>
          </w:tcPr>
          <w:p w14:paraId="17D6701F" w14:textId="77777777" w:rsidR="00656E77" w:rsidRPr="00CA2897" w:rsidRDefault="00656E77" w:rsidP="003A1979">
            <w:r w:rsidRPr="00CA2897">
              <w:t>10</w:t>
            </w:r>
          </w:p>
        </w:tc>
        <w:tc>
          <w:tcPr>
            <w:tcW w:w="2001" w:type="dxa"/>
            <w:tcBorders>
              <w:top w:val="nil"/>
              <w:left w:val="nil"/>
              <w:bottom w:val="single" w:sz="8" w:space="0" w:color="000000"/>
              <w:right w:val="nil"/>
            </w:tcBorders>
            <w:shd w:val="clear" w:color="auto" w:fill="auto"/>
            <w:tcMar>
              <w:top w:w="72" w:type="dxa"/>
              <w:left w:w="144" w:type="dxa"/>
              <w:bottom w:w="72" w:type="dxa"/>
              <w:right w:w="144" w:type="dxa"/>
            </w:tcMar>
          </w:tcPr>
          <w:p w14:paraId="18981807" w14:textId="77777777" w:rsidR="00656E77" w:rsidRPr="00CA2897" w:rsidRDefault="00656E77" w:rsidP="003A1979">
            <w:r w:rsidRPr="00CA2897">
              <w:t>6.8</w:t>
            </w:r>
          </w:p>
        </w:tc>
      </w:tr>
    </w:tbl>
    <w:p w14:paraId="79C653F6" w14:textId="77777777" w:rsidR="00656E77" w:rsidRPr="001221CB" w:rsidRDefault="00656E77" w:rsidP="00656E77">
      <w:pPr>
        <w:pStyle w:val="NoSpacing"/>
      </w:pPr>
      <w:r>
        <w:rPr>
          <w:bCs/>
        </w:rPr>
        <w:t>Psychotropic medication use reported at assessment wave 4 in complete case women (n=148). The dashed horizontal line separates medication types into those used for depression treatment based on NICE guidelines and the BNF (above the line) and other neuropsychiatric medications (below the line).</w:t>
      </w:r>
    </w:p>
    <w:p w14:paraId="488FF8A8" w14:textId="77777777" w:rsidR="00656E77" w:rsidRDefault="00656E77" w:rsidP="00656E77">
      <w:pPr>
        <w:rPr>
          <w:b/>
        </w:rPr>
      </w:pPr>
    </w:p>
    <w:p w14:paraId="56431B46" w14:textId="77777777" w:rsidR="00656E77" w:rsidRDefault="00656E77" w:rsidP="00656E77">
      <w:pPr>
        <w:rPr>
          <w:b/>
        </w:rPr>
      </w:pPr>
    </w:p>
    <w:p w14:paraId="677A28E4" w14:textId="77777777" w:rsidR="00656E77" w:rsidRDefault="00656E77" w:rsidP="00656E77">
      <w:pPr>
        <w:rPr>
          <w:b/>
        </w:rPr>
      </w:pPr>
      <w:r>
        <w:rPr>
          <w:b/>
        </w:rPr>
        <w:lastRenderedPageBreak/>
        <w:t>Supplement 3:</w:t>
      </w:r>
      <w:r w:rsidRPr="001221CB">
        <w:t xml:space="preserve"> </w:t>
      </w:r>
      <w:r w:rsidRPr="001221CB">
        <w:rPr>
          <w:b/>
        </w:rPr>
        <w:t xml:space="preserve">Association of </w:t>
      </w:r>
      <w:r>
        <w:rPr>
          <w:b/>
        </w:rPr>
        <w:t>adult</w:t>
      </w:r>
      <w:r w:rsidRPr="001221CB">
        <w:rPr>
          <w:b/>
        </w:rPr>
        <w:t xml:space="preserve"> ADHD </w:t>
      </w:r>
      <w:r>
        <w:rPr>
          <w:b/>
        </w:rPr>
        <w:t xml:space="preserve">symptoms </w:t>
      </w:r>
      <w:r w:rsidRPr="001221CB">
        <w:rPr>
          <w:b/>
        </w:rPr>
        <w:t>and clinical features of depression with IPW applied</w:t>
      </w:r>
    </w:p>
    <w:p w14:paraId="547F9236" w14:textId="77777777" w:rsidR="00656E77" w:rsidRDefault="00656E77" w:rsidP="00656E77">
      <w:pPr>
        <w:rPr>
          <w:b/>
        </w:rPr>
      </w:pPr>
    </w:p>
    <w:tbl>
      <w:tblPr>
        <w:tblpPr w:leftFromText="180" w:rightFromText="180" w:vertAnchor="page" w:horzAnchor="margin" w:tblpY="2251"/>
        <w:tblW w:w="97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9"/>
        <w:gridCol w:w="3015"/>
        <w:gridCol w:w="2497"/>
      </w:tblGrid>
      <w:tr w:rsidR="00656E77" w:rsidRPr="00974CCC" w14:paraId="0B90C1F3" w14:textId="77777777" w:rsidTr="003A1979">
        <w:trPr>
          <w:trHeight w:val="629"/>
        </w:trPr>
        <w:tc>
          <w:tcPr>
            <w:tcW w:w="4249" w:type="dxa"/>
            <w:vMerge w:val="restart"/>
            <w:tcBorders>
              <w:top w:val="single" w:sz="4" w:space="0" w:color="auto"/>
              <w:left w:val="nil"/>
              <w:bottom w:val="single" w:sz="4" w:space="0" w:color="auto"/>
              <w:right w:val="nil"/>
            </w:tcBorders>
            <w:shd w:val="clear" w:color="auto" w:fill="auto"/>
            <w:vAlign w:val="center"/>
            <w:hideMark/>
          </w:tcPr>
          <w:p w14:paraId="3D190439" w14:textId="77777777" w:rsidR="00656E77" w:rsidRPr="00974CCC" w:rsidRDefault="00656E77" w:rsidP="003A1979">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lang w:eastAsia="en-GB"/>
              </w:rPr>
              <w:t>Clinical feature of depression</w:t>
            </w:r>
          </w:p>
        </w:tc>
        <w:tc>
          <w:tcPr>
            <w:tcW w:w="5512" w:type="dxa"/>
            <w:gridSpan w:val="2"/>
            <w:tcBorders>
              <w:top w:val="single" w:sz="4" w:space="0" w:color="auto"/>
              <w:left w:val="nil"/>
              <w:bottom w:val="nil"/>
              <w:right w:val="nil"/>
            </w:tcBorders>
            <w:shd w:val="clear" w:color="auto" w:fill="auto"/>
            <w:vAlign w:val="center"/>
            <w:hideMark/>
          </w:tcPr>
          <w:p w14:paraId="03C3DA0C" w14:textId="77777777" w:rsidR="00656E77" w:rsidRPr="00974CCC" w:rsidRDefault="00656E77" w:rsidP="003A1979">
            <w:pPr>
              <w:spacing w:after="0" w:line="240" w:lineRule="auto"/>
              <w:textAlignment w:val="baseline"/>
              <w:rPr>
                <w:rFonts w:ascii="Segoe UI" w:eastAsia="Times New Roman" w:hAnsi="Segoe UI" w:cs="Segoe UI"/>
                <w:sz w:val="18"/>
                <w:szCs w:val="18"/>
                <w:lang w:eastAsia="en-GB"/>
              </w:rPr>
            </w:pPr>
            <w:r w:rsidRPr="00E93965">
              <w:rPr>
                <w:rFonts w:ascii="Calibri" w:eastAsia="Times New Roman" w:hAnsi="Calibri" w:cs="Calibri"/>
                <w:b/>
                <w:bCs/>
                <w:lang w:eastAsia="en-GB"/>
              </w:rPr>
              <w:t>Association</w:t>
            </w:r>
            <w:r>
              <w:rPr>
                <w:rFonts w:ascii="Calibri" w:eastAsia="Times New Roman" w:hAnsi="Calibri" w:cs="Calibri"/>
                <w:b/>
                <w:bCs/>
                <w:lang w:eastAsia="en-GB"/>
              </w:rPr>
              <w:t xml:space="preserve"> with self-reported adult </w:t>
            </w:r>
            <w:r w:rsidRPr="00E93965">
              <w:rPr>
                <w:rFonts w:ascii="Calibri" w:eastAsia="Times New Roman" w:hAnsi="Calibri" w:cs="Calibri"/>
                <w:b/>
                <w:bCs/>
                <w:lang w:eastAsia="en-GB"/>
              </w:rPr>
              <w:t>ADHD symptom score</w:t>
            </w:r>
            <w:r>
              <w:rPr>
                <w:rFonts w:ascii="Calibri" w:eastAsia="Times New Roman" w:hAnsi="Calibri" w:cs="Calibri"/>
                <w:b/>
                <w:bCs/>
                <w:lang w:eastAsia="en-GB"/>
              </w:rPr>
              <w:t xml:space="preserve"> </w:t>
            </w:r>
          </w:p>
        </w:tc>
      </w:tr>
      <w:tr w:rsidR="00656E77" w:rsidRPr="00974CCC" w14:paraId="0FD778BF" w14:textId="77777777" w:rsidTr="003A1979">
        <w:trPr>
          <w:trHeight w:val="629"/>
        </w:trPr>
        <w:tc>
          <w:tcPr>
            <w:tcW w:w="4249" w:type="dxa"/>
            <w:vMerge/>
            <w:tcBorders>
              <w:top w:val="single" w:sz="4" w:space="0" w:color="auto"/>
              <w:left w:val="nil"/>
              <w:bottom w:val="single" w:sz="4" w:space="0" w:color="auto"/>
              <w:right w:val="nil"/>
            </w:tcBorders>
            <w:vAlign w:val="center"/>
          </w:tcPr>
          <w:p w14:paraId="4B6D349C" w14:textId="77777777" w:rsidR="00656E77" w:rsidRDefault="00656E77" w:rsidP="003A1979">
            <w:pPr>
              <w:spacing w:after="0" w:line="240" w:lineRule="auto"/>
              <w:textAlignment w:val="baseline"/>
              <w:rPr>
                <w:rFonts w:ascii="Calibri" w:eastAsia="Times New Roman" w:hAnsi="Calibri" w:cs="Calibri"/>
                <w:b/>
                <w:bCs/>
                <w:lang w:eastAsia="en-GB"/>
              </w:rPr>
            </w:pPr>
          </w:p>
        </w:tc>
        <w:tc>
          <w:tcPr>
            <w:tcW w:w="3015" w:type="dxa"/>
            <w:tcBorders>
              <w:top w:val="nil"/>
              <w:left w:val="nil"/>
              <w:bottom w:val="single" w:sz="4" w:space="0" w:color="auto"/>
              <w:right w:val="nil"/>
            </w:tcBorders>
            <w:shd w:val="clear" w:color="auto" w:fill="auto"/>
            <w:vAlign w:val="center"/>
          </w:tcPr>
          <w:p w14:paraId="37881A64" w14:textId="77777777" w:rsidR="00656E77" w:rsidRDefault="00656E77" w:rsidP="003A1979">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 xml:space="preserve">b or </w:t>
            </w:r>
            <w:proofErr w:type="spellStart"/>
            <w:r>
              <w:rPr>
                <w:rFonts w:ascii="Calibri" w:eastAsia="Times New Roman" w:hAnsi="Calibri" w:cs="Calibri"/>
                <w:b/>
                <w:bCs/>
                <w:lang w:eastAsia="en-GB"/>
              </w:rPr>
              <w:t>OR</w:t>
            </w:r>
            <w:proofErr w:type="spellEnd"/>
            <w:r>
              <w:rPr>
                <w:rFonts w:ascii="Calibri" w:eastAsia="Times New Roman" w:hAnsi="Calibri" w:cs="Calibri"/>
                <w:b/>
                <w:bCs/>
                <w:lang w:eastAsia="en-GB"/>
              </w:rPr>
              <w:t xml:space="preserve"> (95% CI)</w:t>
            </w:r>
          </w:p>
        </w:tc>
        <w:tc>
          <w:tcPr>
            <w:tcW w:w="2497" w:type="dxa"/>
            <w:tcBorders>
              <w:top w:val="nil"/>
              <w:left w:val="nil"/>
              <w:bottom w:val="single" w:sz="4" w:space="0" w:color="auto"/>
              <w:right w:val="nil"/>
            </w:tcBorders>
            <w:shd w:val="clear" w:color="auto" w:fill="auto"/>
            <w:vAlign w:val="center"/>
          </w:tcPr>
          <w:p w14:paraId="7B69405F" w14:textId="77777777" w:rsidR="00656E77" w:rsidRDefault="00656E77" w:rsidP="003A1979">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p-value</w:t>
            </w:r>
          </w:p>
        </w:tc>
      </w:tr>
      <w:tr w:rsidR="00656E77" w:rsidRPr="00974CCC" w14:paraId="041ACAF4" w14:textId="77777777" w:rsidTr="003A1979">
        <w:trPr>
          <w:trHeight w:val="423"/>
        </w:trPr>
        <w:tc>
          <w:tcPr>
            <w:tcW w:w="4249" w:type="dxa"/>
            <w:tcBorders>
              <w:top w:val="single" w:sz="4" w:space="0" w:color="auto"/>
              <w:left w:val="nil"/>
              <w:bottom w:val="nil"/>
              <w:right w:val="nil"/>
            </w:tcBorders>
            <w:shd w:val="clear" w:color="auto" w:fill="auto"/>
            <w:vAlign w:val="center"/>
            <w:hideMark/>
          </w:tcPr>
          <w:p w14:paraId="583FF128" w14:textId="77777777" w:rsidR="00656E77" w:rsidRPr="00974CCC" w:rsidRDefault="00656E77" w:rsidP="003A1979">
            <w:pPr>
              <w:spacing w:after="0" w:line="240" w:lineRule="auto"/>
              <w:textAlignment w:val="baseline"/>
              <w:rPr>
                <w:rFonts w:eastAsia="Times New Roman" w:cstheme="minorHAnsi"/>
                <w:lang w:eastAsia="en-GB"/>
              </w:rPr>
            </w:pPr>
            <w:r w:rsidRPr="00AA2BF0">
              <w:rPr>
                <w:rFonts w:eastAsia="Times New Roman" w:cstheme="minorHAnsi"/>
                <w:lang w:eastAsia="en-GB"/>
              </w:rPr>
              <w:t xml:space="preserve">Depression age of onset </w:t>
            </w:r>
            <w:r>
              <w:rPr>
                <w:rFonts w:eastAsia="Times New Roman" w:cstheme="minorHAnsi"/>
                <w:lang w:eastAsia="en-GB"/>
              </w:rPr>
              <w:t>of 25 or before</w:t>
            </w:r>
          </w:p>
        </w:tc>
        <w:tc>
          <w:tcPr>
            <w:tcW w:w="3015" w:type="dxa"/>
            <w:tcBorders>
              <w:top w:val="single" w:sz="4" w:space="0" w:color="auto"/>
              <w:left w:val="nil"/>
              <w:bottom w:val="nil"/>
              <w:right w:val="nil"/>
            </w:tcBorders>
            <w:shd w:val="clear" w:color="auto" w:fill="auto"/>
            <w:vAlign w:val="center"/>
          </w:tcPr>
          <w:p w14:paraId="28136718" w14:textId="77777777" w:rsidR="00656E77" w:rsidRPr="00AA2BF0" w:rsidRDefault="00656E77" w:rsidP="003A1979">
            <w:pPr>
              <w:spacing w:after="0" w:line="240" w:lineRule="auto"/>
              <w:textAlignment w:val="baseline"/>
              <w:rPr>
                <w:rFonts w:eastAsia="Times New Roman"/>
                <w:lang w:eastAsia="en-GB"/>
              </w:rPr>
            </w:pPr>
            <w:r>
              <w:rPr>
                <w:rFonts w:eastAsia="Times New Roman"/>
                <w:lang w:eastAsia="en-GB"/>
              </w:rPr>
              <w:t>OR=1.47 (1.05, 2.05)</w:t>
            </w:r>
          </w:p>
        </w:tc>
        <w:tc>
          <w:tcPr>
            <w:tcW w:w="2497" w:type="dxa"/>
            <w:tcBorders>
              <w:top w:val="single" w:sz="4" w:space="0" w:color="auto"/>
              <w:left w:val="nil"/>
              <w:bottom w:val="nil"/>
              <w:right w:val="nil"/>
            </w:tcBorders>
            <w:shd w:val="clear" w:color="auto" w:fill="auto"/>
            <w:vAlign w:val="center"/>
          </w:tcPr>
          <w:p w14:paraId="0B66DC36" w14:textId="77777777" w:rsidR="00656E77" w:rsidRPr="00AA2BF0" w:rsidRDefault="00656E77" w:rsidP="003A1979">
            <w:pPr>
              <w:spacing w:after="0" w:line="240" w:lineRule="auto"/>
              <w:textAlignment w:val="baseline"/>
              <w:rPr>
                <w:rFonts w:eastAsia="Times New Roman"/>
                <w:lang w:eastAsia="en-GB"/>
              </w:rPr>
            </w:pPr>
            <w:r>
              <w:rPr>
                <w:rFonts w:eastAsia="Times New Roman"/>
                <w:lang w:eastAsia="en-GB"/>
              </w:rPr>
              <w:t>0.023</w:t>
            </w:r>
          </w:p>
        </w:tc>
      </w:tr>
      <w:tr w:rsidR="00656E77" w14:paraId="44B86F6F" w14:textId="77777777" w:rsidTr="003A1979">
        <w:trPr>
          <w:trHeight w:val="1153"/>
        </w:trPr>
        <w:tc>
          <w:tcPr>
            <w:tcW w:w="4249" w:type="dxa"/>
            <w:tcBorders>
              <w:top w:val="nil"/>
              <w:left w:val="nil"/>
              <w:bottom w:val="nil"/>
              <w:right w:val="nil"/>
            </w:tcBorders>
            <w:shd w:val="clear" w:color="auto" w:fill="auto"/>
            <w:vAlign w:val="center"/>
          </w:tcPr>
          <w:p w14:paraId="12E8A31F" w14:textId="77777777" w:rsidR="00656E77" w:rsidRDefault="00656E77" w:rsidP="003A1979">
            <w:pPr>
              <w:pStyle w:val="NoSpacing"/>
              <w:rPr>
                <w:lang w:eastAsia="en-GB"/>
              </w:rPr>
            </w:pPr>
            <w:r w:rsidRPr="3A99E7A9">
              <w:rPr>
                <w:lang w:eastAsia="en-GB"/>
              </w:rPr>
              <w:t xml:space="preserve">Ever had GAF score </w:t>
            </w:r>
            <w:r w:rsidRPr="3A99E7A9">
              <w:rPr>
                <w:u w:val="single"/>
                <w:lang w:eastAsia="en-GB"/>
              </w:rPr>
              <w:t>&lt;</w:t>
            </w:r>
            <w:r w:rsidRPr="3A99E7A9">
              <w:rPr>
                <w:lang w:eastAsia="en-GB"/>
              </w:rPr>
              <w:t xml:space="preserve"> 50</w:t>
            </w:r>
          </w:p>
          <w:p w14:paraId="01C6A3BF" w14:textId="77777777" w:rsidR="00656E77" w:rsidRDefault="00656E77" w:rsidP="003A1979">
            <w:pPr>
              <w:pStyle w:val="NoSpacing"/>
              <w:rPr>
                <w:lang w:eastAsia="en-GB"/>
              </w:rPr>
            </w:pPr>
            <w:r w:rsidRPr="0058453F">
              <w:t>(Severe impairment associated with depression)</w:t>
            </w:r>
          </w:p>
        </w:tc>
        <w:tc>
          <w:tcPr>
            <w:tcW w:w="3015" w:type="dxa"/>
            <w:tcBorders>
              <w:top w:val="nil"/>
              <w:left w:val="nil"/>
              <w:bottom w:val="nil"/>
              <w:right w:val="nil"/>
            </w:tcBorders>
            <w:shd w:val="clear" w:color="auto" w:fill="auto"/>
            <w:vAlign w:val="center"/>
          </w:tcPr>
          <w:p w14:paraId="3C8494CD" w14:textId="77777777" w:rsidR="00656E77" w:rsidRDefault="00656E77" w:rsidP="003A1979">
            <w:pPr>
              <w:spacing w:line="240" w:lineRule="auto"/>
              <w:rPr>
                <w:rFonts w:eastAsia="Times New Roman"/>
                <w:lang w:eastAsia="en-GB"/>
              </w:rPr>
            </w:pPr>
            <w:r>
              <w:rPr>
                <w:rFonts w:eastAsia="Times New Roman"/>
                <w:lang w:eastAsia="en-GB"/>
              </w:rPr>
              <w:t>OR=</w:t>
            </w:r>
            <w:r w:rsidRPr="00103266">
              <w:rPr>
                <w:rFonts w:eastAsia="Times New Roman"/>
                <w:lang w:eastAsia="en-GB"/>
              </w:rPr>
              <w:t>1.81 (1.20, 2.75)</w:t>
            </w:r>
          </w:p>
        </w:tc>
        <w:tc>
          <w:tcPr>
            <w:tcW w:w="2497" w:type="dxa"/>
            <w:tcBorders>
              <w:top w:val="nil"/>
              <w:left w:val="nil"/>
              <w:bottom w:val="nil"/>
              <w:right w:val="nil"/>
            </w:tcBorders>
            <w:shd w:val="clear" w:color="auto" w:fill="auto"/>
            <w:vAlign w:val="center"/>
          </w:tcPr>
          <w:p w14:paraId="454D6214" w14:textId="77777777" w:rsidR="00656E77" w:rsidRDefault="00656E77" w:rsidP="003A1979">
            <w:pPr>
              <w:spacing w:line="240" w:lineRule="auto"/>
              <w:rPr>
                <w:rFonts w:eastAsia="Times New Roman"/>
                <w:lang w:eastAsia="en-GB"/>
              </w:rPr>
            </w:pPr>
            <w:r w:rsidRPr="00103266">
              <w:rPr>
                <w:rFonts w:eastAsia="Times New Roman"/>
                <w:lang w:eastAsia="en-GB"/>
              </w:rPr>
              <w:t>0.005</w:t>
            </w:r>
          </w:p>
        </w:tc>
      </w:tr>
      <w:tr w:rsidR="00656E77" w14:paraId="2550EBA9" w14:textId="77777777" w:rsidTr="003A1979">
        <w:trPr>
          <w:trHeight w:val="80"/>
        </w:trPr>
        <w:tc>
          <w:tcPr>
            <w:tcW w:w="4249" w:type="dxa"/>
            <w:tcBorders>
              <w:top w:val="nil"/>
              <w:left w:val="nil"/>
              <w:bottom w:val="nil"/>
              <w:right w:val="nil"/>
            </w:tcBorders>
            <w:shd w:val="clear" w:color="auto" w:fill="auto"/>
            <w:vAlign w:val="center"/>
          </w:tcPr>
          <w:p w14:paraId="7297CAD1" w14:textId="77777777" w:rsidR="00656E77" w:rsidRPr="3A99E7A9" w:rsidRDefault="00656E77" w:rsidP="003A1979">
            <w:pPr>
              <w:spacing w:line="240" w:lineRule="auto"/>
              <w:rPr>
                <w:rFonts w:eastAsia="Times New Roman"/>
                <w:lang w:eastAsia="en-GB"/>
              </w:rPr>
            </w:pPr>
            <w:r>
              <w:rPr>
                <w:rFonts w:eastAsia="Times New Roman" w:cstheme="minorHAnsi"/>
                <w:lang w:eastAsia="en-GB"/>
              </w:rPr>
              <w:t xml:space="preserve">Number of </w:t>
            </w:r>
            <w:r w:rsidRPr="007223CE">
              <w:rPr>
                <w:rFonts w:eastAsia="Times New Roman" w:cstheme="minorHAnsi"/>
                <w:lang w:eastAsia="en-GB"/>
              </w:rPr>
              <w:t>MDD episode</w:t>
            </w:r>
            <w:r>
              <w:rPr>
                <w:rFonts w:eastAsia="Times New Roman" w:cstheme="minorHAnsi"/>
                <w:lang w:eastAsia="en-GB"/>
              </w:rPr>
              <w:t>s during study</w:t>
            </w:r>
          </w:p>
        </w:tc>
        <w:tc>
          <w:tcPr>
            <w:tcW w:w="3015" w:type="dxa"/>
            <w:tcBorders>
              <w:top w:val="nil"/>
              <w:left w:val="nil"/>
              <w:bottom w:val="nil"/>
              <w:right w:val="nil"/>
            </w:tcBorders>
            <w:shd w:val="clear" w:color="auto" w:fill="auto"/>
            <w:vAlign w:val="center"/>
          </w:tcPr>
          <w:p w14:paraId="444C976E" w14:textId="77777777" w:rsidR="00656E77" w:rsidRPr="752D8399" w:rsidRDefault="00656E77" w:rsidP="003A1979">
            <w:pPr>
              <w:spacing w:line="240" w:lineRule="auto"/>
              <w:rPr>
                <w:rFonts w:eastAsia="Times New Roman"/>
                <w:lang w:eastAsia="en-GB"/>
              </w:rPr>
            </w:pPr>
            <w:r>
              <w:rPr>
                <w:rFonts w:eastAsia="Times New Roman"/>
                <w:lang w:eastAsia="en-GB"/>
              </w:rPr>
              <w:t>b=</w:t>
            </w:r>
            <w:r w:rsidRPr="00103266">
              <w:rPr>
                <w:rFonts w:eastAsia="Times New Roman"/>
                <w:lang w:eastAsia="en-GB"/>
              </w:rPr>
              <w:t>0.</w:t>
            </w:r>
            <w:r>
              <w:rPr>
                <w:rFonts w:eastAsia="Times New Roman"/>
                <w:lang w:eastAsia="en-GB"/>
              </w:rPr>
              <w:t>72</w:t>
            </w:r>
            <w:r w:rsidRPr="00103266">
              <w:rPr>
                <w:rFonts w:eastAsia="Times New Roman"/>
                <w:lang w:eastAsia="en-GB"/>
              </w:rPr>
              <w:t xml:space="preserve"> (0.</w:t>
            </w:r>
            <w:r>
              <w:rPr>
                <w:rFonts w:eastAsia="Times New Roman"/>
                <w:lang w:eastAsia="en-GB"/>
              </w:rPr>
              <w:t>42</w:t>
            </w:r>
            <w:r w:rsidRPr="00103266">
              <w:rPr>
                <w:rFonts w:eastAsia="Times New Roman"/>
                <w:lang w:eastAsia="en-GB"/>
              </w:rPr>
              <w:t xml:space="preserve">, </w:t>
            </w:r>
            <w:r>
              <w:rPr>
                <w:rFonts w:eastAsia="Times New Roman"/>
                <w:lang w:eastAsia="en-GB"/>
              </w:rPr>
              <w:t>1</w:t>
            </w:r>
            <w:r w:rsidRPr="00103266">
              <w:rPr>
                <w:rFonts w:eastAsia="Times New Roman"/>
                <w:lang w:eastAsia="en-GB"/>
              </w:rPr>
              <w:t>.</w:t>
            </w:r>
            <w:r>
              <w:rPr>
                <w:rFonts w:eastAsia="Times New Roman"/>
                <w:lang w:eastAsia="en-GB"/>
              </w:rPr>
              <w:t>03</w:t>
            </w:r>
            <w:r w:rsidRPr="00103266">
              <w:rPr>
                <w:rFonts w:eastAsia="Times New Roman"/>
                <w:lang w:eastAsia="en-GB"/>
              </w:rPr>
              <w:t>)</w:t>
            </w:r>
          </w:p>
        </w:tc>
        <w:tc>
          <w:tcPr>
            <w:tcW w:w="2497" w:type="dxa"/>
            <w:tcBorders>
              <w:top w:val="nil"/>
              <w:left w:val="nil"/>
              <w:bottom w:val="nil"/>
              <w:right w:val="nil"/>
            </w:tcBorders>
            <w:shd w:val="clear" w:color="auto" w:fill="auto"/>
            <w:vAlign w:val="center"/>
          </w:tcPr>
          <w:p w14:paraId="495A3931" w14:textId="77777777" w:rsidR="00656E77" w:rsidRPr="752D8399" w:rsidRDefault="00656E77" w:rsidP="003A1979">
            <w:pPr>
              <w:spacing w:line="240" w:lineRule="auto"/>
              <w:rPr>
                <w:rFonts w:eastAsia="Times New Roman"/>
                <w:lang w:eastAsia="en-GB"/>
              </w:rPr>
            </w:pPr>
            <w:r w:rsidRPr="00103266">
              <w:rPr>
                <w:rFonts w:eastAsia="Times New Roman"/>
                <w:lang w:eastAsia="en-GB"/>
              </w:rPr>
              <w:t>&lt;0.001</w:t>
            </w:r>
          </w:p>
        </w:tc>
      </w:tr>
      <w:tr w:rsidR="00656E77" w:rsidRPr="00974CCC" w14:paraId="66C4F44F" w14:textId="77777777" w:rsidTr="003A1979">
        <w:trPr>
          <w:trHeight w:val="561"/>
        </w:trPr>
        <w:tc>
          <w:tcPr>
            <w:tcW w:w="4249" w:type="dxa"/>
            <w:tcBorders>
              <w:top w:val="nil"/>
              <w:left w:val="nil"/>
              <w:bottom w:val="nil"/>
              <w:right w:val="nil"/>
            </w:tcBorders>
            <w:shd w:val="clear" w:color="auto" w:fill="auto"/>
            <w:vAlign w:val="center"/>
            <w:hideMark/>
          </w:tcPr>
          <w:p w14:paraId="2C6D8A96" w14:textId="77777777" w:rsidR="00656E77" w:rsidRPr="00974CCC" w:rsidRDefault="00656E77" w:rsidP="003A1979">
            <w:pPr>
              <w:spacing w:after="0" w:line="240" w:lineRule="auto"/>
              <w:textAlignment w:val="baseline"/>
              <w:rPr>
                <w:rFonts w:eastAsia="Times New Roman" w:cstheme="minorHAnsi"/>
                <w:lang w:eastAsia="en-GB"/>
              </w:rPr>
            </w:pPr>
            <w:r w:rsidRPr="00AA2BF0">
              <w:rPr>
                <w:rFonts w:eastAsia="Times New Roman" w:cstheme="minorHAnsi"/>
                <w:lang w:eastAsia="en-GB"/>
              </w:rPr>
              <w:t xml:space="preserve">Subthreshold depression </w:t>
            </w:r>
            <w:r>
              <w:rPr>
                <w:rFonts w:eastAsia="Times New Roman" w:cstheme="minorHAnsi"/>
                <w:lang w:eastAsia="en-GB"/>
              </w:rPr>
              <w:t>persistence</w:t>
            </w:r>
          </w:p>
        </w:tc>
        <w:tc>
          <w:tcPr>
            <w:tcW w:w="3015" w:type="dxa"/>
            <w:tcBorders>
              <w:top w:val="nil"/>
              <w:left w:val="nil"/>
              <w:bottom w:val="nil"/>
              <w:right w:val="nil"/>
            </w:tcBorders>
            <w:shd w:val="clear" w:color="auto" w:fill="auto"/>
            <w:vAlign w:val="center"/>
          </w:tcPr>
          <w:p w14:paraId="016A6E51" w14:textId="77777777" w:rsidR="00656E77" w:rsidRPr="00AA2BF0" w:rsidRDefault="00656E77" w:rsidP="003A1979">
            <w:pPr>
              <w:spacing w:after="0" w:line="240" w:lineRule="auto"/>
              <w:textAlignment w:val="baseline"/>
              <w:rPr>
                <w:rFonts w:eastAsia="Times New Roman"/>
                <w:lang w:eastAsia="en-GB"/>
              </w:rPr>
            </w:pPr>
            <w:r>
              <w:rPr>
                <w:rFonts w:eastAsia="Times New Roman"/>
                <w:lang w:eastAsia="en-GB"/>
              </w:rPr>
              <w:t>b=</w:t>
            </w:r>
            <w:r w:rsidRPr="00103266">
              <w:rPr>
                <w:rFonts w:eastAsia="Times New Roman"/>
                <w:lang w:eastAsia="en-GB"/>
              </w:rPr>
              <w:t>0.07 (-0.18, 0.32)</w:t>
            </w:r>
          </w:p>
        </w:tc>
        <w:tc>
          <w:tcPr>
            <w:tcW w:w="2497" w:type="dxa"/>
            <w:tcBorders>
              <w:top w:val="nil"/>
              <w:left w:val="nil"/>
              <w:bottom w:val="nil"/>
              <w:right w:val="nil"/>
            </w:tcBorders>
            <w:shd w:val="clear" w:color="auto" w:fill="auto"/>
            <w:vAlign w:val="center"/>
          </w:tcPr>
          <w:p w14:paraId="6B16DA63" w14:textId="77777777" w:rsidR="00656E77" w:rsidRPr="00AA2BF0" w:rsidRDefault="00656E77" w:rsidP="003A1979">
            <w:pPr>
              <w:spacing w:after="0" w:line="240" w:lineRule="auto"/>
              <w:textAlignment w:val="baseline"/>
              <w:rPr>
                <w:rFonts w:eastAsia="Times New Roman"/>
                <w:lang w:eastAsia="en-GB"/>
              </w:rPr>
            </w:pPr>
            <w:r w:rsidRPr="00103266">
              <w:rPr>
                <w:rFonts w:eastAsia="Times New Roman"/>
                <w:lang w:eastAsia="en-GB"/>
              </w:rPr>
              <w:t>0.594</w:t>
            </w:r>
          </w:p>
        </w:tc>
      </w:tr>
      <w:tr w:rsidR="00656E77" w:rsidRPr="00974CCC" w14:paraId="0FC29540" w14:textId="77777777" w:rsidTr="003A1979">
        <w:trPr>
          <w:trHeight w:val="698"/>
        </w:trPr>
        <w:tc>
          <w:tcPr>
            <w:tcW w:w="4249" w:type="dxa"/>
            <w:tcBorders>
              <w:top w:val="nil"/>
              <w:left w:val="nil"/>
              <w:bottom w:val="nil"/>
              <w:right w:val="nil"/>
            </w:tcBorders>
            <w:shd w:val="clear" w:color="auto" w:fill="auto"/>
            <w:vAlign w:val="center"/>
          </w:tcPr>
          <w:p w14:paraId="2CDD791B" w14:textId="77777777" w:rsidR="00656E77" w:rsidRPr="0001501D" w:rsidRDefault="00656E77" w:rsidP="003A1979">
            <w:pPr>
              <w:spacing w:after="0" w:line="240" w:lineRule="auto"/>
              <w:textAlignment w:val="baseline"/>
              <w:rPr>
                <w:rFonts w:eastAsia="Times New Roman" w:cstheme="minorHAnsi"/>
                <w:lang w:eastAsia="en-GB"/>
              </w:rPr>
            </w:pPr>
            <w:r>
              <w:rPr>
                <w:rFonts w:eastAsia="Times New Roman" w:cstheme="minorHAnsi"/>
                <w:lang w:eastAsia="en-GB"/>
              </w:rPr>
              <w:t>Ever hospitalised</w:t>
            </w:r>
          </w:p>
        </w:tc>
        <w:tc>
          <w:tcPr>
            <w:tcW w:w="3015" w:type="dxa"/>
            <w:tcBorders>
              <w:top w:val="nil"/>
              <w:left w:val="nil"/>
              <w:bottom w:val="nil"/>
              <w:right w:val="nil"/>
            </w:tcBorders>
            <w:shd w:val="clear" w:color="auto" w:fill="auto"/>
            <w:vAlign w:val="center"/>
          </w:tcPr>
          <w:p w14:paraId="477BC4B2" w14:textId="77777777" w:rsidR="00656E77" w:rsidRPr="0001501D" w:rsidRDefault="00656E77" w:rsidP="003A1979">
            <w:pPr>
              <w:spacing w:after="0" w:line="240" w:lineRule="auto"/>
              <w:textAlignment w:val="baseline"/>
              <w:rPr>
                <w:rFonts w:eastAsia="Times New Roman"/>
                <w:lang w:eastAsia="en-GB"/>
              </w:rPr>
            </w:pPr>
            <w:r>
              <w:rPr>
                <w:rFonts w:eastAsia="Times New Roman"/>
                <w:lang w:eastAsia="en-GB"/>
              </w:rPr>
              <w:t>OR=1.76 (1.14, 2.72)</w:t>
            </w:r>
          </w:p>
        </w:tc>
        <w:tc>
          <w:tcPr>
            <w:tcW w:w="2497" w:type="dxa"/>
            <w:tcBorders>
              <w:top w:val="nil"/>
              <w:left w:val="nil"/>
              <w:bottom w:val="nil"/>
              <w:right w:val="nil"/>
            </w:tcBorders>
            <w:shd w:val="clear" w:color="auto" w:fill="auto"/>
            <w:vAlign w:val="center"/>
          </w:tcPr>
          <w:p w14:paraId="7235A9DE" w14:textId="77777777" w:rsidR="00656E77" w:rsidRPr="0001501D" w:rsidRDefault="00656E77" w:rsidP="003A1979">
            <w:pPr>
              <w:spacing w:after="0" w:line="240" w:lineRule="auto"/>
              <w:textAlignment w:val="baseline"/>
              <w:rPr>
                <w:rFonts w:eastAsia="Times New Roman"/>
                <w:lang w:eastAsia="en-GB"/>
              </w:rPr>
            </w:pPr>
            <w:r>
              <w:rPr>
                <w:rFonts w:eastAsia="Times New Roman"/>
                <w:lang w:eastAsia="en-GB"/>
              </w:rPr>
              <w:t>0.011</w:t>
            </w:r>
          </w:p>
        </w:tc>
      </w:tr>
      <w:tr w:rsidR="00656E77" w:rsidRPr="00974CCC" w14:paraId="4A105546" w14:textId="77777777" w:rsidTr="003A1979">
        <w:trPr>
          <w:trHeight w:val="591"/>
        </w:trPr>
        <w:tc>
          <w:tcPr>
            <w:tcW w:w="4249" w:type="dxa"/>
            <w:tcBorders>
              <w:top w:val="nil"/>
              <w:left w:val="nil"/>
              <w:bottom w:val="nil"/>
              <w:right w:val="nil"/>
            </w:tcBorders>
            <w:shd w:val="clear" w:color="auto" w:fill="auto"/>
            <w:vAlign w:val="center"/>
          </w:tcPr>
          <w:p w14:paraId="36E4656F" w14:textId="77777777" w:rsidR="00656E77" w:rsidRPr="005E7E22" w:rsidRDefault="00656E77" w:rsidP="003A1979">
            <w:pPr>
              <w:spacing w:after="0" w:line="240" w:lineRule="auto"/>
              <w:textAlignment w:val="baseline"/>
              <w:rPr>
                <w:rFonts w:eastAsia="Times New Roman" w:cstheme="minorHAnsi"/>
                <w:lang w:eastAsia="en-GB"/>
              </w:rPr>
            </w:pPr>
            <w:r>
              <w:rPr>
                <w:rFonts w:eastAsia="Times New Roman" w:cstheme="minorHAnsi"/>
                <w:lang w:eastAsia="en-GB"/>
              </w:rPr>
              <w:t>Use of non-first-line antidepressants</w:t>
            </w:r>
          </w:p>
        </w:tc>
        <w:tc>
          <w:tcPr>
            <w:tcW w:w="3015" w:type="dxa"/>
            <w:tcBorders>
              <w:top w:val="nil"/>
              <w:left w:val="nil"/>
              <w:bottom w:val="nil"/>
              <w:right w:val="nil"/>
            </w:tcBorders>
            <w:shd w:val="clear" w:color="auto" w:fill="auto"/>
            <w:vAlign w:val="center"/>
          </w:tcPr>
          <w:p w14:paraId="73141B1A" w14:textId="77777777" w:rsidR="00656E77" w:rsidRDefault="00656E77" w:rsidP="003A1979">
            <w:pPr>
              <w:spacing w:after="0" w:line="240" w:lineRule="auto"/>
              <w:textAlignment w:val="baseline"/>
              <w:rPr>
                <w:rFonts w:eastAsia="Times New Roman"/>
                <w:lang w:eastAsia="en-GB"/>
              </w:rPr>
            </w:pPr>
            <w:r>
              <w:rPr>
                <w:rFonts w:eastAsia="Times New Roman"/>
                <w:lang w:eastAsia="en-GB"/>
              </w:rPr>
              <w:t>OR=2.04 (1.39, 2.98)</w:t>
            </w:r>
          </w:p>
        </w:tc>
        <w:tc>
          <w:tcPr>
            <w:tcW w:w="2497" w:type="dxa"/>
            <w:tcBorders>
              <w:top w:val="nil"/>
              <w:left w:val="nil"/>
              <w:bottom w:val="nil"/>
              <w:right w:val="nil"/>
            </w:tcBorders>
            <w:shd w:val="clear" w:color="auto" w:fill="auto"/>
            <w:vAlign w:val="center"/>
          </w:tcPr>
          <w:p w14:paraId="6560B518" w14:textId="77777777" w:rsidR="00656E77" w:rsidRPr="752D8399" w:rsidRDefault="00656E77" w:rsidP="003A1979">
            <w:pPr>
              <w:spacing w:after="0" w:line="240" w:lineRule="auto"/>
              <w:textAlignment w:val="baseline"/>
              <w:rPr>
                <w:rFonts w:eastAsia="Times New Roman"/>
                <w:lang w:eastAsia="en-GB"/>
              </w:rPr>
            </w:pPr>
            <w:r>
              <w:rPr>
                <w:rFonts w:eastAsia="Times New Roman"/>
                <w:lang w:eastAsia="en-GB"/>
              </w:rPr>
              <w:t>&lt;0.001</w:t>
            </w:r>
          </w:p>
        </w:tc>
      </w:tr>
      <w:tr w:rsidR="00656E77" w:rsidRPr="00974CCC" w14:paraId="646A635C" w14:textId="77777777" w:rsidTr="003A1979">
        <w:trPr>
          <w:trHeight w:val="699"/>
        </w:trPr>
        <w:tc>
          <w:tcPr>
            <w:tcW w:w="4249" w:type="dxa"/>
            <w:tcBorders>
              <w:top w:val="nil"/>
              <w:left w:val="nil"/>
              <w:bottom w:val="nil"/>
              <w:right w:val="nil"/>
            </w:tcBorders>
            <w:shd w:val="clear" w:color="auto" w:fill="auto"/>
            <w:vAlign w:val="center"/>
          </w:tcPr>
          <w:p w14:paraId="6FA44C6C" w14:textId="77777777" w:rsidR="00656E77" w:rsidRPr="005E7E22" w:rsidRDefault="00656E77" w:rsidP="003A1979">
            <w:pPr>
              <w:spacing w:after="0" w:line="240" w:lineRule="auto"/>
              <w:textAlignment w:val="baseline"/>
              <w:rPr>
                <w:rFonts w:eastAsia="Times New Roman" w:cstheme="minorHAnsi"/>
                <w:lang w:eastAsia="en-GB"/>
              </w:rPr>
            </w:pPr>
            <w:r>
              <w:rPr>
                <w:rFonts w:eastAsia="Times New Roman" w:cstheme="minorHAnsi"/>
                <w:lang w:eastAsia="en-GB"/>
              </w:rPr>
              <w:t>Ever attempted self-harm or suicide during study</w:t>
            </w:r>
          </w:p>
        </w:tc>
        <w:tc>
          <w:tcPr>
            <w:tcW w:w="3015" w:type="dxa"/>
            <w:tcBorders>
              <w:top w:val="nil"/>
              <w:left w:val="nil"/>
              <w:bottom w:val="nil"/>
              <w:right w:val="nil"/>
            </w:tcBorders>
            <w:shd w:val="clear" w:color="auto" w:fill="auto"/>
            <w:vAlign w:val="center"/>
          </w:tcPr>
          <w:p w14:paraId="0D14BDF4" w14:textId="77777777" w:rsidR="00656E77" w:rsidRDefault="00656E77" w:rsidP="003A1979">
            <w:pPr>
              <w:spacing w:after="0" w:line="240" w:lineRule="auto"/>
              <w:textAlignment w:val="baseline"/>
              <w:rPr>
                <w:rFonts w:eastAsia="Times New Roman"/>
                <w:lang w:eastAsia="en-GB"/>
              </w:rPr>
            </w:pPr>
            <w:r>
              <w:rPr>
                <w:rFonts w:eastAsia="Times New Roman"/>
                <w:lang w:eastAsia="en-GB"/>
              </w:rPr>
              <w:t>OR=2.88 (1.29, 6.44)</w:t>
            </w:r>
          </w:p>
        </w:tc>
        <w:tc>
          <w:tcPr>
            <w:tcW w:w="2497" w:type="dxa"/>
            <w:tcBorders>
              <w:top w:val="nil"/>
              <w:left w:val="nil"/>
              <w:bottom w:val="nil"/>
              <w:right w:val="nil"/>
            </w:tcBorders>
            <w:shd w:val="clear" w:color="auto" w:fill="auto"/>
            <w:vAlign w:val="center"/>
          </w:tcPr>
          <w:p w14:paraId="6FC7F0B6" w14:textId="77777777" w:rsidR="00656E77" w:rsidRPr="752D8399" w:rsidRDefault="00656E77" w:rsidP="003A1979">
            <w:pPr>
              <w:spacing w:after="0" w:line="240" w:lineRule="auto"/>
              <w:textAlignment w:val="baseline"/>
              <w:rPr>
                <w:rFonts w:eastAsia="Times New Roman"/>
                <w:lang w:eastAsia="en-GB"/>
              </w:rPr>
            </w:pPr>
            <w:r>
              <w:rPr>
                <w:rFonts w:eastAsia="Times New Roman"/>
                <w:lang w:eastAsia="en-GB"/>
              </w:rPr>
              <w:t>0.010</w:t>
            </w:r>
          </w:p>
        </w:tc>
      </w:tr>
      <w:tr w:rsidR="00656E77" w:rsidRPr="00974CCC" w14:paraId="0DBDADB2" w14:textId="77777777" w:rsidTr="003A1979">
        <w:trPr>
          <w:trHeight w:val="709"/>
        </w:trPr>
        <w:tc>
          <w:tcPr>
            <w:tcW w:w="4249" w:type="dxa"/>
            <w:tcBorders>
              <w:top w:val="nil"/>
              <w:left w:val="nil"/>
              <w:bottom w:val="nil"/>
              <w:right w:val="nil"/>
            </w:tcBorders>
            <w:shd w:val="clear" w:color="auto" w:fill="auto"/>
            <w:vAlign w:val="center"/>
          </w:tcPr>
          <w:p w14:paraId="6072BA54" w14:textId="77777777" w:rsidR="00656E77" w:rsidRPr="005E7E22" w:rsidRDefault="00656E77" w:rsidP="003A1979">
            <w:pPr>
              <w:spacing w:after="0" w:line="240" w:lineRule="auto"/>
              <w:textAlignment w:val="baseline"/>
              <w:rPr>
                <w:rFonts w:eastAsia="Times New Roman" w:cstheme="minorHAnsi"/>
                <w:lang w:eastAsia="en-GB"/>
              </w:rPr>
            </w:pPr>
            <w:r>
              <w:rPr>
                <w:rFonts w:eastAsia="Times New Roman" w:cstheme="minorHAnsi"/>
                <w:lang w:eastAsia="en-GB"/>
              </w:rPr>
              <w:t>Ever had psychotic affective symptoms during study</w:t>
            </w:r>
          </w:p>
        </w:tc>
        <w:tc>
          <w:tcPr>
            <w:tcW w:w="3015" w:type="dxa"/>
            <w:tcBorders>
              <w:top w:val="nil"/>
              <w:left w:val="nil"/>
              <w:bottom w:val="nil"/>
              <w:right w:val="nil"/>
            </w:tcBorders>
            <w:shd w:val="clear" w:color="auto" w:fill="auto"/>
            <w:vAlign w:val="center"/>
          </w:tcPr>
          <w:p w14:paraId="2C6316A9" w14:textId="77777777" w:rsidR="00656E77" w:rsidRDefault="00656E77" w:rsidP="003A1979">
            <w:pPr>
              <w:spacing w:after="0" w:line="240" w:lineRule="auto"/>
              <w:textAlignment w:val="baseline"/>
              <w:rPr>
                <w:rFonts w:eastAsia="Times New Roman"/>
                <w:lang w:eastAsia="en-GB"/>
              </w:rPr>
            </w:pPr>
            <w:r>
              <w:rPr>
                <w:rFonts w:eastAsia="Times New Roman"/>
                <w:lang w:eastAsia="en-GB"/>
              </w:rPr>
              <w:t>OR=0.87 (0.48, 1.56)</w:t>
            </w:r>
          </w:p>
        </w:tc>
        <w:tc>
          <w:tcPr>
            <w:tcW w:w="2497" w:type="dxa"/>
            <w:tcBorders>
              <w:top w:val="nil"/>
              <w:left w:val="nil"/>
              <w:bottom w:val="nil"/>
              <w:right w:val="nil"/>
            </w:tcBorders>
            <w:shd w:val="clear" w:color="auto" w:fill="auto"/>
            <w:vAlign w:val="center"/>
          </w:tcPr>
          <w:p w14:paraId="70692BAE" w14:textId="77777777" w:rsidR="00656E77" w:rsidRPr="752D8399" w:rsidRDefault="00656E77" w:rsidP="003A1979">
            <w:pPr>
              <w:spacing w:after="0" w:line="240" w:lineRule="auto"/>
              <w:textAlignment w:val="baseline"/>
              <w:rPr>
                <w:rFonts w:eastAsia="Times New Roman"/>
                <w:lang w:eastAsia="en-GB"/>
              </w:rPr>
            </w:pPr>
            <w:r>
              <w:rPr>
                <w:rFonts w:eastAsia="Times New Roman"/>
                <w:lang w:eastAsia="en-GB"/>
              </w:rPr>
              <w:t>0.629</w:t>
            </w:r>
          </w:p>
        </w:tc>
      </w:tr>
      <w:tr w:rsidR="00656E77" w:rsidRPr="00974CCC" w14:paraId="7BA69CFD" w14:textId="77777777" w:rsidTr="003A1979">
        <w:trPr>
          <w:trHeight w:val="462"/>
        </w:trPr>
        <w:tc>
          <w:tcPr>
            <w:tcW w:w="4249" w:type="dxa"/>
            <w:tcBorders>
              <w:top w:val="nil"/>
              <w:left w:val="nil"/>
              <w:bottom w:val="single" w:sz="4" w:space="0" w:color="auto"/>
              <w:right w:val="nil"/>
            </w:tcBorders>
            <w:shd w:val="clear" w:color="auto" w:fill="auto"/>
            <w:vAlign w:val="center"/>
          </w:tcPr>
          <w:p w14:paraId="40BD4654" w14:textId="77777777" w:rsidR="00656E77" w:rsidRPr="005E7E22" w:rsidRDefault="00656E77" w:rsidP="003A1979">
            <w:pPr>
              <w:spacing w:after="0" w:line="240" w:lineRule="auto"/>
              <w:textAlignment w:val="baseline"/>
              <w:rPr>
                <w:rFonts w:eastAsia="Times New Roman" w:cstheme="minorHAnsi"/>
                <w:lang w:eastAsia="en-GB"/>
              </w:rPr>
            </w:pPr>
            <w:r w:rsidRPr="005E7E22">
              <w:rPr>
                <w:rFonts w:eastAsia="Times New Roman" w:cstheme="minorHAnsi"/>
                <w:lang w:eastAsia="en-GB"/>
              </w:rPr>
              <w:t>Irritability</w:t>
            </w:r>
            <w:r>
              <w:rPr>
                <w:rFonts w:eastAsia="Times New Roman" w:cstheme="minorHAnsi"/>
                <w:lang w:eastAsia="en-GB"/>
              </w:rPr>
              <w:t xml:space="preserve"> score</w:t>
            </w:r>
          </w:p>
        </w:tc>
        <w:tc>
          <w:tcPr>
            <w:tcW w:w="3015" w:type="dxa"/>
            <w:tcBorders>
              <w:top w:val="nil"/>
              <w:left w:val="nil"/>
              <w:bottom w:val="single" w:sz="4" w:space="0" w:color="auto"/>
              <w:right w:val="nil"/>
            </w:tcBorders>
            <w:shd w:val="clear" w:color="auto" w:fill="auto"/>
            <w:vAlign w:val="center"/>
          </w:tcPr>
          <w:p w14:paraId="383FD4FD" w14:textId="77777777" w:rsidR="00656E77" w:rsidRDefault="00656E77" w:rsidP="003A1979">
            <w:pPr>
              <w:spacing w:after="0" w:line="240" w:lineRule="auto"/>
              <w:textAlignment w:val="baseline"/>
              <w:rPr>
                <w:rFonts w:eastAsia="Times New Roman"/>
                <w:lang w:eastAsia="en-GB"/>
              </w:rPr>
            </w:pPr>
            <w:r>
              <w:rPr>
                <w:rFonts w:eastAsia="Times New Roman"/>
                <w:lang w:eastAsia="en-GB"/>
              </w:rPr>
              <w:t>b=1.66</w:t>
            </w:r>
            <w:r w:rsidRPr="00103266">
              <w:rPr>
                <w:rFonts w:eastAsia="Times New Roman"/>
                <w:lang w:eastAsia="en-GB"/>
              </w:rPr>
              <w:t xml:space="preserve"> (</w:t>
            </w:r>
            <w:r>
              <w:rPr>
                <w:rFonts w:eastAsia="Times New Roman"/>
                <w:lang w:eastAsia="en-GB"/>
              </w:rPr>
              <w:t>1.22</w:t>
            </w:r>
            <w:r w:rsidRPr="00103266">
              <w:rPr>
                <w:rFonts w:eastAsia="Times New Roman"/>
                <w:lang w:eastAsia="en-GB"/>
              </w:rPr>
              <w:t xml:space="preserve">, </w:t>
            </w:r>
            <w:r>
              <w:rPr>
                <w:rFonts w:eastAsia="Times New Roman"/>
                <w:lang w:eastAsia="en-GB"/>
              </w:rPr>
              <w:t>2.10</w:t>
            </w:r>
            <w:r w:rsidRPr="00103266">
              <w:rPr>
                <w:rFonts w:eastAsia="Times New Roman"/>
                <w:lang w:eastAsia="en-GB"/>
              </w:rPr>
              <w:t>)</w:t>
            </w:r>
          </w:p>
        </w:tc>
        <w:tc>
          <w:tcPr>
            <w:tcW w:w="2497" w:type="dxa"/>
            <w:tcBorders>
              <w:top w:val="nil"/>
              <w:left w:val="nil"/>
              <w:bottom w:val="single" w:sz="4" w:space="0" w:color="auto"/>
              <w:right w:val="nil"/>
            </w:tcBorders>
            <w:shd w:val="clear" w:color="auto" w:fill="auto"/>
            <w:vAlign w:val="center"/>
          </w:tcPr>
          <w:p w14:paraId="03DACAE6" w14:textId="77777777" w:rsidR="00656E77" w:rsidRPr="752D8399" w:rsidRDefault="00656E77" w:rsidP="003A1979">
            <w:pPr>
              <w:spacing w:after="0" w:line="240" w:lineRule="auto"/>
              <w:textAlignment w:val="baseline"/>
              <w:rPr>
                <w:rFonts w:eastAsia="Times New Roman"/>
                <w:lang w:eastAsia="en-GB"/>
              </w:rPr>
            </w:pPr>
            <w:r w:rsidRPr="00103266">
              <w:rPr>
                <w:rFonts w:eastAsia="Times New Roman"/>
                <w:lang w:eastAsia="en-GB"/>
              </w:rPr>
              <w:t>&lt;0.001</w:t>
            </w:r>
          </w:p>
        </w:tc>
      </w:tr>
    </w:tbl>
    <w:p w14:paraId="41E18208" w14:textId="77777777" w:rsidR="00656E77" w:rsidRDefault="00656E77" w:rsidP="00656E77">
      <w:pPr>
        <w:pStyle w:val="NoSpacing"/>
        <w:rPr>
          <w:bCs/>
        </w:rPr>
      </w:pPr>
    </w:p>
    <w:p w14:paraId="03464AF2" w14:textId="77777777" w:rsidR="00656E77" w:rsidRDefault="00656E77" w:rsidP="00656E77">
      <w:pPr>
        <w:pStyle w:val="NoSpacing"/>
        <w:rPr>
          <w:bCs/>
        </w:rPr>
      </w:pPr>
    </w:p>
    <w:p w14:paraId="3AB5D7D1" w14:textId="77777777" w:rsidR="00656E77" w:rsidRDefault="00656E77" w:rsidP="00656E77">
      <w:pPr>
        <w:pStyle w:val="NoSpacing"/>
        <w:rPr>
          <w:bCs/>
        </w:rPr>
      </w:pPr>
    </w:p>
    <w:p w14:paraId="6D2545B7" w14:textId="77777777" w:rsidR="00656E77" w:rsidRDefault="00656E77" w:rsidP="00656E77">
      <w:pPr>
        <w:pStyle w:val="NoSpacing"/>
        <w:rPr>
          <w:bCs/>
        </w:rPr>
      </w:pPr>
    </w:p>
    <w:p w14:paraId="49F077B0" w14:textId="77777777" w:rsidR="00656E77" w:rsidRDefault="00656E77" w:rsidP="00656E77">
      <w:pPr>
        <w:pStyle w:val="NoSpacing"/>
        <w:rPr>
          <w:bCs/>
        </w:rPr>
      </w:pPr>
    </w:p>
    <w:p w14:paraId="292C7EAB" w14:textId="77777777" w:rsidR="00656E77" w:rsidRDefault="00656E77" w:rsidP="00656E77">
      <w:pPr>
        <w:pStyle w:val="NoSpacing"/>
        <w:rPr>
          <w:bCs/>
        </w:rPr>
      </w:pPr>
    </w:p>
    <w:p w14:paraId="2B0436E5" w14:textId="77777777" w:rsidR="00656E77" w:rsidRDefault="00656E77" w:rsidP="00656E77">
      <w:pPr>
        <w:pStyle w:val="NoSpacing"/>
        <w:rPr>
          <w:bCs/>
        </w:rPr>
      </w:pPr>
    </w:p>
    <w:p w14:paraId="5BBAC1B0" w14:textId="77777777" w:rsidR="00656E77" w:rsidRDefault="00656E77" w:rsidP="00656E77">
      <w:pPr>
        <w:pStyle w:val="NoSpacing"/>
        <w:rPr>
          <w:bCs/>
        </w:rPr>
      </w:pPr>
    </w:p>
    <w:p w14:paraId="26A55641" w14:textId="77777777" w:rsidR="00656E77" w:rsidRDefault="00656E77" w:rsidP="00656E77">
      <w:pPr>
        <w:pStyle w:val="NoSpacing"/>
        <w:rPr>
          <w:bCs/>
        </w:rPr>
      </w:pPr>
    </w:p>
    <w:p w14:paraId="2FEAC2DF" w14:textId="77777777" w:rsidR="00656E77" w:rsidRDefault="00656E77" w:rsidP="00656E77">
      <w:pPr>
        <w:pStyle w:val="NoSpacing"/>
        <w:rPr>
          <w:bCs/>
        </w:rPr>
      </w:pPr>
    </w:p>
    <w:p w14:paraId="5C42B4E2" w14:textId="77777777" w:rsidR="00656E77" w:rsidRDefault="00656E77" w:rsidP="00656E77">
      <w:pPr>
        <w:pStyle w:val="NoSpacing"/>
        <w:rPr>
          <w:bCs/>
        </w:rPr>
      </w:pPr>
    </w:p>
    <w:p w14:paraId="06223412" w14:textId="77777777" w:rsidR="00656E77" w:rsidRDefault="00656E77" w:rsidP="00656E77">
      <w:pPr>
        <w:pStyle w:val="NoSpacing"/>
        <w:rPr>
          <w:bCs/>
        </w:rPr>
      </w:pPr>
    </w:p>
    <w:p w14:paraId="69345494" w14:textId="77777777" w:rsidR="00656E77" w:rsidRDefault="00656E77" w:rsidP="00656E77">
      <w:pPr>
        <w:pStyle w:val="NoSpacing"/>
        <w:rPr>
          <w:bCs/>
        </w:rPr>
      </w:pPr>
    </w:p>
    <w:p w14:paraId="179D9AE5" w14:textId="77777777" w:rsidR="00656E77" w:rsidRDefault="00656E77" w:rsidP="00656E77">
      <w:pPr>
        <w:pStyle w:val="NoSpacing"/>
        <w:rPr>
          <w:bCs/>
        </w:rPr>
      </w:pPr>
    </w:p>
    <w:p w14:paraId="144BF09A" w14:textId="77777777" w:rsidR="00656E77" w:rsidRDefault="00656E77" w:rsidP="00656E77">
      <w:pPr>
        <w:pStyle w:val="NoSpacing"/>
        <w:rPr>
          <w:bCs/>
        </w:rPr>
      </w:pPr>
    </w:p>
    <w:p w14:paraId="4059FA45" w14:textId="77777777" w:rsidR="00656E77" w:rsidRDefault="00656E77" w:rsidP="00656E77">
      <w:pPr>
        <w:pStyle w:val="NoSpacing"/>
        <w:rPr>
          <w:bCs/>
        </w:rPr>
      </w:pPr>
    </w:p>
    <w:p w14:paraId="56E2F6FE" w14:textId="77777777" w:rsidR="00656E77" w:rsidRDefault="00656E77" w:rsidP="00656E77">
      <w:pPr>
        <w:pStyle w:val="NoSpacing"/>
        <w:rPr>
          <w:bCs/>
        </w:rPr>
      </w:pPr>
    </w:p>
    <w:p w14:paraId="5C2A4484" w14:textId="77777777" w:rsidR="00656E77" w:rsidRDefault="00656E77" w:rsidP="00656E77">
      <w:pPr>
        <w:pStyle w:val="NoSpacing"/>
        <w:rPr>
          <w:bCs/>
        </w:rPr>
      </w:pPr>
    </w:p>
    <w:p w14:paraId="5C93586A" w14:textId="77777777" w:rsidR="00656E77" w:rsidRDefault="00656E77" w:rsidP="00656E77">
      <w:pPr>
        <w:pStyle w:val="NoSpacing"/>
        <w:rPr>
          <w:bCs/>
        </w:rPr>
      </w:pPr>
    </w:p>
    <w:p w14:paraId="1BB3B9E5" w14:textId="77777777" w:rsidR="00656E77" w:rsidRDefault="00656E77" w:rsidP="00656E77">
      <w:pPr>
        <w:pStyle w:val="NoSpacing"/>
        <w:rPr>
          <w:bCs/>
        </w:rPr>
      </w:pPr>
    </w:p>
    <w:p w14:paraId="58EF426F" w14:textId="77777777" w:rsidR="00656E77" w:rsidRDefault="00656E77" w:rsidP="00656E77">
      <w:pPr>
        <w:pStyle w:val="NoSpacing"/>
        <w:rPr>
          <w:bCs/>
        </w:rPr>
      </w:pPr>
    </w:p>
    <w:p w14:paraId="6DD477A9" w14:textId="77777777" w:rsidR="00656E77" w:rsidRDefault="00656E77" w:rsidP="00656E77">
      <w:pPr>
        <w:pStyle w:val="NoSpacing"/>
        <w:rPr>
          <w:bCs/>
        </w:rPr>
      </w:pPr>
    </w:p>
    <w:p w14:paraId="0AFF7859" w14:textId="77777777" w:rsidR="00656E77" w:rsidRDefault="00656E77" w:rsidP="00656E77">
      <w:pPr>
        <w:pStyle w:val="NoSpacing"/>
        <w:rPr>
          <w:bCs/>
        </w:rPr>
      </w:pPr>
    </w:p>
    <w:p w14:paraId="05B89BD1" w14:textId="77777777" w:rsidR="00656E77" w:rsidRDefault="00656E77" w:rsidP="00656E77">
      <w:pPr>
        <w:pStyle w:val="NoSpacing"/>
        <w:rPr>
          <w:bCs/>
        </w:rPr>
      </w:pPr>
    </w:p>
    <w:p w14:paraId="163E5E38" w14:textId="77777777" w:rsidR="00656E77" w:rsidRDefault="00656E77" w:rsidP="00656E77">
      <w:pPr>
        <w:pStyle w:val="NoSpacing"/>
        <w:rPr>
          <w:bCs/>
        </w:rPr>
      </w:pPr>
    </w:p>
    <w:p w14:paraId="71B15425" w14:textId="77777777" w:rsidR="00656E77" w:rsidRDefault="00656E77" w:rsidP="00656E77">
      <w:pPr>
        <w:pStyle w:val="NoSpacing"/>
        <w:rPr>
          <w:bCs/>
        </w:rPr>
      </w:pPr>
    </w:p>
    <w:p w14:paraId="3AF60C6C" w14:textId="77777777" w:rsidR="00656E77" w:rsidRDefault="00656E77" w:rsidP="00656E77">
      <w:pPr>
        <w:pStyle w:val="NoSpacing"/>
        <w:rPr>
          <w:i/>
        </w:rPr>
      </w:pPr>
      <w:r>
        <w:rPr>
          <w:bCs/>
        </w:rPr>
        <w:t xml:space="preserve">Results in complete case women (n=148) with IPW applied are shown. </w:t>
      </w:r>
      <w:r>
        <w:rPr>
          <w:bCs/>
          <w:i/>
        </w:rPr>
        <w:t xml:space="preserve">IPW </w:t>
      </w:r>
      <w:r>
        <w:rPr>
          <w:bCs/>
        </w:rPr>
        <w:t xml:space="preserve">inverse probability weighting, </w:t>
      </w:r>
      <w:r>
        <w:rPr>
          <w:i/>
        </w:rPr>
        <w:t xml:space="preserve">ADHD </w:t>
      </w:r>
    </w:p>
    <w:p w14:paraId="0C47642E" w14:textId="77777777" w:rsidR="00656E77" w:rsidRDefault="00656E77" w:rsidP="00656E77">
      <w:pPr>
        <w:pStyle w:val="NoSpacing"/>
        <w:rPr>
          <w:bCs/>
        </w:rPr>
      </w:pPr>
      <w:r>
        <w:t xml:space="preserve">attention-deficit/hyperactivity disorder, </w:t>
      </w:r>
      <w:r>
        <w:rPr>
          <w:i/>
        </w:rPr>
        <w:t xml:space="preserve">MDD </w:t>
      </w:r>
      <w:r>
        <w:t xml:space="preserve">major depressive disorder, </w:t>
      </w:r>
      <w:r>
        <w:rPr>
          <w:bCs/>
          <w:i/>
        </w:rPr>
        <w:t xml:space="preserve">GAF </w:t>
      </w:r>
      <w:r>
        <w:rPr>
          <w:bCs/>
        </w:rPr>
        <w:t xml:space="preserve">global assessment of functioning, </w:t>
      </w:r>
    </w:p>
    <w:p w14:paraId="29DADD21" w14:textId="77777777" w:rsidR="00656E77" w:rsidRPr="001221CB" w:rsidRDefault="00656E77" w:rsidP="00656E77">
      <w:pPr>
        <w:pStyle w:val="NoSpacing"/>
      </w:pPr>
      <w:r>
        <w:rPr>
          <w:bCs/>
          <w:i/>
        </w:rPr>
        <w:t xml:space="preserve">b </w:t>
      </w:r>
      <w:r>
        <w:rPr>
          <w:bCs/>
        </w:rPr>
        <w:t xml:space="preserve">unstandardized beta, </w:t>
      </w:r>
      <w:r>
        <w:rPr>
          <w:bCs/>
          <w:i/>
        </w:rPr>
        <w:t xml:space="preserve">CI </w:t>
      </w:r>
      <w:r>
        <w:rPr>
          <w:bCs/>
        </w:rPr>
        <w:t>confidence interval</w:t>
      </w:r>
    </w:p>
    <w:p w14:paraId="4C61F91A" w14:textId="77777777" w:rsidR="00656E77" w:rsidRDefault="00656E77" w:rsidP="00656E77">
      <w:pPr>
        <w:rPr>
          <w:b/>
        </w:rPr>
      </w:pPr>
    </w:p>
    <w:p w14:paraId="659E4A89" w14:textId="77777777" w:rsidR="00656E77" w:rsidRPr="00443DA1" w:rsidRDefault="00656E77" w:rsidP="00656E77">
      <w:pPr>
        <w:spacing w:line="480" w:lineRule="auto"/>
        <w:rPr>
          <w:rFonts w:eastAsia="Times New Roman" w:cstheme="minorHAnsi"/>
          <w:b/>
          <w:bCs/>
        </w:rPr>
      </w:pPr>
    </w:p>
    <w:tbl>
      <w:tblPr>
        <w:tblpPr w:leftFromText="180" w:rightFromText="180" w:vertAnchor="text" w:tblpY="466"/>
        <w:tblW w:w="1406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8555"/>
        <w:gridCol w:w="1140"/>
        <w:gridCol w:w="2089"/>
        <w:gridCol w:w="1138"/>
        <w:gridCol w:w="1138"/>
      </w:tblGrid>
      <w:tr w:rsidR="00656E77" w:rsidRPr="00443DA1" w14:paraId="43C16153" w14:textId="77777777" w:rsidTr="00656E77">
        <w:trPr>
          <w:trHeight w:val="515"/>
        </w:trPr>
        <w:tc>
          <w:tcPr>
            <w:tcW w:w="8555" w:type="dxa"/>
            <w:tcBorders>
              <w:top w:val="single" w:sz="4" w:space="0" w:color="auto"/>
              <w:bottom w:val="single" w:sz="4" w:space="0" w:color="auto"/>
            </w:tcBorders>
            <w:shd w:val="clear" w:color="auto" w:fill="auto"/>
            <w:vAlign w:val="center"/>
            <w:hideMark/>
          </w:tcPr>
          <w:p w14:paraId="049E5FC9" w14:textId="77777777" w:rsidR="00656E77" w:rsidRPr="00FC319A" w:rsidRDefault="00656E77" w:rsidP="003A1979">
            <w:pPr>
              <w:spacing w:line="240" w:lineRule="auto"/>
              <w:rPr>
                <w:rFonts w:eastAsia="Times New Roman" w:cstheme="minorHAnsi"/>
                <w:b/>
                <w:bCs/>
              </w:rPr>
            </w:pPr>
            <w:r>
              <w:rPr>
                <w:rFonts w:eastAsia="Times New Roman" w:cstheme="minorHAnsi"/>
                <w:b/>
                <w:bCs/>
              </w:rPr>
              <w:t>Predictor v</w:t>
            </w:r>
            <w:r w:rsidRPr="00FC319A">
              <w:rPr>
                <w:rFonts w:eastAsia="Times New Roman" w:cstheme="minorHAnsi"/>
                <w:b/>
                <w:bCs/>
              </w:rPr>
              <w:t>ariable (assessment wave 1)</w:t>
            </w:r>
          </w:p>
        </w:tc>
        <w:tc>
          <w:tcPr>
            <w:tcW w:w="1140" w:type="dxa"/>
            <w:tcBorders>
              <w:top w:val="single" w:sz="4" w:space="0" w:color="auto"/>
              <w:bottom w:val="single" w:sz="4" w:space="0" w:color="auto"/>
            </w:tcBorders>
            <w:vAlign w:val="center"/>
          </w:tcPr>
          <w:p w14:paraId="4ACD58B8" w14:textId="77777777" w:rsidR="00656E77" w:rsidRPr="00FC319A" w:rsidRDefault="00656E77" w:rsidP="003A1979">
            <w:pPr>
              <w:spacing w:line="240" w:lineRule="auto"/>
              <w:rPr>
                <w:rFonts w:eastAsia="Times New Roman" w:cstheme="minorHAnsi"/>
                <w:b/>
                <w:bCs/>
              </w:rPr>
            </w:pPr>
            <w:r w:rsidRPr="00FC319A">
              <w:rPr>
                <w:rFonts w:eastAsia="Times New Roman" w:cstheme="minorHAnsi"/>
                <w:b/>
                <w:bCs/>
              </w:rPr>
              <w:t xml:space="preserve">OR            </w:t>
            </w:r>
          </w:p>
        </w:tc>
        <w:tc>
          <w:tcPr>
            <w:tcW w:w="2089" w:type="dxa"/>
            <w:tcBorders>
              <w:top w:val="single" w:sz="4" w:space="0" w:color="auto"/>
              <w:bottom w:val="single" w:sz="4" w:space="0" w:color="auto"/>
            </w:tcBorders>
            <w:shd w:val="clear" w:color="auto" w:fill="auto"/>
            <w:vAlign w:val="center"/>
            <w:hideMark/>
          </w:tcPr>
          <w:p w14:paraId="42D1553F" w14:textId="77777777" w:rsidR="00656E77" w:rsidRPr="00FC319A" w:rsidRDefault="00656E77" w:rsidP="003A1979">
            <w:pPr>
              <w:spacing w:line="240" w:lineRule="auto"/>
              <w:rPr>
                <w:rFonts w:eastAsia="Times New Roman" w:cstheme="minorHAnsi"/>
                <w:b/>
                <w:bCs/>
              </w:rPr>
            </w:pPr>
            <w:r w:rsidRPr="00FC319A">
              <w:rPr>
                <w:rFonts w:eastAsia="Times New Roman" w:cstheme="minorHAnsi"/>
                <w:b/>
                <w:bCs/>
              </w:rPr>
              <w:t>95% CI </w:t>
            </w:r>
          </w:p>
        </w:tc>
        <w:tc>
          <w:tcPr>
            <w:tcW w:w="1138" w:type="dxa"/>
            <w:tcBorders>
              <w:top w:val="single" w:sz="4" w:space="0" w:color="auto"/>
              <w:bottom w:val="single" w:sz="4" w:space="0" w:color="auto"/>
            </w:tcBorders>
          </w:tcPr>
          <w:p w14:paraId="73C039E2" w14:textId="77777777" w:rsidR="00656E77" w:rsidRDefault="00656E77" w:rsidP="003A1979">
            <w:pPr>
              <w:spacing w:line="240" w:lineRule="auto"/>
              <w:rPr>
                <w:rFonts w:eastAsia="Times New Roman" w:cstheme="minorHAnsi"/>
                <w:b/>
                <w:bCs/>
              </w:rPr>
            </w:pPr>
          </w:p>
        </w:tc>
        <w:tc>
          <w:tcPr>
            <w:tcW w:w="1138" w:type="dxa"/>
            <w:tcBorders>
              <w:top w:val="single" w:sz="4" w:space="0" w:color="auto"/>
              <w:bottom w:val="single" w:sz="4" w:space="0" w:color="auto"/>
            </w:tcBorders>
            <w:shd w:val="clear" w:color="auto" w:fill="auto"/>
            <w:vAlign w:val="center"/>
            <w:hideMark/>
          </w:tcPr>
          <w:p w14:paraId="307997CD" w14:textId="77777777" w:rsidR="00656E77" w:rsidRPr="00FC319A" w:rsidRDefault="00656E77" w:rsidP="003A1979">
            <w:pPr>
              <w:spacing w:line="240" w:lineRule="auto"/>
              <w:rPr>
                <w:rFonts w:eastAsia="Times New Roman" w:cstheme="minorHAnsi"/>
                <w:b/>
                <w:bCs/>
              </w:rPr>
            </w:pPr>
            <w:r>
              <w:rPr>
                <w:rFonts w:eastAsia="Times New Roman" w:cstheme="minorHAnsi"/>
                <w:b/>
                <w:bCs/>
              </w:rPr>
              <w:t>p</w:t>
            </w:r>
            <w:r w:rsidRPr="00FC319A">
              <w:rPr>
                <w:rFonts w:eastAsia="Times New Roman" w:cstheme="minorHAnsi"/>
                <w:b/>
                <w:bCs/>
              </w:rPr>
              <w:t>-value</w:t>
            </w:r>
          </w:p>
        </w:tc>
      </w:tr>
      <w:tr w:rsidR="00656E77" w:rsidRPr="00443DA1" w14:paraId="136BECA0" w14:textId="77777777" w:rsidTr="00656E77">
        <w:trPr>
          <w:trHeight w:val="517"/>
        </w:trPr>
        <w:tc>
          <w:tcPr>
            <w:tcW w:w="8555" w:type="dxa"/>
            <w:tcBorders>
              <w:top w:val="single" w:sz="4" w:space="0" w:color="auto"/>
              <w:left w:val="nil"/>
              <w:bottom w:val="nil"/>
              <w:right w:val="nil"/>
            </w:tcBorders>
            <w:shd w:val="clear" w:color="auto" w:fill="auto"/>
          </w:tcPr>
          <w:p w14:paraId="6CBF7C6D" w14:textId="77777777" w:rsidR="00656E77" w:rsidRPr="00443DA1" w:rsidRDefault="00656E77" w:rsidP="003A1979">
            <w:pPr>
              <w:pStyle w:val="NoSpacing"/>
              <w:rPr>
                <w:rFonts w:eastAsia="Times New Roman" w:cstheme="minorHAnsi"/>
              </w:rPr>
            </w:pPr>
            <w:r w:rsidRPr="00443DA1">
              <w:rPr>
                <w:rFonts w:eastAsia="Times New Roman" w:cstheme="minorHAnsi"/>
              </w:rPr>
              <w:t>Approximate gross family income*</w:t>
            </w:r>
          </w:p>
        </w:tc>
        <w:tc>
          <w:tcPr>
            <w:tcW w:w="1140" w:type="dxa"/>
            <w:tcBorders>
              <w:top w:val="single" w:sz="4" w:space="0" w:color="auto"/>
              <w:left w:val="nil"/>
              <w:bottom w:val="nil"/>
              <w:right w:val="nil"/>
            </w:tcBorders>
          </w:tcPr>
          <w:p w14:paraId="0915422F" w14:textId="77777777" w:rsidR="00656E77" w:rsidRPr="00443DA1" w:rsidRDefault="00656E77" w:rsidP="003A1979">
            <w:pPr>
              <w:spacing w:line="240" w:lineRule="auto"/>
              <w:rPr>
                <w:rFonts w:eastAsia="Times New Roman" w:cstheme="minorHAnsi"/>
              </w:rPr>
            </w:pPr>
            <w:r w:rsidRPr="00443DA1">
              <w:rPr>
                <w:rFonts w:eastAsia="Times New Roman" w:cstheme="minorHAnsi"/>
              </w:rPr>
              <w:t>0.81</w:t>
            </w:r>
          </w:p>
        </w:tc>
        <w:tc>
          <w:tcPr>
            <w:tcW w:w="2089" w:type="dxa"/>
            <w:tcBorders>
              <w:top w:val="single" w:sz="4" w:space="0" w:color="auto"/>
              <w:left w:val="nil"/>
              <w:bottom w:val="nil"/>
              <w:right w:val="nil"/>
            </w:tcBorders>
            <w:shd w:val="clear" w:color="auto" w:fill="auto"/>
          </w:tcPr>
          <w:p w14:paraId="0F98BDCC" w14:textId="77777777" w:rsidR="00656E77" w:rsidRPr="00443DA1" w:rsidRDefault="00656E77" w:rsidP="003A1979">
            <w:pPr>
              <w:spacing w:line="240" w:lineRule="auto"/>
              <w:rPr>
                <w:rFonts w:eastAsia="Times New Roman" w:cstheme="minorHAnsi"/>
              </w:rPr>
            </w:pPr>
            <w:r w:rsidRPr="00443DA1">
              <w:rPr>
                <w:rFonts w:eastAsia="Times New Roman" w:cstheme="minorHAnsi"/>
              </w:rPr>
              <w:t>0.71, 0.92</w:t>
            </w:r>
          </w:p>
        </w:tc>
        <w:tc>
          <w:tcPr>
            <w:tcW w:w="1138" w:type="dxa"/>
            <w:tcBorders>
              <w:top w:val="single" w:sz="4" w:space="0" w:color="auto"/>
              <w:left w:val="nil"/>
              <w:bottom w:val="nil"/>
              <w:right w:val="nil"/>
            </w:tcBorders>
          </w:tcPr>
          <w:p w14:paraId="71B601D7" w14:textId="77777777" w:rsidR="00656E77" w:rsidRPr="00443DA1" w:rsidRDefault="00656E77" w:rsidP="003A1979">
            <w:pPr>
              <w:spacing w:line="240" w:lineRule="auto"/>
              <w:rPr>
                <w:rFonts w:eastAsia="Times New Roman" w:cstheme="minorHAnsi"/>
              </w:rPr>
            </w:pPr>
          </w:p>
        </w:tc>
        <w:tc>
          <w:tcPr>
            <w:tcW w:w="1138" w:type="dxa"/>
            <w:tcBorders>
              <w:top w:val="single" w:sz="4" w:space="0" w:color="auto"/>
              <w:left w:val="nil"/>
              <w:bottom w:val="nil"/>
              <w:right w:val="nil"/>
            </w:tcBorders>
            <w:shd w:val="clear" w:color="auto" w:fill="auto"/>
          </w:tcPr>
          <w:p w14:paraId="6E7180ED" w14:textId="77777777" w:rsidR="00656E77" w:rsidRPr="00443DA1" w:rsidRDefault="00656E77" w:rsidP="003A1979">
            <w:pPr>
              <w:spacing w:line="240" w:lineRule="auto"/>
              <w:rPr>
                <w:rFonts w:eastAsia="Times New Roman" w:cstheme="minorHAnsi"/>
              </w:rPr>
            </w:pPr>
            <w:r w:rsidRPr="00443DA1">
              <w:rPr>
                <w:rFonts w:eastAsia="Times New Roman" w:cstheme="minorHAnsi"/>
              </w:rPr>
              <w:t>0.001</w:t>
            </w:r>
          </w:p>
        </w:tc>
      </w:tr>
      <w:tr w:rsidR="00656E77" w:rsidRPr="00443DA1" w14:paraId="35EE7FC1" w14:textId="77777777" w:rsidTr="00656E77">
        <w:trPr>
          <w:trHeight w:val="555"/>
        </w:trPr>
        <w:tc>
          <w:tcPr>
            <w:tcW w:w="8555" w:type="dxa"/>
            <w:tcBorders>
              <w:top w:val="nil"/>
              <w:left w:val="nil"/>
              <w:bottom w:val="nil"/>
              <w:right w:val="nil"/>
            </w:tcBorders>
            <w:shd w:val="clear" w:color="auto" w:fill="auto"/>
          </w:tcPr>
          <w:p w14:paraId="2E617896" w14:textId="77777777" w:rsidR="00656E77" w:rsidRPr="00443DA1" w:rsidRDefault="00656E77" w:rsidP="003A1979">
            <w:pPr>
              <w:pStyle w:val="NoSpacing"/>
              <w:rPr>
                <w:rFonts w:eastAsia="Times New Roman" w:cstheme="minorHAnsi"/>
              </w:rPr>
            </w:pPr>
            <w:r w:rsidRPr="00443DA1">
              <w:rPr>
                <w:rFonts w:eastAsia="Times New Roman" w:cstheme="minorHAnsi"/>
              </w:rPr>
              <w:t>Education (GCSEs or equivalent qualifications)*</w:t>
            </w:r>
          </w:p>
        </w:tc>
        <w:tc>
          <w:tcPr>
            <w:tcW w:w="1140" w:type="dxa"/>
            <w:tcBorders>
              <w:top w:val="nil"/>
              <w:left w:val="nil"/>
              <w:bottom w:val="nil"/>
              <w:right w:val="nil"/>
            </w:tcBorders>
          </w:tcPr>
          <w:p w14:paraId="6C5BF0C0" w14:textId="77777777" w:rsidR="00656E77" w:rsidRPr="00443DA1" w:rsidRDefault="00656E77" w:rsidP="003A1979">
            <w:pPr>
              <w:spacing w:line="240" w:lineRule="auto"/>
              <w:rPr>
                <w:rFonts w:eastAsia="Times New Roman" w:cstheme="minorHAnsi"/>
              </w:rPr>
            </w:pPr>
            <w:r w:rsidRPr="00443DA1">
              <w:rPr>
                <w:rFonts w:eastAsia="Times New Roman" w:cstheme="minorHAnsi"/>
              </w:rPr>
              <w:t>0.50</w:t>
            </w:r>
          </w:p>
        </w:tc>
        <w:tc>
          <w:tcPr>
            <w:tcW w:w="2089" w:type="dxa"/>
            <w:tcBorders>
              <w:top w:val="nil"/>
              <w:left w:val="nil"/>
              <w:bottom w:val="nil"/>
              <w:right w:val="nil"/>
            </w:tcBorders>
            <w:shd w:val="clear" w:color="auto" w:fill="auto"/>
          </w:tcPr>
          <w:p w14:paraId="1E2FE2EC" w14:textId="77777777" w:rsidR="00656E77" w:rsidRPr="00443DA1" w:rsidRDefault="00656E77" w:rsidP="003A1979">
            <w:pPr>
              <w:spacing w:line="240" w:lineRule="auto"/>
              <w:rPr>
                <w:rFonts w:eastAsia="Times New Roman" w:cstheme="minorHAnsi"/>
              </w:rPr>
            </w:pPr>
            <w:r w:rsidRPr="00443DA1">
              <w:rPr>
                <w:rFonts w:eastAsia="Times New Roman" w:cstheme="minorHAnsi"/>
              </w:rPr>
              <w:t>0.27, 0.90</w:t>
            </w:r>
          </w:p>
        </w:tc>
        <w:tc>
          <w:tcPr>
            <w:tcW w:w="1138" w:type="dxa"/>
            <w:tcBorders>
              <w:top w:val="nil"/>
              <w:left w:val="nil"/>
              <w:bottom w:val="nil"/>
              <w:right w:val="nil"/>
            </w:tcBorders>
          </w:tcPr>
          <w:p w14:paraId="2E21443D" w14:textId="77777777" w:rsidR="00656E77" w:rsidRPr="00443DA1" w:rsidRDefault="00656E77" w:rsidP="003A1979">
            <w:pPr>
              <w:spacing w:line="240" w:lineRule="auto"/>
              <w:rPr>
                <w:rFonts w:eastAsia="Times New Roman" w:cstheme="minorHAnsi"/>
              </w:rPr>
            </w:pPr>
          </w:p>
        </w:tc>
        <w:tc>
          <w:tcPr>
            <w:tcW w:w="1138" w:type="dxa"/>
            <w:tcBorders>
              <w:top w:val="nil"/>
              <w:left w:val="nil"/>
              <w:bottom w:val="nil"/>
              <w:right w:val="nil"/>
            </w:tcBorders>
            <w:shd w:val="clear" w:color="auto" w:fill="auto"/>
          </w:tcPr>
          <w:p w14:paraId="4D439D18" w14:textId="77777777" w:rsidR="00656E77" w:rsidRPr="00443DA1" w:rsidRDefault="00656E77" w:rsidP="003A1979">
            <w:pPr>
              <w:spacing w:line="240" w:lineRule="auto"/>
              <w:rPr>
                <w:rFonts w:eastAsia="Times New Roman" w:cstheme="minorHAnsi"/>
              </w:rPr>
            </w:pPr>
            <w:r w:rsidRPr="00443DA1">
              <w:rPr>
                <w:rFonts w:eastAsia="Times New Roman" w:cstheme="minorHAnsi"/>
              </w:rPr>
              <w:t>0.020</w:t>
            </w:r>
          </w:p>
        </w:tc>
      </w:tr>
      <w:tr w:rsidR="00656E77" w:rsidRPr="00443DA1" w14:paraId="465931BB" w14:textId="77777777" w:rsidTr="00656E77">
        <w:trPr>
          <w:trHeight w:val="555"/>
        </w:trPr>
        <w:tc>
          <w:tcPr>
            <w:tcW w:w="8555" w:type="dxa"/>
            <w:tcBorders>
              <w:top w:val="nil"/>
              <w:left w:val="nil"/>
              <w:bottom w:val="nil"/>
              <w:right w:val="nil"/>
            </w:tcBorders>
            <w:shd w:val="clear" w:color="auto" w:fill="auto"/>
          </w:tcPr>
          <w:p w14:paraId="19A7E762" w14:textId="77777777" w:rsidR="00656E77" w:rsidRPr="00443DA1" w:rsidRDefault="00656E77" w:rsidP="003A1979">
            <w:pPr>
              <w:pStyle w:val="NoSpacing"/>
              <w:rPr>
                <w:rFonts w:eastAsia="Times New Roman" w:cstheme="minorHAnsi"/>
              </w:rPr>
            </w:pPr>
            <w:r w:rsidRPr="00443DA1">
              <w:rPr>
                <w:rFonts w:eastAsia="Times New Roman" w:cstheme="minorHAnsi"/>
              </w:rPr>
              <w:t>Number of children*</w:t>
            </w:r>
          </w:p>
        </w:tc>
        <w:tc>
          <w:tcPr>
            <w:tcW w:w="1140" w:type="dxa"/>
            <w:tcBorders>
              <w:top w:val="nil"/>
              <w:left w:val="nil"/>
              <w:bottom w:val="nil"/>
              <w:right w:val="nil"/>
            </w:tcBorders>
          </w:tcPr>
          <w:p w14:paraId="59644D07" w14:textId="77777777" w:rsidR="00656E77" w:rsidRPr="00443DA1" w:rsidRDefault="00656E77" w:rsidP="003A1979">
            <w:pPr>
              <w:spacing w:line="240" w:lineRule="auto"/>
              <w:rPr>
                <w:rFonts w:eastAsia="Times New Roman" w:cstheme="minorHAnsi"/>
              </w:rPr>
            </w:pPr>
            <w:r w:rsidRPr="00443DA1">
              <w:rPr>
                <w:rFonts w:eastAsia="Times New Roman" w:cstheme="minorHAnsi"/>
              </w:rPr>
              <w:t>1.37</w:t>
            </w:r>
          </w:p>
        </w:tc>
        <w:tc>
          <w:tcPr>
            <w:tcW w:w="2089" w:type="dxa"/>
            <w:tcBorders>
              <w:top w:val="nil"/>
              <w:left w:val="nil"/>
              <w:bottom w:val="nil"/>
              <w:right w:val="nil"/>
            </w:tcBorders>
            <w:shd w:val="clear" w:color="auto" w:fill="auto"/>
          </w:tcPr>
          <w:p w14:paraId="77EBE8BF" w14:textId="77777777" w:rsidR="00656E77" w:rsidRPr="00443DA1" w:rsidRDefault="00656E77" w:rsidP="003A1979">
            <w:pPr>
              <w:spacing w:line="240" w:lineRule="auto"/>
              <w:rPr>
                <w:rFonts w:eastAsia="Times New Roman" w:cstheme="minorHAnsi"/>
              </w:rPr>
            </w:pPr>
            <w:r w:rsidRPr="00443DA1">
              <w:rPr>
                <w:rFonts w:eastAsia="Times New Roman" w:cstheme="minorHAnsi"/>
              </w:rPr>
              <w:t>1.07, 1.76</w:t>
            </w:r>
          </w:p>
        </w:tc>
        <w:tc>
          <w:tcPr>
            <w:tcW w:w="1138" w:type="dxa"/>
            <w:tcBorders>
              <w:top w:val="nil"/>
              <w:left w:val="nil"/>
              <w:bottom w:val="nil"/>
              <w:right w:val="nil"/>
            </w:tcBorders>
          </w:tcPr>
          <w:p w14:paraId="304CD41C" w14:textId="77777777" w:rsidR="00656E77" w:rsidRPr="00443DA1" w:rsidRDefault="00656E77" w:rsidP="003A1979">
            <w:pPr>
              <w:spacing w:line="240" w:lineRule="auto"/>
              <w:rPr>
                <w:rFonts w:eastAsia="Times New Roman" w:cstheme="minorHAnsi"/>
              </w:rPr>
            </w:pPr>
          </w:p>
        </w:tc>
        <w:tc>
          <w:tcPr>
            <w:tcW w:w="1138" w:type="dxa"/>
            <w:tcBorders>
              <w:top w:val="nil"/>
              <w:left w:val="nil"/>
              <w:bottom w:val="nil"/>
              <w:right w:val="nil"/>
            </w:tcBorders>
            <w:shd w:val="clear" w:color="auto" w:fill="auto"/>
          </w:tcPr>
          <w:p w14:paraId="0E71FF3B" w14:textId="77777777" w:rsidR="00656E77" w:rsidRPr="00443DA1" w:rsidRDefault="00656E77" w:rsidP="003A1979">
            <w:pPr>
              <w:spacing w:line="240" w:lineRule="auto"/>
              <w:rPr>
                <w:rFonts w:eastAsia="Times New Roman" w:cstheme="minorHAnsi"/>
              </w:rPr>
            </w:pPr>
            <w:r w:rsidRPr="00443DA1">
              <w:rPr>
                <w:rFonts w:eastAsia="Times New Roman" w:cstheme="minorHAnsi"/>
              </w:rPr>
              <w:t>0.013</w:t>
            </w:r>
          </w:p>
        </w:tc>
      </w:tr>
      <w:tr w:rsidR="00656E77" w:rsidRPr="00443DA1" w14:paraId="0B051BE1" w14:textId="77777777" w:rsidTr="00656E77">
        <w:trPr>
          <w:trHeight w:val="561"/>
        </w:trPr>
        <w:tc>
          <w:tcPr>
            <w:tcW w:w="8555" w:type="dxa"/>
            <w:tcBorders>
              <w:top w:val="nil"/>
              <w:left w:val="nil"/>
              <w:bottom w:val="nil"/>
              <w:right w:val="nil"/>
            </w:tcBorders>
            <w:shd w:val="clear" w:color="auto" w:fill="auto"/>
          </w:tcPr>
          <w:p w14:paraId="66D5AEB8" w14:textId="77777777" w:rsidR="00656E77" w:rsidRPr="00443DA1" w:rsidRDefault="00656E77" w:rsidP="003A1979">
            <w:pPr>
              <w:pStyle w:val="NoSpacing"/>
              <w:rPr>
                <w:rFonts w:eastAsia="Times New Roman" w:cstheme="minorHAnsi"/>
              </w:rPr>
            </w:pPr>
            <w:r w:rsidRPr="00443DA1">
              <w:rPr>
                <w:rFonts w:eastAsia="Times New Roman" w:cstheme="minorHAnsi"/>
              </w:rPr>
              <w:t>Age at birth of index child*</w:t>
            </w:r>
          </w:p>
        </w:tc>
        <w:tc>
          <w:tcPr>
            <w:tcW w:w="1140" w:type="dxa"/>
            <w:tcBorders>
              <w:top w:val="nil"/>
              <w:left w:val="nil"/>
              <w:bottom w:val="nil"/>
              <w:right w:val="nil"/>
            </w:tcBorders>
            <w:vAlign w:val="center"/>
          </w:tcPr>
          <w:p w14:paraId="2E9CB63E" w14:textId="77777777" w:rsidR="00656E77" w:rsidRPr="00443DA1" w:rsidRDefault="00656E77" w:rsidP="003A1979">
            <w:pPr>
              <w:spacing w:line="240" w:lineRule="auto"/>
              <w:rPr>
                <w:rFonts w:eastAsia="Times New Roman" w:cstheme="minorHAnsi"/>
              </w:rPr>
            </w:pPr>
            <w:r w:rsidRPr="00443DA1">
              <w:rPr>
                <w:rFonts w:eastAsia="Times New Roman" w:cstheme="minorHAnsi"/>
              </w:rPr>
              <w:t>0.97</w:t>
            </w:r>
          </w:p>
        </w:tc>
        <w:tc>
          <w:tcPr>
            <w:tcW w:w="2089" w:type="dxa"/>
            <w:tcBorders>
              <w:top w:val="nil"/>
              <w:left w:val="nil"/>
              <w:bottom w:val="nil"/>
              <w:right w:val="nil"/>
            </w:tcBorders>
            <w:shd w:val="clear" w:color="auto" w:fill="auto"/>
            <w:vAlign w:val="center"/>
          </w:tcPr>
          <w:p w14:paraId="4D08237E" w14:textId="77777777" w:rsidR="00656E77" w:rsidRPr="00443DA1" w:rsidRDefault="00656E77" w:rsidP="003A1979">
            <w:pPr>
              <w:spacing w:line="240" w:lineRule="auto"/>
              <w:rPr>
                <w:rFonts w:eastAsia="Times New Roman" w:cstheme="minorHAnsi"/>
              </w:rPr>
            </w:pPr>
            <w:r w:rsidRPr="00443DA1">
              <w:rPr>
                <w:rFonts w:eastAsia="Times New Roman" w:cstheme="minorHAnsi"/>
              </w:rPr>
              <w:t>0.94, 1.01</w:t>
            </w:r>
          </w:p>
        </w:tc>
        <w:tc>
          <w:tcPr>
            <w:tcW w:w="1138" w:type="dxa"/>
            <w:tcBorders>
              <w:top w:val="nil"/>
              <w:left w:val="nil"/>
              <w:bottom w:val="nil"/>
              <w:right w:val="nil"/>
            </w:tcBorders>
          </w:tcPr>
          <w:p w14:paraId="4C4670BD" w14:textId="77777777" w:rsidR="00656E77" w:rsidRPr="00443DA1" w:rsidRDefault="00656E77" w:rsidP="003A1979">
            <w:pPr>
              <w:spacing w:line="240" w:lineRule="auto"/>
              <w:rPr>
                <w:rFonts w:eastAsia="Times New Roman" w:cstheme="minorHAnsi"/>
              </w:rPr>
            </w:pPr>
          </w:p>
        </w:tc>
        <w:tc>
          <w:tcPr>
            <w:tcW w:w="1138" w:type="dxa"/>
            <w:tcBorders>
              <w:top w:val="nil"/>
              <w:left w:val="nil"/>
              <w:bottom w:val="nil"/>
              <w:right w:val="nil"/>
            </w:tcBorders>
            <w:shd w:val="clear" w:color="auto" w:fill="auto"/>
            <w:vAlign w:val="center"/>
          </w:tcPr>
          <w:p w14:paraId="455FE5F1" w14:textId="77777777" w:rsidR="00656E77" w:rsidRPr="00443DA1" w:rsidRDefault="00656E77" w:rsidP="003A1979">
            <w:pPr>
              <w:spacing w:line="240" w:lineRule="auto"/>
              <w:rPr>
                <w:rFonts w:eastAsia="Times New Roman" w:cstheme="minorHAnsi"/>
              </w:rPr>
            </w:pPr>
            <w:r w:rsidRPr="00443DA1">
              <w:rPr>
                <w:rFonts w:eastAsia="Times New Roman" w:cstheme="minorHAnsi"/>
              </w:rPr>
              <w:t>0.149</w:t>
            </w:r>
          </w:p>
        </w:tc>
      </w:tr>
      <w:tr w:rsidR="00656E77" w:rsidRPr="00443DA1" w14:paraId="3FD64A1C" w14:textId="77777777" w:rsidTr="00656E77">
        <w:trPr>
          <w:trHeight w:val="523"/>
        </w:trPr>
        <w:tc>
          <w:tcPr>
            <w:tcW w:w="8555" w:type="dxa"/>
            <w:tcBorders>
              <w:top w:val="nil"/>
              <w:left w:val="nil"/>
              <w:bottom w:val="nil"/>
              <w:right w:val="nil"/>
            </w:tcBorders>
            <w:shd w:val="clear" w:color="auto" w:fill="auto"/>
          </w:tcPr>
          <w:p w14:paraId="5E0B4B99" w14:textId="77777777" w:rsidR="00656E77" w:rsidRPr="00443DA1" w:rsidRDefault="00656E77" w:rsidP="003A1979">
            <w:pPr>
              <w:pStyle w:val="NoSpacing"/>
              <w:rPr>
                <w:rFonts w:eastAsia="Times New Roman" w:cstheme="minorHAnsi"/>
              </w:rPr>
            </w:pPr>
            <w:r w:rsidRPr="00443DA1">
              <w:rPr>
                <w:rFonts w:eastAsia="Times New Roman" w:cstheme="minorHAnsi"/>
              </w:rPr>
              <w:t>Has a partner living with them*</w:t>
            </w:r>
          </w:p>
        </w:tc>
        <w:tc>
          <w:tcPr>
            <w:tcW w:w="1140" w:type="dxa"/>
            <w:tcBorders>
              <w:top w:val="nil"/>
              <w:left w:val="nil"/>
              <w:bottom w:val="nil"/>
              <w:right w:val="nil"/>
            </w:tcBorders>
          </w:tcPr>
          <w:p w14:paraId="726003A5" w14:textId="77777777" w:rsidR="00656E77" w:rsidRPr="00443DA1" w:rsidRDefault="00656E77" w:rsidP="003A1979">
            <w:pPr>
              <w:spacing w:line="240" w:lineRule="auto"/>
              <w:rPr>
                <w:rFonts w:eastAsia="Times New Roman" w:cstheme="minorHAnsi"/>
              </w:rPr>
            </w:pPr>
            <w:r w:rsidRPr="00443DA1">
              <w:rPr>
                <w:rFonts w:eastAsia="Times New Roman" w:cstheme="minorHAnsi"/>
              </w:rPr>
              <w:t>0.68</w:t>
            </w:r>
          </w:p>
        </w:tc>
        <w:tc>
          <w:tcPr>
            <w:tcW w:w="2089" w:type="dxa"/>
            <w:tcBorders>
              <w:top w:val="nil"/>
              <w:left w:val="nil"/>
              <w:bottom w:val="nil"/>
              <w:right w:val="nil"/>
            </w:tcBorders>
            <w:shd w:val="clear" w:color="auto" w:fill="auto"/>
          </w:tcPr>
          <w:p w14:paraId="6878D3B0" w14:textId="77777777" w:rsidR="00656E77" w:rsidRPr="00443DA1" w:rsidRDefault="00656E77" w:rsidP="003A1979">
            <w:pPr>
              <w:spacing w:line="240" w:lineRule="auto"/>
              <w:rPr>
                <w:rFonts w:eastAsia="Times New Roman" w:cstheme="minorHAnsi"/>
              </w:rPr>
            </w:pPr>
            <w:r w:rsidRPr="00443DA1">
              <w:rPr>
                <w:rFonts w:eastAsia="Times New Roman" w:cstheme="minorHAnsi"/>
              </w:rPr>
              <w:t>0.42, 1.09</w:t>
            </w:r>
          </w:p>
        </w:tc>
        <w:tc>
          <w:tcPr>
            <w:tcW w:w="1138" w:type="dxa"/>
            <w:tcBorders>
              <w:top w:val="nil"/>
              <w:left w:val="nil"/>
              <w:bottom w:val="nil"/>
              <w:right w:val="nil"/>
            </w:tcBorders>
          </w:tcPr>
          <w:p w14:paraId="7E5E05CA" w14:textId="77777777" w:rsidR="00656E77" w:rsidRPr="00443DA1" w:rsidRDefault="00656E77" w:rsidP="003A1979">
            <w:pPr>
              <w:spacing w:line="240" w:lineRule="auto"/>
              <w:rPr>
                <w:rFonts w:eastAsia="Times New Roman" w:cstheme="minorHAnsi"/>
              </w:rPr>
            </w:pPr>
          </w:p>
        </w:tc>
        <w:tc>
          <w:tcPr>
            <w:tcW w:w="1138" w:type="dxa"/>
            <w:tcBorders>
              <w:top w:val="nil"/>
              <w:left w:val="nil"/>
              <w:bottom w:val="nil"/>
              <w:right w:val="nil"/>
            </w:tcBorders>
            <w:shd w:val="clear" w:color="auto" w:fill="auto"/>
          </w:tcPr>
          <w:p w14:paraId="78110413" w14:textId="77777777" w:rsidR="00656E77" w:rsidRPr="00443DA1" w:rsidRDefault="00656E77" w:rsidP="003A1979">
            <w:pPr>
              <w:spacing w:line="240" w:lineRule="auto"/>
              <w:rPr>
                <w:rFonts w:eastAsia="Times New Roman" w:cstheme="minorHAnsi"/>
              </w:rPr>
            </w:pPr>
            <w:r w:rsidRPr="00443DA1">
              <w:rPr>
                <w:rFonts w:eastAsia="Times New Roman" w:cstheme="minorHAnsi"/>
              </w:rPr>
              <w:t>0.109</w:t>
            </w:r>
          </w:p>
        </w:tc>
      </w:tr>
      <w:tr w:rsidR="00656E77" w:rsidRPr="00443DA1" w14:paraId="5CBDE10D" w14:textId="77777777" w:rsidTr="00656E77">
        <w:trPr>
          <w:trHeight w:val="684"/>
        </w:trPr>
        <w:tc>
          <w:tcPr>
            <w:tcW w:w="8555" w:type="dxa"/>
            <w:tcBorders>
              <w:top w:val="nil"/>
              <w:left w:val="nil"/>
              <w:bottom w:val="nil"/>
              <w:right w:val="nil"/>
            </w:tcBorders>
            <w:shd w:val="clear" w:color="auto" w:fill="auto"/>
          </w:tcPr>
          <w:p w14:paraId="1AE5DBBB" w14:textId="77777777" w:rsidR="00656E77" w:rsidRPr="00443DA1" w:rsidRDefault="00656E77" w:rsidP="003A1979">
            <w:pPr>
              <w:pStyle w:val="NoSpacing"/>
              <w:rPr>
                <w:rFonts w:eastAsia="Times New Roman" w:cstheme="minorHAnsi"/>
              </w:rPr>
            </w:pPr>
            <w:r w:rsidRPr="00443DA1">
              <w:rPr>
                <w:rFonts w:eastAsia="Times New Roman" w:cstheme="minorHAnsi"/>
              </w:rPr>
              <w:t>Current extreme or moderate anxiety or depression*</w:t>
            </w:r>
          </w:p>
          <w:p w14:paraId="7F2B5A50" w14:textId="77777777" w:rsidR="00656E77" w:rsidRPr="00443DA1" w:rsidRDefault="00656E77" w:rsidP="003A1979">
            <w:pPr>
              <w:pStyle w:val="NoSpacing"/>
              <w:rPr>
                <w:rFonts w:eastAsia="Times New Roman" w:cstheme="minorHAnsi"/>
              </w:rPr>
            </w:pPr>
            <w:r w:rsidRPr="00443DA1">
              <w:rPr>
                <w:rFonts w:eastAsia="Times New Roman" w:cstheme="minorHAnsi"/>
              </w:rPr>
              <w:t>(questionnaire self-report)</w:t>
            </w:r>
          </w:p>
        </w:tc>
        <w:tc>
          <w:tcPr>
            <w:tcW w:w="1140" w:type="dxa"/>
            <w:tcBorders>
              <w:top w:val="nil"/>
              <w:left w:val="nil"/>
              <w:bottom w:val="nil"/>
              <w:right w:val="nil"/>
            </w:tcBorders>
          </w:tcPr>
          <w:p w14:paraId="3D34B6E8" w14:textId="77777777" w:rsidR="00656E77" w:rsidRPr="00443DA1" w:rsidRDefault="00656E77" w:rsidP="003A1979">
            <w:pPr>
              <w:spacing w:line="240" w:lineRule="auto"/>
              <w:rPr>
                <w:rFonts w:eastAsia="Times New Roman" w:cstheme="minorHAnsi"/>
              </w:rPr>
            </w:pPr>
            <w:r w:rsidRPr="00443DA1">
              <w:rPr>
                <w:rFonts w:eastAsia="Times New Roman" w:cstheme="minorHAnsi"/>
              </w:rPr>
              <w:t>1.66</w:t>
            </w:r>
          </w:p>
        </w:tc>
        <w:tc>
          <w:tcPr>
            <w:tcW w:w="2089" w:type="dxa"/>
            <w:tcBorders>
              <w:top w:val="nil"/>
              <w:left w:val="nil"/>
              <w:bottom w:val="nil"/>
              <w:right w:val="nil"/>
            </w:tcBorders>
            <w:shd w:val="clear" w:color="auto" w:fill="auto"/>
          </w:tcPr>
          <w:p w14:paraId="2A59C843" w14:textId="77777777" w:rsidR="00656E77" w:rsidRPr="00443DA1" w:rsidRDefault="00656E77" w:rsidP="003A1979">
            <w:pPr>
              <w:spacing w:line="240" w:lineRule="auto"/>
              <w:rPr>
                <w:rFonts w:eastAsia="Times New Roman" w:cstheme="minorHAnsi"/>
              </w:rPr>
            </w:pPr>
            <w:r w:rsidRPr="00443DA1">
              <w:rPr>
                <w:rFonts w:eastAsia="Times New Roman" w:cstheme="minorHAnsi"/>
              </w:rPr>
              <w:t>1.17, 2.36</w:t>
            </w:r>
          </w:p>
        </w:tc>
        <w:tc>
          <w:tcPr>
            <w:tcW w:w="1138" w:type="dxa"/>
            <w:tcBorders>
              <w:top w:val="nil"/>
              <w:left w:val="nil"/>
              <w:bottom w:val="nil"/>
              <w:right w:val="nil"/>
            </w:tcBorders>
          </w:tcPr>
          <w:p w14:paraId="51646DFB" w14:textId="77777777" w:rsidR="00656E77" w:rsidRPr="00443DA1" w:rsidRDefault="00656E77" w:rsidP="003A1979">
            <w:pPr>
              <w:spacing w:line="240" w:lineRule="auto"/>
              <w:rPr>
                <w:rFonts w:eastAsia="Times New Roman" w:cstheme="minorHAnsi"/>
              </w:rPr>
            </w:pPr>
          </w:p>
        </w:tc>
        <w:tc>
          <w:tcPr>
            <w:tcW w:w="1138" w:type="dxa"/>
            <w:tcBorders>
              <w:top w:val="nil"/>
              <w:left w:val="nil"/>
              <w:bottom w:val="nil"/>
              <w:right w:val="nil"/>
            </w:tcBorders>
            <w:shd w:val="clear" w:color="auto" w:fill="auto"/>
          </w:tcPr>
          <w:p w14:paraId="14DC2681" w14:textId="77777777" w:rsidR="00656E77" w:rsidRPr="00443DA1" w:rsidRDefault="00656E77" w:rsidP="003A1979">
            <w:pPr>
              <w:spacing w:line="240" w:lineRule="auto"/>
              <w:rPr>
                <w:rFonts w:eastAsia="Times New Roman" w:cstheme="minorHAnsi"/>
              </w:rPr>
            </w:pPr>
            <w:r w:rsidRPr="00443DA1">
              <w:rPr>
                <w:rFonts w:eastAsia="Times New Roman" w:cstheme="minorHAnsi"/>
              </w:rPr>
              <w:t>0.004</w:t>
            </w:r>
          </w:p>
        </w:tc>
      </w:tr>
      <w:tr w:rsidR="00656E77" w:rsidRPr="00443DA1" w14:paraId="684DFCD4" w14:textId="77777777" w:rsidTr="00656E77">
        <w:trPr>
          <w:trHeight w:val="528"/>
        </w:trPr>
        <w:tc>
          <w:tcPr>
            <w:tcW w:w="8555" w:type="dxa"/>
            <w:tcBorders>
              <w:top w:val="nil"/>
              <w:left w:val="nil"/>
              <w:bottom w:val="nil"/>
              <w:right w:val="nil"/>
            </w:tcBorders>
            <w:shd w:val="clear" w:color="auto" w:fill="auto"/>
          </w:tcPr>
          <w:p w14:paraId="7B6FA6C8" w14:textId="77777777" w:rsidR="00656E77" w:rsidRPr="00443DA1" w:rsidRDefault="00656E77" w:rsidP="003A1979">
            <w:pPr>
              <w:pStyle w:val="NoSpacing"/>
              <w:rPr>
                <w:rFonts w:eastAsia="Times New Roman" w:cstheme="minorHAnsi"/>
              </w:rPr>
            </w:pPr>
            <w:r w:rsidRPr="00443DA1">
              <w:rPr>
                <w:rFonts w:eastAsia="Times New Roman" w:cstheme="minorHAnsi"/>
              </w:rPr>
              <w:t>Comorbid illness*</w:t>
            </w:r>
          </w:p>
        </w:tc>
        <w:tc>
          <w:tcPr>
            <w:tcW w:w="1140" w:type="dxa"/>
            <w:tcBorders>
              <w:top w:val="nil"/>
              <w:left w:val="nil"/>
              <w:bottom w:val="nil"/>
              <w:right w:val="nil"/>
            </w:tcBorders>
          </w:tcPr>
          <w:p w14:paraId="055E388D" w14:textId="77777777" w:rsidR="00656E77" w:rsidRPr="00443DA1" w:rsidRDefault="00656E77" w:rsidP="003A1979">
            <w:pPr>
              <w:spacing w:line="240" w:lineRule="auto"/>
              <w:rPr>
                <w:rFonts w:eastAsia="Times New Roman" w:cstheme="minorHAnsi"/>
              </w:rPr>
            </w:pPr>
            <w:r w:rsidRPr="00443DA1">
              <w:rPr>
                <w:rFonts w:eastAsia="Times New Roman" w:cstheme="minorHAnsi"/>
              </w:rPr>
              <w:t>1.47</w:t>
            </w:r>
          </w:p>
        </w:tc>
        <w:tc>
          <w:tcPr>
            <w:tcW w:w="2089" w:type="dxa"/>
            <w:tcBorders>
              <w:top w:val="nil"/>
              <w:left w:val="nil"/>
              <w:bottom w:val="nil"/>
              <w:right w:val="nil"/>
            </w:tcBorders>
            <w:shd w:val="clear" w:color="auto" w:fill="auto"/>
          </w:tcPr>
          <w:p w14:paraId="0AAC304C" w14:textId="77777777" w:rsidR="00656E77" w:rsidRPr="00443DA1" w:rsidRDefault="00656E77" w:rsidP="003A1979">
            <w:pPr>
              <w:spacing w:line="240" w:lineRule="auto"/>
              <w:rPr>
                <w:rFonts w:eastAsia="Times New Roman" w:cstheme="minorHAnsi"/>
              </w:rPr>
            </w:pPr>
            <w:r w:rsidRPr="00443DA1">
              <w:rPr>
                <w:rFonts w:eastAsia="Times New Roman" w:cstheme="minorHAnsi"/>
              </w:rPr>
              <w:t>0.78, 2.76</w:t>
            </w:r>
          </w:p>
        </w:tc>
        <w:tc>
          <w:tcPr>
            <w:tcW w:w="1138" w:type="dxa"/>
            <w:tcBorders>
              <w:top w:val="nil"/>
              <w:left w:val="nil"/>
              <w:bottom w:val="nil"/>
              <w:right w:val="nil"/>
            </w:tcBorders>
          </w:tcPr>
          <w:p w14:paraId="0AC59A7F" w14:textId="77777777" w:rsidR="00656E77" w:rsidRPr="00443DA1" w:rsidRDefault="00656E77" w:rsidP="003A1979">
            <w:pPr>
              <w:spacing w:line="240" w:lineRule="auto"/>
              <w:rPr>
                <w:rFonts w:eastAsia="Times New Roman" w:cstheme="minorHAnsi"/>
              </w:rPr>
            </w:pPr>
          </w:p>
        </w:tc>
        <w:tc>
          <w:tcPr>
            <w:tcW w:w="1138" w:type="dxa"/>
            <w:tcBorders>
              <w:top w:val="nil"/>
              <w:left w:val="nil"/>
              <w:bottom w:val="nil"/>
              <w:right w:val="nil"/>
            </w:tcBorders>
            <w:shd w:val="clear" w:color="auto" w:fill="auto"/>
          </w:tcPr>
          <w:p w14:paraId="59C4A72B" w14:textId="77777777" w:rsidR="00656E77" w:rsidRPr="00443DA1" w:rsidRDefault="00656E77" w:rsidP="003A1979">
            <w:pPr>
              <w:spacing w:line="240" w:lineRule="auto"/>
              <w:rPr>
                <w:rFonts w:eastAsia="Times New Roman" w:cstheme="minorHAnsi"/>
              </w:rPr>
            </w:pPr>
            <w:r w:rsidRPr="00443DA1">
              <w:rPr>
                <w:rFonts w:eastAsia="Times New Roman" w:cstheme="minorHAnsi"/>
              </w:rPr>
              <w:t>0.229</w:t>
            </w:r>
          </w:p>
        </w:tc>
      </w:tr>
      <w:tr w:rsidR="00656E77" w:rsidRPr="00443DA1" w14:paraId="049B196D" w14:textId="77777777" w:rsidTr="00656E77">
        <w:trPr>
          <w:trHeight w:val="780"/>
        </w:trPr>
        <w:tc>
          <w:tcPr>
            <w:tcW w:w="8555" w:type="dxa"/>
            <w:tcBorders>
              <w:top w:val="nil"/>
              <w:left w:val="nil"/>
              <w:bottom w:val="nil"/>
              <w:right w:val="nil"/>
            </w:tcBorders>
            <w:shd w:val="clear" w:color="auto" w:fill="auto"/>
          </w:tcPr>
          <w:p w14:paraId="12E9338D" w14:textId="77777777" w:rsidR="00656E77" w:rsidRPr="00443DA1" w:rsidRDefault="00656E77" w:rsidP="003A1979">
            <w:pPr>
              <w:pStyle w:val="NoSpacing"/>
              <w:rPr>
                <w:rFonts w:eastAsia="Times New Roman" w:cstheme="minorHAnsi"/>
              </w:rPr>
            </w:pPr>
            <w:r w:rsidRPr="00443DA1">
              <w:rPr>
                <w:rFonts w:eastAsia="Times New Roman" w:cstheme="minorHAnsi"/>
              </w:rPr>
              <w:t xml:space="preserve">Previous non-pharmacological treatment for depression </w:t>
            </w:r>
          </w:p>
          <w:p w14:paraId="176B563B" w14:textId="77777777" w:rsidR="00656E77" w:rsidRPr="00443DA1" w:rsidRDefault="00656E77" w:rsidP="003A1979">
            <w:pPr>
              <w:pStyle w:val="NoSpacing"/>
              <w:rPr>
                <w:rFonts w:eastAsia="Times New Roman" w:cstheme="minorHAnsi"/>
              </w:rPr>
            </w:pPr>
            <w:r w:rsidRPr="00443DA1">
              <w:rPr>
                <w:rFonts w:eastAsia="Times New Roman" w:cstheme="minorHAnsi"/>
              </w:rPr>
              <w:t>(e.g. talking therapies, electroconvulsive shock therapy)</w:t>
            </w:r>
          </w:p>
        </w:tc>
        <w:tc>
          <w:tcPr>
            <w:tcW w:w="1140" w:type="dxa"/>
            <w:tcBorders>
              <w:top w:val="nil"/>
              <w:left w:val="nil"/>
              <w:bottom w:val="nil"/>
              <w:right w:val="nil"/>
            </w:tcBorders>
          </w:tcPr>
          <w:p w14:paraId="0BD7DD25" w14:textId="77777777" w:rsidR="00656E77" w:rsidRPr="00443DA1" w:rsidRDefault="00656E77" w:rsidP="003A1979">
            <w:pPr>
              <w:spacing w:line="240" w:lineRule="auto"/>
              <w:rPr>
                <w:rFonts w:eastAsia="Times New Roman" w:cstheme="minorHAnsi"/>
              </w:rPr>
            </w:pPr>
            <w:r w:rsidRPr="00443DA1">
              <w:rPr>
                <w:rFonts w:eastAsia="Times New Roman" w:cstheme="minorHAnsi"/>
              </w:rPr>
              <w:t>0.75</w:t>
            </w:r>
          </w:p>
        </w:tc>
        <w:tc>
          <w:tcPr>
            <w:tcW w:w="2089" w:type="dxa"/>
            <w:tcBorders>
              <w:top w:val="nil"/>
              <w:left w:val="nil"/>
              <w:bottom w:val="nil"/>
              <w:right w:val="nil"/>
            </w:tcBorders>
            <w:shd w:val="clear" w:color="auto" w:fill="auto"/>
          </w:tcPr>
          <w:p w14:paraId="734B8165" w14:textId="77777777" w:rsidR="00656E77" w:rsidRPr="00443DA1" w:rsidRDefault="00656E77" w:rsidP="003A1979">
            <w:pPr>
              <w:spacing w:line="240" w:lineRule="auto"/>
              <w:rPr>
                <w:rFonts w:eastAsia="Times New Roman" w:cstheme="minorHAnsi"/>
              </w:rPr>
            </w:pPr>
            <w:r w:rsidRPr="00443DA1">
              <w:rPr>
                <w:rFonts w:eastAsia="Times New Roman" w:cstheme="minorHAnsi"/>
              </w:rPr>
              <w:t>0.47, 1.19</w:t>
            </w:r>
          </w:p>
        </w:tc>
        <w:tc>
          <w:tcPr>
            <w:tcW w:w="1138" w:type="dxa"/>
            <w:tcBorders>
              <w:top w:val="nil"/>
              <w:left w:val="nil"/>
              <w:bottom w:val="nil"/>
              <w:right w:val="nil"/>
            </w:tcBorders>
          </w:tcPr>
          <w:p w14:paraId="32AFFF4C" w14:textId="77777777" w:rsidR="00656E77" w:rsidRPr="00443DA1" w:rsidRDefault="00656E77" w:rsidP="003A1979">
            <w:pPr>
              <w:spacing w:line="240" w:lineRule="auto"/>
              <w:rPr>
                <w:rFonts w:eastAsia="Times New Roman" w:cstheme="minorHAnsi"/>
              </w:rPr>
            </w:pPr>
          </w:p>
        </w:tc>
        <w:tc>
          <w:tcPr>
            <w:tcW w:w="1138" w:type="dxa"/>
            <w:tcBorders>
              <w:top w:val="nil"/>
              <w:left w:val="nil"/>
              <w:bottom w:val="nil"/>
              <w:right w:val="nil"/>
            </w:tcBorders>
            <w:shd w:val="clear" w:color="auto" w:fill="auto"/>
          </w:tcPr>
          <w:p w14:paraId="24E1C6FA" w14:textId="77777777" w:rsidR="00656E77" w:rsidRPr="00443DA1" w:rsidRDefault="00656E77" w:rsidP="003A1979">
            <w:pPr>
              <w:spacing w:line="240" w:lineRule="auto"/>
              <w:rPr>
                <w:rFonts w:eastAsia="Times New Roman" w:cstheme="minorHAnsi"/>
              </w:rPr>
            </w:pPr>
            <w:r w:rsidRPr="00443DA1">
              <w:rPr>
                <w:rFonts w:eastAsia="Times New Roman" w:cstheme="minorHAnsi"/>
              </w:rPr>
              <w:t>0.214</w:t>
            </w:r>
          </w:p>
        </w:tc>
      </w:tr>
      <w:tr w:rsidR="00656E77" w:rsidRPr="00443DA1" w14:paraId="08696A10" w14:textId="77777777" w:rsidTr="00656E77">
        <w:trPr>
          <w:trHeight w:val="521"/>
        </w:trPr>
        <w:tc>
          <w:tcPr>
            <w:tcW w:w="8555" w:type="dxa"/>
            <w:tcBorders>
              <w:top w:val="nil"/>
              <w:left w:val="nil"/>
              <w:bottom w:val="single" w:sz="4" w:space="0" w:color="auto"/>
              <w:right w:val="nil"/>
            </w:tcBorders>
            <w:shd w:val="clear" w:color="auto" w:fill="auto"/>
          </w:tcPr>
          <w:p w14:paraId="4D2B0B57" w14:textId="77777777" w:rsidR="00656E77" w:rsidRPr="00443DA1" w:rsidRDefault="00656E77" w:rsidP="003A1979">
            <w:pPr>
              <w:pStyle w:val="NoSpacing"/>
              <w:rPr>
                <w:rFonts w:eastAsia="Times New Roman" w:cstheme="minorHAnsi"/>
              </w:rPr>
            </w:pPr>
            <w:r w:rsidRPr="00443DA1">
              <w:rPr>
                <w:rFonts w:eastAsia="Times New Roman" w:cstheme="minorHAnsi"/>
              </w:rPr>
              <w:t>Percentage of life unwell since depression onset</w:t>
            </w:r>
          </w:p>
        </w:tc>
        <w:tc>
          <w:tcPr>
            <w:tcW w:w="1140" w:type="dxa"/>
            <w:tcBorders>
              <w:top w:val="nil"/>
              <w:left w:val="nil"/>
              <w:bottom w:val="single" w:sz="4" w:space="0" w:color="auto"/>
              <w:right w:val="nil"/>
            </w:tcBorders>
          </w:tcPr>
          <w:p w14:paraId="075EF0E9" w14:textId="77777777" w:rsidR="00656E77" w:rsidRPr="00443DA1" w:rsidRDefault="00656E77" w:rsidP="003A1979">
            <w:pPr>
              <w:spacing w:line="240" w:lineRule="auto"/>
              <w:rPr>
                <w:rFonts w:eastAsia="Times New Roman" w:cstheme="minorHAnsi"/>
              </w:rPr>
            </w:pPr>
            <w:r w:rsidRPr="00443DA1">
              <w:rPr>
                <w:rFonts w:eastAsia="Times New Roman" w:cstheme="minorHAnsi"/>
              </w:rPr>
              <w:t>0.98</w:t>
            </w:r>
          </w:p>
        </w:tc>
        <w:tc>
          <w:tcPr>
            <w:tcW w:w="2089" w:type="dxa"/>
            <w:tcBorders>
              <w:top w:val="nil"/>
              <w:left w:val="nil"/>
              <w:bottom w:val="single" w:sz="4" w:space="0" w:color="auto"/>
              <w:right w:val="nil"/>
            </w:tcBorders>
            <w:shd w:val="clear" w:color="auto" w:fill="auto"/>
          </w:tcPr>
          <w:p w14:paraId="604CC820" w14:textId="77777777" w:rsidR="00656E77" w:rsidRPr="00443DA1" w:rsidRDefault="00656E77" w:rsidP="003A1979">
            <w:pPr>
              <w:spacing w:line="240" w:lineRule="auto"/>
              <w:rPr>
                <w:rFonts w:eastAsia="Times New Roman" w:cstheme="minorHAnsi"/>
              </w:rPr>
            </w:pPr>
            <w:r w:rsidRPr="00443DA1">
              <w:rPr>
                <w:rFonts w:eastAsia="Times New Roman" w:cstheme="minorHAnsi"/>
              </w:rPr>
              <w:t>0.79, 1.20</w:t>
            </w:r>
          </w:p>
        </w:tc>
        <w:tc>
          <w:tcPr>
            <w:tcW w:w="1138" w:type="dxa"/>
            <w:tcBorders>
              <w:top w:val="nil"/>
              <w:left w:val="nil"/>
              <w:bottom w:val="single" w:sz="4" w:space="0" w:color="auto"/>
              <w:right w:val="nil"/>
            </w:tcBorders>
          </w:tcPr>
          <w:p w14:paraId="7CA65747" w14:textId="77777777" w:rsidR="00656E77" w:rsidRPr="00443DA1" w:rsidRDefault="00656E77" w:rsidP="003A1979">
            <w:pPr>
              <w:spacing w:line="240" w:lineRule="auto"/>
              <w:rPr>
                <w:rFonts w:eastAsia="Times New Roman" w:cstheme="minorHAnsi"/>
              </w:rPr>
            </w:pPr>
          </w:p>
        </w:tc>
        <w:tc>
          <w:tcPr>
            <w:tcW w:w="1138" w:type="dxa"/>
            <w:tcBorders>
              <w:top w:val="nil"/>
              <w:left w:val="nil"/>
              <w:bottom w:val="single" w:sz="4" w:space="0" w:color="auto"/>
              <w:right w:val="nil"/>
            </w:tcBorders>
            <w:shd w:val="clear" w:color="auto" w:fill="auto"/>
          </w:tcPr>
          <w:p w14:paraId="146F2EF7" w14:textId="77777777" w:rsidR="00656E77" w:rsidRPr="00443DA1" w:rsidRDefault="00656E77" w:rsidP="003A1979">
            <w:pPr>
              <w:spacing w:line="240" w:lineRule="auto"/>
              <w:rPr>
                <w:rFonts w:eastAsia="Times New Roman" w:cstheme="minorHAnsi"/>
              </w:rPr>
            </w:pPr>
            <w:r w:rsidRPr="00443DA1">
              <w:rPr>
                <w:rFonts w:eastAsia="Times New Roman" w:cstheme="minorHAnsi"/>
              </w:rPr>
              <w:t>0.835</w:t>
            </w:r>
          </w:p>
        </w:tc>
      </w:tr>
    </w:tbl>
    <w:p w14:paraId="4F16A15B" w14:textId="77777777" w:rsidR="00656E77" w:rsidRPr="00443DA1" w:rsidRDefault="00656E77" w:rsidP="00656E77">
      <w:pPr>
        <w:spacing w:line="480" w:lineRule="auto"/>
        <w:rPr>
          <w:rFonts w:eastAsia="Times New Roman" w:cstheme="minorHAnsi"/>
          <w:i/>
          <w:iCs/>
        </w:rPr>
      </w:pPr>
      <w:r>
        <w:rPr>
          <w:rFonts w:eastAsia="Times New Roman" w:cstheme="minorHAnsi"/>
          <w:b/>
          <w:bCs/>
        </w:rPr>
        <w:t>Supplement 4:</w:t>
      </w:r>
      <w:r w:rsidRPr="00443DA1">
        <w:rPr>
          <w:rFonts w:eastAsia="Times New Roman" w:cstheme="minorHAnsi"/>
          <w:b/>
          <w:bCs/>
        </w:rPr>
        <w:t xml:space="preserve"> </w:t>
      </w:r>
      <w:r>
        <w:rPr>
          <w:rStyle w:val="normaltextrun"/>
          <w:rFonts w:eastAsia="Times New Roman" w:cstheme="minorHAnsi"/>
          <w:b/>
          <w:iCs/>
          <w:shd w:val="clear" w:color="auto" w:fill="FFFFFF"/>
        </w:rPr>
        <w:t>Pr</w:t>
      </w:r>
      <w:r w:rsidRPr="00443DA1">
        <w:rPr>
          <w:rStyle w:val="normaltextrun"/>
          <w:rFonts w:eastAsia="Times New Roman" w:cstheme="minorHAnsi"/>
          <w:b/>
          <w:iCs/>
          <w:shd w:val="clear" w:color="auto" w:fill="FFFFFF"/>
        </w:rPr>
        <w:t xml:space="preserve">ediction of </w:t>
      </w:r>
      <w:proofErr w:type="spellStart"/>
      <w:r w:rsidRPr="00443DA1">
        <w:rPr>
          <w:rStyle w:val="normaltextrun"/>
          <w:rFonts w:eastAsia="Times New Roman" w:cstheme="minorHAnsi"/>
          <w:b/>
          <w:iCs/>
          <w:shd w:val="clear" w:color="auto" w:fill="FFFFFF"/>
        </w:rPr>
        <w:t>missingness</w:t>
      </w:r>
      <w:proofErr w:type="spellEnd"/>
      <w:r w:rsidRPr="00443DA1">
        <w:rPr>
          <w:rStyle w:val="normaltextrun"/>
          <w:rFonts w:eastAsia="Times New Roman" w:cstheme="minorHAnsi"/>
          <w:b/>
          <w:iCs/>
          <w:shd w:val="clear" w:color="auto" w:fill="FFFFFF"/>
        </w:rPr>
        <w:t xml:space="preserve"> from analysis sample</w:t>
      </w:r>
      <w:r w:rsidRPr="00443DA1">
        <w:rPr>
          <w:rStyle w:val="normaltextrun"/>
          <w:rFonts w:eastAsia="Times New Roman" w:cstheme="minorHAnsi"/>
          <w:iCs/>
          <w:shd w:val="clear" w:color="auto" w:fill="FFFFFF"/>
        </w:rPr>
        <w:t xml:space="preserve"> </w:t>
      </w:r>
    </w:p>
    <w:p w14:paraId="32390D15" w14:textId="77777777" w:rsidR="00656E77" w:rsidRPr="00443DA1" w:rsidRDefault="00656E77" w:rsidP="00656E77">
      <w:pPr>
        <w:spacing w:line="240" w:lineRule="auto"/>
        <w:rPr>
          <w:rFonts w:eastAsia="Times New Roman" w:cstheme="minorHAnsi"/>
        </w:rPr>
      </w:pPr>
      <w:r>
        <w:rPr>
          <w:rFonts w:eastAsia="Times New Roman" w:cstheme="minorHAnsi"/>
          <w:iCs/>
        </w:rPr>
        <w:t>W</w:t>
      </w:r>
      <w:r w:rsidRPr="00443DA1">
        <w:rPr>
          <w:rFonts w:eastAsia="Times New Roman" w:cstheme="minorHAnsi"/>
          <w:iCs/>
        </w:rPr>
        <w:t>ithin adults who participated at wave 1 (n=337),</w:t>
      </w:r>
      <w:r w:rsidRPr="00443DA1">
        <w:rPr>
          <w:rFonts w:eastAsia="Times New Roman" w:cstheme="minorHAnsi"/>
          <w:i/>
          <w:iCs/>
        </w:rPr>
        <w:t xml:space="preserve"> </w:t>
      </w:r>
      <w:r w:rsidRPr="00443DA1">
        <w:rPr>
          <w:rFonts w:eastAsia="Times New Roman" w:cstheme="minorHAnsi"/>
          <w:iCs/>
        </w:rPr>
        <w:t xml:space="preserve">logistic regressions between numerous predictor variables and being missing from the analysis sample (n=148) were conducted to establish predictors of attrition in this study. * indicates variables that were included in the final </w:t>
      </w:r>
      <w:proofErr w:type="spellStart"/>
      <w:r w:rsidRPr="00443DA1">
        <w:rPr>
          <w:rFonts w:eastAsia="Times New Roman" w:cstheme="minorHAnsi"/>
          <w:iCs/>
        </w:rPr>
        <w:t>missingness</w:t>
      </w:r>
      <w:proofErr w:type="spellEnd"/>
      <w:r w:rsidRPr="00443DA1">
        <w:rPr>
          <w:rFonts w:eastAsia="Times New Roman" w:cstheme="minorHAnsi"/>
          <w:iCs/>
        </w:rPr>
        <w:t xml:space="preserve"> model for inverse probability weighting. </w:t>
      </w:r>
      <w:r w:rsidRPr="00443DA1">
        <w:rPr>
          <w:rFonts w:eastAsia="Times New Roman" w:cstheme="minorHAnsi"/>
          <w:i/>
        </w:rPr>
        <w:t>ADHD</w:t>
      </w:r>
      <w:r w:rsidRPr="00443DA1">
        <w:rPr>
          <w:rFonts w:eastAsia="Times New Roman" w:cstheme="minorHAnsi"/>
        </w:rPr>
        <w:t xml:space="preserve"> attention-deficit hyperactivity disorder, </w:t>
      </w:r>
      <w:r w:rsidRPr="00443DA1">
        <w:rPr>
          <w:rFonts w:eastAsia="Times New Roman" w:cstheme="minorHAnsi"/>
          <w:i/>
        </w:rPr>
        <w:t>OR</w:t>
      </w:r>
      <w:r w:rsidRPr="00443DA1">
        <w:rPr>
          <w:rFonts w:eastAsia="Times New Roman" w:cstheme="minorHAnsi"/>
        </w:rPr>
        <w:t xml:space="preserve"> odds Rati, </w:t>
      </w:r>
      <w:r w:rsidRPr="00443DA1">
        <w:rPr>
          <w:rFonts w:eastAsia="Times New Roman" w:cstheme="minorHAnsi"/>
          <w:i/>
        </w:rPr>
        <w:t>CI</w:t>
      </w:r>
      <w:r w:rsidRPr="00443DA1">
        <w:rPr>
          <w:rFonts w:eastAsia="Times New Roman" w:cstheme="minorHAnsi"/>
        </w:rPr>
        <w:t xml:space="preserve"> confidence interval</w:t>
      </w:r>
    </w:p>
    <w:p w14:paraId="51B79D1E" w14:textId="77777777" w:rsidR="00CF57B5" w:rsidRDefault="00CF57B5">
      <w:bookmarkStart w:id="0" w:name="_GoBack"/>
      <w:bookmarkEnd w:id="0"/>
    </w:p>
    <w:sectPr w:rsidR="00CF57B5" w:rsidSect="00656E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77"/>
    <w:rsid w:val="00537FEC"/>
    <w:rsid w:val="00656E77"/>
    <w:rsid w:val="0080679D"/>
    <w:rsid w:val="00CF5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19AD"/>
  <w15:chartTrackingRefBased/>
  <w15:docId w15:val="{27F42DEC-E6EF-482B-80A0-1ECAAA55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6E77"/>
    <w:pPr>
      <w:spacing w:after="0" w:line="240" w:lineRule="auto"/>
    </w:pPr>
  </w:style>
  <w:style w:type="character" w:customStyle="1" w:styleId="normaltextrun">
    <w:name w:val="normaltextrun"/>
    <w:basedOn w:val="DefaultParagraphFont"/>
    <w:rsid w:val="0065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Powell</dc:creator>
  <cp:keywords/>
  <dc:description/>
  <cp:lastModifiedBy>Vicky Powell</cp:lastModifiedBy>
  <cp:revision>1</cp:revision>
  <dcterms:created xsi:type="dcterms:W3CDTF">2021-02-05T11:57:00Z</dcterms:created>
  <dcterms:modified xsi:type="dcterms:W3CDTF">2021-02-05T11:57:00Z</dcterms:modified>
</cp:coreProperties>
</file>