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19049" w14:textId="600D096C" w:rsidR="000E1227" w:rsidRDefault="000E1227" w:rsidP="005C3BD1">
      <w:pPr>
        <w:spacing w:after="160" w:line="480" w:lineRule="auto"/>
        <w:jc w:val="center"/>
        <w:rPr>
          <w:b/>
          <w:bCs/>
        </w:rPr>
      </w:pPr>
      <w:r w:rsidRPr="00E90750">
        <w:rPr>
          <w:b/>
          <w:bCs/>
        </w:rPr>
        <w:t>Supplementary Appendix</w:t>
      </w:r>
    </w:p>
    <w:p w14:paraId="6F2F6693" w14:textId="77777777" w:rsidR="00955E0B" w:rsidRPr="00E90750" w:rsidRDefault="00955E0B" w:rsidP="005C3BD1">
      <w:pPr>
        <w:spacing w:after="160" w:line="480" w:lineRule="auto"/>
        <w:jc w:val="center"/>
        <w:rPr>
          <w:b/>
          <w:bCs/>
        </w:rPr>
      </w:pPr>
    </w:p>
    <w:sdt>
      <w:sdtPr>
        <w:rPr>
          <w:rFonts w:ascii="Arial" w:eastAsiaTheme="minorEastAsia" w:hAnsi="Arial" w:cstheme="minorBidi"/>
          <w:color w:val="auto"/>
          <w:sz w:val="24"/>
          <w:szCs w:val="22"/>
          <w:lang w:val="en-GB" w:eastAsia="zh-TW"/>
        </w:rPr>
        <w:id w:val="1276361596"/>
        <w:docPartObj>
          <w:docPartGallery w:val="Table of Contents"/>
          <w:docPartUnique/>
        </w:docPartObj>
      </w:sdtPr>
      <w:sdtEndPr>
        <w:rPr>
          <w:b/>
          <w:bCs/>
          <w:noProof/>
        </w:rPr>
      </w:sdtEndPr>
      <w:sdtContent>
        <w:p w14:paraId="1AECDB08" w14:textId="2BEFB544" w:rsidR="00DD2545" w:rsidRPr="00955E0B" w:rsidRDefault="00DD2545" w:rsidP="00DD2545">
          <w:pPr>
            <w:pStyle w:val="TOCHeading"/>
            <w:spacing w:line="480" w:lineRule="auto"/>
            <w:rPr>
              <w:rFonts w:ascii="Arial" w:hAnsi="Arial" w:cs="Arial"/>
              <w:b/>
              <w:bCs/>
              <w:color w:val="auto"/>
            </w:rPr>
          </w:pPr>
          <w:r w:rsidRPr="00955E0B">
            <w:rPr>
              <w:rFonts w:ascii="Arial" w:hAnsi="Arial" w:cs="Arial"/>
              <w:b/>
              <w:bCs/>
              <w:color w:val="auto"/>
            </w:rPr>
            <w:t>Table of Contents</w:t>
          </w:r>
        </w:p>
        <w:p w14:paraId="037A6DD5" w14:textId="4C462653" w:rsidR="00DD2545" w:rsidRDefault="00DD2545" w:rsidP="00DD2545">
          <w:pPr>
            <w:pStyle w:val="TOC1"/>
            <w:tabs>
              <w:tab w:val="right" w:leader="dot" w:pos="9016"/>
            </w:tabs>
            <w:spacing w:line="480" w:lineRule="auto"/>
            <w:rPr>
              <w:rFonts w:asciiTheme="minorHAnsi" w:hAnsiTheme="minorHAnsi"/>
              <w:noProof/>
              <w:sz w:val="22"/>
            </w:rPr>
          </w:pPr>
          <w:r>
            <w:fldChar w:fldCharType="begin"/>
          </w:r>
          <w:r>
            <w:instrText xml:space="preserve"> TOC \o "1-3" \h \z \u </w:instrText>
          </w:r>
          <w:r>
            <w:fldChar w:fldCharType="separate"/>
          </w:r>
          <w:hyperlink w:anchor="_Toc62491924" w:history="1">
            <w:r w:rsidRPr="00D4291C">
              <w:rPr>
                <w:rStyle w:val="Hyperlink"/>
                <w:b/>
                <w:bCs/>
                <w:noProof/>
              </w:rPr>
              <w:t>Supplementary Figure 1</w:t>
            </w:r>
            <w:r w:rsidRPr="00D4291C">
              <w:rPr>
                <w:rStyle w:val="Hyperlink"/>
                <w:noProof/>
              </w:rPr>
              <w:t>. Illustrative diagram of the self-controlled case series analysis</w:t>
            </w:r>
            <w:r>
              <w:rPr>
                <w:noProof/>
                <w:webHidden/>
              </w:rPr>
              <w:tab/>
            </w:r>
            <w:r>
              <w:rPr>
                <w:noProof/>
                <w:webHidden/>
              </w:rPr>
              <w:fldChar w:fldCharType="begin"/>
            </w:r>
            <w:r>
              <w:rPr>
                <w:noProof/>
                <w:webHidden/>
              </w:rPr>
              <w:instrText xml:space="preserve"> PAGEREF _Toc62491924 \h </w:instrText>
            </w:r>
            <w:r>
              <w:rPr>
                <w:noProof/>
                <w:webHidden/>
              </w:rPr>
            </w:r>
            <w:r>
              <w:rPr>
                <w:noProof/>
                <w:webHidden/>
              </w:rPr>
              <w:fldChar w:fldCharType="separate"/>
            </w:r>
            <w:r>
              <w:rPr>
                <w:noProof/>
                <w:webHidden/>
              </w:rPr>
              <w:t>2</w:t>
            </w:r>
            <w:r>
              <w:rPr>
                <w:noProof/>
                <w:webHidden/>
              </w:rPr>
              <w:fldChar w:fldCharType="end"/>
            </w:r>
          </w:hyperlink>
        </w:p>
        <w:p w14:paraId="0AD43097" w14:textId="386FF84C" w:rsidR="00DD2545" w:rsidRDefault="00A57535" w:rsidP="00DD2545">
          <w:pPr>
            <w:pStyle w:val="TOC1"/>
            <w:tabs>
              <w:tab w:val="right" w:leader="dot" w:pos="9016"/>
            </w:tabs>
            <w:spacing w:line="480" w:lineRule="auto"/>
            <w:rPr>
              <w:rFonts w:asciiTheme="minorHAnsi" w:hAnsiTheme="minorHAnsi"/>
              <w:noProof/>
              <w:sz w:val="22"/>
            </w:rPr>
          </w:pPr>
          <w:hyperlink w:anchor="_Toc62491925" w:history="1">
            <w:r w:rsidR="00DD2545" w:rsidRPr="00D4291C">
              <w:rPr>
                <w:rStyle w:val="Hyperlink"/>
                <w:b/>
                <w:bCs/>
                <w:noProof/>
              </w:rPr>
              <w:t>Supplementary Table 1</w:t>
            </w:r>
            <w:r w:rsidR="00DD2545" w:rsidRPr="00D4291C">
              <w:rPr>
                <w:rStyle w:val="Hyperlink"/>
                <w:noProof/>
              </w:rPr>
              <w:t>. Sensitivity analyses for the associations between Covid-19 and non-fatal outcomes</w:t>
            </w:r>
            <w:r w:rsidR="00DD2545">
              <w:rPr>
                <w:noProof/>
                <w:webHidden/>
              </w:rPr>
              <w:tab/>
            </w:r>
            <w:r w:rsidR="00DD2545">
              <w:rPr>
                <w:noProof/>
                <w:webHidden/>
              </w:rPr>
              <w:fldChar w:fldCharType="begin"/>
            </w:r>
            <w:r w:rsidR="00DD2545">
              <w:rPr>
                <w:noProof/>
                <w:webHidden/>
              </w:rPr>
              <w:instrText xml:space="preserve"> PAGEREF _Toc62491925 \h </w:instrText>
            </w:r>
            <w:r w:rsidR="00DD2545">
              <w:rPr>
                <w:noProof/>
                <w:webHidden/>
              </w:rPr>
            </w:r>
            <w:r w:rsidR="00DD2545">
              <w:rPr>
                <w:noProof/>
                <w:webHidden/>
              </w:rPr>
              <w:fldChar w:fldCharType="separate"/>
            </w:r>
            <w:r w:rsidR="00DD2545">
              <w:rPr>
                <w:noProof/>
                <w:webHidden/>
              </w:rPr>
              <w:t>3</w:t>
            </w:r>
            <w:r w:rsidR="00DD2545">
              <w:rPr>
                <w:noProof/>
                <w:webHidden/>
              </w:rPr>
              <w:fldChar w:fldCharType="end"/>
            </w:r>
          </w:hyperlink>
        </w:p>
        <w:p w14:paraId="0958CAC7" w14:textId="5A809669" w:rsidR="00DD2545" w:rsidRDefault="00A57535" w:rsidP="00DD2545">
          <w:pPr>
            <w:pStyle w:val="TOC1"/>
            <w:tabs>
              <w:tab w:val="right" w:leader="dot" w:pos="9016"/>
            </w:tabs>
            <w:spacing w:line="480" w:lineRule="auto"/>
            <w:rPr>
              <w:rFonts w:asciiTheme="minorHAnsi" w:hAnsiTheme="minorHAnsi"/>
              <w:noProof/>
              <w:sz w:val="22"/>
            </w:rPr>
          </w:pPr>
          <w:hyperlink w:anchor="_Toc62491926" w:history="1">
            <w:r w:rsidR="00DD2545" w:rsidRPr="00D4291C">
              <w:rPr>
                <w:rStyle w:val="Hyperlink"/>
                <w:b/>
                <w:bCs/>
                <w:noProof/>
              </w:rPr>
              <w:t>Supplementary Table 2</w:t>
            </w:r>
            <w:r w:rsidR="00DD2545" w:rsidRPr="00D4291C">
              <w:rPr>
                <w:rStyle w:val="Hyperlink"/>
                <w:noProof/>
              </w:rPr>
              <w:t>. Sensitivity analyses for the associations between Covid-19 and non-fatal outcomes by age subgroups</w:t>
            </w:r>
            <w:r w:rsidR="00DD2545">
              <w:rPr>
                <w:noProof/>
                <w:webHidden/>
              </w:rPr>
              <w:tab/>
            </w:r>
            <w:r w:rsidR="00DD2545">
              <w:rPr>
                <w:noProof/>
                <w:webHidden/>
              </w:rPr>
              <w:fldChar w:fldCharType="begin"/>
            </w:r>
            <w:r w:rsidR="00DD2545">
              <w:rPr>
                <w:noProof/>
                <w:webHidden/>
              </w:rPr>
              <w:instrText xml:space="preserve"> PAGEREF _Toc62491926 \h </w:instrText>
            </w:r>
            <w:r w:rsidR="00DD2545">
              <w:rPr>
                <w:noProof/>
                <w:webHidden/>
              </w:rPr>
            </w:r>
            <w:r w:rsidR="00DD2545">
              <w:rPr>
                <w:noProof/>
                <w:webHidden/>
              </w:rPr>
              <w:fldChar w:fldCharType="separate"/>
            </w:r>
            <w:r w:rsidR="00DD2545">
              <w:rPr>
                <w:noProof/>
                <w:webHidden/>
              </w:rPr>
              <w:t>5</w:t>
            </w:r>
            <w:r w:rsidR="00DD2545">
              <w:rPr>
                <w:noProof/>
                <w:webHidden/>
              </w:rPr>
              <w:fldChar w:fldCharType="end"/>
            </w:r>
          </w:hyperlink>
        </w:p>
        <w:p w14:paraId="2E67F76E" w14:textId="3BF3854E" w:rsidR="00DD2545" w:rsidRDefault="00A57535" w:rsidP="00DD2545">
          <w:pPr>
            <w:pStyle w:val="TOC1"/>
            <w:tabs>
              <w:tab w:val="right" w:leader="dot" w:pos="9016"/>
            </w:tabs>
            <w:spacing w:line="480" w:lineRule="auto"/>
            <w:rPr>
              <w:rFonts w:asciiTheme="minorHAnsi" w:hAnsiTheme="minorHAnsi"/>
              <w:noProof/>
              <w:sz w:val="22"/>
            </w:rPr>
          </w:pPr>
          <w:hyperlink w:anchor="_Toc62491927" w:history="1">
            <w:r w:rsidR="00DD2545" w:rsidRPr="00D4291C">
              <w:rPr>
                <w:rStyle w:val="Hyperlink"/>
                <w:b/>
                <w:bCs/>
                <w:noProof/>
              </w:rPr>
              <w:t>Supplementary Table 3</w:t>
            </w:r>
            <w:r w:rsidR="00DD2545" w:rsidRPr="00D4291C">
              <w:rPr>
                <w:rStyle w:val="Hyperlink"/>
                <w:noProof/>
              </w:rPr>
              <w:t>. E-values for the association between Covid-19 and outcomes</w:t>
            </w:r>
            <w:r w:rsidR="00DD2545">
              <w:rPr>
                <w:noProof/>
                <w:webHidden/>
              </w:rPr>
              <w:tab/>
            </w:r>
            <w:r w:rsidR="00DD2545">
              <w:rPr>
                <w:noProof/>
                <w:webHidden/>
              </w:rPr>
              <w:fldChar w:fldCharType="begin"/>
            </w:r>
            <w:r w:rsidR="00DD2545">
              <w:rPr>
                <w:noProof/>
                <w:webHidden/>
              </w:rPr>
              <w:instrText xml:space="preserve"> PAGEREF _Toc62491927 \h </w:instrText>
            </w:r>
            <w:r w:rsidR="00DD2545">
              <w:rPr>
                <w:noProof/>
                <w:webHidden/>
              </w:rPr>
            </w:r>
            <w:r w:rsidR="00DD2545">
              <w:rPr>
                <w:noProof/>
                <w:webHidden/>
              </w:rPr>
              <w:fldChar w:fldCharType="separate"/>
            </w:r>
            <w:r w:rsidR="00DD2545">
              <w:rPr>
                <w:noProof/>
                <w:webHidden/>
              </w:rPr>
              <w:t>7</w:t>
            </w:r>
            <w:r w:rsidR="00DD2545">
              <w:rPr>
                <w:noProof/>
                <w:webHidden/>
              </w:rPr>
              <w:fldChar w:fldCharType="end"/>
            </w:r>
          </w:hyperlink>
        </w:p>
        <w:p w14:paraId="0B9B8F50" w14:textId="09718E79" w:rsidR="00DD2545" w:rsidRDefault="00DD2545" w:rsidP="00DD2545">
          <w:pPr>
            <w:spacing w:line="480" w:lineRule="auto"/>
          </w:pPr>
          <w:r>
            <w:rPr>
              <w:b/>
              <w:bCs/>
              <w:noProof/>
            </w:rPr>
            <w:fldChar w:fldCharType="end"/>
          </w:r>
        </w:p>
      </w:sdtContent>
    </w:sdt>
    <w:p w14:paraId="22979B10" w14:textId="77777777" w:rsidR="00560533" w:rsidRDefault="00560533" w:rsidP="005C3BD1">
      <w:pPr>
        <w:spacing w:after="160" w:line="480" w:lineRule="auto"/>
      </w:pPr>
    </w:p>
    <w:p w14:paraId="32184F0E" w14:textId="3DA923F3" w:rsidR="007F7BC7" w:rsidRDefault="007F7BC7" w:rsidP="000E1227">
      <w:pPr>
        <w:spacing w:after="160" w:line="259" w:lineRule="auto"/>
        <w:jc w:val="center"/>
      </w:pPr>
      <w:r>
        <w:br w:type="page"/>
      </w:r>
    </w:p>
    <w:p w14:paraId="5CABC7AD" w14:textId="77777777" w:rsidR="00755D12" w:rsidRPr="008C75D2" w:rsidRDefault="00755D12" w:rsidP="000F6575">
      <w:pPr>
        <w:pStyle w:val="Heading1"/>
        <w:spacing w:line="240" w:lineRule="auto"/>
      </w:pPr>
      <w:bookmarkStart w:id="0" w:name="_Toc62491924"/>
      <w:r w:rsidRPr="00755D12">
        <w:rPr>
          <w:b/>
          <w:bCs/>
        </w:rPr>
        <w:lastRenderedPageBreak/>
        <w:t>Supplementary Figure 1</w:t>
      </w:r>
      <w:r w:rsidRPr="008C75D2">
        <w:t>. Illustrative diagram of the self-controlled case series analysis</w:t>
      </w:r>
      <w:bookmarkEnd w:id="0"/>
      <w:r w:rsidRPr="008C75D2">
        <w:t xml:space="preserve"> </w:t>
      </w:r>
    </w:p>
    <w:p w14:paraId="451827F1" w14:textId="77777777" w:rsidR="00755D12" w:rsidRPr="008C75D2" w:rsidRDefault="00755D12" w:rsidP="000F6575">
      <w:pPr>
        <w:jc w:val="center"/>
      </w:pPr>
      <w:r w:rsidRPr="008C75D2">
        <w:rPr>
          <w:noProof/>
          <w:lang w:eastAsia="zh-CN"/>
        </w:rPr>
        <w:drawing>
          <wp:inline distT="0" distB="0" distL="0" distR="0" wp14:anchorId="76B26C0D" wp14:editId="35E81407">
            <wp:extent cx="5731510" cy="31680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168015"/>
                    </a:xfrm>
                    <a:prstGeom prst="rect">
                      <a:avLst/>
                    </a:prstGeom>
                  </pic:spPr>
                </pic:pic>
              </a:graphicData>
            </a:graphic>
          </wp:inline>
        </w:drawing>
      </w:r>
    </w:p>
    <w:p w14:paraId="4AC11833" w14:textId="77777777" w:rsidR="00755D12" w:rsidRPr="008C75D2" w:rsidRDefault="00755D12" w:rsidP="000F6575">
      <w:r w:rsidRPr="008C75D2">
        <w:t>TE: thromboembolism</w:t>
      </w:r>
    </w:p>
    <w:p w14:paraId="6CCA3996" w14:textId="77777777" w:rsidR="00755D12" w:rsidRPr="008C75D2" w:rsidRDefault="00755D12" w:rsidP="000F6575">
      <w:r w:rsidRPr="008C75D2">
        <w:t xml:space="preserve">Self-controlled case series analysis compares the incidence rate of TE during the risk interval (defined as -5 to +56 days of Covid-19 test positive) and that during the control interval (any other study period). Patients A and B represent persons who had non-fatal TE in the risk and control </w:t>
      </w:r>
      <w:proofErr w:type="gramStart"/>
      <w:r w:rsidRPr="008C75D2">
        <w:t>intervals</w:t>
      </w:r>
      <w:proofErr w:type="gramEnd"/>
      <w:r w:rsidRPr="008C75D2">
        <w:t xml:space="preserve"> respectively. Patient C represent a person who had fatal TE during the risk interval. This censors the observation, which violates the assumption of ordinary SCCS analysis. Specific method was used to handle analysis including both fatal and non-fatal TEs. </w:t>
      </w:r>
    </w:p>
    <w:p w14:paraId="25102043" w14:textId="77777777" w:rsidR="00755D12" w:rsidRPr="008C75D2" w:rsidRDefault="00755D12" w:rsidP="000F6575"/>
    <w:p w14:paraId="2FEEE0E6" w14:textId="77777777" w:rsidR="00755D12" w:rsidRDefault="00755D12" w:rsidP="000F6575">
      <w:pPr>
        <w:spacing w:after="160"/>
        <w:rPr>
          <w:b/>
          <w:bCs/>
        </w:rPr>
      </w:pPr>
      <w:r>
        <w:rPr>
          <w:b/>
          <w:bCs/>
        </w:rPr>
        <w:br w:type="page"/>
      </w:r>
    </w:p>
    <w:p w14:paraId="47043FF6" w14:textId="661788FB" w:rsidR="007F7BC7" w:rsidRPr="00E90750" w:rsidRDefault="007F7BC7" w:rsidP="000F6575">
      <w:pPr>
        <w:pStyle w:val="Heading1"/>
        <w:spacing w:line="240" w:lineRule="auto"/>
      </w:pPr>
      <w:bookmarkStart w:id="1" w:name="_Toc62491925"/>
      <w:r w:rsidRPr="00755D12">
        <w:rPr>
          <w:b/>
          <w:bCs/>
        </w:rPr>
        <w:lastRenderedPageBreak/>
        <w:t>Supplementary Table 1</w:t>
      </w:r>
      <w:r w:rsidRPr="00E90750">
        <w:t>. Sensitivity analyses for the associations between Covid-19 and non-fatal outcomes</w:t>
      </w:r>
      <w:bookmarkEnd w:id="1"/>
    </w:p>
    <w:tbl>
      <w:tblPr>
        <w:tblW w:w="11335" w:type="dxa"/>
        <w:jc w:val="center"/>
        <w:tblLook w:val="04A0" w:firstRow="1" w:lastRow="0" w:firstColumn="1" w:lastColumn="0" w:noHBand="0" w:noVBand="1"/>
      </w:tblPr>
      <w:tblGrid>
        <w:gridCol w:w="2405"/>
        <w:gridCol w:w="2127"/>
        <w:gridCol w:w="945"/>
        <w:gridCol w:w="2028"/>
        <w:gridCol w:w="948"/>
        <w:gridCol w:w="2029"/>
        <w:gridCol w:w="945"/>
      </w:tblGrid>
      <w:tr w:rsidR="007F7BC7" w:rsidRPr="00635F38" w14:paraId="1DA6F06A" w14:textId="77777777" w:rsidTr="00BA2317">
        <w:trPr>
          <w:trHeight w:val="283"/>
          <w:jc w:val="center"/>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0916963D" w14:textId="77777777" w:rsidR="007F7BC7" w:rsidRPr="00635F38" w:rsidRDefault="007F7BC7" w:rsidP="000F6575">
            <w:pPr>
              <w:rPr>
                <w:rFonts w:eastAsia="Times New Roman" w:cs="Arial"/>
                <w:b/>
                <w:bCs/>
                <w:sz w:val="20"/>
                <w:szCs w:val="20"/>
              </w:rPr>
            </w:pPr>
            <w:r w:rsidRPr="00635F38">
              <w:rPr>
                <w:rFonts w:eastAsia="Times New Roman" w:cs="Arial"/>
                <w:b/>
                <w:bCs/>
                <w:sz w:val="20"/>
                <w:szCs w:val="20"/>
              </w:rPr>
              <w:t xml:space="preserve">Outcome by </w:t>
            </w:r>
          </w:p>
        </w:tc>
        <w:tc>
          <w:tcPr>
            <w:tcW w:w="3072" w:type="dxa"/>
            <w:gridSpan w:val="2"/>
            <w:tcBorders>
              <w:top w:val="single" w:sz="4" w:space="0" w:color="auto"/>
              <w:left w:val="nil"/>
              <w:bottom w:val="nil"/>
              <w:right w:val="single" w:sz="4" w:space="0" w:color="auto"/>
            </w:tcBorders>
            <w:shd w:val="clear" w:color="auto" w:fill="auto"/>
            <w:vAlign w:val="bottom"/>
            <w:hideMark/>
          </w:tcPr>
          <w:p w14:paraId="428E5BC8" w14:textId="77777777" w:rsidR="007F7BC7" w:rsidRPr="00635F38" w:rsidRDefault="007F7BC7" w:rsidP="000F6575">
            <w:pPr>
              <w:jc w:val="center"/>
              <w:rPr>
                <w:rFonts w:eastAsia="Times New Roman" w:cs="Arial"/>
                <w:b/>
                <w:bCs/>
                <w:sz w:val="20"/>
                <w:szCs w:val="20"/>
              </w:rPr>
            </w:pPr>
            <w:r w:rsidRPr="00635F38">
              <w:rPr>
                <w:rFonts w:eastAsia="Times New Roman" w:cs="Arial"/>
                <w:b/>
                <w:bCs/>
                <w:sz w:val="20"/>
                <w:szCs w:val="20"/>
              </w:rPr>
              <w:t>Adjusted for seasonality</w:t>
            </w:r>
          </w:p>
        </w:tc>
        <w:tc>
          <w:tcPr>
            <w:tcW w:w="2976" w:type="dxa"/>
            <w:gridSpan w:val="2"/>
            <w:tcBorders>
              <w:top w:val="single" w:sz="4" w:space="0" w:color="auto"/>
              <w:left w:val="nil"/>
              <w:bottom w:val="nil"/>
              <w:right w:val="single" w:sz="4" w:space="0" w:color="auto"/>
            </w:tcBorders>
            <w:shd w:val="clear" w:color="auto" w:fill="auto"/>
            <w:vAlign w:val="bottom"/>
            <w:hideMark/>
          </w:tcPr>
          <w:p w14:paraId="6A63D548" w14:textId="77777777" w:rsidR="007F7BC7" w:rsidRPr="00635F38" w:rsidRDefault="007F7BC7" w:rsidP="000F6575">
            <w:pPr>
              <w:jc w:val="center"/>
              <w:rPr>
                <w:rFonts w:eastAsia="Times New Roman" w:cs="Arial"/>
                <w:b/>
                <w:bCs/>
                <w:sz w:val="20"/>
                <w:szCs w:val="20"/>
              </w:rPr>
            </w:pPr>
            <w:r w:rsidRPr="00635F38">
              <w:rPr>
                <w:rFonts w:eastAsia="Times New Roman" w:cs="Arial"/>
                <w:b/>
                <w:bCs/>
                <w:sz w:val="20"/>
                <w:szCs w:val="20"/>
              </w:rPr>
              <w:t>Extended pre-test risk interval</w:t>
            </w:r>
          </w:p>
        </w:tc>
        <w:tc>
          <w:tcPr>
            <w:tcW w:w="2882" w:type="dxa"/>
            <w:gridSpan w:val="2"/>
            <w:tcBorders>
              <w:top w:val="single" w:sz="4" w:space="0" w:color="auto"/>
              <w:left w:val="nil"/>
              <w:bottom w:val="nil"/>
              <w:right w:val="single" w:sz="4" w:space="0" w:color="auto"/>
            </w:tcBorders>
            <w:shd w:val="clear" w:color="auto" w:fill="auto"/>
            <w:vAlign w:val="bottom"/>
            <w:hideMark/>
          </w:tcPr>
          <w:p w14:paraId="12FA0BE4" w14:textId="77777777" w:rsidR="007F7BC7" w:rsidRPr="00635F38" w:rsidRDefault="007F7BC7" w:rsidP="000F6575">
            <w:pPr>
              <w:jc w:val="center"/>
              <w:rPr>
                <w:rFonts w:eastAsia="Times New Roman" w:cs="Arial"/>
                <w:b/>
                <w:bCs/>
                <w:sz w:val="20"/>
                <w:szCs w:val="20"/>
              </w:rPr>
            </w:pPr>
            <w:r w:rsidRPr="00635F38">
              <w:rPr>
                <w:rFonts w:eastAsia="Times New Roman" w:cs="Arial"/>
                <w:b/>
                <w:bCs/>
                <w:sz w:val="20"/>
                <w:szCs w:val="20"/>
              </w:rPr>
              <w:t>Restricted study period (Feb-Oct 2020)</w:t>
            </w:r>
          </w:p>
        </w:tc>
      </w:tr>
      <w:tr w:rsidR="007F7BC7" w:rsidRPr="008C75D2" w14:paraId="055CA8EE" w14:textId="77777777" w:rsidTr="00BA2317">
        <w:trPr>
          <w:trHeight w:val="283"/>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61CA08" w14:textId="77777777" w:rsidR="007F7BC7" w:rsidRPr="008C75D2" w:rsidRDefault="007F7BC7" w:rsidP="000F6575">
            <w:pPr>
              <w:ind w:left="166"/>
              <w:rPr>
                <w:rFonts w:eastAsia="Times New Roman" w:cs="Arial"/>
                <w:b/>
                <w:bCs/>
                <w:color w:val="000000"/>
                <w:sz w:val="20"/>
                <w:szCs w:val="20"/>
              </w:rPr>
            </w:pPr>
            <w:r w:rsidRPr="008C75D2">
              <w:rPr>
                <w:rFonts w:eastAsia="Times New Roman" w:cs="Arial"/>
                <w:b/>
                <w:bCs/>
                <w:color w:val="000000"/>
                <w:sz w:val="20"/>
                <w:szCs w:val="20"/>
              </w:rPr>
              <w:t>risk intervals</w:t>
            </w:r>
          </w:p>
        </w:tc>
        <w:tc>
          <w:tcPr>
            <w:tcW w:w="2127" w:type="dxa"/>
            <w:tcBorders>
              <w:top w:val="nil"/>
              <w:left w:val="nil"/>
              <w:bottom w:val="single" w:sz="4" w:space="0" w:color="auto"/>
              <w:right w:val="nil"/>
            </w:tcBorders>
            <w:shd w:val="clear" w:color="auto" w:fill="auto"/>
            <w:noWrap/>
            <w:vAlign w:val="bottom"/>
            <w:hideMark/>
          </w:tcPr>
          <w:p w14:paraId="4A905F3C"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IRR (95% CI)</w:t>
            </w:r>
          </w:p>
        </w:tc>
        <w:tc>
          <w:tcPr>
            <w:tcW w:w="945" w:type="dxa"/>
            <w:tcBorders>
              <w:top w:val="nil"/>
              <w:left w:val="nil"/>
              <w:bottom w:val="single" w:sz="4" w:space="0" w:color="auto"/>
              <w:right w:val="single" w:sz="4" w:space="0" w:color="auto"/>
            </w:tcBorders>
            <w:shd w:val="clear" w:color="auto" w:fill="auto"/>
            <w:noWrap/>
            <w:vAlign w:val="bottom"/>
            <w:hideMark/>
          </w:tcPr>
          <w:p w14:paraId="1FA261D5"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P</w:t>
            </w:r>
          </w:p>
        </w:tc>
        <w:tc>
          <w:tcPr>
            <w:tcW w:w="2028" w:type="dxa"/>
            <w:tcBorders>
              <w:top w:val="nil"/>
              <w:left w:val="nil"/>
              <w:bottom w:val="single" w:sz="4" w:space="0" w:color="auto"/>
              <w:right w:val="nil"/>
            </w:tcBorders>
            <w:shd w:val="clear" w:color="auto" w:fill="auto"/>
            <w:noWrap/>
            <w:vAlign w:val="bottom"/>
            <w:hideMark/>
          </w:tcPr>
          <w:p w14:paraId="338FE479"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IRR (95% CI)</w:t>
            </w:r>
          </w:p>
        </w:tc>
        <w:tc>
          <w:tcPr>
            <w:tcW w:w="948" w:type="dxa"/>
            <w:tcBorders>
              <w:top w:val="nil"/>
              <w:left w:val="nil"/>
              <w:bottom w:val="single" w:sz="4" w:space="0" w:color="auto"/>
              <w:right w:val="single" w:sz="4" w:space="0" w:color="auto"/>
            </w:tcBorders>
            <w:shd w:val="clear" w:color="auto" w:fill="auto"/>
            <w:noWrap/>
            <w:vAlign w:val="bottom"/>
            <w:hideMark/>
          </w:tcPr>
          <w:p w14:paraId="323CC35C"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P</w:t>
            </w:r>
          </w:p>
        </w:tc>
        <w:tc>
          <w:tcPr>
            <w:tcW w:w="2029" w:type="dxa"/>
            <w:tcBorders>
              <w:top w:val="nil"/>
              <w:left w:val="nil"/>
              <w:bottom w:val="single" w:sz="4" w:space="0" w:color="auto"/>
              <w:right w:val="nil"/>
            </w:tcBorders>
            <w:shd w:val="clear" w:color="auto" w:fill="auto"/>
            <w:noWrap/>
            <w:vAlign w:val="bottom"/>
            <w:hideMark/>
          </w:tcPr>
          <w:p w14:paraId="601F6C3F"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IRR (95% CI)</w:t>
            </w:r>
          </w:p>
        </w:tc>
        <w:tc>
          <w:tcPr>
            <w:tcW w:w="853" w:type="dxa"/>
            <w:tcBorders>
              <w:top w:val="nil"/>
              <w:left w:val="nil"/>
              <w:bottom w:val="single" w:sz="4" w:space="0" w:color="auto"/>
              <w:right w:val="single" w:sz="4" w:space="0" w:color="auto"/>
            </w:tcBorders>
            <w:shd w:val="clear" w:color="auto" w:fill="auto"/>
            <w:noWrap/>
            <w:vAlign w:val="bottom"/>
            <w:hideMark/>
          </w:tcPr>
          <w:p w14:paraId="3088A632"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P</w:t>
            </w:r>
          </w:p>
        </w:tc>
      </w:tr>
      <w:tr w:rsidR="007F7BC7" w:rsidRPr="008C75D2" w14:paraId="04E0052C"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4EC960FE" w14:textId="77777777" w:rsidR="007F7BC7" w:rsidRPr="008C75D2" w:rsidRDefault="007F7BC7" w:rsidP="000F6575">
            <w:pPr>
              <w:rPr>
                <w:rFonts w:eastAsia="Times New Roman" w:cs="Arial"/>
                <w:b/>
                <w:bCs/>
                <w:color w:val="000000"/>
                <w:sz w:val="20"/>
                <w:szCs w:val="20"/>
              </w:rPr>
            </w:pPr>
            <w:r w:rsidRPr="008C75D2">
              <w:rPr>
                <w:rFonts w:eastAsia="Times New Roman" w:cs="Arial"/>
                <w:b/>
                <w:bCs/>
                <w:color w:val="000000"/>
                <w:sz w:val="20"/>
                <w:szCs w:val="20"/>
              </w:rPr>
              <w:t>Composite</w:t>
            </w:r>
          </w:p>
        </w:tc>
        <w:tc>
          <w:tcPr>
            <w:tcW w:w="2127" w:type="dxa"/>
            <w:tcBorders>
              <w:top w:val="nil"/>
              <w:left w:val="nil"/>
              <w:bottom w:val="nil"/>
              <w:right w:val="nil"/>
            </w:tcBorders>
            <w:shd w:val="clear" w:color="auto" w:fill="auto"/>
            <w:noWrap/>
            <w:vAlign w:val="bottom"/>
            <w:hideMark/>
          </w:tcPr>
          <w:p w14:paraId="1E9AC266"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w:t>
            </w:r>
          </w:p>
        </w:tc>
        <w:tc>
          <w:tcPr>
            <w:tcW w:w="945" w:type="dxa"/>
            <w:tcBorders>
              <w:top w:val="nil"/>
              <w:left w:val="nil"/>
              <w:bottom w:val="nil"/>
              <w:right w:val="single" w:sz="4" w:space="0" w:color="auto"/>
            </w:tcBorders>
            <w:shd w:val="clear" w:color="auto" w:fill="auto"/>
            <w:noWrap/>
            <w:vAlign w:val="bottom"/>
            <w:hideMark/>
          </w:tcPr>
          <w:p w14:paraId="32207987"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w:t>
            </w:r>
          </w:p>
        </w:tc>
        <w:tc>
          <w:tcPr>
            <w:tcW w:w="2028" w:type="dxa"/>
            <w:tcBorders>
              <w:top w:val="nil"/>
              <w:left w:val="nil"/>
              <w:bottom w:val="nil"/>
              <w:right w:val="nil"/>
            </w:tcBorders>
            <w:shd w:val="clear" w:color="auto" w:fill="auto"/>
            <w:noWrap/>
            <w:vAlign w:val="bottom"/>
            <w:hideMark/>
          </w:tcPr>
          <w:p w14:paraId="22E30BE8"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w:t>
            </w:r>
          </w:p>
        </w:tc>
        <w:tc>
          <w:tcPr>
            <w:tcW w:w="948" w:type="dxa"/>
            <w:tcBorders>
              <w:top w:val="nil"/>
              <w:left w:val="nil"/>
              <w:bottom w:val="nil"/>
              <w:right w:val="single" w:sz="4" w:space="0" w:color="auto"/>
            </w:tcBorders>
            <w:shd w:val="clear" w:color="auto" w:fill="auto"/>
            <w:noWrap/>
            <w:vAlign w:val="bottom"/>
            <w:hideMark/>
          </w:tcPr>
          <w:p w14:paraId="7B4C9147"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w:t>
            </w:r>
          </w:p>
        </w:tc>
        <w:tc>
          <w:tcPr>
            <w:tcW w:w="2029" w:type="dxa"/>
            <w:tcBorders>
              <w:top w:val="nil"/>
              <w:left w:val="nil"/>
              <w:bottom w:val="nil"/>
              <w:right w:val="nil"/>
            </w:tcBorders>
            <w:shd w:val="clear" w:color="auto" w:fill="auto"/>
            <w:noWrap/>
            <w:vAlign w:val="bottom"/>
            <w:hideMark/>
          </w:tcPr>
          <w:p w14:paraId="436E545E"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w:t>
            </w:r>
          </w:p>
        </w:tc>
        <w:tc>
          <w:tcPr>
            <w:tcW w:w="853" w:type="dxa"/>
            <w:tcBorders>
              <w:top w:val="nil"/>
              <w:left w:val="nil"/>
              <w:bottom w:val="nil"/>
              <w:right w:val="single" w:sz="4" w:space="0" w:color="auto"/>
            </w:tcBorders>
            <w:shd w:val="clear" w:color="auto" w:fill="auto"/>
            <w:noWrap/>
            <w:vAlign w:val="bottom"/>
            <w:hideMark/>
          </w:tcPr>
          <w:p w14:paraId="7AA7727C"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w:t>
            </w:r>
          </w:p>
        </w:tc>
      </w:tr>
      <w:tr w:rsidR="007F7BC7" w:rsidRPr="008C75D2" w14:paraId="1652A68E"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213321DB" w14:textId="77777777" w:rsidR="007F7BC7" w:rsidRPr="008C75D2" w:rsidRDefault="007F7BC7" w:rsidP="000F6575">
            <w:pPr>
              <w:ind w:left="166"/>
              <w:rPr>
                <w:rFonts w:eastAsia="Times New Roman" w:cs="Arial"/>
                <w:color w:val="000000"/>
                <w:sz w:val="20"/>
                <w:szCs w:val="20"/>
              </w:rPr>
            </w:pPr>
            <w:r w:rsidRPr="008C75D2">
              <w:rPr>
                <w:rFonts w:eastAsia="Times New Roman" w:cs="Arial"/>
                <w:color w:val="000000"/>
                <w:sz w:val="20"/>
                <w:szCs w:val="20"/>
              </w:rPr>
              <w:t>14-6 days before*</w:t>
            </w:r>
          </w:p>
        </w:tc>
        <w:tc>
          <w:tcPr>
            <w:tcW w:w="2127" w:type="dxa"/>
            <w:tcBorders>
              <w:top w:val="nil"/>
              <w:left w:val="nil"/>
              <w:bottom w:val="nil"/>
              <w:right w:val="nil"/>
            </w:tcBorders>
            <w:shd w:val="clear" w:color="auto" w:fill="auto"/>
            <w:noWrap/>
            <w:vAlign w:val="bottom"/>
            <w:hideMark/>
          </w:tcPr>
          <w:p w14:paraId="41A6A33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945" w:type="dxa"/>
            <w:tcBorders>
              <w:top w:val="nil"/>
              <w:left w:val="nil"/>
              <w:bottom w:val="nil"/>
              <w:right w:val="single" w:sz="4" w:space="0" w:color="auto"/>
            </w:tcBorders>
            <w:shd w:val="clear" w:color="auto" w:fill="auto"/>
            <w:noWrap/>
            <w:vAlign w:val="bottom"/>
            <w:hideMark/>
          </w:tcPr>
          <w:p w14:paraId="30D0CBA7"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2028" w:type="dxa"/>
            <w:tcBorders>
              <w:top w:val="nil"/>
              <w:left w:val="nil"/>
              <w:bottom w:val="nil"/>
              <w:right w:val="nil"/>
            </w:tcBorders>
            <w:shd w:val="clear" w:color="auto" w:fill="auto"/>
            <w:noWrap/>
            <w:vAlign w:val="bottom"/>
            <w:hideMark/>
          </w:tcPr>
          <w:p w14:paraId="55218881"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2.44 (1.64, 3.63)</w:t>
            </w:r>
          </w:p>
        </w:tc>
        <w:tc>
          <w:tcPr>
            <w:tcW w:w="948" w:type="dxa"/>
            <w:tcBorders>
              <w:top w:val="nil"/>
              <w:left w:val="nil"/>
              <w:bottom w:val="nil"/>
              <w:right w:val="single" w:sz="4" w:space="0" w:color="auto"/>
            </w:tcBorders>
            <w:shd w:val="clear" w:color="auto" w:fill="auto"/>
            <w:noWrap/>
            <w:vAlign w:val="bottom"/>
            <w:hideMark/>
          </w:tcPr>
          <w:p w14:paraId="027E979B"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4D8AC783"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853" w:type="dxa"/>
            <w:tcBorders>
              <w:top w:val="nil"/>
              <w:left w:val="nil"/>
              <w:bottom w:val="nil"/>
              <w:right w:val="single" w:sz="4" w:space="0" w:color="auto"/>
            </w:tcBorders>
            <w:shd w:val="clear" w:color="auto" w:fill="auto"/>
            <w:noWrap/>
            <w:vAlign w:val="bottom"/>
            <w:hideMark/>
          </w:tcPr>
          <w:p w14:paraId="6014BAE4"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r>
      <w:tr w:rsidR="007F7BC7" w:rsidRPr="008C75D2" w14:paraId="32E35E17"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7BCC545F"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5-1 days before</w:t>
            </w:r>
          </w:p>
        </w:tc>
        <w:tc>
          <w:tcPr>
            <w:tcW w:w="2127" w:type="dxa"/>
            <w:tcBorders>
              <w:top w:val="nil"/>
              <w:left w:val="nil"/>
              <w:bottom w:val="nil"/>
              <w:right w:val="nil"/>
            </w:tcBorders>
            <w:shd w:val="clear" w:color="auto" w:fill="auto"/>
            <w:noWrap/>
            <w:vAlign w:val="bottom"/>
            <w:hideMark/>
          </w:tcPr>
          <w:p w14:paraId="68CDC8F4"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3.97 (2.66, 5.94)</w:t>
            </w:r>
          </w:p>
        </w:tc>
        <w:tc>
          <w:tcPr>
            <w:tcW w:w="945" w:type="dxa"/>
            <w:tcBorders>
              <w:top w:val="nil"/>
              <w:left w:val="nil"/>
              <w:bottom w:val="nil"/>
              <w:right w:val="single" w:sz="4" w:space="0" w:color="auto"/>
            </w:tcBorders>
            <w:shd w:val="clear" w:color="auto" w:fill="auto"/>
            <w:noWrap/>
            <w:vAlign w:val="bottom"/>
            <w:hideMark/>
          </w:tcPr>
          <w:p w14:paraId="39A33001"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44755767"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4.36 (2.99, 6.36)</w:t>
            </w:r>
          </w:p>
        </w:tc>
        <w:tc>
          <w:tcPr>
            <w:tcW w:w="948" w:type="dxa"/>
            <w:tcBorders>
              <w:top w:val="nil"/>
              <w:left w:val="nil"/>
              <w:bottom w:val="nil"/>
              <w:right w:val="single" w:sz="4" w:space="0" w:color="auto"/>
            </w:tcBorders>
            <w:shd w:val="clear" w:color="auto" w:fill="auto"/>
            <w:noWrap/>
            <w:vAlign w:val="bottom"/>
            <w:hideMark/>
          </w:tcPr>
          <w:p w14:paraId="64A6D75E"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6FA11FE4"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3.82 (2.52, 5.79)</w:t>
            </w:r>
          </w:p>
        </w:tc>
        <w:tc>
          <w:tcPr>
            <w:tcW w:w="853" w:type="dxa"/>
            <w:tcBorders>
              <w:top w:val="nil"/>
              <w:left w:val="nil"/>
              <w:bottom w:val="nil"/>
              <w:right w:val="single" w:sz="4" w:space="0" w:color="auto"/>
            </w:tcBorders>
            <w:shd w:val="clear" w:color="auto" w:fill="auto"/>
            <w:noWrap/>
            <w:vAlign w:val="bottom"/>
            <w:hideMark/>
          </w:tcPr>
          <w:p w14:paraId="13515981"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r>
      <w:tr w:rsidR="007F7BC7" w:rsidRPr="008C75D2" w14:paraId="35A9DA1F"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579D62FC"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0-7 days after</w:t>
            </w:r>
          </w:p>
        </w:tc>
        <w:tc>
          <w:tcPr>
            <w:tcW w:w="2127" w:type="dxa"/>
            <w:tcBorders>
              <w:top w:val="nil"/>
              <w:left w:val="nil"/>
              <w:bottom w:val="nil"/>
              <w:right w:val="nil"/>
            </w:tcBorders>
            <w:shd w:val="clear" w:color="auto" w:fill="auto"/>
            <w:noWrap/>
            <w:vAlign w:val="bottom"/>
            <w:hideMark/>
          </w:tcPr>
          <w:p w14:paraId="4BEB3417"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9.81 (7.98, 12.06)</w:t>
            </w:r>
          </w:p>
        </w:tc>
        <w:tc>
          <w:tcPr>
            <w:tcW w:w="945" w:type="dxa"/>
            <w:tcBorders>
              <w:top w:val="nil"/>
              <w:left w:val="nil"/>
              <w:bottom w:val="nil"/>
              <w:right w:val="single" w:sz="4" w:space="0" w:color="auto"/>
            </w:tcBorders>
            <w:shd w:val="clear" w:color="auto" w:fill="auto"/>
            <w:noWrap/>
            <w:vAlign w:val="bottom"/>
            <w:hideMark/>
          </w:tcPr>
          <w:p w14:paraId="193A2854"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6729ED6A"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12.26 (10.11, 14.87)</w:t>
            </w:r>
          </w:p>
        </w:tc>
        <w:tc>
          <w:tcPr>
            <w:tcW w:w="948" w:type="dxa"/>
            <w:tcBorders>
              <w:top w:val="nil"/>
              <w:left w:val="nil"/>
              <w:bottom w:val="nil"/>
              <w:right w:val="single" w:sz="4" w:space="0" w:color="auto"/>
            </w:tcBorders>
            <w:shd w:val="clear" w:color="auto" w:fill="auto"/>
            <w:noWrap/>
            <w:vAlign w:val="bottom"/>
            <w:hideMark/>
          </w:tcPr>
          <w:p w14:paraId="4E85DF9D"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00E0574A"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9.24 (7.36, 11.61)</w:t>
            </w:r>
          </w:p>
        </w:tc>
        <w:tc>
          <w:tcPr>
            <w:tcW w:w="853" w:type="dxa"/>
            <w:tcBorders>
              <w:top w:val="nil"/>
              <w:left w:val="nil"/>
              <w:bottom w:val="nil"/>
              <w:right w:val="single" w:sz="4" w:space="0" w:color="auto"/>
            </w:tcBorders>
            <w:shd w:val="clear" w:color="auto" w:fill="auto"/>
            <w:noWrap/>
            <w:vAlign w:val="bottom"/>
            <w:hideMark/>
          </w:tcPr>
          <w:p w14:paraId="39816FC6"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r>
      <w:tr w:rsidR="007F7BC7" w:rsidRPr="008C75D2" w14:paraId="4725D1FD"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50219860"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8-28 days after</w:t>
            </w:r>
          </w:p>
        </w:tc>
        <w:tc>
          <w:tcPr>
            <w:tcW w:w="2127" w:type="dxa"/>
            <w:tcBorders>
              <w:top w:val="nil"/>
              <w:left w:val="nil"/>
              <w:bottom w:val="nil"/>
              <w:right w:val="nil"/>
            </w:tcBorders>
            <w:shd w:val="clear" w:color="auto" w:fill="auto"/>
            <w:noWrap/>
            <w:vAlign w:val="bottom"/>
            <w:hideMark/>
          </w:tcPr>
          <w:p w14:paraId="33DF6ECC"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2.30 (1.75, 3.03)</w:t>
            </w:r>
          </w:p>
        </w:tc>
        <w:tc>
          <w:tcPr>
            <w:tcW w:w="945" w:type="dxa"/>
            <w:tcBorders>
              <w:top w:val="nil"/>
              <w:left w:val="nil"/>
              <w:bottom w:val="nil"/>
              <w:right w:val="single" w:sz="4" w:space="0" w:color="auto"/>
            </w:tcBorders>
            <w:shd w:val="clear" w:color="auto" w:fill="auto"/>
            <w:noWrap/>
            <w:vAlign w:val="bottom"/>
            <w:hideMark/>
          </w:tcPr>
          <w:p w14:paraId="1DAA4C5F"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29409E32"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2.87 (2.20, 3.74)</w:t>
            </w:r>
          </w:p>
        </w:tc>
        <w:tc>
          <w:tcPr>
            <w:tcW w:w="948" w:type="dxa"/>
            <w:tcBorders>
              <w:top w:val="nil"/>
              <w:left w:val="nil"/>
              <w:bottom w:val="nil"/>
              <w:right w:val="single" w:sz="4" w:space="0" w:color="auto"/>
            </w:tcBorders>
            <w:shd w:val="clear" w:color="auto" w:fill="auto"/>
            <w:noWrap/>
            <w:vAlign w:val="bottom"/>
            <w:hideMark/>
          </w:tcPr>
          <w:p w14:paraId="2F01BB28"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7075C2F2"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2.12 (1.59, 2.83)</w:t>
            </w:r>
          </w:p>
        </w:tc>
        <w:tc>
          <w:tcPr>
            <w:tcW w:w="853" w:type="dxa"/>
            <w:tcBorders>
              <w:top w:val="nil"/>
              <w:left w:val="nil"/>
              <w:bottom w:val="nil"/>
              <w:right w:val="single" w:sz="4" w:space="0" w:color="auto"/>
            </w:tcBorders>
            <w:shd w:val="clear" w:color="auto" w:fill="auto"/>
            <w:noWrap/>
            <w:vAlign w:val="bottom"/>
            <w:hideMark/>
          </w:tcPr>
          <w:p w14:paraId="70C4C0D0"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r>
      <w:tr w:rsidR="007F7BC7" w:rsidRPr="008C75D2" w14:paraId="6D304D3C"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10F5BC71"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28-56 days after</w:t>
            </w:r>
          </w:p>
        </w:tc>
        <w:tc>
          <w:tcPr>
            <w:tcW w:w="2127" w:type="dxa"/>
            <w:tcBorders>
              <w:top w:val="nil"/>
              <w:left w:val="nil"/>
              <w:bottom w:val="nil"/>
              <w:right w:val="nil"/>
            </w:tcBorders>
            <w:shd w:val="clear" w:color="auto" w:fill="auto"/>
            <w:noWrap/>
            <w:vAlign w:val="bottom"/>
            <w:hideMark/>
          </w:tcPr>
          <w:p w14:paraId="3E4AF33F"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2.04 (1.55, 2.67)</w:t>
            </w:r>
          </w:p>
        </w:tc>
        <w:tc>
          <w:tcPr>
            <w:tcW w:w="945" w:type="dxa"/>
            <w:tcBorders>
              <w:top w:val="nil"/>
              <w:left w:val="nil"/>
              <w:bottom w:val="nil"/>
              <w:right w:val="single" w:sz="4" w:space="0" w:color="auto"/>
            </w:tcBorders>
            <w:shd w:val="clear" w:color="auto" w:fill="auto"/>
            <w:noWrap/>
            <w:vAlign w:val="bottom"/>
            <w:hideMark/>
          </w:tcPr>
          <w:p w14:paraId="5C629A91"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4DD08EFB"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2.35 (1.80, 3.06)</w:t>
            </w:r>
          </w:p>
        </w:tc>
        <w:tc>
          <w:tcPr>
            <w:tcW w:w="948" w:type="dxa"/>
            <w:tcBorders>
              <w:top w:val="nil"/>
              <w:left w:val="nil"/>
              <w:bottom w:val="nil"/>
              <w:right w:val="single" w:sz="4" w:space="0" w:color="auto"/>
            </w:tcBorders>
            <w:shd w:val="clear" w:color="auto" w:fill="auto"/>
            <w:noWrap/>
            <w:vAlign w:val="bottom"/>
            <w:hideMark/>
          </w:tcPr>
          <w:p w14:paraId="550A1903"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7F6E5C28"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1.72 (1.29, 2.30)</w:t>
            </w:r>
          </w:p>
        </w:tc>
        <w:tc>
          <w:tcPr>
            <w:tcW w:w="853" w:type="dxa"/>
            <w:tcBorders>
              <w:top w:val="nil"/>
              <w:left w:val="nil"/>
              <w:bottom w:val="nil"/>
              <w:right w:val="single" w:sz="4" w:space="0" w:color="auto"/>
            </w:tcBorders>
            <w:shd w:val="clear" w:color="auto" w:fill="auto"/>
            <w:noWrap/>
            <w:vAlign w:val="bottom"/>
            <w:hideMark/>
          </w:tcPr>
          <w:p w14:paraId="47D26317"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0</w:t>
            </w:r>
            <w:r>
              <w:rPr>
                <w:rFonts w:eastAsia="Times New Roman" w:cs="Arial"/>
                <w:b/>
                <w:bCs/>
                <w:color w:val="000000"/>
                <w:sz w:val="20"/>
                <w:szCs w:val="20"/>
              </w:rPr>
              <w:t>.</w:t>
            </w:r>
            <w:r w:rsidRPr="001833B1">
              <w:rPr>
                <w:rFonts w:eastAsia="Times New Roman" w:cs="Arial"/>
                <w:b/>
                <w:bCs/>
                <w:color w:val="000000"/>
                <w:sz w:val="20"/>
                <w:szCs w:val="20"/>
              </w:rPr>
              <w:t>0002</w:t>
            </w:r>
          </w:p>
        </w:tc>
      </w:tr>
      <w:tr w:rsidR="007F7BC7" w:rsidRPr="008C75D2" w14:paraId="457FC2AF"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710FD581" w14:textId="77777777" w:rsidR="007F7BC7" w:rsidRPr="008C75D2" w:rsidRDefault="007F7BC7" w:rsidP="000F6575">
            <w:pPr>
              <w:rPr>
                <w:rFonts w:eastAsia="Times New Roman" w:cs="Arial"/>
                <w:b/>
                <w:bCs/>
                <w:color w:val="000000"/>
                <w:sz w:val="20"/>
                <w:szCs w:val="20"/>
              </w:rPr>
            </w:pPr>
            <w:r w:rsidRPr="008C75D2">
              <w:rPr>
                <w:rFonts w:eastAsia="Times New Roman" w:cs="Arial"/>
                <w:b/>
                <w:bCs/>
                <w:color w:val="000000"/>
                <w:sz w:val="20"/>
                <w:szCs w:val="20"/>
              </w:rPr>
              <w:t>Myocardial infarction</w:t>
            </w:r>
          </w:p>
        </w:tc>
        <w:tc>
          <w:tcPr>
            <w:tcW w:w="2127" w:type="dxa"/>
            <w:tcBorders>
              <w:top w:val="nil"/>
              <w:left w:val="nil"/>
              <w:bottom w:val="nil"/>
              <w:right w:val="nil"/>
            </w:tcBorders>
            <w:shd w:val="clear" w:color="auto" w:fill="auto"/>
            <w:noWrap/>
            <w:vAlign w:val="bottom"/>
            <w:hideMark/>
          </w:tcPr>
          <w:p w14:paraId="077EA67C"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945" w:type="dxa"/>
            <w:tcBorders>
              <w:top w:val="nil"/>
              <w:left w:val="nil"/>
              <w:bottom w:val="nil"/>
              <w:right w:val="single" w:sz="4" w:space="0" w:color="auto"/>
            </w:tcBorders>
            <w:shd w:val="clear" w:color="auto" w:fill="auto"/>
            <w:noWrap/>
            <w:vAlign w:val="bottom"/>
            <w:hideMark/>
          </w:tcPr>
          <w:p w14:paraId="20C596D3"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8" w:type="dxa"/>
            <w:tcBorders>
              <w:top w:val="nil"/>
              <w:left w:val="nil"/>
              <w:bottom w:val="nil"/>
              <w:right w:val="nil"/>
            </w:tcBorders>
            <w:shd w:val="clear" w:color="auto" w:fill="auto"/>
            <w:noWrap/>
            <w:vAlign w:val="bottom"/>
            <w:hideMark/>
          </w:tcPr>
          <w:p w14:paraId="5737E3D5"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948" w:type="dxa"/>
            <w:tcBorders>
              <w:top w:val="nil"/>
              <w:left w:val="nil"/>
              <w:bottom w:val="nil"/>
              <w:right w:val="single" w:sz="4" w:space="0" w:color="auto"/>
            </w:tcBorders>
            <w:shd w:val="clear" w:color="auto" w:fill="auto"/>
            <w:noWrap/>
            <w:vAlign w:val="bottom"/>
            <w:hideMark/>
          </w:tcPr>
          <w:p w14:paraId="162C51A6"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9" w:type="dxa"/>
            <w:tcBorders>
              <w:top w:val="nil"/>
              <w:left w:val="nil"/>
              <w:bottom w:val="nil"/>
              <w:right w:val="nil"/>
            </w:tcBorders>
            <w:shd w:val="clear" w:color="auto" w:fill="auto"/>
            <w:noWrap/>
            <w:vAlign w:val="bottom"/>
            <w:hideMark/>
          </w:tcPr>
          <w:p w14:paraId="3D451D07"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1F777993"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r>
      <w:tr w:rsidR="007F7BC7" w:rsidRPr="008C75D2" w14:paraId="270C882F"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515C9BF3" w14:textId="77777777" w:rsidR="007F7BC7" w:rsidRPr="008C75D2" w:rsidRDefault="007F7BC7" w:rsidP="000F6575">
            <w:pPr>
              <w:ind w:left="166"/>
              <w:rPr>
                <w:rFonts w:eastAsia="Times New Roman" w:cs="Arial"/>
                <w:color w:val="000000"/>
                <w:sz w:val="20"/>
                <w:szCs w:val="20"/>
              </w:rPr>
            </w:pPr>
            <w:r w:rsidRPr="008C75D2">
              <w:rPr>
                <w:rFonts w:eastAsia="Times New Roman" w:cs="Arial"/>
                <w:color w:val="000000"/>
                <w:sz w:val="20"/>
                <w:szCs w:val="20"/>
              </w:rPr>
              <w:t>14-6 days before*</w:t>
            </w:r>
          </w:p>
        </w:tc>
        <w:tc>
          <w:tcPr>
            <w:tcW w:w="2127" w:type="dxa"/>
            <w:tcBorders>
              <w:top w:val="nil"/>
              <w:left w:val="nil"/>
              <w:bottom w:val="nil"/>
              <w:right w:val="nil"/>
            </w:tcBorders>
            <w:shd w:val="clear" w:color="auto" w:fill="auto"/>
            <w:noWrap/>
            <w:vAlign w:val="bottom"/>
            <w:hideMark/>
          </w:tcPr>
          <w:p w14:paraId="68D79417"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945" w:type="dxa"/>
            <w:tcBorders>
              <w:top w:val="nil"/>
              <w:left w:val="nil"/>
              <w:bottom w:val="nil"/>
              <w:right w:val="single" w:sz="4" w:space="0" w:color="auto"/>
            </w:tcBorders>
            <w:shd w:val="clear" w:color="auto" w:fill="auto"/>
            <w:noWrap/>
            <w:vAlign w:val="bottom"/>
            <w:hideMark/>
          </w:tcPr>
          <w:p w14:paraId="315915E4"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2028" w:type="dxa"/>
            <w:tcBorders>
              <w:top w:val="nil"/>
              <w:left w:val="nil"/>
              <w:bottom w:val="nil"/>
              <w:right w:val="nil"/>
            </w:tcBorders>
            <w:shd w:val="clear" w:color="auto" w:fill="auto"/>
            <w:noWrap/>
            <w:vAlign w:val="bottom"/>
            <w:hideMark/>
          </w:tcPr>
          <w:p w14:paraId="41A99602"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3.02 (1.55, 5.89)</w:t>
            </w:r>
          </w:p>
        </w:tc>
        <w:tc>
          <w:tcPr>
            <w:tcW w:w="948" w:type="dxa"/>
            <w:tcBorders>
              <w:top w:val="nil"/>
              <w:left w:val="nil"/>
              <w:bottom w:val="nil"/>
              <w:right w:val="single" w:sz="4" w:space="0" w:color="auto"/>
            </w:tcBorders>
            <w:shd w:val="clear" w:color="auto" w:fill="auto"/>
            <w:noWrap/>
            <w:vAlign w:val="bottom"/>
            <w:hideMark/>
          </w:tcPr>
          <w:p w14:paraId="21EC9DD3"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1.00</w:t>
            </w:r>
          </w:p>
        </w:tc>
        <w:tc>
          <w:tcPr>
            <w:tcW w:w="2029" w:type="dxa"/>
            <w:tcBorders>
              <w:top w:val="nil"/>
              <w:left w:val="nil"/>
              <w:bottom w:val="nil"/>
              <w:right w:val="nil"/>
            </w:tcBorders>
            <w:shd w:val="clear" w:color="auto" w:fill="auto"/>
            <w:noWrap/>
            <w:vAlign w:val="bottom"/>
            <w:hideMark/>
          </w:tcPr>
          <w:p w14:paraId="0D6F6BFE"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068E9591"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r>
      <w:tr w:rsidR="007F7BC7" w:rsidRPr="008C75D2" w14:paraId="398938D4"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26D148DE"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5-1 days before</w:t>
            </w:r>
          </w:p>
        </w:tc>
        <w:tc>
          <w:tcPr>
            <w:tcW w:w="2127" w:type="dxa"/>
            <w:tcBorders>
              <w:top w:val="nil"/>
              <w:left w:val="nil"/>
              <w:bottom w:val="nil"/>
              <w:right w:val="nil"/>
            </w:tcBorders>
            <w:shd w:val="clear" w:color="auto" w:fill="auto"/>
            <w:noWrap/>
            <w:vAlign w:val="bottom"/>
            <w:hideMark/>
          </w:tcPr>
          <w:p w14:paraId="45E545AA"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4.42 (2.16, 9.05)</w:t>
            </w:r>
          </w:p>
        </w:tc>
        <w:tc>
          <w:tcPr>
            <w:tcW w:w="945" w:type="dxa"/>
            <w:tcBorders>
              <w:top w:val="nil"/>
              <w:left w:val="nil"/>
              <w:bottom w:val="nil"/>
              <w:right w:val="single" w:sz="4" w:space="0" w:color="auto"/>
            </w:tcBorders>
            <w:shd w:val="clear" w:color="auto" w:fill="auto"/>
            <w:noWrap/>
            <w:vAlign w:val="bottom"/>
            <w:hideMark/>
          </w:tcPr>
          <w:p w14:paraId="07AE5C82"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471FA139"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5.37 (2.84, 10.14)</w:t>
            </w:r>
          </w:p>
        </w:tc>
        <w:tc>
          <w:tcPr>
            <w:tcW w:w="948" w:type="dxa"/>
            <w:tcBorders>
              <w:top w:val="nil"/>
              <w:left w:val="nil"/>
              <w:bottom w:val="nil"/>
              <w:right w:val="single" w:sz="4" w:space="0" w:color="auto"/>
            </w:tcBorders>
            <w:shd w:val="clear" w:color="auto" w:fill="auto"/>
            <w:noWrap/>
            <w:vAlign w:val="bottom"/>
            <w:hideMark/>
          </w:tcPr>
          <w:p w14:paraId="2378D1D0"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6D15E4B0"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3.82 (1.81, 8.05)</w:t>
            </w:r>
          </w:p>
        </w:tc>
        <w:tc>
          <w:tcPr>
            <w:tcW w:w="853" w:type="dxa"/>
            <w:tcBorders>
              <w:top w:val="nil"/>
              <w:left w:val="nil"/>
              <w:bottom w:val="nil"/>
              <w:right w:val="single" w:sz="4" w:space="0" w:color="auto"/>
            </w:tcBorders>
            <w:shd w:val="clear" w:color="auto" w:fill="auto"/>
            <w:noWrap/>
            <w:vAlign w:val="bottom"/>
            <w:hideMark/>
          </w:tcPr>
          <w:p w14:paraId="7BF322C1"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0.0004</w:t>
            </w:r>
          </w:p>
        </w:tc>
      </w:tr>
      <w:tr w:rsidR="007F7BC7" w:rsidRPr="008C75D2" w14:paraId="5BA12E6B"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6055FA73"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0-7 days after</w:t>
            </w:r>
          </w:p>
        </w:tc>
        <w:tc>
          <w:tcPr>
            <w:tcW w:w="2127" w:type="dxa"/>
            <w:tcBorders>
              <w:top w:val="nil"/>
              <w:left w:val="nil"/>
              <w:bottom w:val="nil"/>
              <w:right w:val="nil"/>
            </w:tcBorders>
            <w:shd w:val="clear" w:color="auto" w:fill="auto"/>
            <w:noWrap/>
            <w:vAlign w:val="bottom"/>
            <w:hideMark/>
          </w:tcPr>
          <w:p w14:paraId="5D75FB05"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4.20 (2.43, 7.25)</w:t>
            </w:r>
          </w:p>
        </w:tc>
        <w:tc>
          <w:tcPr>
            <w:tcW w:w="945" w:type="dxa"/>
            <w:tcBorders>
              <w:top w:val="nil"/>
              <w:left w:val="nil"/>
              <w:bottom w:val="nil"/>
              <w:right w:val="single" w:sz="4" w:space="0" w:color="auto"/>
            </w:tcBorders>
            <w:shd w:val="clear" w:color="auto" w:fill="auto"/>
            <w:noWrap/>
            <w:vAlign w:val="bottom"/>
            <w:hideMark/>
          </w:tcPr>
          <w:p w14:paraId="122BE894" w14:textId="77777777" w:rsidR="007F7BC7" w:rsidRPr="00160BD5" w:rsidRDefault="007F7BC7" w:rsidP="000F6575">
            <w:pPr>
              <w:jc w:val="center"/>
              <w:rPr>
                <w:rFonts w:eastAsia="Times New Roman" w:cs="Arial"/>
                <w:b/>
                <w:bCs/>
                <w:color w:val="000000"/>
                <w:sz w:val="20"/>
                <w:szCs w:val="20"/>
              </w:rPr>
            </w:pPr>
            <w:r w:rsidRPr="00160BD5">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39862F9C"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5.36 (3.16, 9.08)</w:t>
            </w:r>
          </w:p>
        </w:tc>
        <w:tc>
          <w:tcPr>
            <w:tcW w:w="948" w:type="dxa"/>
            <w:tcBorders>
              <w:top w:val="nil"/>
              <w:left w:val="nil"/>
              <w:bottom w:val="nil"/>
              <w:right w:val="single" w:sz="4" w:space="0" w:color="auto"/>
            </w:tcBorders>
            <w:shd w:val="clear" w:color="auto" w:fill="auto"/>
            <w:noWrap/>
            <w:vAlign w:val="bottom"/>
            <w:hideMark/>
          </w:tcPr>
          <w:p w14:paraId="6BDD5633"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2540DD43"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3.63 (2.04, 6.45)</w:t>
            </w:r>
          </w:p>
        </w:tc>
        <w:tc>
          <w:tcPr>
            <w:tcW w:w="853" w:type="dxa"/>
            <w:tcBorders>
              <w:top w:val="nil"/>
              <w:left w:val="nil"/>
              <w:bottom w:val="nil"/>
              <w:right w:val="single" w:sz="4" w:space="0" w:color="auto"/>
            </w:tcBorders>
            <w:shd w:val="clear" w:color="auto" w:fill="auto"/>
            <w:noWrap/>
            <w:vAlign w:val="bottom"/>
            <w:hideMark/>
          </w:tcPr>
          <w:p w14:paraId="44751B32"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&lt;0.0001</w:t>
            </w:r>
          </w:p>
        </w:tc>
      </w:tr>
      <w:tr w:rsidR="007F7BC7" w:rsidRPr="008C75D2" w14:paraId="282BA272"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517EB63B"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8-28 days after</w:t>
            </w:r>
          </w:p>
        </w:tc>
        <w:tc>
          <w:tcPr>
            <w:tcW w:w="2127" w:type="dxa"/>
            <w:tcBorders>
              <w:top w:val="nil"/>
              <w:left w:val="nil"/>
              <w:bottom w:val="nil"/>
              <w:right w:val="nil"/>
            </w:tcBorders>
            <w:shd w:val="clear" w:color="auto" w:fill="auto"/>
            <w:noWrap/>
            <w:vAlign w:val="bottom"/>
            <w:hideMark/>
          </w:tcPr>
          <w:p w14:paraId="0521DCD7"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1.22 (0.61, 2.43)</w:t>
            </w:r>
          </w:p>
        </w:tc>
        <w:tc>
          <w:tcPr>
            <w:tcW w:w="945" w:type="dxa"/>
            <w:tcBorders>
              <w:top w:val="nil"/>
              <w:left w:val="nil"/>
              <w:bottom w:val="nil"/>
              <w:right w:val="single" w:sz="4" w:space="0" w:color="auto"/>
            </w:tcBorders>
            <w:shd w:val="clear" w:color="auto" w:fill="auto"/>
            <w:noWrap/>
            <w:vAlign w:val="bottom"/>
            <w:hideMark/>
          </w:tcPr>
          <w:p w14:paraId="7F21CAB1"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0.57</w:t>
            </w:r>
          </w:p>
        </w:tc>
        <w:tc>
          <w:tcPr>
            <w:tcW w:w="2028" w:type="dxa"/>
            <w:tcBorders>
              <w:top w:val="nil"/>
              <w:left w:val="nil"/>
              <w:bottom w:val="nil"/>
              <w:right w:val="nil"/>
            </w:tcBorders>
            <w:shd w:val="clear" w:color="auto" w:fill="auto"/>
            <w:noWrap/>
            <w:vAlign w:val="bottom"/>
            <w:hideMark/>
          </w:tcPr>
          <w:p w14:paraId="4E69D70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1.56 (0.80, 3.06)</w:t>
            </w:r>
          </w:p>
        </w:tc>
        <w:tc>
          <w:tcPr>
            <w:tcW w:w="948" w:type="dxa"/>
            <w:tcBorders>
              <w:top w:val="nil"/>
              <w:left w:val="nil"/>
              <w:bottom w:val="nil"/>
              <w:right w:val="single" w:sz="4" w:space="0" w:color="auto"/>
            </w:tcBorders>
            <w:shd w:val="clear" w:color="auto" w:fill="auto"/>
            <w:noWrap/>
            <w:vAlign w:val="bottom"/>
            <w:hideMark/>
          </w:tcPr>
          <w:p w14:paraId="4D6BACD1"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0.19</w:t>
            </w:r>
          </w:p>
        </w:tc>
        <w:tc>
          <w:tcPr>
            <w:tcW w:w="2029" w:type="dxa"/>
            <w:tcBorders>
              <w:top w:val="nil"/>
              <w:left w:val="nil"/>
              <w:bottom w:val="nil"/>
              <w:right w:val="nil"/>
            </w:tcBorders>
            <w:shd w:val="clear" w:color="auto" w:fill="auto"/>
            <w:noWrap/>
            <w:vAlign w:val="bottom"/>
            <w:hideMark/>
          </w:tcPr>
          <w:p w14:paraId="36D1B660"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1.07 (0.52, 2.19)</w:t>
            </w:r>
          </w:p>
        </w:tc>
        <w:tc>
          <w:tcPr>
            <w:tcW w:w="853" w:type="dxa"/>
            <w:tcBorders>
              <w:top w:val="nil"/>
              <w:left w:val="nil"/>
              <w:bottom w:val="nil"/>
              <w:right w:val="single" w:sz="4" w:space="0" w:color="auto"/>
            </w:tcBorders>
            <w:shd w:val="clear" w:color="auto" w:fill="auto"/>
            <w:noWrap/>
            <w:vAlign w:val="bottom"/>
            <w:hideMark/>
          </w:tcPr>
          <w:p w14:paraId="264E62A9"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0.85</w:t>
            </w:r>
          </w:p>
        </w:tc>
      </w:tr>
      <w:tr w:rsidR="007F7BC7" w:rsidRPr="008C75D2" w14:paraId="46ACE2AB"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2D03B9F8"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28-56 days after</w:t>
            </w:r>
          </w:p>
        </w:tc>
        <w:tc>
          <w:tcPr>
            <w:tcW w:w="2127" w:type="dxa"/>
            <w:tcBorders>
              <w:top w:val="nil"/>
              <w:left w:val="nil"/>
              <w:bottom w:val="nil"/>
              <w:right w:val="nil"/>
            </w:tcBorders>
            <w:shd w:val="clear" w:color="auto" w:fill="auto"/>
            <w:noWrap/>
            <w:vAlign w:val="bottom"/>
            <w:hideMark/>
          </w:tcPr>
          <w:p w14:paraId="03022EAC"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1.00 (0.49, 2.06)</w:t>
            </w:r>
          </w:p>
        </w:tc>
        <w:tc>
          <w:tcPr>
            <w:tcW w:w="945" w:type="dxa"/>
            <w:tcBorders>
              <w:top w:val="nil"/>
              <w:left w:val="nil"/>
              <w:bottom w:val="nil"/>
              <w:right w:val="single" w:sz="4" w:space="0" w:color="auto"/>
            </w:tcBorders>
            <w:shd w:val="clear" w:color="auto" w:fill="auto"/>
            <w:noWrap/>
            <w:vAlign w:val="bottom"/>
            <w:hideMark/>
          </w:tcPr>
          <w:p w14:paraId="05C52C38"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1.00</w:t>
            </w:r>
          </w:p>
        </w:tc>
        <w:tc>
          <w:tcPr>
            <w:tcW w:w="2028" w:type="dxa"/>
            <w:tcBorders>
              <w:top w:val="nil"/>
              <w:left w:val="nil"/>
              <w:bottom w:val="nil"/>
              <w:right w:val="nil"/>
            </w:tcBorders>
            <w:shd w:val="clear" w:color="auto" w:fill="auto"/>
            <w:noWrap/>
            <w:vAlign w:val="bottom"/>
            <w:hideMark/>
          </w:tcPr>
          <w:p w14:paraId="783E0881"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1.19 (0.58, 2.43)</w:t>
            </w:r>
          </w:p>
        </w:tc>
        <w:tc>
          <w:tcPr>
            <w:tcW w:w="948" w:type="dxa"/>
            <w:tcBorders>
              <w:top w:val="nil"/>
              <w:left w:val="nil"/>
              <w:bottom w:val="nil"/>
              <w:right w:val="single" w:sz="4" w:space="0" w:color="auto"/>
            </w:tcBorders>
            <w:shd w:val="clear" w:color="auto" w:fill="auto"/>
            <w:noWrap/>
            <w:vAlign w:val="bottom"/>
            <w:hideMark/>
          </w:tcPr>
          <w:p w14:paraId="7ED93B7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0.63</w:t>
            </w:r>
          </w:p>
        </w:tc>
        <w:tc>
          <w:tcPr>
            <w:tcW w:w="2029" w:type="dxa"/>
            <w:tcBorders>
              <w:top w:val="nil"/>
              <w:left w:val="nil"/>
              <w:bottom w:val="nil"/>
              <w:right w:val="nil"/>
            </w:tcBorders>
            <w:shd w:val="clear" w:color="auto" w:fill="auto"/>
            <w:noWrap/>
            <w:vAlign w:val="bottom"/>
            <w:hideMark/>
          </w:tcPr>
          <w:p w14:paraId="6ECBCDB3"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0.86 (0.41, 1.82)</w:t>
            </w:r>
          </w:p>
        </w:tc>
        <w:tc>
          <w:tcPr>
            <w:tcW w:w="853" w:type="dxa"/>
            <w:tcBorders>
              <w:top w:val="nil"/>
              <w:left w:val="nil"/>
              <w:bottom w:val="nil"/>
              <w:right w:val="single" w:sz="4" w:space="0" w:color="auto"/>
            </w:tcBorders>
            <w:shd w:val="clear" w:color="auto" w:fill="auto"/>
            <w:noWrap/>
            <w:vAlign w:val="bottom"/>
            <w:hideMark/>
          </w:tcPr>
          <w:p w14:paraId="1B9F3B26"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0.69</w:t>
            </w:r>
          </w:p>
        </w:tc>
      </w:tr>
      <w:tr w:rsidR="007F7BC7" w:rsidRPr="008C75D2" w14:paraId="4D94902B"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718086FF" w14:textId="77777777" w:rsidR="007F7BC7" w:rsidRPr="008C75D2" w:rsidRDefault="007F7BC7" w:rsidP="000F6575">
            <w:pPr>
              <w:rPr>
                <w:rFonts w:eastAsia="Times New Roman" w:cs="Arial"/>
                <w:b/>
                <w:bCs/>
                <w:color w:val="000000"/>
                <w:sz w:val="20"/>
                <w:szCs w:val="20"/>
              </w:rPr>
            </w:pPr>
            <w:r w:rsidRPr="008C75D2">
              <w:rPr>
                <w:rFonts w:eastAsia="Times New Roman" w:cs="Arial"/>
                <w:b/>
                <w:bCs/>
                <w:color w:val="000000"/>
                <w:sz w:val="20"/>
                <w:szCs w:val="20"/>
              </w:rPr>
              <w:t>Ischaemic stroke</w:t>
            </w:r>
          </w:p>
        </w:tc>
        <w:tc>
          <w:tcPr>
            <w:tcW w:w="2127" w:type="dxa"/>
            <w:tcBorders>
              <w:top w:val="nil"/>
              <w:left w:val="nil"/>
              <w:bottom w:val="nil"/>
              <w:right w:val="nil"/>
            </w:tcBorders>
            <w:shd w:val="clear" w:color="auto" w:fill="auto"/>
            <w:noWrap/>
            <w:vAlign w:val="bottom"/>
            <w:hideMark/>
          </w:tcPr>
          <w:p w14:paraId="6AC7CC69"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945" w:type="dxa"/>
            <w:tcBorders>
              <w:top w:val="nil"/>
              <w:left w:val="nil"/>
              <w:bottom w:val="nil"/>
              <w:right w:val="single" w:sz="4" w:space="0" w:color="auto"/>
            </w:tcBorders>
            <w:shd w:val="clear" w:color="auto" w:fill="auto"/>
            <w:noWrap/>
            <w:vAlign w:val="bottom"/>
            <w:hideMark/>
          </w:tcPr>
          <w:p w14:paraId="0DF9C804"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8" w:type="dxa"/>
            <w:tcBorders>
              <w:top w:val="nil"/>
              <w:left w:val="nil"/>
              <w:bottom w:val="nil"/>
              <w:right w:val="nil"/>
            </w:tcBorders>
            <w:shd w:val="clear" w:color="auto" w:fill="auto"/>
            <w:noWrap/>
            <w:vAlign w:val="bottom"/>
            <w:hideMark/>
          </w:tcPr>
          <w:p w14:paraId="427AFC46"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948" w:type="dxa"/>
            <w:tcBorders>
              <w:top w:val="nil"/>
              <w:left w:val="nil"/>
              <w:bottom w:val="nil"/>
              <w:right w:val="single" w:sz="4" w:space="0" w:color="auto"/>
            </w:tcBorders>
            <w:shd w:val="clear" w:color="auto" w:fill="auto"/>
            <w:noWrap/>
            <w:vAlign w:val="bottom"/>
            <w:hideMark/>
          </w:tcPr>
          <w:p w14:paraId="032CD376"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9" w:type="dxa"/>
            <w:tcBorders>
              <w:top w:val="nil"/>
              <w:left w:val="nil"/>
              <w:bottom w:val="nil"/>
              <w:right w:val="nil"/>
            </w:tcBorders>
            <w:shd w:val="clear" w:color="auto" w:fill="auto"/>
            <w:noWrap/>
            <w:vAlign w:val="bottom"/>
            <w:hideMark/>
          </w:tcPr>
          <w:p w14:paraId="69B91B06"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7D4EA81E"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r>
      <w:tr w:rsidR="007F7BC7" w:rsidRPr="008C75D2" w14:paraId="2C644951"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576B9278" w14:textId="77777777" w:rsidR="007F7BC7" w:rsidRPr="008C75D2" w:rsidRDefault="007F7BC7" w:rsidP="000F6575">
            <w:pPr>
              <w:ind w:left="166"/>
              <w:rPr>
                <w:rFonts w:eastAsia="Times New Roman" w:cs="Arial"/>
                <w:color w:val="000000"/>
                <w:sz w:val="20"/>
                <w:szCs w:val="20"/>
              </w:rPr>
            </w:pPr>
            <w:r w:rsidRPr="008C75D2">
              <w:rPr>
                <w:rFonts w:eastAsia="Times New Roman" w:cs="Arial"/>
                <w:color w:val="000000"/>
                <w:sz w:val="20"/>
                <w:szCs w:val="20"/>
              </w:rPr>
              <w:t>14-6 days before*</w:t>
            </w:r>
          </w:p>
        </w:tc>
        <w:tc>
          <w:tcPr>
            <w:tcW w:w="2127" w:type="dxa"/>
            <w:tcBorders>
              <w:top w:val="nil"/>
              <w:left w:val="nil"/>
              <w:bottom w:val="nil"/>
              <w:right w:val="nil"/>
            </w:tcBorders>
            <w:shd w:val="clear" w:color="auto" w:fill="auto"/>
            <w:noWrap/>
            <w:vAlign w:val="bottom"/>
            <w:hideMark/>
          </w:tcPr>
          <w:p w14:paraId="54DEDF0F"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945" w:type="dxa"/>
            <w:tcBorders>
              <w:top w:val="nil"/>
              <w:left w:val="nil"/>
              <w:bottom w:val="nil"/>
              <w:right w:val="single" w:sz="4" w:space="0" w:color="auto"/>
            </w:tcBorders>
            <w:shd w:val="clear" w:color="auto" w:fill="auto"/>
            <w:noWrap/>
            <w:vAlign w:val="bottom"/>
            <w:hideMark/>
          </w:tcPr>
          <w:p w14:paraId="052017A6"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2028" w:type="dxa"/>
            <w:tcBorders>
              <w:top w:val="nil"/>
              <w:left w:val="nil"/>
              <w:bottom w:val="nil"/>
              <w:right w:val="nil"/>
            </w:tcBorders>
            <w:shd w:val="clear" w:color="auto" w:fill="auto"/>
            <w:noWrap/>
            <w:vAlign w:val="bottom"/>
            <w:hideMark/>
          </w:tcPr>
          <w:p w14:paraId="3B37DC93"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1.73 (0.86, 3.49)</w:t>
            </w:r>
          </w:p>
        </w:tc>
        <w:tc>
          <w:tcPr>
            <w:tcW w:w="948" w:type="dxa"/>
            <w:tcBorders>
              <w:top w:val="nil"/>
              <w:left w:val="nil"/>
              <w:bottom w:val="nil"/>
              <w:right w:val="single" w:sz="4" w:space="0" w:color="auto"/>
            </w:tcBorders>
            <w:shd w:val="clear" w:color="auto" w:fill="auto"/>
            <w:noWrap/>
            <w:vAlign w:val="bottom"/>
            <w:hideMark/>
          </w:tcPr>
          <w:p w14:paraId="6915BFC1"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0.13</w:t>
            </w:r>
          </w:p>
        </w:tc>
        <w:tc>
          <w:tcPr>
            <w:tcW w:w="2029" w:type="dxa"/>
            <w:tcBorders>
              <w:top w:val="nil"/>
              <w:left w:val="nil"/>
              <w:bottom w:val="nil"/>
              <w:right w:val="nil"/>
            </w:tcBorders>
            <w:shd w:val="clear" w:color="auto" w:fill="auto"/>
            <w:noWrap/>
            <w:vAlign w:val="bottom"/>
            <w:hideMark/>
          </w:tcPr>
          <w:p w14:paraId="026A2C7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3E39043C"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w:t>
            </w:r>
          </w:p>
        </w:tc>
      </w:tr>
      <w:tr w:rsidR="007F7BC7" w:rsidRPr="008C75D2" w14:paraId="74F201BC"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1E5D78E7"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5-1 days before</w:t>
            </w:r>
          </w:p>
        </w:tc>
        <w:tc>
          <w:tcPr>
            <w:tcW w:w="2127" w:type="dxa"/>
            <w:tcBorders>
              <w:top w:val="nil"/>
              <w:left w:val="nil"/>
              <w:bottom w:val="nil"/>
              <w:right w:val="nil"/>
            </w:tcBorders>
            <w:shd w:val="clear" w:color="auto" w:fill="auto"/>
            <w:noWrap/>
            <w:vAlign w:val="bottom"/>
            <w:hideMark/>
          </w:tcPr>
          <w:p w14:paraId="02F3EC8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1.80 (0.74, 4.38)</w:t>
            </w:r>
          </w:p>
        </w:tc>
        <w:tc>
          <w:tcPr>
            <w:tcW w:w="945" w:type="dxa"/>
            <w:tcBorders>
              <w:top w:val="nil"/>
              <w:left w:val="nil"/>
              <w:bottom w:val="nil"/>
              <w:right w:val="single" w:sz="4" w:space="0" w:color="auto"/>
            </w:tcBorders>
            <w:shd w:val="clear" w:color="auto" w:fill="auto"/>
            <w:noWrap/>
            <w:vAlign w:val="bottom"/>
            <w:hideMark/>
          </w:tcPr>
          <w:p w14:paraId="62C653EE"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0.2</w:t>
            </w:r>
            <w:r>
              <w:rPr>
                <w:rFonts w:eastAsia="Times New Roman" w:cs="Arial"/>
                <w:color w:val="000000"/>
                <w:sz w:val="20"/>
                <w:szCs w:val="20"/>
              </w:rPr>
              <w:t>0</w:t>
            </w:r>
          </w:p>
        </w:tc>
        <w:tc>
          <w:tcPr>
            <w:tcW w:w="2028" w:type="dxa"/>
            <w:tcBorders>
              <w:top w:val="nil"/>
              <w:left w:val="nil"/>
              <w:bottom w:val="nil"/>
              <w:right w:val="nil"/>
            </w:tcBorders>
            <w:shd w:val="clear" w:color="auto" w:fill="auto"/>
            <w:noWrap/>
            <w:vAlign w:val="bottom"/>
            <w:hideMark/>
          </w:tcPr>
          <w:p w14:paraId="6D8EBD95"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2.06 (0.92, 4.63)</w:t>
            </w:r>
          </w:p>
        </w:tc>
        <w:tc>
          <w:tcPr>
            <w:tcW w:w="948" w:type="dxa"/>
            <w:tcBorders>
              <w:top w:val="nil"/>
              <w:left w:val="nil"/>
              <w:bottom w:val="nil"/>
              <w:right w:val="single" w:sz="4" w:space="0" w:color="auto"/>
            </w:tcBorders>
            <w:shd w:val="clear" w:color="auto" w:fill="auto"/>
            <w:noWrap/>
            <w:vAlign w:val="bottom"/>
            <w:hideMark/>
          </w:tcPr>
          <w:p w14:paraId="180BF218"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0.08</w:t>
            </w:r>
          </w:p>
        </w:tc>
        <w:tc>
          <w:tcPr>
            <w:tcW w:w="2029" w:type="dxa"/>
            <w:tcBorders>
              <w:top w:val="nil"/>
              <w:left w:val="nil"/>
              <w:bottom w:val="nil"/>
              <w:right w:val="nil"/>
            </w:tcBorders>
            <w:shd w:val="clear" w:color="auto" w:fill="auto"/>
            <w:noWrap/>
            <w:vAlign w:val="bottom"/>
            <w:hideMark/>
          </w:tcPr>
          <w:p w14:paraId="1D534B07"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1.79 (0.72, 4.45)</w:t>
            </w:r>
          </w:p>
        </w:tc>
        <w:tc>
          <w:tcPr>
            <w:tcW w:w="853" w:type="dxa"/>
            <w:tcBorders>
              <w:top w:val="nil"/>
              <w:left w:val="nil"/>
              <w:bottom w:val="nil"/>
              <w:right w:val="single" w:sz="4" w:space="0" w:color="auto"/>
            </w:tcBorders>
            <w:shd w:val="clear" w:color="auto" w:fill="auto"/>
            <w:noWrap/>
            <w:vAlign w:val="bottom"/>
            <w:hideMark/>
          </w:tcPr>
          <w:p w14:paraId="1F7209E3"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0.21</w:t>
            </w:r>
          </w:p>
        </w:tc>
      </w:tr>
      <w:tr w:rsidR="007F7BC7" w:rsidRPr="008C75D2" w14:paraId="46B469A4"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033972F3"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0-7 days after</w:t>
            </w:r>
          </w:p>
        </w:tc>
        <w:tc>
          <w:tcPr>
            <w:tcW w:w="2127" w:type="dxa"/>
            <w:tcBorders>
              <w:top w:val="nil"/>
              <w:left w:val="nil"/>
              <w:bottom w:val="nil"/>
              <w:right w:val="nil"/>
            </w:tcBorders>
            <w:shd w:val="clear" w:color="auto" w:fill="auto"/>
            <w:noWrap/>
            <w:vAlign w:val="bottom"/>
            <w:hideMark/>
          </w:tcPr>
          <w:p w14:paraId="4DFB8C40"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6.21 (4.22, 9.12)</w:t>
            </w:r>
          </w:p>
        </w:tc>
        <w:tc>
          <w:tcPr>
            <w:tcW w:w="945" w:type="dxa"/>
            <w:tcBorders>
              <w:top w:val="nil"/>
              <w:left w:val="nil"/>
              <w:bottom w:val="nil"/>
              <w:right w:val="single" w:sz="4" w:space="0" w:color="auto"/>
            </w:tcBorders>
            <w:shd w:val="clear" w:color="auto" w:fill="auto"/>
            <w:noWrap/>
            <w:vAlign w:val="bottom"/>
            <w:hideMark/>
          </w:tcPr>
          <w:p w14:paraId="46404107"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2A0B88DA"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7.32 (5.09, 10.53)</w:t>
            </w:r>
          </w:p>
        </w:tc>
        <w:tc>
          <w:tcPr>
            <w:tcW w:w="948" w:type="dxa"/>
            <w:tcBorders>
              <w:top w:val="nil"/>
              <w:left w:val="nil"/>
              <w:bottom w:val="nil"/>
              <w:right w:val="single" w:sz="4" w:space="0" w:color="auto"/>
            </w:tcBorders>
            <w:shd w:val="clear" w:color="auto" w:fill="auto"/>
            <w:noWrap/>
            <w:vAlign w:val="bottom"/>
            <w:hideMark/>
          </w:tcPr>
          <w:p w14:paraId="178DEED6"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3B1040D7"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5.81 (3.77, 8.93)</w:t>
            </w:r>
          </w:p>
        </w:tc>
        <w:tc>
          <w:tcPr>
            <w:tcW w:w="853" w:type="dxa"/>
            <w:tcBorders>
              <w:top w:val="nil"/>
              <w:left w:val="nil"/>
              <w:bottom w:val="nil"/>
              <w:right w:val="single" w:sz="4" w:space="0" w:color="auto"/>
            </w:tcBorders>
            <w:shd w:val="clear" w:color="auto" w:fill="auto"/>
            <w:noWrap/>
            <w:vAlign w:val="bottom"/>
            <w:hideMark/>
          </w:tcPr>
          <w:p w14:paraId="79943B50"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&lt;0.0001</w:t>
            </w:r>
          </w:p>
        </w:tc>
      </w:tr>
      <w:tr w:rsidR="007F7BC7" w:rsidRPr="008C75D2" w14:paraId="2BCCD044"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1245A2E8"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8-28 days after</w:t>
            </w:r>
          </w:p>
        </w:tc>
        <w:tc>
          <w:tcPr>
            <w:tcW w:w="2127" w:type="dxa"/>
            <w:tcBorders>
              <w:top w:val="nil"/>
              <w:left w:val="nil"/>
              <w:bottom w:val="nil"/>
              <w:right w:val="nil"/>
            </w:tcBorders>
            <w:shd w:val="clear" w:color="auto" w:fill="auto"/>
            <w:noWrap/>
            <w:vAlign w:val="bottom"/>
            <w:hideMark/>
          </w:tcPr>
          <w:p w14:paraId="14874818"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0.65 (0.30, 1.40)</w:t>
            </w:r>
          </w:p>
        </w:tc>
        <w:tc>
          <w:tcPr>
            <w:tcW w:w="945" w:type="dxa"/>
            <w:tcBorders>
              <w:top w:val="nil"/>
              <w:left w:val="nil"/>
              <w:bottom w:val="nil"/>
              <w:right w:val="single" w:sz="4" w:space="0" w:color="auto"/>
            </w:tcBorders>
            <w:shd w:val="clear" w:color="auto" w:fill="auto"/>
            <w:noWrap/>
            <w:vAlign w:val="bottom"/>
            <w:hideMark/>
          </w:tcPr>
          <w:p w14:paraId="24E581D5"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0.27</w:t>
            </w:r>
          </w:p>
        </w:tc>
        <w:tc>
          <w:tcPr>
            <w:tcW w:w="2028" w:type="dxa"/>
            <w:tcBorders>
              <w:top w:val="nil"/>
              <w:left w:val="nil"/>
              <w:bottom w:val="nil"/>
              <w:right w:val="nil"/>
            </w:tcBorders>
            <w:shd w:val="clear" w:color="auto" w:fill="auto"/>
            <w:noWrap/>
            <w:vAlign w:val="bottom"/>
            <w:hideMark/>
          </w:tcPr>
          <w:p w14:paraId="13B29C4D"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0.76 (0.36, 1.60)</w:t>
            </w:r>
          </w:p>
        </w:tc>
        <w:tc>
          <w:tcPr>
            <w:tcW w:w="948" w:type="dxa"/>
            <w:tcBorders>
              <w:top w:val="nil"/>
              <w:left w:val="nil"/>
              <w:bottom w:val="nil"/>
              <w:right w:val="single" w:sz="4" w:space="0" w:color="auto"/>
            </w:tcBorders>
            <w:shd w:val="clear" w:color="auto" w:fill="auto"/>
            <w:noWrap/>
            <w:vAlign w:val="bottom"/>
            <w:hideMark/>
          </w:tcPr>
          <w:p w14:paraId="4622FA3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0.47</w:t>
            </w:r>
          </w:p>
        </w:tc>
        <w:tc>
          <w:tcPr>
            <w:tcW w:w="2029" w:type="dxa"/>
            <w:tcBorders>
              <w:top w:val="nil"/>
              <w:left w:val="nil"/>
              <w:bottom w:val="nil"/>
              <w:right w:val="nil"/>
            </w:tcBorders>
            <w:shd w:val="clear" w:color="auto" w:fill="auto"/>
            <w:noWrap/>
            <w:vAlign w:val="bottom"/>
            <w:hideMark/>
          </w:tcPr>
          <w:p w14:paraId="46E6957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0.58 (0.26, 1.31)</w:t>
            </w:r>
          </w:p>
        </w:tc>
        <w:tc>
          <w:tcPr>
            <w:tcW w:w="853" w:type="dxa"/>
            <w:tcBorders>
              <w:top w:val="nil"/>
              <w:left w:val="nil"/>
              <w:bottom w:val="nil"/>
              <w:right w:val="single" w:sz="4" w:space="0" w:color="auto"/>
            </w:tcBorders>
            <w:shd w:val="clear" w:color="auto" w:fill="auto"/>
            <w:noWrap/>
            <w:vAlign w:val="bottom"/>
            <w:hideMark/>
          </w:tcPr>
          <w:p w14:paraId="170166AE"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0.19</w:t>
            </w:r>
          </w:p>
        </w:tc>
      </w:tr>
      <w:tr w:rsidR="007F7BC7" w:rsidRPr="008C75D2" w14:paraId="40559349"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6B5E9D3D"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28-56 days after</w:t>
            </w:r>
          </w:p>
        </w:tc>
        <w:tc>
          <w:tcPr>
            <w:tcW w:w="2127" w:type="dxa"/>
            <w:tcBorders>
              <w:top w:val="nil"/>
              <w:left w:val="nil"/>
              <w:bottom w:val="nil"/>
              <w:right w:val="nil"/>
            </w:tcBorders>
            <w:shd w:val="clear" w:color="auto" w:fill="auto"/>
            <w:noWrap/>
            <w:vAlign w:val="bottom"/>
            <w:hideMark/>
          </w:tcPr>
          <w:p w14:paraId="27C31384"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1.06 (0.60, 1.88)</w:t>
            </w:r>
          </w:p>
        </w:tc>
        <w:tc>
          <w:tcPr>
            <w:tcW w:w="945" w:type="dxa"/>
            <w:tcBorders>
              <w:top w:val="nil"/>
              <w:left w:val="nil"/>
              <w:bottom w:val="nil"/>
              <w:right w:val="single" w:sz="4" w:space="0" w:color="auto"/>
            </w:tcBorders>
            <w:shd w:val="clear" w:color="auto" w:fill="auto"/>
            <w:noWrap/>
            <w:vAlign w:val="bottom"/>
            <w:hideMark/>
          </w:tcPr>
          <w:p w14:paraId="01D0673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0.84</w:t>
            </w:r>
          </w:p>
        </w:tc>
        <w:tc>
          <w:tcPr>
            <w:tcW w:w="2028" w:type="dxa"/>
            <w:tcBorders>
              <w:top w:val="nil"/>
              <w:left w:val="nil"/>
              <w:bottom w:val="nil"/>
              <w:right w:val="nil"/>
            </w:tcBorders>
            <w:shd w:val="clear" w:color="auto" w:fill="auto"/>
            <w:noWrap/>
            <w:vAlign w:val="bottom"/>
            <w:hideMark/>
          </w:tcPr>
          <w:p w14:paraId="3314DF5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1.12 (0.64, 1.96)</w:t>
            </w:r>
          </w:p>
        </w:tc>
        <w:tc>
          <w:tcPr>
            <w:tcW w:w="948" w:type="dxa"/>
            <w:tcBorders>
              <w:top w:val="nil"/>
              <w:left w:val="nil"/>
              <w:bottom w:val="nil"/>
              <w:right w:val="single" w:sz="4" w:space="0" w:color="auto"/>
            </w:tcBorders>
            <w:shd w:val="clear" w:color="auto" w:fill="auto"/>
            <w:noWrap/>
            <w:vAlign w:val="bottom"/>
            <w:hideMark/>
          </w:tcPr>
          <w:p w14:paraId="42C9843F"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0.69</w:t>
            </w:r>
          </w:p>
        </w:tc>
        <w:tc>
          <w:tcPr>
            <w:tcW w:w="2029" w:type="dxa"/>
            <w:tcBorders>
              <w:top w:val="nil"/>
              <w:left w:val="nil"/>
              <w:bottom w:val="nil"/>
              <w:right w:val="nil"/>
            </w:tcBorders>
            <w:shd w:val="clear" w:color="auto" w:fill="auto"/>
            <w:noWrap/>
            <w:vAlign w:val="bottom"/>
            <w:hideMark/>
          </w:tcPr>
          <w:p w14:paraId="47E33BB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0.97 (0.54, 1.77)</w:t>
            </w:r>
          </w:p>
        </w:tc>
        <w:tc>
          <w:tcPr>
            <w:tcW w:w="853" w:type="dxa"/>
            <w:tcBorders>
              <w:top w:val="nil"/>
              <w:left w:val="nil"/>
              <w:bottom w:val="nil"/>
              <w:right w:val="single" w:sz="4" w:space="0" w:color="auto"/>
            </w:tcBorders>
            <w:shd w:val="clear" w:color="auto" w:fill="auto"/>
            <w:noWrap/>
            <w:vAlign w:val="bottom"/>
            <w:hideMark/>
          </w:tcPr>
          <w:p w14:paraId="73773C6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0.93</w:t>
            </w:r>
          </w:p>
        </w:tc>
      </w:tr>
      <w:tr w:rsidR="007F7BC7" w:rsidRPr="008C75D2" w14:paraId="6CDC57CD"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2E003D33" w14:textId="77777777" w:rsidR="007F7BC7" w:rsidRPr="008C75D2" w:rsidRDefault="007F7BC7" w:rsidP="000F6575">
            <w:pPr>
              <w:rPr>
                <w:rFonts w:eastAsia="Times New Roman" w:cs="Arial"/>
                <w:b/>
                <w:bCs/>
                <w:color w:val="000000"/>
                <w:sz w:val="20"/>
                <w:szCs w:val="20"/>
              </w:rPr>
            </w:pPr>
            <w:r w:rsidRPr="008C75D2">
              <w:rPr>
                <w:rFonts w:eastAsia="Times New Roman" w:cs="Arial"/>
                <w:b/>
                <w:bCs/>
                <w:color w:val="000000"/>
                <w:sz w:val="20"/>
                <w:szCs w:val="20"/>
              </w:rPr>
              <w:t>Pulmonary embolism</w:t>
            </w:r>
          </w:p>
        </w:tc>
        <w:tc>
          <w:tcPr>
            <w:tcW w:w="2127" w:type="dxa"/>
            <w:tcBorders>
              <w:top w:val="nil"/>
              <w:left w:val="nil"/>
              <w:bottom w:val="nil"/>
              <w:right w:val="nil"/>
            </w:tcBorders>
            <w:shd w:val="clear" w:color="auto" w:fill="auto"/>
            <w:noWrap/>
            <w:vAlign w:val="bottom"/>
            <w:hideMark/>
          </w:tcPr>
          <w:p w14:paraId="5A3893A9"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945" w:type="dxa"/>
            <w:tcBorders>
              <w:top w:val="nil"/>
              <w:left w:val="nil"/>
              <w:bottom w:val="nil"/>
              <w:right w:val="single" w:sz="4" w:space="0" w:color="auto"/>
            </w:tcBorders>
            <w:shd w:val="clear" w:color="auto" w:fill="auto"/>
            <w:noWrap/>
            <w:vAlign w:val="bottom"/>
            <w:hideMark/>
          </w:tcPr>
          <w:p w14:paraId="478594D5"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8" w:type="dxa"/>
            <w:tcBorders>
              <w:top w:val="nil"/>
              <w:left w:val="nil"/>
              <w:bottom w:val="nil"/>
              <w:right w:val="nil"/>
            </w:tcBorders>
            <w:shd w:val="clear" w:color="auto" w:fill="auto"/>
            <w:noWrap/>
            <w:vAlign w:val="bottom"/>
            <w:hideMark/>
          </w:tcPr>
          <w:p w14:paraId="6AAB926F"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948" w:type="dxa"/>
            <w:tcBorders>
              <w:top w:val="nil"/>
              <w:left w:val="nil"/>
              <w:bottom w:val="nil"/>
              <w:right w:val="single" w:sz="4" w:space="0" w:color="auto"/>
            </w:tcBorders>
            <w:shd w:val="clear" w:color="auto" w:fill="auto"/>
            <w:noWrap/>
            <w:vAlign w:val="bottom"/>
            <w:hideMark/>
          </w:tcPr>
          <w:p w14:paraId="531D8B1C"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9" w:type="dxa"/>
            <w:tcBorders>
              <w:top w:val="nil"/>
              <w:left w:val="nil"/>
              <w:bottom w:val="nil"/>
              <w:right w:val="nil"/>
            </w:tcBorders>
            <w:shd w:val="clear" w:color="auto" w:fill="auto"/>
            <w:noWrap/>
            <w:vAlign w:val="bottom"/>
            <w:hideMark/>
          </w:tcPr>
          <w:p w14:paraId="2F6E8265"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3D8D32A2"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r>
      <w:tr w:rsidR="007F7BC7" w:rsidRPr="008C75D2" w14:paraId="413E1AC4"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5C214357" w14:textId="77777777" w:rsidR="007F7BC7" w:rsidRPr="008C75D2" w:rsidRDefault="007F7BC7" w:rsidP="000F6575">
            <w:pPr>
              <w:ind w:left="166"/>
              <w:rPr>
                <w:rFonts w:eastAsia="Times New Roman" w:cs="Arial"/>
                <w:color w:val="000000"/>
                <w:sz w:val="20"/>
                <w:szCs w:val="20"/>
              </w:rPr>
            </w:pPr>
            <w:r w:rsidRPr="008C75D2">
              <w:rPr>
                <w:rFonts w:eastAsia="Times New Roman" w:cs="Arial"/>
                <w:color w:val="000000"/>
                <w:sz w:val="20"/>
                <w:szCs w:val="20"/>
              </w:rPr>
              <w:t>14-6 days before*</w:t>
            </w:r>
          </w:p>
        </w:tc>
        <w:tc>
          <w:tcPr>
            <w:tcW w:w="2127" w:type="dxa"/>
            <w:tcBorders>
              <w:top w:val="nil"/>
              <w:left w:val="nil"/>
              <w:bottom w:val="nil"/>
              <w:right w:val="nil"/>
            </w:tcBorders>
            <w:shd w:val="clear" w:color="auto" w:fill="auto"/>
            <w:noWrap/>
            <w:vAlign w:val="bottom"/>
            <w:hideMark/>
          </w:tcPr>
          <w:p w14:paraId="032141C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945" w:type="dxa"/>
            <w:tcBorders>
              <w:top w:val="nil"/>
              <w:left w:val="nil"/>
              <w:bottom w:val="nil"/>
              <w:right w:val="single" w:sz="4" w:space="0" w:color="auto"/>
            </w:tcBorders>
            <w:shd w:val="clear" w:color="auto" w:fill="auto"/>
            <w:noWrap/>
            <w:vAlign w:val="bottom"/>
            <w:hideMark/>
          </w:tcPr>
          <w:p w14:paraId="2DE5AC6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2028" w:type="dxa"/>
            <w:tcBorders>
              <w:top w:val="nil"/>
              <w:left w:val="nil"/>
              <w:bottom w:val="nil"/>
              <w:right w:val="nil"/>
            </w:tcBorders>
            <w:shd w:val="clear" w:color="auto" w:fill="auto"/>
            <w:noWrap/>
            <w:vAlign w:val="bottom"/>
            <w:hideMark/>
          </w:tcPr>
          <w:p w14:paraId="5F1423A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2.32 (0.96, 5.65)</w:t>
            </w:r>
          </w:p>
        </w:tc>
        <w:tc>
          <w:tcPr>
            <w:tcW w:w="948" w:type="dxa"/>
            <w:tcBorders>
              <w:top w:val="nil"/>
              <w:left w:val="nil"/>
              <w:bottom w:val="nil"/>
              <w:right w:val="single" w:sz="4" w:space="0" w:color="auto"/>
            </w:tcBorders>
            <w:shd w:val="clear" w:color="auto" w:fill="auto"/>
            <w:noWrap/>
            <w:vAlign w:val="bottom"/>
            <w:hideMark/>
          </w:tcPr>
          <w:p w14:paraId="22A93AB4"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0.06</w:t>
            </w:r>
          </w:p>
        </w:tc>
        <w:tc>
          <w:tcPr>
            <w:tcW w:w="2029" w:type="dxa"/>
            <w:tcBorders>
              <w:top w:val="nil"/>
              <w:left w:val="nil"/>
              <w:bottom w:val="nil"/>
              <w:right w:val="nil"/>
            </w:tcBorders>
            <w:shd w:val="clear" w:color="auto" w:fill="auto"/>
            <w:noWrap/>
            <w:vAlign w:val="bottom"/>
            <w:hideMark/>
          </w:tcPr>
          <w:p w14:paraId="513DCE3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4B1D61CF"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r>
      <w:tr w:rsidR="007F7BC7" w:rsidRPr="008C75D2" w14:paraId="3BAA348E"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06959F82"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5-1 days before</w:t>
            </w:r>
          </w:p>
        </w:tc>
        <w:tc>
          <w:tcPr>
            <w:tcW w:w="2127" w:type="dxa"/>
            <w:tcBorders>
              <w:top w:val="nil"/>
              <w:left w:val="nil"/>
              <w:bottom w:val="nil"/>
              <w:right w:val="nil"/>
            </w:tcBorders>
            <w:shd w:val="clear" w:color="auto" w:fill="auto"/>
            <w:noWrap/>
            <w:vAlign w:val="bottom"/>
            <w:hideMark/>
          </w:tcPr>
          <w:p w14:paraId="3514EA96"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7.53 (4.07, 13.94)</w:t>
            </w:r>
          </w:p>
        </w:tc>
        <w:tc>
          <w:tcPr>
            <w:tcW w:w="945" w:type="dxa"/>
            <w:tcBorders>
              <w:top w:val="nil"/>
              <w:left w:val="nil"/>
              <w:bottom w:val="nil"/>
              <w:right w:val="single" w:sz="4" w:space="0" w:color="auto"/>
            </w:tcBorders>
            <w:shd w:val="clear" w:color="auto" w:fill="auto"/>
            <w:noWrap/>
            <w:vAlign w:val="bottom"/>
            <w:hideMark/>
          </w:tcPr>
          <w:p w14:paraId="7E784458"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66E2EB96"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8.08 (4.40, 14.84)</w:t>
            </w:r>
          </w:p>
        </w:tc>
        <w:tc>
          <w:tcPr>
            <w:tcW w:w="948" w:type="dxa"/>
            <w:tcBorders>
              <w:top w:val="nil"/>
              <w:left w:val="nil"/>
              <w:bottom w:val="nil"/>
              <w:right w:val="single" w:sz="4" w:space="0" w:color="auto"/>
            </w:tcBorders>
            <w:shd w:val="clear" w:color="auto" w:fill="auto"/>
            <w:noWrap/>
            <w:vAlign w:val="bottom"/>
            <w:hideMark/>
          </w:tcPr>
          <w:p w14:paraId="2A74D101"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5E82E256"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6.23 (3.28, 11.80)</w:t>
            </w:r>
          </w:p>
        </w:tc>
        <w:tc>
          <w:tcPr>
            <w:tcW w:w="853" w:type="dxa"/>
            <w:tcBorders>
              <w:top w:val="nil"/>
              <w:left w:val="nil"/>
              <w:bottom w:val="nil"/>
              <w:right w:val="single" w:sz="4" w:space="0" w:color="auto"/>
            </w:tcBorders>
            <w:shd w:val="clear" w:color="auto" w:fill="auto"/>
            <w:noWrap/>
            <w:vAlign w:val="bottom"/>
            <w:hideMark/>
          </w:tcPr>
          <w:p w14:paraId="5E31E850"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&lt;0.0001</w:t>
            </w:r>
          </w:p>
        </w:tc>
      </w:tr>
      <w:tr w:rsidR="007F7BC7" w:rsidRPr="008C75D2" w14:paraId="364F4704"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0BAF1038"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0-7 days after</w:t>
            </w:r>
          </w:p>
        </w:tc>
        <w:tc>
          <w:tcPr>
            <w:tcW w:w="2127" w:type="dxa"/>
            <w:tcBorders>
              <w:top w:val="nil"/>
              <w:left w:val="nil"/>
              <w:bottom w:val="nil"/>
              <w:right w:val="nil"/>
            </w:tcBorders>
            <w:shd w:val="clear" w:color="auto" w:fill="auto"/>
            <w:noWrap/>
            <w:vAlign w:val="bottom"/>
            <w:hideMark/>
          </w:tcPr>
          <w:p w14:paraId="560DE5A5"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19.88 (14.33, 27.57)</w:t>
            </w:r>
          </w:p>
        </w:tc>
        <w:tc>
          <w:tcPr>
            <w:tcW w:w="945" w:type="dxa"/>
            <w:tcBorders>
              <w:top w:val="nil"/>
              <w:left w:val="nil"/>
              <w:bottom w:val="nil"/>
              <w:right w:val="single" w:sz="4" w:space="0" w:color="auto"/>
            </w:tcBorders>
            <w:shd w:val="clear" w:color="auto" w:fill="auto"/>
            <w:noWrap/>
            <w:vAlign w:val="bottom"/>
            <w:hideMark/>
          </w:tcPr>
          <w:p w14:paraId="6E2FD8B5"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3C999BEE"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27.9</w:t>
            </w:r>
            <w:r>
              <w:rPr>
                <w:rFonts w:eastAsia="Times New Roman" w:cs="Arial"/>
                <w:b/>
                <w:bCs/>
                <w:color w:val="000000"/>
                <w:sz w:val="20"/>
                <w:szCs w:val="20"/>
              </w:rPr>
              <w:t>0</w:t>
            </w:r>
            <w:r w:rsidRPr="001833B1">
              <w:rPr>
                <w:rFonts w:eastAsia="Times New Roman" w:cs="Arial"/>
                <w:b/>
                <w:bCs/>
                <w:color w:val="000000"/>
                <w:sz w:val="20"/>
                <w:szCs w:val="20"/>
              </w:rPr>
              <w:t xml:space="preserve"> (20.79, 37.43)</w:t>
            </w:r>
          </w:p>
        </w:tc>
        <w:tc>
          <w:tcPr>
            <w:tcW w:w="948" w:type="dxa"/>
            <w:tcBorders>
              <w:top w:val="nil"/>
              <w:left w:val="nil"/>
              <w:bottom w:val="nil"/>
              <w:right w:val="single" w:sz="4" w:space="0" w:color="auto"/>
            </w:tcBorders>
            <w:shd w:val="clear" w:color="auto" w:fill="auto"/>
            <w:noWrap/>
            <w:vAlign w:val="bottom"/>
            <w:hideMark/>
          </w:tcPr>
          <w:p w14:paraId="6BFFBCD2"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4CFBA971"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16.73 (11.73, 23.86)</w:t>
            </w:r>
          </w:p>
        </w:tc>
        <w:tc>
          <w:tcPr>
            <w:tcW w:w="853" w:type="dxa"/>
            <w:tcBorders>
              <w:top w:val="nil"/>
              <w:left w:val="nil"/>
              <w:bottom w:val="nil"/>
              <w:right w:val="single" w:sz="4" w:space="0" w:color="auto"/>
            </w:tcBorders>
            <w:shd w:val="clear" w:color="auto" w:fill="auto"/>
            <w:noWrap/>
            <w:vAlign w:val="bottom"/>
            <w:hideMark/>
          </w:tcPr>
          <w:p w14:paraId="6DA03648"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&lt;0.0001</w:t>
            </w:r>
          </w:p>
        </w:tc>
      </w:tr>
      <w:tr w:rsidR="007F7BC7" w:rsidRPr="008C75D2" w14:paraId="3EAEABD6"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1A643CCC"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8-28 days after</w:t>
            </w:r>
          </w:p>
        </w:tc>
        <w:tc>
          <w:tcPr>
            <w:tcW w:w="2127" w:type="dxa"/>
            <w:tcBorders>
              <w:top w:val="nil"/>
              <w:left w:val="nil"/>
              <w:bottom w:val="nil"/>
              <w:right w:val="nil"/>
            </w:tcBorders>
            <w:shd w:val="clear" w:color="auto" w:fill="auto"/>
            <w:noWrap/>
            <w:vAlign w:val="bottom"/>
            <w:hideMark/>
          </w:tcPr>
          <w:p w14:paraId="127D1782"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5.26 (3.55, 7.77)</w:t>
            </w:r>
          </w:p>
        </w:tc>
        <w:tc>
          <w:tcPr>
            <w:tcW w:w="945" w:type="dxa"/>
            <w:tcBorders>
              <w:top w:val="nil"/>
              <w:left w:val="nil"/>
              <w:bottom w:val="nil"/>
              <w:right w:val="single" w:sz="4" w:space="0" w:color="auto"/>
            </w:tcBorders>
            <w:shd w:val="clear" w:color="auto" w:fill="auto"/>
            <w:noWrap/>
            <w:vAlign w:val="bottom"/>
            <w:hideMark/>
          </w:tcPr>
          <w:p w14:paraId="63FB8EF2"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44A7C702"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7.36 (5.13, 10.56)</w:t>
            </w:r>
          </w:p>
        </w:tc>
        <w:tc>
          <w:tcPr>
            <w:tcW w:w="948" w:type="dxa"/>
            <w:tcBorders>
              <w:top w:val="nil"/>
              <w:left w:val="nil"/>
              <w:bottom w:val="nil"/>
              <w:right w:val="single" w:sz="4" w:space="0" w:color="auto"/>
            </w:tcBorders>
            <w:shd w:val="clear" w:color="auto" w:fill="auto"/>
            <w:noWrap/>
            <w:vAlign w:val="bottom"/>
            <w:hideMark/>
          </w:tcPr>
          <w:p w14:paraId="738A838C"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23E57A50"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4.20 (2.79, 6.32)</w:t>
            </w:r>
          </w:p>
        </w:tc>
        <w:tc>
          <w:tcPr>
            <w:tcW w:w="853" w:type="dxa"/>
            <w:tcBorders>
              <w:top w:val="nil"/>
              <w:left w:val="nil"/>
              <w:bottom w:val="nil"/>
              <w:right w:val="single" w:sz="4" w:space="0" w:color="auto"/>
            </w:tcBorders>
            <w:shd w:val="clear" w:color="auto" w:fill="auto"/>
            <w:noWrap/>
            <w:vAlign w:val="bottom"/>
            <w:hideMark/>
          </w:tcPr>
          <w:p w14:paraId="35920AA2"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&lt;0.0001</w:t>
            </w:r>
          </w:p>
        </w:tc>
      </w:tr>
      <w:tr w:rsidR="007F7BC7" w:rsidRPr="008C75D2" w14:paraId="5AF2CFB3"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4E03196B"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28-56 days after</w:t>
            </w:r>
          </w:p>
        </w:tc>
        <w:tc>
          <w:tcPr>
            <w:tcW w:w="2127" w:type="dxa"/>
            <w:tcBorders>
              <w:top w:val="nil"/>
              <w:left w:val="nil"/>
              <w:bottom w:val="nil"/>
              <w:right w:val="nil"/>
            </w:tcBorders>
            <w:shd w:val="clear" w:color="auto" w:fill="auto"/>
            <w:noWrap/>
            <w:vAlign w:val="bottom"/>
            <w:hideMark/>
          </w:tcPr>
          <w:p w14:paraId="67F2EE31"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4.38 (2.97, 6.46)</w:t>
            </w:r>
          </w:p>
        </w:tc>
        <w:tc>
          <w:tcPr>
            <w:tcW w:w="945" w:type="dxa"/>
            <w:tcBorders>
              <w:top w:val="nil"/>
              <w:left w:val="nil"/>
              <w:bottom w:val="nil"/>
              <w:right w:val="single" w:sz="4" w:space="0" w:color="auto"/>
            </w:tcBorders>
            <w:shd w:val="clear" w:color="auto" w:fill="auto"/>
            <w:noWrap/>
            <w:vAlign w:val="bottom"/>
            <w:hideMark/>
          </w:tcPr>
          <w:p w14:paraId="6DA8C336"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7E55E0A8"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5.66 (3.92, 8.17)</w:t>
            </w:r>
          </w:p>
        </w:tc>
        <w:tc>
          <w:tcPr>
            <w:tcW w:w="948" w:type="dxa"/>
            <w:tcBorders>
              <w:top w:val="nil"/>
              <w:left w:val="nil"/>
              <w:bottom w:val="nil"/>
              <w:right w:val="single" w:sz="4" w:space="0" w:color="auto"/>
            </w:tcBorders>
            <w:shd w:val="clear" w:color="auto" w:fill="auto"/>
            <w:noWrap/>
            <w:vAlign w:val="bottom"/>
            <w:hideMark/>
          </w:tcPr>
          <w:p w14:paraId="3F98788E"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5755AC3D"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3.12 (2.07, 4.69)</w:t>
            </w:r>
          </w:p>
        </w:tc>
        <w:tc>
          <w:tcPr>
            <w:tcW w:w="853" w:type="dxa"/>
            <w:tcBorders>
              <w:top w:val="nil"/>
              <w:left w:val="nil"/>
              <w:bottom w:val="nil"/>
              <w:right w:val="single" w:sz="4" w:space="0" w:color="auto"/>
            </w:tcBorders>
            <w:shd w:val="clear" w:color="auto" w:fill="auto"/>
            <w:noWrap/>
            <w:vAlign w:val="bottom"/>
            <w:hideMark/>
          </w:tcPr>
          <w:p w14:paraId="0CBD7309"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&lt;0.0001</w:t>
            </w:r>
          </w:p>
        </w:tc>
      </w:tr>
      <w:tr w:rsidR="007F7BC7" w:rsidRPr="008C75D2" w14:paraId="08082123"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3016DF0B" w14:textId="77777777" w:rsidR="007F7BC7" w:rsidRPr="008C75D2" w:rsidRDefault="007F7BC7" w:rsidP="000F6575">
            <w:pPr>
              <w:rPr>
                <w:rFonts w:eastAsia="Times New Roman" w:cs="Arial"/>
                <w:b/>
                <w:bCs/>
                <w:color w:val="000000"/>
                <w:sz w:val="20"/>
                <w:szCs w:val="20"/>
              </w:rPr>
            </w:pPr>
            <w:r w:rsidRPr="008C75D2">
              <w:rPr>
                <w:rFonts w:eastAsia="Times New Roman" w:cs="Arial"/>
                <w:b/>
                <w:bCs/>
                <w:color w:val="000000"/>
                <w:sz w:val="20"/>
                <w:szCs w:val="20"/>
              </w:rPr>
              <w:t>Deep vein thrombosis</w:t>
            </w:r>
          </w:p>
        </w:tc>
        <w:tc>
          <w:tcPr>
            <w:tcW w:w="2127" w:type="dxa"/>
            <w:tcBorders>
              <w:top w:val="nil"/>
              <w:left w:val="nil"/>
              <w:bottom w:val="nil"/>
              <w:right w:val="nil"/>
            </w:tcBorders>
            <w:shd w:val="clear" w:color="auto" w:fill="auto"/>
            <w:noWrap/>
            <w:vAlign w:val="bottom"/>
            <w:hideMark/>
          </w:tcPr>
          <w:p w14:paraId="78777ABD"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945" w:type="dxa"/>
            <w:tcBorders>
              <w:top w:val="nil"/>
              <w:left w:val="nil"/>
              <w:bottom w:val="nil"/>
              <w:right w:val="single" w:sz="4" w:space="0" w:color="auto"/>
            </w:tcBorders>
            <w:shd w:val="clear" w:color="auto" w:fill="auto"/>
            <w:noWrap/>
            <w:vAlign w:val="bottom"/>
            <w:hideMark/>
          </w:tcPr>
          <w:p w14:paraId="1AACAB62"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8" w:type="dxa"/>
            <w:tcBorders>
              <w:top w:val="nil"/>
              <w:left w:val="nil"/>
              <w:bottom w:val="nil"/>
              <w:right w:val="nil"/>
            </w:tcBorders>
            <w:shd w:val="clear" w:color="auto" w:fill="auto"/>
            <w:noWrap/>
            <w:vAlign w:val="bottom"/>
            <w:hideMark/>
          </w:tcPr>
          <w:p w14:paraId="6D3798DA"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948" w:type="dxa"/>
            <w:tcBorders>
              <w:top w:val="nil"/>
              <w:left w:val="nil"/>
              <w:bottom w:val="nil"/>
              <w:right w:val="single" w:sz="4" w:space="0" w:color="auto"/>
            </w:tcBorders>
            <w:shd w:val="clear" w:color="auto" w:fill="auto"/>
            <w:noWrap/>
            <w:vAlign w:val="bottom"/>
            <w:hideMark/>
          </w:tcPr>
          <w:p w14:paraId="08EFE3A0"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c>
          <w:tcPr>
            <w:tcW w:w="2029" w:type="dxa"/>
            <w:tcBorders>
              <w:top w:val="nil"/>
              <w:left w:val="nil"/>
              <w:bottom w:val="nil"/>
              <w:right w:val="nil"/>
            </w:tcBorders>
            <w:shd w:val="clear" w:color="auto" w:fill="auto"/>
            <w:noWrap/>
            <w:vAlign w:val="bottom"/>
            <w:hideMark/>
          </w:tcPr>
          <w:p w14:paraId="75FC317C"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6703635F" w14:textId="77777777" w:rsidR="007F7BC7" w:rsidRPr="008C75D2" w:rsidRDefault="007F7BC7" w:rsidP="000F6575">
            <w:pPr>
              <w:jc w:val="center"/>
              <w:rPr>
                <w:rFonts w:eastAsia="Times New Roman" w:cs="Arial"/>
                <w:b/>
                <w:bCs/>
                <w:color w:val="000000"/>
                <w:sz w:val="20"/>
                <w:szCs w:val="20"/>
              </w:rPr>
            </w:pPr>
            <w:r w:rsidRPr="008C75D2">
              <w:rPr>
                <w:rFonts w:eastAsia="Times New Roman" w:cs="Arial"/>
                <w:b/>
                <w:bCs/>
                <w:color w:val="000000"/>
                <w:sz w:val="20"/>
                <w:szCs w:val="20"/>
              </w:rPr>
              <w:t> </w:t>
            </w:r>
          </w:p>
        </w:tc>
      </w:tr>
      <w:tr w:rsidR="007F7BC7" w:rsidRPr="008C75D2" w14:paraId="707614A6"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3AEBE53A" w14:textId="77777777" w:rsidR="007F7BC7" w:rsidRPr="008C75D2" w:rsidRDefault="007F7BC7" w:rsidP="000F6575">
            <w:pPr>
              <w:ind w:left="166"/>
              <w:rPr>
                <w:rFonts w:eastAsia="Times New Roman" w:cs="Arial"/>
                <w:color w:val="000000"/>
                <w:sz w:val="20"/>
                <w:szCs w:val="20"/>
              </w:rPr>
            </w:pPr>
            <w:r w:rsidRPr="008C75D2">
              <w:rPr>
                <w:rFonts w:eastAsia="Times New Roman" w:cs="Arial"/>
                <w:color w:val="000000"/>
                <w:sz w:val="20"/>
                <w:szCs w:val="20"/>
              </w:rPr>
              <w:t>14-6 days before*</w:t>
            </w:r>
          </w:p>
        </w:tc>
        <w:tc>
          <w:tcPr>
            <w:tcW w:w="2127" w:type="dxa"/>
            <w:tcBorders>
              <w:top w:val="nil"/>
              <w:left w:val="nil"/>
              <w:bottom w:val="nil"/>
              <w:right w:val="nil"/>
            </w:tcBorders>
            <w:shd w:val="clear" w:color="auto" w:fill="auto"/>
            <w:noWrap/>
            <w:vAlign w:val="bottom"/>
            <w:hideMark/>
          </w:tcPr>
          <w:p w14:paraId="06C5ADAD"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945" w:type="dxa"/>
            <w:tcBorders>
              <w:top w:val="nil"/>
              <w:left w:val="nil"/>
              <w:bottom w:val="nil"/>
              <w:right w:val="single" w:sz="4" w:space="0" w:color="auto"/>
            </w:tcBorders>
            <w:shd w:val="clear" w:color="auto" w:fill="auto"/>
            <w:noWrap/>
            <w:vAlign w:val="bottom"/>
            <w:hideMark/>
          </w:tcPr>
          <w:p w14:paraId="68A483E3"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c>
          <w:tcPr>
            <w:tcW w:w="2028" w:type="dxa"/>
            <w:tcBorders>
              <w:top w:val="nil"/>
              <w:left w:val="nil"/>
              <w:bottom w:val="nil"/>
              <w:right w:val="nil"/>
            </w:tcBorders>
            <w:shd w:val="clear" w:color="auto" w:fill="auto"/>
            <w:noWrap/>
            <w:vAlign w:val="bottom"/>
            <w:hideMark/>
          </w:tcPr>
          <w:p w14:paraId="0A648498"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3.2</w:t>
            </w:r>
            <w:r>
              <w:rPr>
                <w:rFonts w:eastAsia="Times New Roman" w:cs="Arial"/>
                <w:b/>
                <w:bCs/>
                <w:color w:val="000000"/>
                <w:sz w:val="20"/>
                <w:szCs w:val="20"/>
              </w:rPr>
              <w:t>0</w:t>
            </w:r>
            <w:r w:rsidRPr="001833B1">
              <w:rPr>
                <w:rFonts w:eastAsia="Times New Roman" w:cs="Arial"/>
                <w:b/>
                <w:bCs/>
                <w:color w:val="000000"/>
                <w:sz w:val="20"/>
                <w:szCs w:val="20"/>
              </w:rPr>
              <w:t xml:space="preserve"> (1.18, 8.69)</w:t>
            </w:r>
          </w:p>
        </w:tc>
        <w:tc>
          <w:tcPr>
            <w:tcW w:w="948" w:type="dxa"/>
            <w:tcBorders>
              <w:top w:val="nil"/>
              <w:left w:val="nil"/>
              <w:bottom w:val="nil"/>
              <w:right w:val="single" w:sz="4" w:space="0" w:color="auto"/>
            </w:tcBorders>
            <w:shd w:val="clear" w:color="auto" w:fill="auto"/>
            <w:noWrap/>
            <w:vAlign w:val="bottom"/>
            <w:hideMark/>
          </w:tcPr>
          <w:p w14:paraId="4D3F68A0"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0.02</w:t>
            </w:r>
          </w:p>
        </w:tc>
        <w:tc>
          <w:tcPr>
            <w:tcW w:w="2029" w:type="dxa"/>
            <w:tcBorders>
              <w:top w:val="nil"/>
              <w:left w:val="nil"/>
              <w:bottom w:val="nil"/>
              <w:right w:val="nil"/>
            </w:tcBorders>
            <w:shd w:val="clear" w:color="auto" w:fill="auto"/>
            <w:noWrap/>
            <w:vAlign w:val="bottom"/>
            <w:hideMark/>
          </w:tcPr>
          <w:p w14:paraId="149D9ED0"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 xml:space="preserve"> -</w:t>
            </w:r>
          </w:p>
        </w:tc>
        <w:tc>
          <w:tcPr>
            <w:tcW w:w="853" w:type="dxa"/>
            <w:tcBorders>
              <w:top w:val="nil"/>
              <w:left w:val="nil"/>
              <w:bottom w:val="nil"/>
              <w:right w:val="single" w:sz="4" w:space="0" w:color="auto"/>
            </w:tcBorders>
            <w:shd w:val="clear" w:color="auto" w:fill="auto"/>
            <w:noWrap/>
            <w:vAlign w:val="bottom"/>
            <w:hideMark/>
          </w:tcPr>
          <w:p w14:paraId="7DE25F7C"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w:t>
            </w:r>
          </w:p>
        </w:tc>
      </w:tr>
      <w:tr w:rsidR="007F7BC7" w:rsidRPr="008C75D2" w14:paraId="7EC675BA"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7D032733"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5-1 days before</w:t>
            </w:r>
          </w:p>
        </w:tc>
        <w:tc>
          <w:tcPr>
            <w:tcW w:w="2127" w:type="dxa"/>
            <w:tcBorders>
              <w:top w:val="nil"/>
              <w:left w:val="nil"/>
              <w:bottom w:val="nil"/>
              <w:right w:val="nil"/>
            </w:tcBorders>
            <w:shd w:val="clear" w:color="auto" w:fill="auto"/>
            <w:noWrap/>
            <w:vAlign w:val="bottom"/>
            <w:hideMark/>
          </w:tcPr>
          <w:p w14:paraId="7D03DC50"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4.32 (1.36, 13.73)</w:t>
            </w:r>
          </w:p>
        </w:tc>
        <w:tc>
          <w:tcPr>
            <w:tcW w:w="945" w:type="dxa"/>
            <w:tcBorders>
              <w:top w:val="nil"/>
              <w:left w:val="nil"/>
              <w:bottom w:val="nil"/>
              <w:right w:val="single" w:sz="4" w:space="0" w:color="auto"/>
            </w:tcBorders>
            <w:shd w:val="clear" w:color="auto" w:fill="auto"/>
            <w:noWrap/>
            <w:vAlign w:val="bottom"/>
            <w:hideMark/>
          </w:tcPr>
          <w:p w14:paraId="1827F4F5"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0.01</w:t>
            </w:r>
          </w:p>
        </w:tc>
        <w:tc>
          <w:tcPr>
            <w:tcW w:w="2028" w:type="dxa"/>
            <w:tcBorders>
              <w:top w:val="nil"/>
              <w:left w:val="nil"/>
              <w:bottom w:val="nil"/>
              <w:right w:val="nil"/>
            </w:tcBorders>
            <w:shd w:val="clear" w:color="auto" w:fill="auto"/>
            <w:noWrap/>
            <w:vAlign w:val="bottom"/>
            <w:hideMark/>
          </w:tcPr>
          <w:p w14:paraId="4FED1346"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3.83 (1.22, 12.07)</w:t>
            </w:r>
          </w:p>
        </w:tc>
        <w:tc>
          <w:tcPr>
            <w:tcW w:w="948" w:type="dxa"/>
            <w:tcBorders>
              <w:top w:val="nil"/>
              <w:left w:val="nil"/>
              <w:bottom w:val="nil"/>
              <w:right w:val="single" w:sz="4" w:space="0" w:color="auto"/>
            </w:tcBorders>
            <w:shd w:val="clear" w:color="auto" w:fill="auto"/>
            <w:noWrap/>
            <w:vAlign w:val="bottom"/>
            <w:hideMark/>
          </w:tcPr>
          <w:p w14:paraId="55094E14"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0.02</w:t>
            </w:r>
          </w:p>
        </w:tc>
        <w:tc>
          <w:tcPr>
            <w:tcW w:w="2029" w:type="dxa"/>
            <w:tcBorders>
              <w:top w:val="nil"/>
              <w:left w:val="nil"/>
              <w:bottom w:val="nil"/>
              <w:right w:val="nil"/>
            </w:tcBorders>
            <w:shd w:val="clear" w:color="auto" w:fill="auto"/>
            <w:noWrap/>
            <w:vAlign w:val="bottom"/>
            <w:hideMark/>
          </w:tcPr>
          <w:p w14:paraId="61053373"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3.94 (1.20, 12.92)</w:t>
            </w:r>
          </w:p>
        </w:tc>
        <w:tc>
          <w:tcPr>
            <w:tcW w:w="853" w:type="dxa"/>
            <w:tcBorders>
              <w:top w:val="nil"/>
              <w:left w:val="nil"/>
              <w:bottom w:val="nil"/>
              <w:right w:val="single" w:sz="4" w:space="0" w:color="auto"/>
            </w:tcBorders>
            <w:shd w:val="clear" w:color="auto" w:fill="auto"/>
            <w:noWrap/>
            <w:vAlign w:val="bottom"/>
            <w:hideMark/>
          </w:tcPr>
          <w:p w14:paraId="1F93A8FB"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0.02</w:t>
            </w:r>
          </w:p>
        </w:tc>
      </w:tr>
      <w:tr w:rsidR="007F7BC7" w:rsidRPr="008C75D2" w14:paraId="304DE894"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1E9F6AE4"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0-7 days after</w:t>
            </w:r>
          </w:p>
        </w:tc>
        <w:tc>
          <w:tcPr>
            <w:tcW w:w="2127" w:type="dxa"/>
            <w:tcBorders>
              <w:top w:val="nil"/>
              <w:left w:val="nil"/>
              <w:bottom w:val="nil"/>
              <w:right w:val="nil"/>
            </w:tcBorders>
            <w:shd w:val="clear" w:color="auto" w:fill="auto"/>
            <w:noWrap/>
            <w:vAlign w:val="bottom"/>
            <w:hideMark/>
          </w:tcPr>
          <w:p w14:paraId="64D46C4A"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15.40 (9.29, 25.52)</w:t>
            </w:r>
          </w:p>
        </w:tc>
        <w:tc>
          <w:tcPr>
            <w:tcW w:w="945" w:type="dxa"/>
            <w:tcBorders>
              <w:top w:val="nil"/>
              <w:left w:val="nil"/>
              <w:bottom w:val="nil"/>
              <w:right w:val="single" w:sz="4" w:space="0" w:color="auto"/>
            </w:tcBorders>
            <w:shd w:val="clear" w:color="auto" w:fill="auto"/>
            <w:noWrap/>
            <w:vAlign w:val="bottom"/>
            <w:hideMark/>
          </w:tcPr>
          <w:p w14:paraId="444B4D51"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8" w:type="dxa"/>
            <w:tcBorders>
              <w:top w:val="nil"/>
              <w:left w:val="nil"/>
              <w:bottom w:val="nil"/>
              <w:right w:val="nil"/>
            </w:tcBorders>
            <w:shd w:val="clear" w:color="auto" w:fill="auto"/>
            <w:noWrap/>
            <w:vAlign w:val="bottom"/>
            <w:hideMark/>
          </w:tcPr>
          <w:p w14:paraId="17E1EEA0"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17.87 (11.26, 28.35)</w:t>
            </w:r>
          </w:p>
        </w:tc>
        <w:tc>
          <w:tcPr>
            <w:tcW w:w="948" w:type="dxa"/>
            <w:tcBorders>
              <w:top w:val="nil"/>
              <w:left w:val="nil"/>
              <w:bottom w:val="nil"/>
              <w:right w:val="single" w:sz="4" w:space="0" w:color="auto"/>
            </w:tcBorders>
            <w:shd w:val="clear" w:color="auto" w:fill="auto"/>
            <w:noWrap/>
            <w:vAlign w:val="bottom"/>
            <w:hideMark/>
          </w:tcPr>
          <w:p w14:paraId="518C2D91"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09BCEB6C"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14.51 (8.31, 25.34)</w:t>
            </w:r>
          </w:p>
        </w:tc>
        <w:tc>
          <w:tcPr>
            <w:tcW w:w="853" w:type="dxa"/>
            <w:tcBorders>
              <w:top w:val="nil"/>
              <w:left w:val="nil"/>
              <w:bottom w:val="nil"/>
              <w:right w:val="single" w:sz="4" w:space="0" w:color="auto"/>
            </w:tcBorders>
            <w:shd w:val="clear" w:color="auto" w:fill="auto"/>
            <w:noWrap/>
            <w:vAlign w:val="bottom"/>
            <w:hideMark/>
          </w:tcPr>
          <w:p w14:paraId="2FA0363F"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&lt;0.0001</w:t>
            </w:r>
          </w:p>
        </w:tc>
      </w:tr>
      <w:tr w:rsidR="007F7BC7" w:rsidRPr="008C75D2" w14:paraId="495745CE" w14:textId="77777777" w:rsidTr="00BA2317">
        <w:trPr>
          <w:trHeight w:val="283"/>
          <w:jc w:val="center"/>
        </w:trPr>
        <w:tc>
          <w:tcPr>
            <w:tcW w:w="2405" w:type="dxa"/>
            <w:tcBorders>
              <w:top w:val="nil"/>
              <w:left w:val="single" w:sz="4" w:space="0" w:color="auto"/>
              <w:bottom w:val="nil"/>
              <w:right w:val="single" w:sz="4" w:space="0" w:color="auto"/>
            </w:tcBorders>
            <w:shd w:val="clear" w:color="auto" w:fill="auto"/>
            <w:noWrap/>
            <w:vAlign w:val="bottom"/>
            <w:hideMark/>
          </w:tcPr>
          <w:p w14:paraId="37E03980"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8-28 days after</w:t>
            </w:r>
          </w:p>
        </w:tc>
        <w:tc>
          <w:tcPr>
            <w:tcW w:w="2127" w:type="dxa"/>
            <w:tcBorders>
              <w:top w:val="nil"/>
              <w:left w:val="nil"/>
              <w:bottom w:val="nil"/>
              <w:right w:val="nil"/>
            </w:tcBorders>
            <w:shd w:val="clear" w:color="auto" w:fill="auto"/>
            <w:noWrap/>
            <w:vAlign w:val="bottom"/>
            <w:hideMark/>
          </w:tcPr>
          <w:p w14:paraId="300AC522"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3.19 (1.60, 6.33)</w:t>
            </w:r>
          </w:p>
        </w:tc>
        <w:tc>
          <w:tcPr>
            <w:tcW w:w="945" w:type="dxa"/>
            <w:tcBorders>
              <w:top w:val="nil"/>
              <w:left w:val="nil"/>
              <w:bottom w:val="nil"/>
              <w:right w:val="single" w:sz="4" w:space="0" w:color="auto"/>
            </w:tcBorders>
            <w:shd w:val="clear" w:color="auto" w:fill="auto"/>
            <w:noWrap/>
            <w:vAlign w:val="bottom"/>
            <w:hideMark/>
          </w:tcPr>
          <w:p w14:paraId="283976D4"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0.0009</w:t>
            </w:r>
          </w:p>
        </w:tc>
        <w:tc>
          <w:tcPr>
            <w:tcW w:w="2028" w:type="dxa"/>
            <w:tcBorders>
              <w:top w:val="nil"/>
              <w:left w:val="nil"/>
              <w:bottom w:val="nil"/>
              <w:right w:val="nil"/>
            </w:tcBorders>
            <w:shd w:val="clear" w:color="auto" w:fill="auto"/>
            <w:noWrap/>
            <w:vAlign w:val="bottom"/>
            <w:hideMark/>
          </w:tcPr>
          <w:p w14:paraId="3F9075D0"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3.73 (1.94, 7.17)</w:t>
            </w:r>
          </w:p>
        </w:tc>
        <w:tc>
          <w:tcPr>
            <w:tcW w:w="948" w:type="dxa"/>
            <w:tcBorders>
              <w:top w:val="nil"/>
              <w:left w:val="nil"/>
              <w:bottom w:val="nil"/>
              <w:right w:val="single" w:sz="4" w:space="0" w:color="auto"/>
            </w:tcBorders>
            <w:shd w:val="clear" w:color="auto" w:fill="auto"/>
            <w:noWrap/>
            <w:vAlign w:val="bottom"/>
            <w:hideMark/>
          </w:tcPr>
          <w:p w14:paraId="24047B64" w14:textId="77777777" w:rsidR="007F7BC7" w:rsidRPr="001833B1" w:rsidRDefault="007F7BC7" w:rsidP="000F6575">
            <w:pPr>
              <w:jc w:val="center"/>
              <w:rPr>
                <w:rFonts w:eastAsia="Times New Roman" w:cs="Arial"/>
                <w:b/>
                <w:bCs/>
                <w:color w:val="000000"/>
                <w:sz w:val="20"/>
                <w:szCs w:val="20"/>
              </w:rPr>
            </w:pPr>
            <w:r w:rsidRPr="001833B1">
              <w:rPr>
                <w:rFonts w:eastAsia="Times New Roman" w:cs="Arial"/>
                <w:b/>
                <w:bCs/>
                <w:color w:val="000000"/>
                <w:sz w:val="20"/>
                <w:szCs w:val="20"/>
              </w:rPr>
              <w:t>&lt;0.0001</w:t>
            </w:r>
          </w:p>
        </w:tc>
        <w:tc>
          <w:tcPr>
            <w:tcW w:w="2029" w:type="dxa"/>
            <w:tcBorders>
              <w:top w:val="nil"/>
              <w:left w:val="nil"/>
              <w:bottom w:val="nil"/>
              <w:right w:val="nil"/>
            </w:tcBorders>
            <w:shd w:val="clear" w:color="auto" w:fill="auto"/>
            <w:noWrap/>
            <w:vAlign w:val="bottom"/>
            <w:hideMark/>
          </w:tcPr>
          <w:p w14:paraId="5AFE6219"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2.59 (1.25, 5.37)</w:t>
            </w:r>
          </w:p>
        </w:tc>
        <w:tc>
          <w:tcPr>
            <w:tcW w:w="853" w:type="dxa"/>
            <w:tcBorders>
              <w:top w:val="nil"/>
              <w:left w:val="nil"/>
              <w:bottom w:val="nil"/>
              <w:right w:val="single" w:sz="4" w:space="0" w:color="auto"/>
            </w:tcBorders>
            <w:shd w:val="clear" w:color="auto" w:fill="auto"/>
            <w:noWrap/>
            <w:vAlign w:val="bottom"/>
            <w:hideMark/>
          </w:tcPr>
          <w:p w14:paraId="6C0650D1" w14:textId="77777777" w:rsidR="007F7BC7" w:rsidRPr="00794420" w:rsidRDefault="007F7BC7" w:rsidP="000F6575">
            <w:pPr>
              <w:jc w:val="center"/>
              <w:rPr>
                <w:rFonts w:eastAsia="Times New Roman" w:cs="Arial"/>
                <w:b/>
                <w:bCs/>
                <w:color w:val="000000"/>
                <w:sz w:val="20"/>
                <w:szCs w:val="20"/>
              </w:rPr>
            </w:pPr>
            <w:r w:rsidRPr="00794420">
              <w:rPr>
                <w:rFonts w:eastAsia="Times New Roman" w:cs="Arial"/>
                <w:b/>
                <w:bCs/>
                <w:color w:val="000000"/>
                <w:sz w:val="20"/>
                <w:szCs w:val="20"/>
              </w:rPr>
              <w:t>0.01</w:t>
            </w:r>
          </w:p>
        </w:tc>
      </w:tr>
      <w:tr w:rsidR="007F7BC7" w:rsidRPr="008C75D2" w14:paraId="3DC987E4" w14:textId="77777777" w:rsidTr="00BA2317">
        <w:trPr>
          <w:trHeight w:val="283"/>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41DCE9F" w14:textId="77777777" w:rsidR="007F7BC7" w:rsidRPr="008C75D2" w:rsidRDefault="007F7BC7" w:rsidP="000F6575">
            <w:pPr>
              <w:ind w:firstLineChars="100" w:firstLine="200"/>
              <w:rPr>
                <w:rFonts w:eastAsia="Times New Roman" w:cs="Arial"/>
                <w:color w:val="000000"/>
                <w:sz w:val="20"/>
                <w:szCs w:val="20"/>
              </w:rPr>
            </w:pPr>
            <w:r w:rsidRPr="008C75D2">
              <w:rPr>
                <w:rFonts w:eastAsia="Times New Roman" w:cs="Arial"/>
                <w:color w:val="000000"/>
                <w:sz w:val="20"/>
                <w:szCs w:val="20"/>
              </w:rPr>
              <w:t>28-56 days after</w:t>
            </w:r>
          </w:p>
        </w:tc>
        <w:tc>
          <w:tcPr>
            <w:tcW w:w="2127" w:type="dxa"/>
            <w:tcBorders>
              <w:top w:val="nil"/>
              <w:left w:val="nil"/>
              <w:bottom w:val="single" w:sz="4" w:space="0" w:color="auto"/>
              <w:right w:val="nil"/>
            </w:tcBorders>
            <w:shd w:val="clear" w:color="auto" w:fill="auto"/>
            <w:noWrap/>
            <w:vAlign w:val="bottom"/>
            <w:hideMark/>
          </w:tcPr>
          <w:p w14:paraId="768C7AFB"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1.77 (0.80, 3.89)</w:t>
            </w:r>
          </w:p>
        </w:tc>
        <w:tc>
          <w:tcPr>
            <w:tcW w:w="945" w:type="dxa"/>
            <w:tcBorders>
              <w:top w:val="nil"/>
              <w:left w:val="nil"/>
              <w:bottom w:val="single" w:sz="4" w:space="0" w:color="auto"/>
              <w:right w:val="single" w:sz="4" w:space="0" w:color="auto"/>
            </w:tcBorders>
            <w:shd w:val="clear" w:color="auto" w:fill="auto"/>
            <w:noWrap/>
            <w:vAlign w:val="bottom"/>
            <w:hideMark/>
          </w:tcPr>
          <w:p w14:paraId="0656EB7E"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0.16</w:t>
            </w:r>
          </w:p>
        </w:tc>
        <w:tc>
          <w:tcPr>
            <w:tcW w:w="2028" w:type="dxa"/>
            <w:tcBorders>
              <w:top w:val="nil"/>
              <w:left w:val="nil"/>
              <w:bottom w:val="single" w:sz="4" w:space="0" w:color="auto"/>
              <w:right w:val="nil"/>
            </w:tcBorders>
            <w:shd w:val="clear" w:color="auto" w:fill="auto"/>
            <w:noWrap/>
            <w:vAlign w:val="bottom"/>
            <w:hideMark/>
          </w:tcPr>
          <w:p w14:paraId="4F950170"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2.02 (0.93, 4.39)</w:t>
            </w:r>
          </w:p>
        </w:tc>
        <w:tc>
          <w:tcPr>
            <w:tcW w:w="948" w:type="dxa"/>
            <w:tcBorders>
              <w:top w:val="nil"/>
              <w:left w:val="nil"/>
              <w:bottom w:val="single" w:sz="4" w:space="0" w:color="auto"/>
              <w:right w:val="single" w:sz="4" w:space="0" w:color="auto"/>
            </w:tcBorders>
            <w:shd w:val="clear" w:color="auto" w:fill="auto"/>
            <w:noWrap/>
            <w:vAlign w:val="bottom"/>
            <w:hideMark/>
          </w:tcPr>
          <w:p w14:paraId="2264F62A"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0.08</w:t>
            </w:r>
          </w:p>
        </w:tc>
        <w:tc>
          <w:tcPr>
            <w:tcW w:w="2029" w:type="dxa"/>
            <w:tcBorders>
              <w:top w:val="nil"/>
              <w:left w:val="nil"/>
              <w:bottom w:val="single" w:sz="4" w:space="0" w:color="auto"/>
              <w:right w:val="nil"/>
            </w:tcBorders>
            <w:shd w:val="clear" w:color="auto" w:fill="auto"/>
            <w:noWrap/>
            <w:vAlign w:val="bottom"/>
            <w:hideMark/>
          </w:tcPr>
          <w:p w14:paraId="16445FE2"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1.30 (0.56, 3.01)</w:t>
            </w:r>
          </w:p>
        </w:tc>
        <w:tc>
          <w:tcPr>
            <w:tcW w:w="853" w:type="dxa"/>
            <w:tcBorders>
              <w:top w:val="nil"/>
              <w:left w:val="nil"/>
              <w:bottom w:val="single" w:sz="4" w:space="0" w:color="auto"/>
              <w:right w:val="single" w:sz="4" w:space="0" w:color="auto"/>
            </w:tcBorders>
            <w:shd w:val="clear" w:color="auto" w:fill="auto"/>
            <w:noWrap/>
            <w:vAlign w:val="bottom"/>
            <w:hideMark/>
          </w:tcPr>
          <w:p w14:paraId="581F2489" w14:textId="77777777" w:rsidR="007F7BC7" w:rsidRPr="008C75D2" w:rsidRDefault="007F7BC7" w:rsidP="000F6575">
            <w:pPr>
              <w:jc w:val="center"/>
              <w:rPr>
                <w:rFonts w:eastAsia="Times New Roman" w:cs="Arial"/>
                <w:color w:val="000000"/>
                <w:sz w:val="20"/>
                <w:szCs w:val="20"/>
              </w:rPr>
            </w:pPr>
            <w:r w:rsidRPr="008C75D2">
              <w:rPr>
                <w:rFonts w:eastAsia="Times New Roman" w:cs="Arial"/>
                <w:color w:val="000000"/>
                <w:sz w:val="20"/>
                <w:szCs w:val="20"/>
              </w:rPr>
              <w:t>0.53</w:t>
            </w:r>
          </w:p>
        </w:tc>
      </w:tr>
    </w:tbl>
    <w:p w14:paraId="776F13C9" w14:textId="77777777" w:rsidR="007F7BC7" w:rsidRPr="008C75D2" w:rsidRDefault="007F7BC7" w:rsidP="000F6575">
      <w:r w:rsidRPr="008C75D2">
        <w:t>Patients' age quintile was adjusted</w:t>
      </w:r>
    </w:p>
    <w:p w14:paraId="7B56FDAD" w14:textId="77777777" w:rsidR="007F7BC7" w:rsidRPr="008C75D2" w:rsidRDefault="007F7BC7" w:rsidP="000F6575">
      <w:pPr>
        <w:rPr>
          <w:szCs w:val="24"/>
        </w:rPr>
      </w:pPr>
      <w:r w:rsidRPr="008C75D2">
        <w:rPr>
          <w:szCs w:val="24"/>
        </w:rPr>
        <w:t>IRR: incidence rate ratio</w:t>
      </w:r>
    </w:p>
    <w:p w14:paraId="534ED932" w14:textId="77777777" w:rsidR="007F7BC7" w:rsidRPr="008C75D2" w:rsidRDefault="007F7BC7" w:rsidP="000F6575">
      <w:r w:rsidRPr="008C75D2">
        <w:t xml:space="preserve">*These pre-test risk intervals were only used for sensitivity analyses on extended pre-test intervals </w:t>
      </w:r>
    </w:p>
    <w:p w14:paraId="12EF3D0A" w14:textId="77777777" w:rsidR="007F7BC7" w:rsidRPr="008C75D2" w:rsidRDefault="007F7BC7" w:rsidP="000F6575">
      <w:pPr>
        <w:pStyle w:val="Heading1"/>
        <w:spacing w:line="240" w:lineRule="auto"/>
      </w:pPr>
      <w:r w:rsidRPr="008C75D2">
        <w:br w:type="page"/>
      </w:r>
    </w:p>
    <w:p w14:paraId="7F05755B" w14:textId="32B66B9C" w:rsidR="007F7BC7" w:rsidRPr="008C75D2" w:rsidRDefault="007F7BC7" w:rsidP="000F6575">
      <w:pPr>
        <w:pStyle w:val="Heading1"/>
        <w:spacing w:line="240" w:lineRule="auto"/>
      </w:pPr>
      <w:bookmarkStart w:id="2" w:name="_Toc62491926"/>
      <w:r w:rsidRPr="00755D12">
        <w:rPr>
          <w:b/>
          <w:bCs/>
        </w:rPr>
        <w:lastRenderedPageBreak/>
        <w:t>Supplementary Table 2</w:t>
      </w:r>
      <w:r w:rsidRPr="00635F38">
        <w:t>. Sensitivity analyses for the associations between Covid-19 and non-fatal outcomes by age subgroups</w:t>
      </w:r>
      <w:bookmarkEnd w:id="2"/>
    </w:p>
    <w:tbl>
      <w:tblPr>
        <w:tblW w:w="8878" w:type="dxa"/>
        <w:jc w:val="center"/>
        <w:tblLook w:val="04A0" w:firstRow="1" w:lastRow="0" w:firstColumn="1" w:lastColumn="0" w:noHBand="0" w:noVBand="1"/>
      </w:tblPr>
      <w:tblGrid>
        <w:gridCol w:w="2547"/>
        <w:gridCol w:w="2171"/>
        <w:gridCol w:w="2080"/>
        <w:gridCol w:w="2080"/>
      </w:tblGrid>
      <w:tr w:rsidR="007F7BC7" w:rsidRPr="008C75D2" w14:paraId="6DEEEE57" w14:textId="77777777" w:rsidTr="00BA2317">
        <w:trPr>
          <w:trHeight w:val="292"/>
          <w:jc w:val="center"/>
        </w:trPr>
        <w:tc>
          <w:tcPr>
            <w:tcW w:w="2547" w:type="dxa"/>
            <w:tcBorders>
              <w:top w:val="single" w:sz="4" w:space="0" w:color="auto"/>
              <w:left w:val="single" w:sz="4" w:space="0" w:color="auto"/>
              <w:bottom w:val="nil"/>
              <w:right w:val="single" w:sz="4" w:space="0" w:color="auto"/>
            </w:tcBorders>
            <w:shd w:val="clear" w:color="auto" w:fill="auto"/>
            <w:noWrap/>
            <w:vAlign w:val="bottom"/>
            <w:hideMark/>
          </w:tcPr>
          <w:p w14:paraId="0F742444" w14:textId="77777777" w:rsidR="007F7BC7" w:rsidRPr="008C75D2" w:rsidRDefault="007F7BC7" w:rsidP="000F6575">
            <w:pPr>
              <w:rPr>
                <w:rFonts w:eastAsia="Times New Roman" w:cs="Arial"/>
                <w:b/>
                <w:bCs/>
                <w:color w:val="000000"/>
                <w:sz w:val="22"/>
              </w:rPr>
            </w:pPr>
            <w:r w:rsidRPr="008C75D2">
              <w:rPr>
                <w:rFonts w:eastAsia="Times New Roman" w:cs="Arial"/>
                <w:b/>
                <w:bCs/>
                <w:color w:val="000000"/>
                <w:sz w:val="22"/>
              </w:rPr>
              <w:t> </w:t>
            </w:r>
          </w:p>
        </w:tc>
        <w:tc>
          <w:tcPr>
            <w:tcW w:w="2171" w:type="dxa"/>
            <w:tcBorders>
              <w:top w:val="single" w:sz="4" w:space="0" w:color="auto"/>
              <w:left w:val="nil"/>
              <w:bottom w:val="nil"/>
              <w:right w:val="nil"/>
            </w:tcBorders>
            <w:shd w:val="clear" w:color="auto" w:fill="auto"/>
            <w:noWrap/>
            <w:vAlign w:val="bottom"/>
            <w:hideMark/>
          </w:tcPr>
          <w:p w14:paraId="759FF015" w14:textId="77777777" w:rsidR="007F7BC7" w:rsidRPr="008C75D2" w:rsidRDefault="007F7BC7" w:rsidP="000F6575">
            <w:pPr>
              <w:jc w:val="center"/>
              <w:rPr>
                <w:rFonts w:eastAsia="Times New Roman" w:cs="Arial"/>
                <w:b/>
                <w:bCs/>
                <w:color w:val="000000"/>
                <w:sz w:val="22"/>
              </w:rPr>
            </w:pPr>
            <w:r w:rsidRPr="008C75D2">
              <w:rPr>
                <w:rFonts w:ascii="Calibri" w:eastAsia="Times New Roman" w:hAnsi="Calibri" w:cs="Calibri"/>
                <w:b/>
                <w:bCs/>
                <w:color w:val="000000"/>
                <w:sz w:val="22"/>
              </w:rPr>
              <w:t>≤</w:t>
            </w:r>
            <w:r w:rsidRPr="008C75D2">
              <w:rPr>
                <w:rFonts w:eastAsia="Times New Roman" w:cs="Arial"/>
                <w:b/>
                <w:bCs/>
                <w:color w:val="000000"/>
                <w:sz w:val="22"/>
              </w:rPr>
              <w:t>65 years</w:t>
            </w:r>
          </w:p>
        </w:tc>
        <w:tc>
          <w:tcPr>
            <w:tcW w:w="2080" w:type="dxa"/>
            <w:tcBorders>
              <w:top w:val="single" w:sz="4" w:space="0" w:color="auto"/>
              <w:left w:val="nil"/>
              <w:bottom w:val="nil"/>
              <w:right w:val="nil"/>
            </w:tcBorders>
            <w:shd w:val="clear" w:color="auto" w:fill="auto"/>
            <w:vAlign w:val="bottom"/>
            <w:hideMark/>
          </w:tcPr>
          <w:p w14:paraId="13CA5C5A"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66-80 years</w:t>
            </w:r>
          </w:p>
        </w:tc>
        <w:tc>
          <w:tcPr>
            <w:tcW w:w="2080" w:type="dxa"/>
            <w:tcBorders>
              <w:top w:val="single" w:sz="4" w:space="0" w:color="auto"/>
              <w:left w:val="nil"/>
              <w:bottom w:val="nil"/>
              <w:right w:val="single" w:sz="4" w:space="0" w:color="auto"/>
            </w:tcBorders>
            <w:shd w:val="clear" w:color="auto" w:fill="auto"/>
            <w:vAlign w:val="bottom"/>
            <w:hideMark/>
          </w:tcPr>
          <w:p w14:paraId="5545B2F3"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&gt;80 years</w:t>
            </w:r>
          </w:p>
        </w:tc>
      </w:tr>
      <w:tr w:rsidR="007F7BC7" w:rsidRPr="008C75D2" w14:paraId="70C1FFFF" w14:textId="77777777" w:rsidTr="00BA2317">
        <w:trPr>
          <w:trHeight w:val="28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23A6630" w14:textId="77777777" w:rsidR="007F7BC7" w:rsidRPr="008C75D2" w:rsidRDefault="007F7BC7" w:rsidP="000F6575">
            <w:pPr>
              <w:rPr>
                <w:rFonts w:eastAsia="Times New Roman" w:cs="Arial"/>
                <w:b/>
                <w:bCs/>
                <w:color w:val="000000"/>
                <w:sz w:val="22"/>
              </w:rPr>
            </w:pPr>
            <w:r w:rsidRPr="008C75D2">
              <w:rPr>
                <w:rFonts w:eastAsia="Times New Roman" w:cs="Arial"/>
                <w:b/>
                <w:bCs/>
                <w:color w:val="000000"/>
                <w:sz w:val="22"/>
              </w:rPr>
              <w:t> </w:t>
            </w:r>
          </w:p>
        </w:tc>
        <w:tc>
          <w:tcPr>
            <w:tcW w:w="2171" w:type="dxa"/>
            <w:tcBorders>
              <w:top w:val="nil"/>
              <w:left w:val="nil"/>
              <w:bottom w:val="single" w:sz="4" w:space="0" w:color="auto"/>
              <w:right w:val="nil"/>
            </w:tcBorders>
            <w:shd w:val="clear" w:color="auto" w:fill="auto"/>
            <w:noWrap/>
            <w:vAlign w:val="bottom"/>
            <w:hideMark/>
          </w:tcPr>
          <w:p w14:paraId="156EE62E"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IRR (95% CI)</w:t>
            </w:r>
          </w:p>
        </w:tc>
        <w:tc>
          <w:tcPr>
            <w:tcW w:w="2080" w:type="dxa"/>
            <w:tcBorders>
              <w:top w:val="nil"/>
              <w:left w:val="nil"/>
              <w:bottom w:val="single" w:sz="4" w:space="0" w:color="auto"/>
              <w:right w:val="nil"/>
            </w:tcBorders>
            <w:shd w:val="clear" w:color="auto" w:fill="auto"/>
            <w:noWrap/>
            <w:vAlign w:val="bottom"/>
            <w:hideMark/>
          </w:tcPr>
          <w:p w14:paraId="5A8122AB"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IRR (95% CI)</w:t>
            </w:r>
          </w:p>
        </w:tc>
        <w:tc>
          <w:tcPr>
            <w:tcW w:w="2080" w:type="dxa"/>
            <w:tcBorders>
              <w:top w:val="nil"/>
              <w:left w:val="nil"/>
              <w:bottom w:val="single" w:sz="4" w:space="0" w:color="auto"/>
              <w:right w:val="single" w:sz="4" w:space="0" w:color="auto"/>
            </w:tcBorders>
            <w:shd w:val="clear" w:color="auto" w:fill="auto"/>
            <w:noWrap/>
            <w:vAlign w:val="bottom"/>
            <w:hideMark/>
          </w:tcPr>
          <w:p w14:paraId="271BCE31"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IRR (95% CI)</w:t>
            </w:r>
          </w:p>
        </w:tc>
      </w:tr>
      <w:tr w:rsidR="007F7BC7" w:rsidRPr="008C75D2" w14:paraId="3B52CF60"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5D86BD71" w14:textId="77777777" w:rsidR="007F7BC7" w:rsidRPr="008C75D2" w:rsidRDefault="007F7BC7" w:rsidP="000F6575">
            <w:pPr>
              <w:rPr>
                <w:rFonts w:eastAsia="Times New Roman" w:cs="Arial"/>
                <w:b/>
                <w:bCs/>
                <w:color w:val="000000"/>
                <w:sz w:val="22"/>
              </w:rPr>
            </w:pPr>
            <w:r w:rsidRPr="008C75D2">
              <w:rPr>
                <w:rFonts w:eastAsia="Times New Roman" w:cs="Arial"/>
                <w:b/>
                <w:bCs/>
                <w:color w:val="000000"/>
                <w:sz w:val="22"/>
              </w:rPr>
              <w:t>Composite</w:t>
            </w:r>
          </w:p>
        </w:tc>
        <w:tc>
          <w:tcPr>
            <w:tcW w:w="2171" w:type="dxa"/>
            <w:tcBorders>
              <w:top w:val="nil"/>
              <w:left w:val="single" w:sz="4" w:space="0" w:color="auto"/>
              <w:bottom w:val="nil"/>
              <w:right w:val="nil"/>
            </w:tcBorders>
            <w:shd w:val="clear" w:color="auto" w:fill="auto"/>
            <w:noWrap/>
            <w:vAlign w:val="bottom"/>
            <w:hideMark/>
          </w:tcPr>
          <w:p w14:paraId="151E6FCB"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c>
          <w:tcPr>
            <w:tcW w:w="2080" w:type="dxa"/>
            <w:tcBorders>
              <w:top w:val="nil"/>
              <w:left w:val="nil"/>
              <w:bottom w:val="nil"/>
              <w:right w:val="nil"/>
            </w:tcBorders>
            <w:shd w:val="clear" w:color="auto" w:fill="auto"/>
            <w:noWrap/>
            <w:vAlign w:val="bottom"/>
            <w:hideMark/>
          </w:tcPr>
          <w:p w14:paraId="4BB38D1F"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c>
          <w:tcPr>
            <w:tcW w:w="2080" w:type="dxa"/>
            <w:tcBorders>
              <w:top w:val="nil"/>
              <w:left w:val="nil"/>
              <w:bottom w:val="nil"/>
              <w:right w:val="single" w:sz="4" w:space="0" w:color="auto"/>
            </w:tcBorders>
            <w:shd w:val="clear" w:color="auto" w:fill="auto"/>
            <w:noWrap/>
            <w:vAlign w:val="bottom"/>
            <w:hideMark/>
          </w:tcPr>
          <w:p w14:paraId="4239B7F3"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r>
      <w:tr w:rsidR="007F7BC7" w:rsidRPr="008C75D2" w14:paraId="4CF07642"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72EA7781"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5-1 days before</w:t>
            </w:r>
          </w:p>
        </w:tc>
        <w:tc>
          <w:tcPr>
            <w:tcW w:w="2171" w:type="dxa"/>
            <w:tcBorders>
              <w:top w:val="nil"/>
              <w:left w:val="single" w:sz="4" w:space="0" w:color="auto"/>
              <w:bottom w:val="nil"/>
              <w:right w:val="nil"/>
            </w:tcBorders>
            <w:shd w:val="clear" w:color="auto" w:fill="auto"/>
            <w:noWrap/>
            <w:vAlign w:val="bottom"/>
            <w:hideMark/>
          </w:tcPr>
          <w:p w14:paraId="27F783B4"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6.38 (2.99-13.62)</w:t>
            </w:r>
          </w:p>
        </w:tc>
        <w:tc>
          <w:tcPr>
            <w:tcW w:w="2080" w:type="dxa"/>
            <w:tcBorders>
              <w:top w:val="nil"/>
              <w:left w:val="nil"/>
              <w:bottom w:val="nil"/>
              <w:right w:val="nil"/>
            </w:tcBorders>
            <w:shd w:val="clear" w:color="auto" w:fill="auto"/>
            <w:noWrap/>
            <w:vAlign w:val="bottom"/>
            <w:hideMark/>
          </w:tcPr>
          <w:p w14:paraId="5D846356"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4.20 (2.28-7.71)</w:t>
            </w:r>
          </w:p>
        </w:tc>
        <w:tc>
          <w:tcPr>
            <w:tcW w:w="2080" w:type="dxa"/>
            <w:tcBorders>
              <w:top w:val="nil"/>
              <w:left w:val="nil"/>
              <w:bottom w:val="nil"/>
              <w:right w:val="single" w:sz="4" w:space="0" w:color="auto"/>
            </w:tcBorders>
            <w:shd w:val="clear" w:color="auto" w:fill="auto"/>
            <w:noWrap/>
            <w:vAlign w:val="bottom"/>
            <w:hideMark/>
          </w:tcPr>
          <w:p w14:paraId="3AE3B701"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2.16 (1.02-4.57)</w:t>
            </w:r>
          </w:p>
        </w:tc>
      </w:tr>
      <w:tr w:rsidR="007F7BC7" w:rsidRPr="008C75D2" w14:paraId="7972F451"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3FF59419"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0-7 days after</w:t>
            </w:r>
          </w:p>
        </w:tc>
        <w:tc>
          <w:tcPr>
            <w:tcW w:w="2171" w:type="dxa"/>
            <w:tcBorders>
              <w:top w:val="nil"/>
              <w:left w:val="single" w:sz="4" w:space="0" w:color="auto"/>
              <w:bottom w:val="nil"/>
              <w:right w:val="nil"/>
            </w:tcBorders>
            <w:shd w:val="clear" w:color="auto" w:fill="auto"/>
            <w:noWrap/>
            <w:vAlign w:val="bottom"/>
            <w:hideMark/>
          </w:tcPr>
          <w:p w14:paraId="4B3F5FEB"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24.13 (17.53-33.21)</w:t>
            </w:r>
          </w:p>
        </w:tc>
        <w:tc>
          <w:tcPr>
            <w:tcW w:w="2080" w:type="dxa"/>
            <w:tcBorders>
              <w:top w:val="nil"/>
              <w:left w:val="nil"/>
              <w:bottom w:val="nil"/>
              <w:right w:val="nil"/>
            </w:tcBorders>
            <w:shd w:val="clear" w:color="auto" w:fill="auto"/>
            <w:noWrap/>
            <w:vAlign w:val="bottom"/>
            <w:hideMark/>
          </w:tcPr>
          <w:p w14:paraId="594F963B"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8.15 (5.82-11.40)</w:t>
            </w:r>
          </w:p>
        </w:tc>
        <w:tc>
          <w:tcPr>
            <w:tcW w:w="2080" w:type="dxa"/>
            <w:tcBorders>
              <w:top w:val="nil"/>
              <w:left w:val="nil"/>
              <w:bottom w:val="nil"/>
              <w:right w:val="single" w:sz="4" w:space="0" w:color="auto"/>
            </w:tcBorders>
            <w:shd w:val="clear" w:color="auto" w:fill="auto"/>
            <w:noWrap/>
            <w:vAlign w:val="bottom"/>
            <w:hideMark/>
          </w:tcPr>
          <w:p w14:paraId="5D4349CC"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4.39 (2.97-6.50)</w:t>
            </w:r>
          </w:p>
        </w:tc>
      </w:tr>
      <w:tr w:rsidR="007F7BC7" w:rsidRPr="008C75D2" w14:paraId="6B2D4CB3"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4A13C621"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8-28 days after</w:t>
            </w:r>
          </w:p>
        </w:tc>
        <w:tc>
          <w:tcPr>
            <w:tcW w:w="2171" w:type="dxa"/>
            <w:tcBorders>
              <w:top w:val="nil"/>
              <w:left w:val="single" w:sz="4" w:space="0" w:color="auto"/>
              <w:bottom w:val="nil"/>
              <w:right w:val="nil"/>
            </w:tcBorders>
            <w:shd w:val="clear" w:color="auto" w:fill="auto"/>
            <w:noWrap/>
            <w:vAlign w:val="bottom"/>
            <w:hideMark/>
          </w:tcPr>
          <w:p w14:paraId="73A4BFD2"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7.22 (4.98-10.45)</w:t>
            </w:r>
          </w:p>
        </w:tc>
        <w:tc>
          <w:tcPr>
            <w:tcW w:w="2080" w:type="dxa"/>
            <w:tcBorders>
              <w:top w:val="nil"/>
              <w:left w:val="nil"/>
              <w:bottom w:val="nil"/>
              <w:right w:val="nil"/>
            </w:tcBorders>
            <w:shd w:val="clear" w:color="auto" w:fill="auto"/>
            <w:noWrap/>
            <w:vAlign w:val="bottom"/>
            <w:hideMark/>
          </w:tcPr>
          <w:p w14:paraId="125FC158"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0.93 (0.49-1.76)</w:t>
            </w:r>
          </w:p>
        </w:tc>
        <w:tc>
          <w:tcPr>
            <w:tcW w:w="2080" w:type="dxa"/>
            <w:tcBorders>
              <w:top w:val="nil"/>
              <w:left w:val="nil"/>
              <w:bottom w:val="nil"/>
              <w:right w:val="single" w:sz="4" w:space="0" w:color="auto"/>
            </w:tcBorders>
            <w:shd w:val="clear" w:color="auto" w:fill="auto"/>
            <w:noWrap/>
            <w:vAlign w:val="bottom"/>
            <w:hideMark/>
          </w:tcPr>
          <w:p w14:paraId="7E890FBA"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1.10 (0.65-1.85)</w:t>
            </w:r>
          </w:p>
        </w:tc>
      </w:tr>
      <w:tr w:rsidR="007F7BC7" w:rsidRPr="008C75D2" w14:paraId="0FE1D1D5"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43E4723A"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28-56 days after</w:t>
            </w:r>
          </w:p>
        </w:tc>
        <w:tc>
          <w:tcPr>
            <w:tcW w:w="2171" w:type="dxa"/>
            <w:tcBorders>
              <w:top w:val="nil"/>
              <w:left w:val="single" w:sz="4" w:space="0" w:color="auto"/>
              <w:bottom w:val="nil"/>
              <w:right w:val="nil"/>
            </w:tcBorders>
            <w:shd w:val="clear" w:color="auto" w:fill="auto"/>
            <w:noWrap/>
            <w:vAlign w:val="bottom"/>
            <w:hideMark/>
          </w:tcPr>
          <w:p w14:paraId="2DFEF702"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4.45 (2.97-6.66)</w:t>
            </w:r>
          </w:p>
        </w:tc>
        <w:tc>
          <w:tcPr>
            <w:tcW w:w="2080" w:type="dxa"/>
            <w:tcBorders>
              <w:top w:val="nil"/>
              <w:left w:val="nil"/>
              <w:bottom w:val="nil"/>
              <w:right w:val="nil"/>
            </w:tcBorders>
            <w:shd w:val="clear" w:color="auto" w:fill="auto"/>
            <w:noWrap/>
            <w:vAlign w:val="bottom"/>
            <w:hideMark/>
          </w:tcPr>
          <w:p w14:paraId="2956DCB2"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1.33 (0.81-2.20)</w:t>
            </w:r>
          </w:p>
        </w:tc>
        <w:tc>
          <w:tcPr>
            <w:tcW w:w="2080" w:type="dxa"/>
            <w:tcBorders>
              <w:top w:val="nil"/>
              <w:left w:val="nil"/>
              <w:bottom w:val="nil"/>
              <w:right w:val="single" w:sz="4" w:space="0" w:color="auto"/>
            </w:tcBorders>
            <w:shd w:val="clear" w:color="auto" w:fill="auto"/>
            <w:noWrap/>
            <w:vAlign w:val="bottom"/>
            <w:hideMark/>
          </w:tcPr>
          <w:p w14:paraId="045D71C2"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0.85 (0.49-1.46)</w:t>
            </w:r>
          </w:p>
        </w:tc>
      </w:tr>
      <w:tr w:rsidR="007F7BC7" w:rsidRPr="008C75D2" w14:paraId="0031854E"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653B8E40" w14:textId="77777777" w:rsidR="007F7BC7" w:rsidRPr="008C75D2" w:rsidRDefault="007F7BC7" w:rsidP="000F6575">
            <w:pPr>
              <w:rPr>
                <w:rFonts w:eastAsia="Times New Roman" w:cs="Arial"/>
                <w:b/>
                <w:bCs/>
                <w:color w:val="000000"/>
                <w:sz w:val="22"/>
              </w:rPr>
            </w:pPr>
            <w:r w:rsidRPr="008C75D2">
              <w:rPr>
                <w:rFonts w:eastAsia="Times New Roman" w:cs="Arial"/>
                <w:b/>
                <w:bCs/>
                <w:color w:val="000000"/>
                <w:sz w:val="22"/>
              </w:rPr>
              <w:t>Myocardial infarction</w:t>
            </w:r>
          </w:p>
        </w:tc>
        <w:tc>
          <w:tcPr>
            <w:tcW w:w="2171" w:type="dxa"/>
            <w:tcBorders>
              <w:top w:val="nil"/>
              <w:left w:val="single" w:sz="4" w:space="0" w:color="auto"/>
              <w:bottom w:val="nil"/>
              <w:right w:val="nil"/>
            </w:tcBorders>
            <w:shd w:val="clear" w:color="auto" w:fill="auto"/>
            <w:noWrap/>
            <w:vAlign w:val="bottom"/>
            <w:hideMark/>
          </w:tcPr>
          <w:p w14:paraId="38CD1E18"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c>
          <w:tcPr>
            <w:tcW w:w="2080" w:type="dxa"/>
            <w:tcBorders>
              <w:top w:val="nil"/>
              <w:left w:val="nil"/>
              <w:bottom w:val="nil"/>
              <w:right w:val="nil"/>
            </w:tcBorders>
            <w:shd w:val="clear" w:color="auto" w:fill="auto"/>
            <w:noWrap/>
            <w:vAlign w:val="bottom"/>
            <w:hideMark/>
          </w:tcPr>
          <w:p w14:paraId="30084753" w14:textId="77777777" w:rsidR="007F7BC7" w:rsidRPr="008C75D2" w:rsidRDefault="007F7BC7" w:rsidP="000F6575">
            <w:pPr>
              <w:jc w:val="center"/>
              <w:rPr>
                <w:rFonts w:eastAsia="Times New Roman" w:cs="Arial"/>
                <w:b/>
                <w:bCs/>
                <w:color w:val="000000"/>
                <w:sz w:val="22"/>
              </w:rPr>
            </w:pPr>
          </w:p>
        </w:tc>
        <w:tc>
          <w:tcPr>
            <w:tcW w:w="2080" w:type="dxa"/>
            <w:tcBorders>
              <w:top w:val="nil"/>
              <w:left w:val="nil"/>
              <w:bottom w:val="nil"/>
              <w:right w:val="single" w:sz="4" w:space="0" w:color="auto"/>
            </w:tcBorders>
            <w:shd w:val="clear" w:color="auto" w:fill="auto"/>
            <w:noWrap/>
            <w:vAlign w:val="bottom"/>
            <w:hideMark/>
          </w:tcPr>
          <w:p w14:paraId="48A5155E"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r>
      <w:tr w:rsidR="007F7BC7" w:rsidRPr="008C75D2" w14:paraId="43697F62"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06D39FC3"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5-1 days before</w:t>
            </w:r>
          </w:p>
        </w:tc>
        <w:tc>
          <w:tcPr>
            <w:tcW w:w="2171" w:type="dxa"/>
            <w:tcBorders>
              <w:top w:val="nil"/>
              <w:left w:val="single" w:sz="4" w:space="0" w:color="auto"/>
              <w:bottom w:val="nil"/>
              <w:right w:val="nil"/>
            </w:tcBorders>
            <w:shd w:val="clear" w:color="auto" w:fill="auto"/>
            <w:noWrap/>
            <w:vAlign w:val="bottom"/>
            <w:hideMark/>
          </w:tcPr>
          <w:p w14:paraId="7FA4A593"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11.99 (4.30-33.48)</w:t>
            </w:r>
          </w:p>
        </w:tc>
        <w:tc>
          <w:tcPr>
            <w:tcW w:w="2080" w:type="dxa"/>
            <w:tcBorders>
              <w:top w:val="nil"/>
              <w:left w:val="nil"/>
              <w:bottom w:val="nil"/>
              <w:right w:val="nil"/>
            </w:tcBorders>
            <w:shd w:val="clear" w:color="auto" w:fill="auto"/>
            <w:noWrap/>
            <w:vAlign w:val="bottom"/>
            <w:hideMark/>
          </w:tcPr>
          <w:p w14:paraId="6A70E749"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4.29 (1.34-13.74)</w:t>
            </w:r>
          </w:p>
        </w:tc>
        <w:tc>
          <w:tcPr>
            <w:tcW w:w="2080" w:type="dxa"/>
            <w:tcBorders>
              <w:top w:val="nil"/>
              <w:left w:val="nil"/>
              <w:bottom w:val="nil"/>
              <w:right w:val="single" w:sz="4" w:space="0" w:color="auto"/>
            </w:tcBorders>
            <w:shd w:val="clear" w:color="auto" w:fill="auto"/>
            <w:noWrap/>
            <w:vAlign w:val="bottom"/>
            <w:hideMark/>
          </w:tcPr>
          <w:p w14:paraId="0865C5FF"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1.12 (0.16-8.11)</w:t>
            </w:r>
          </w:p>
        </w:tc>
      </w:tr>
      <w:tr w:rsidR="007F7BC7" w:rsidRPr="008C75D2" w14:paraId="65E72084"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4148B1D6"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0-7 days after</w:t>
            </w:r>
          </w:p>
        </w:tc>
        <w:tc>
          <w:tcPr>
            <w:tcW w:w="2171" w:type="dxa"/>
            <w:tcBorders>
              <w:top w:val="nil"/>
              <w:left w:val="single" w:sz="4" w:space="0" w:color="auto"/>
              <w:bottom w:val="nil"/>
              <w:right w:val="nil"/>
            </w:tcBorders>
            <w:shd w:val="clear" w:color="auto" w:fill="auto"/>
            <w:noWrap/>
            <w:vAlign w:val="bottom"/>
            <w:hideMark/>
          </w:tcPr>
          <w:p w14:paraId="1CDB336A"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9.76 (4.15-22.99)</w:t>
            </w:r>
          </w:p>
        </w:tc>
        <w:tc>
          <w:tcPr>
            <w:tcW w:w="2080" w:type="dxa"/>
            <w:tcBorders>
              <w:top w:val="nil"/>
              <w:left w:val="nil"/>
              <w:bottom w:val="nil"/>
              <w:right w:val="nil"/>
            </w:tcBorders>
            <w:shd w:val="clear" w:color="auto" w:fill="auto"/>
            <w:noWrap/>
            <w:vAlign w:val="bottom"/>
            <w:hideMark/>
          </w:tcPr>
          <w:p w14:paraId="205026BA"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4.21 (1.79-9.94)</w:t>
            </w:r>
          </w:p>
        </w:tc>
        <w:tc>
          <w:tcPr>
            <w:tcW w:w="2080" w:type="dxa"/>
            <w:tcBorders>
              <w:top w:val="nil"/>
              <w:left w:val="nil"/>
              <w:bottom w:val="nil"/>
              <w:right w:val="single" w:sz="4" w:space="0" w:color="auto"/>
            </w:tcBorders>
            <w:shd w:val="clear" w:color="auto" w:fill="auto"/>
            <w:noWrap/>
            <w:vAlign w:val="bottom"/>
            <w:hideMark/>
          </w:tcPr>
          <w:p w14:paraId="3DEA7068"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1.75 (0.54-5.60)</w:t>
            </w:r>
          </w:p>
        </w:tc>
      </w:tr>
      <w:tr w:rsidR="007F7BC7" w:rsidRPr="008C75D2" w14:paraId="1FB08BF9"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6ED766E1"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8-28 days after</w:t>
            </w:r>
          </w:p>
        </w:tc>
        <w:tc>
          <w:tcPr>
            <w:tcW w:w="2171" w:type="dxa"/>
            <w:tcBorders>
              <w:top w:val="nil"/>
              <w:left w:val="single" w:sz="4" w:space="0" w:color="auto"/>
              <w:bottom w:val="nil"/>
              <w:right w:val="nil"/>
            </w:tcBorders>
            <w:shd w:val="clear" w:color="auto" w:fill="auto"/>
            <w:noWrap/>
            <w:vAlign w:val="bottom"/>
            <w:hideMark/>
          </w:tcPr>
          <w:p w14:paraId="5892BA67"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3.65 (1.44-9.28)</w:t>
            </w:r>
          </w:p>
        </w:tc>
        <w:tc>
          <w:tcPr>
            <w:tcW w:w="2080" w:type="dxa"/>
            <w:tcBorders>
              <w:top w:val="nil"/>
              <w:left w:val="nil"/>
              <w:bottom w:val="nil"/>
              <w:right w:val="nil"/>
            </w:tcBorders>
            <w:shd w:val="clear" w:color="auto" w:fill="auto"/>
            <w:noWrap/>
            <w:vAlign w:val="bottom"/>
            <w:hideMark/>
          </w:tcPr>
          <w:p w14:paraId="1005D438"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0.38 (0.05-2.79)</w:t>
            </w:r>
          </w:p>
        </w:tc>
        <w:tc>
          <w:tcPr>
            <w:tcW w:w="2080" w:type="dxa"/>
            <w:tcBorders>
              <w:top w:val="nil"/>
              <w:left w:val="nil"/>
              <w:bottom w:val="nil"/>
              <w:right w:val="single" w:sz="4" w:space="0" w:color="auto"/>
            </w:tcBorders>
            <w:shd w:val="clear" w:color="auto" w:fill="auto"/>
            <w:noWrap/>
            <w:vAlign w:val="bottom"/>
            <w:hideMark/>
          </w:tcPr>
          <w:p w14:paraId="4AAB10CE"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0.87 (0.27-2.77)</w:t>
            </w:r>
          </w:p>
        </w:tc>
      </w:tr>
      <w:tr w:rsidR="007F7BC7" w:rsidRPr="008C75D2" w14:paraId="1C53090D"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52F6A0D4"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28-56 days after</w:t>
            </w:r>
          </w:p>
        </w:tc>
        <w:tc>
          <w:tcPr>
            <w:tcW w:w="2171" w:type="dxa"/>
            <w:tcBorders>
              <w:top w:val="nil"/>
              <w:left w:val="single" w:sz="4" w:space="0" w:color="auto"/>
              <w:bottom w:val="nil"/>
              <w:right w:val="nil"/>
            </w:tcBorders>
            <w:shd w:val="clear" w:color="auto" w:fill="auto"/>
            <w:noWrap/>
            <w:vAlign w:val="bottom"/>
            <w:hideMark/>
          </w:tcPr>
          <w:p w14:paraId="5A84C8E5"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1.20 (0.29-4.98)</w:t>
            </w:r>
          </w:p>
        </w:tc>
        <w:tc>
          <w:tcPr>
            <w:tcW w:w="2080" w:type="dxa"/>
            <w:tcBorders>
              <w:top w:val="nil"/>
              <w:left w:val="nil"/>
              <w:bottom w:val="nil"/>
              <w:right w:val="nil"/>
            </w:tcBorders>
            <w:shd w:val="clear" w:color="auto" w:fill="auto"/>
            <w:noWrap/>
            <w:vAlign w:val="bottom"/>
            <w:hideMark/>
          </w:tcPr>
          <w:p w14:paraId="331BD7E7"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0.65 (0.16-2.67)</w:t>
            </w:r>
          </w:p>
        </w:tc>
        <w:tc>
          <w:tcPr>
            <w:tcW w:w="2080" w:type="dxa"/>
            <w:tcBorders>
              <w:top w:val="nil"/>
              <w:left w:val="nil"/>
              <w:bottom w:val="nil"/>
              <w:right w:val="single" w:sz="4" w:space="0" w:color="auto"/>
            </w:tcBorders>
            <w:shd w:val="clear" w:color="auto" w:fill="auto"/>
            <w:noWrap/>
            <w:vAlign w:val="bottom"/>
            <w:hideMark/>
          </w:tcPr>
          <w:p w14:paraId="4E36832C"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0.96 (0.34-2.67)</w:t>
            </w:r>
          </w:p>
        </w:tc>
      </w:tr>
      <w:tr w:rsidR="007F7BC7" w:rsidRPr="008C75D2" w14:paraId="7C52DD36"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388EF7F0" w14:textId="77777777" w:rsidR="007F7BC7" w:rsidRPr="008C75D2" w:rsidRDefault="007F7BC7" w:rsidP="000F6575">
            <w:pPr>
              <w:rPr>
                <w:rFonts w:eastAsia="Times New Roman" w:cs="Arial"/>
                <w:b/>
                <w:bCs/>
                <w:color w:val="000000"/>
                <w:sz w:val="22"/>
              </w:rPr>
            </w:pPr>
            <w:r w:rsidRPr="008C75D2">
              <w:rPr>
                <w:rFonts w:eastAsia="Times New Roman" w:cs="Arial"/>
                <w:b/>
                <w:bCs/>
                <w:color w:val="000000"/>
                <w:sz w:val="22"/>
              </w:rPr>
              <w:t>Ischaemic stroke</w:t>
            </w:r>
          </w:p>
        </w:tc>
        <w:tc>
          <w:tcPr>
            <w:tcW w:w="2171" w:type="dxa"/>
            <w:tcBorders>
              <w:top w:val="nil"/>
              <w:left w:val="single" w:sz="4" w:space="0" w:color="auto"/>
              <w:bottom w:val="nil"/>
              <w:right w:val="nil"/>
            </w:tcBorders>
            <w:shd w:val="clear" w:color="auto" w:fill="auto"/>
            <w:noWrap/>
            <w:vAlign w:val="bottom"/>
            <w:hideMark/>
          </w:tcPr>
          <w:p w14:paraId="5FCA7F36"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c>
          <w:tcPr>
            <w:tcW w:w="2080" w:type="dxa"/>
            <w:tcBorders>
              <w:top w:val="nil"/>
              <w:left w:val="nil"/>
              <w:bottom w:val="nil"/>
              <w:right w:val="nil"/>
            </w:tcBorders>
            <w:shd w:val="clear" w:color="auto" w:fill="auto"/>
            <w:noWrap/>
            <w:vAlign w:val="bottom"/>
            <w:hideMark/>
          </w:tcPr>
          <w:p w14:paraId="767F3054" w14:textId="77777777" w:rsidR="007F7BC7" w:rsidRPr="008C75D2" w:rsidRDefault="007F7BC7" w:rsidP="000F6575">
            <w:pPr>
              <w:jc w:val="center"/>
              <w:rPr>
                <w:rFonts w:eastAsia="Times New Roman" w:cs="Arial"/>
                <w:b/>
                <w:bCs/>
                <w:color w:val="000000"/>
                <w:sz w:val="22"/>
              </w:rPr>
            </w:pPr>
          </w:p>
        </w:tc>
        <w:tc>
          <w:tcPr>
            <w:tcW w:w="2080" w:type="dxa"/>
            <w:tcBorders>
              <w:top w:val="nil"/>
              <w:left w:val="nil"/>
              <w:bottom w:val="nil"/>
              <w:right w:val="single" w:sz="4" w:space="0" w:color="auto"/>
            </w:tcBorders>
            <w:shd w:val="clear" w:color="auto" w:fill="auto"/>
            <w:noWrap/>
            <w:vAlign w:val="bottom"/>
            <w:hideMark/>
          </w:tcPr>
          <w:p w14:paraId="086DEE12"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r>
      <w:tr w:rsidR="007F7BC7" w:rsidRPr="008C75D2" w14:paraId="6B59639D"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11FD550F"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5-1 days before</w:t>
            </w:r>
          </w:p>
        </w:tc>
        <w:tc>
          <w:tcPr>
            <w:tcW w:w="2171" w:type="dxa"/>
            <w:tcBorders>
              <w:top w:val="nil"/>
              <w:left w:val="single" w:sz="4" w:space="0" w:color="auto"/>
              <w:bottom w:val="nil"/>
              <w:right w:val="nil"/>
            </w:tcBorders>
            <w:shd w:val="clear" w:color="auto" w:fill="auto"/>
            <w:noWrap/>
            <w:vAlign w:val="bottom"/>
            <w:hideMark/>
          </w:tcPr>
          <w:p w14:paraId="3EB4DE6A"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w:t>
            </w:r>
          </w:p>
        </w:tc>
        <w:tc>
          <w:tcPr>
            <w:tcW w:w="2080" w:type="dxa"/>
            <w:tcBorders>
              <w:top w:val="nil"/>
              <w:left w:val="nil"/>
              <w:bottom w:val="nil"/>
              <w:right w:val="nil"/>
            </w:tcBorders>
            <w:shd w:val="clear" w:color="auto" w:fill="auto"/>
            <w:noWrap/>
            <w:vAlign w:val="bottom"/>
            <w:hideMark/>
          </w:tcPr>
          <w:p w14:paraId="3BC56AAA"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1.76 (0.43-7.18)</w:t>
            </w:r>
          </w:p>
        </w:tc>
        <w:tc>
          <w:tcPr>
            <w:tcW w:w="2080" w:type="dxa"/>
            <w:tcBorders>
              <w:top w:val="nil"/>
              <w:left w:val="nil"/>
              <w:bottom w:val="nil"/>
              <w:right w:val="single" w:sz="4" w:space="0" w:color="auto"/>
            </w:tcBorders>
            <w:shd w:val="clear" w:color="auto" w:fill="auto"/>
            <w:noWrap/>
            <w:vAlign w:val="bottom"/>
            <w:hideMark/>
          </w:tcPr>
          <w:p w14:paraId="1F99D3A7"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1.93 (0.62-6.06)</w:t>
            </w:r>
          </w:p>
        </w:tc>
      </w:tr>
      <w:tr w:rsidR="007F7BC7" w:rsidRPr="008C75D2" w14:paraId="27130073"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5F4F75D8"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0-7 days after</w:t>
            </w:r>
          </w:p>
        </w:tc>
        <w:tc>
          <w:tcPr>
            <w:tcW w:w="2171" w:type="dxa"/>
            <w:tcBorders>
              <w:top w:val="nil"/>
              <w:left w:val="single" w:sz="4" w:space="0" w:color="auto"/>
              <w:bottom w:val="nil"/>
              <w:right w:val="nil"/>
            </w:tcBorders>
            <w:shd w:val="clear" w:color="auto" w:fill="auto"/>
            <w:noWrap/>
            <w:vAlign w:val="bottom"/>
            <w:hideMark/>
          </w:tcPr>
          <w:p w14:paraId="0668CA65"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15.03 (7.19-31.42)</w:t>
            </w:r>
          </w:p>
        </w:tc>
        <w:tc>
          <w:tcPr>
            <w:tcW w:w="2080" w:type="dxa"/>
            <w:tcBorders>
              <w:top w:val="nil"/>
              <w:left w:val="nil"/>
              <w:bottom w:val="nil"/>
              <w:right w:val="nil"/>
            </w:tcBorders>
            <w:shd w:val="clear" w:color="auto" w:fill="auto"/>
            <w:noWrap/>
            <w:vAlign w:val="bottom"/>
            <w:hideMark/>
          </w:tcPr>
          <w:p w14:paraId="7D293FE2"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5.65 (3.10-10.29)</w:t>
            </w:r>
          </w:p>
        </w:tc>
        <w:tc>
          <w:tcPr>
            <w:tcW w:w="2080" w:type="dxa"/>
            <w:tcBorders>
              <w:top w:val="nil"/>
              <w:left w:val="nil"/>
              <w:bottom w:val="nil"/>
              <w:right w:val="single" w:sz="4" w:space="0" w:color="auto"/>
            </w:tcBorders>
            <w:shd w:val="clear" w:color="auto" w:fill="auto"/>
            <w:noWrap/>
            <w:vAlign w:val="bottom"/>
            <w:hideMark/>
          </w:tcPr>
          <w:p w14:paraId="3284ADF9"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3.56 (1.92-6.59)</w:t>
            </w:r>
          </w:p>
        </w:tc>
      </w:tr>
      <w:tr w:rsidR="007F7BC7" w:rsidRPr="008C75D2" w14:paraId="4ADBE3EB"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1F051133"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8-28 days after</w:t>
            </w:r>
          </w:p>
        </w:tc>
        <w:tc>
          <w:tcPr>
            <w:tcW w:w="2171" w:type="dxa"/>
            <w:tcBorders>
              <w:top w:val="nil"/>
              <w:left w:val="single" w:sz="4" w:space="0" w:color="auto"/>
              <w:bottom w:val="nil"/>
              <w:right w:val="nil"/>
            </w:tcBorders>
            <w:shd w:val="clear" w:color="auto" w:fill="auto"/>
            <w:noWrap/>
            <w:vAlign w:val="bottom"/>
            <w:hideMark/>
          </w:tcPr>
          <w:p w14:paraId="207187B4"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0.73 (0.10-5.41)</w:t>
            </w:r>
          </w:p>
        </w:tc>
        <w:tc>
          <w:tcPr>
            <w:tcW w:w="2080" w:type="dxa"/>
            <w:tcBorders>
              <w:top w:val="nil"/>
              <w:left w:val="nil"/>
              <w:bottom w:val="nil"/>
              <w:right w:val="nil"/>
            </w:tcBorders>
            <w:shd w:val="clear" w:color="auto" w:fill="auto"/>
            <w:noWrap/>
            <w:vAlign w:val="bottom"/>
            <w:hideMark/>
          </w:tcPr>
          <w:p w14:paraId="3E6FC461"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0.20 (0.03-1.48)</w:t>
            </w:r>
          </w:p>
        </w:tc>
        <w:tc>
          <w:tcPr>
            <w:tcW w:w="2080" w:type="dxa"/>
            <w:tcBorders>
              <w:top w:val="nil"/>
              <w:left w:val="nil"/>
              <w:bottom w:val="nil"/>
              <w:right w:val="single" w:sz="4" w:space="0" w:color="auto"/>
            </w:tcBorders>
            <w:shd w:val="clear" w:color="auto" w:fill="auto"/>
            <w:noWrap/>
            <w:vAlign w:val="bottom"/>
            <w:hideMark/>
          </w:tcPr>
          <w:p w14:paraId="60CD9BB9"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0.74 (0.30-1.82)</w:t>
            </w:r>
          </w:p>
        </w:tc>
      </w:tr>
      <w:tr w:rsidR="007F7BC7" w:rsidRPr="008C75D2" w14:paraId="439E668E"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70C394CC"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28-56 days after</w:t>
            </w:r>
          </w:p>
        </w:tc>
        <w:tc>
          <w:tcPr>
            <w:tcW w:w="2171" w:type="dxa"/>
            <w:tcBorders>
              <w:top w:val="nil"/>
              <w:left w:val="single" w:sz="4" w:space="0" w:color="auto"/>
              <w:bottom w:val="nil"/>
              <w:right w:val="nil"/>
            </w:tcBorders>
            <w:shd w:val="clear" w:color="auto" w:fill="auto"/>
            <w:noWrap/>
            <w:vAlign w:val="bottom"/>
            <w:hideMark/>
          </w:tcPr>
          <w:p w14:paraId="1A303B91"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1.62 (0.49-5.37)</w:t>
            </w:r>
          </w:p>
        </w:tc>
        <w:tc>
          <w:tcPr>
            <w:tcW w:w="2080" w:type="dxa"/>
            <w:tcBorders>
              <w:top w:val="nil"/>
              <w:left w:val="nil"/>
              <w:bottom w:val="nil"/>
              <w:right w:val="nil"/>
            </w:tcBorders>
            <w:shd w:val="clear" w:color="auto" w:fill="auto"/>
            <w:noWrap/>
            <w:vAlign w:val="bottom"/>
            <w:hideMark/>
          </w:tcPr>
          <w:p w14:paraId="4769DB0E"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0.66 (0.24-1.83)</w:t>
            </w:r>
          </w:p>
        </w:tc>
        <w:tc>
          <w:tcPr>
            <w:tcW w:w="2080" w:type="dxa"/>
            <w:tcBorders>
              <w:top w:val="nil"/>
              <w:left w:val="nil"/>
              <w:bottom w:val="nil"/>
              <w:right w:val="single" w:sz="4" w:space="0" w:color="auto"/>
            </w:tcBorders>
            <w:shd w:val="clear" w:color="auto" w:fill="auto"/>
            <w:noWrap/>
            <w:vAlign w:val="bottom"/>
            <w:hideMark/>
          </w:tcPr>
          <w:p w14:paraId="43057676"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0.60 (0.24-1.47)</w:t>
            </w:r>
          </w:p>
        </w:tc>
      </w:tr>
      <w:tr w:rsidR="007F7BC7" w:rsidRPr="008C75D2" w14:paraId="7DA770C1"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2ED13FB0" w14:textId="77777777" w:rsidR="007F7BC7" w:rsidRPr="008C75D2" w:rsidRDefault="007F7BC7" w:rsidP="000F6575">
            <w:pPr>
              <w:rPr>
                <w:rFonts w:eastAsia="Times New Roman" w:cs="Arial"/>
                <w:b/>
                <w:bCs/>
                <w:color w:val="000000"/>
                <w:sz w:val="22"/>
              </w:rPr>
            </w:pPr>
            <w:r w:rsidRPr="008C75D2">
              <w:rPr>
                <w:rFonts w:eastAsia="Times New Roman" w:cs="Arial"/>
                <w:b/>
                <w:bCs/>
                <w:color w:val="000000"/>
                <w:sz w:val="22"/>
              </w:rPr>
              <w:t>Pulmonary embolism</w:t>
            </w:r>
          </w:p>
        </w:tc>
        <w:tc>
          <w:tcPr>
            <w:tcW w:w="2171" w:type="dxa"/>
            <w:tcBorders>
              <w:top w:val="nil"/>
              <w:left w:val="single" w:sz="4" w:space="0" w:color="auto"/>
              <w:bottom w:val="nil"/>
              <w:right w:val="nil"/>
            </w:tcBorders>
            <w:shd w:val="clear" w:color="auto" w:fill="auto"/>
            <w:noWrap/>
            <w:vAlign w:val="bottom"/>
            <w:hideMark/>
          </w:tcPr>
          <w:p w14:paraId="2C84FE35"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c>
          <w:tcPr>
            <w:tcW w:w="2080" w:type="dxa"/>
            <w:tcBorders>
              <w:top w:val="nil"/>
              <w:left w:val="nil"/>
              <w:bottom w:val="nil"/>
              <w:right w:val="nil"/>
            </w:tcBorders>
            <w:shd w:val="clear" w:color="auto" w:fill="auto"/>
            <w:noWrap/>
            <w:vAlign w:val="bottom"/>
            <w:hideMark/>
          </w:tcPr>
          <w:p w14:paraId="051904BC" w14:textId="77777777" w:rsidR="007F7BC7" w:rsidRPr="008C75D2" w:rsidRDefault="007F7BC7" w:rsidP="000F6575">
            <w:pPr>
              <w:jc w:val="center"/>
              <w:rPr>
                <w:rFonts w:eastAsia="Times New Roman" w:cs="Arial"/>
                <w:b/>
                <w:bCs/>
                <w:color w:val="000000"/>
                <w:sz w:val="22"/>
              </w:rPr>
            </w:pPr>
          </w:p>
        </w:tc>
        <w:tc>
          <w:tcPr>
            <w:tcW w:w="2080" w:type="dxa"/>
            <w:tcBorders>
              <w:top w:val="nil"/>
              <w:left w:val="nil"/>
              <w:bottom w:val="nil"/>
              <w:right w:val="single" w:sz="4" w:space="0" w:color="auto"/>
            </w:tcBorders>
            <w:shd w:val="clear" w:color="auto" w:fill="auto"/>
            <w:noWrap/>
            <w:vAlign w:val="bottom"/>
            <w:hideMark/>
          </w:tcPr>
          <w:p w14:paraId="2BD74CBB"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r>
      <w:tr w:rsidR="007F7BC7" w:rsidRPr="008C75D2" w14:paraId="0776D845"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1B9D9F9D"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5-1 days before</w:t>
            </w:r>
          </w:p>
        </w:tc>
        <w:tc>
          <w:tcPr>
            <w:tcW w:w="2171" w:type="dxa"/>
            <w:tcBorders>
              <w:top w:val="nil"/>
              <w:left w:val="single" w:sz="4" w:space="0" w:color="auto"/>
              <w:bottom w:val="nil"/>
              <w:right w:val="nil"/>
            </w:tcBorders>
            <w:shd w:val="clear" w:color="auto" w:fill="auto"/>
            <w:noWrap/>
            <w:vAlign w:val="bottom"/>
            <w:hideMark/>
          </w:tcPr>
          <w:p w14:paraId="09011B7C"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10.00 (3.12-32.08)</w:t>
            </w:r>
          </w:p>
        </w:tc>
        <w:tc>
          <w:tcPr>
            <w:tcW w:w="2080" w:type="dxa"/>
            <w:tcBorders>
              <w:top w:val="nil"/>
              <w:left w:val="nil"/>
              <w:bottom w:val="nil"/>
              <w:right w:val="nil"/>
            </w:tcBorders>
            <w:shd w:val="clear" w:color="auto" w:fill="auto"/>
            <w:noWrap/>
            <w:vAlign w:val="bottom"/>
            <w:hideMark/>
          </w:tcPr>
          <w:p w14:paraId="0A882889"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11.21 (4.84-25.96)</w:t>
            </w:r>
          </w:p>
        </w:tc>
        <w:tc>
          <w:tcPr>
            <w:tcW w:w="2080" w:type="dxa"/>
            <w:tcBorders>
              <w:top w:val="nil"/>
              <w:left w:val="nil"/>
              <w:bottom w:val="nil"/>
              <w:right w:val="single" w:sz="4" w:space="0" w:color="auto"/>
            </w:tcBorders>
            <w:shd w:val="clear" w:color="auto" w:fill="auto"/>
            <w:noWrap/>
            <w:vAlign w:val="bottom"/>
            <w:hideMark/>
          </w:tcPr>
          <w:p w14:paraId="2487C3FF"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3.76 (0.91-15.58)</w:t>
            </w:r>
          </w:p>
        </w:tc>
      </w:tr>
      <w:tr w:rsidR="007F7BC7" w:rsidRPr="008C75D2" w14:paraId="5ACF9EB9"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75537F3E"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0-7 days after</w:t>
            </w:r>
          </w:p>
        </w:tc>
        <w:tc>
          <w:tcPr>
            <w:tcW w:w="2171" w:type="dxa"/>
            <w:tcBorders>
              <w:top w:val="nil"/>
              <w:left w:val="single" w:sz="4" w:space="0" w:color="auto"/>
              <w:bottom w:val="nil"/>
              <w:right w:val="nil"/>
            </w:tcBorders>
            <w:shd w:val="clear" w:color="auto" w:fill="auto"/>
            <w:noWrap/>
            <w:vAlign w:val="bottom"/>
            <w:hideMark/>
          </w:tcPr>
          <w:p w14:paraId="1F4565DC"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52.33 (33.5-81.74)</w:t>
            </w:r>
          </w:p>
        </w:tc>
        <w:tc>
          <w:tcPr>
            <w:tcW w:w="2080" w:type="dxa"/>
            <w:tcBorders>
              <w:top w:val="nil"/>
              <w:left w:val="nil"/>
              <w:bottom w:val="nil"/>
              <w:right w:val="nil"/>
            </w:tcBorders>
            <w:shd w:val="clear" w:color="auto" w:fill="auto"/>
            <w:noWrap/>
            <w:vAlign w:val="bottom"/>
            <w:hideMark/>
          </w:tcPr>
          <w:p w14:paraId="446177F9"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16.42 (9.70-27.80)</w:t>
            </w:r>
          </w:p>
        </w:tc>
        <w:tc>
          <w:tcPr>
            <w:tcW w:w="2080" w:type="dxa"/>
            <w:tcBorders>
              <w:top w:val="nil"/>
              <w:left w:val="nil"/>
              <w:bottom w:val="nil"/>
              <w:right w:val="single" w:sz="4" w:space="0" w:color="auto"/>
            </w:tcBorders>
            <w:shd w:val="clear" w:color="auto" w:fill="auto"/>
            <w:noWrap/>
            <w:vAlign w:val="bottom"/>
            <w:hideMark/>
          </w:tcPr>
          <w:p w14:paraId="6A445722"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7.56 (3.50-16.36)</w:t>
            </w:r>
          </w:p>
        </w:tc>
      </w:tr>
      <w:tr w:rsidR="007F7BC7" w:rsidRPr="008C75D2" w14:paraId="70FE8F4A"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6A090435"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8-28 days after</w:t>
            </w:r>
          </w:p>
        </w:tc>
        <w:tc>
          <w:tcPr>
            <w:tcW w:w="2171" w:type="dxa"/>
            <w:tcBorders>
              <w:top w:val="nil"/>
              <w:left w:val="single" w:sz="4" w:space="0" w:color="auto"/>
              <w:bottom w:val="nil"/>
              <w:right w:val="nil"/>
            </w:tcBorders>
            <w:shd w:val="clear" w:color="auto" w:fill="auto"/>
            <w:noWrap/>
            <w:vAlign w:val="bottom"/>
            <w:hideMark/>
          </w:tcPr>
          <w:p w14:paraId="76F35FC2"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14.63 (8.92-24.00)</w:t>
            </w:r>
          </w:p>
        </w:tc>
        <w:tc>
          <w:tcPr>
            <w:tcW w:w="2080" w:type="dxa"/>
            <w:tcBorders>
              <w:top w:val="nil"/>
              <w:left w:val="nil"/>
              <w:bottom w:val="nil"/>
              <w:right w:val="nil"/>
            </w:tcBorders>
            <w:shd w:val="clear" w:color="auto" w:fill="auto"/>
            <w:noWrap/>
            <w:vAlign w:val="bottom"/>
            <w:hideMark/>
          </w:tcPr>
          <w:p w14:paraId="71AD9500"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2.98 (1.40-6.34)</w:t>
            </w:r>
          </w:p>
        </w:tc>
        <w:tc>
          <w:tcPr>
            <w:tcW w:w="2080" w:type="dxa"/>
            <w:tcBorders>
              <w:top w:val="nil"/>
              <w:left w:val="nil"/>
              <w:bottom w:val="nil"/>
              <w:right w:val="single" w:sz="4" w:space="0" w:color="auto"/>
            </w:tcBorders>
            <w:shd w:val="clear" w:color="auto" w:fill="auto"/>
            <w:noWrap/>
            <w:vAlign w:val="bottom"/>
            <w:hideMark/>
          </w:tcPr>
          <w:p w14:paraId="2B3A2733"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1.75 (0.62-4.93)</w:t>
            </w:r>
          </w:p>
        </w:tc>
      </w:tr>
      <w:tr w:rsidR="007F7BC7" w:rsidRPr="008C75D2" w14:paraId="033FDFE3"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70CBF9D3"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28-56 days after</w:t>
            </w:r>
          </w:p>
        </w:tc>
        <w:tc>
          <w:tcPr>
            <w:tcW w:w="2171" w:type="dxa"/>
            <w:tcBorders>
              <w:top w:val="nil"/>
              <w:left w:val="single" w:sz="4" w:space="0" w:color="auto"/>
              <w:bottom w:val="nil"/>
              <w:right w:val="nil"/>
            </w:tcBorders>
            <w:shd w:val="clear" w:color="auto" w:fill="auto"/>
            <w:noWrap/>
            <w:vAlign w:val="bottom"/>
            <w:hideMark/>
          </w:tcPr>
          <w:p w14:paraId="5C3BFBE0"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7.80 (4.54-13.38)</w:t>
            </w:r>
          </w:p>
        </w:tc>
        <w:tc>
          <w:tcPr>
            <w:tcW w:w="2080" w:type="dxa"/>
            <w:tcBorders>
              <w:top w:val="nil"/>
              <w:left w:val="nil"/>
              <w:bottom w:val="nil"/>
              <w:right w:val="nil"/>
            </w:tcBorders>
            <w:shd w:val="clear" w:color="auto" w:fill="auto"/>
            <w:noWrap/>
            <w:vAlign w:val="bottom"/>
            <w:hideMark/>
          </w:tcPr>
          <w:p w14:paraId="043AB3B2"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2.90 (1.46-5.74)</w:t>
            </w:r>
          </w:p>
        </w:tc>
        <w:tc>
          <w:tcPr>
            <w:tcW w:w="2080" w:type="dxa"/>
            <w:tcBorders>
              <w:top w:val="nil"/>
              <w:left w:val="nil"/>
              <w:bottom w:val="nil"/>
              <w:right w:val="single" w:sz="4" w:space="0" w:color="auto"/>
            </w:tcBorders>
            <w:shd w:val="clear" w:color="auto" w:fill="auto"/>
            <w:noWrap/>
            <w:vAlign w:val="bottom"/>
            <w:hideMark/>
          </w:tcPr>
          <w:p w14:paraId="5B0C55AE"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2.16 (0.90-5.18)</w:t>
            </w:r>
          </w:p>
        </w:tc>
      </w:tr>
      <w:tr w:rsidR="007F7BC7" w:rsidRPr="008C75D2" w14:paraId="22188198"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447CBB9D" w14:textId="77777777" w:rsidR="007F7BC7" w:rsidRPr="008C75D2" w:rsidRDefault="007F7BC7" w:rsidP="000F6575">
            <w:pPr>
              <w:rPr>
                <w:rFonts w:eastAsia="Times New Roman" w:cs="Arial"/>
                <w:b/>
                <w:bCs/>
                <w:color w:val="000000"/>
                <w:sz w:val="22"/>
              </w:rPr>
            </w:pPr>
            <w:r w:rsidRPr="008C75D2">
              <w:rPr>
                <w:rFonts w:eastAsia="Times New Roman" w:cs="Arial"/>
                <w:b/>
                <w:bCs/>
                <w:color w:val="000000"/>
                <w:sz w:val="22"/>
              </w:rPr>
              <w:t>Deep vein thrombosis</w:t>
            </w:r>
          </w:p>
        </w:tc>
        <w:tc>
          <w:tcPr>
            <w:tcW w:w="2171" w:type="dxa"/>
            <w:tcBorders>
              <w:top w:val="nil"/>
              <w:left w:val="single" w:sz="4" w:space="0" w:color="auto"/>
              <w:bottom w:val="nil"/>
              <w:right w:val="nil"/>
            </w:tcBorders>
            <w:shd w:val="clear" w:color="auto" w:fill="auto"/>
            <w:noWrap/>
            <w:vAlign w:val="bottom"/>
            <w:hideMark/>
          </w:tcPr>
          <w:p w14:paraId="00366011"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c>
          <w:tcPr>
            <w:tcW w:w="2080" w:type="dxa"/>
            <w:tcBorders>
              <w:top w:val="nil"/>
              <w:left w:val="nil"/>
              <w:bottom w:val="nil"/>
              <w:right w:val="nil"/>
            </w:tcBorders>
            <w:shd w:val="clear" w:color="auto" w:fill="auto"/>
            <w:noWrap/>
            <w:vAlign w:val="bottom"/>
            <w:hideMark/>
          </w:tcPr>
          <w:p w14:paraId="4110111E" w14:textId="77777777" w:rsidR="007F7BC7" w:rsidRPr="008C75D2" w:rsidRDefault="007F7BC7" w:rsidP="000F6575">
            <w:pPr>
              <w:jc w:val="center"/>
              <w:rPr>
                <w:rFonts w:eastAsia="Times New Roman" w:cs="Arial"/>
                <w:b/>
                <w:bCs/>
                <w:color w:val="000000"/>
                <w:sz w:val="22"/>
              </w:rPr>
            </w:pPr>
          </w:p>
        </w:tc>
        <w:tc>
          <w:tcPr>
            <w:tcW w:w="2080" w:type="dxa"/>
            <w:tcBorders>
              <w:top w:val="nil"/>
              <w:left w:val="nil"/>
              <w:bottom w:val="nil"/>
              <w:right w:val="single" w:sz="4" w:space="0" w:color="auto"/>
            </w:tcBorders>
            <w:shd w:val="clear" w:color="auto" w:fill="auto"/>
            <w:noWrap/>
            <w:vAlign w:val="bottom"/>
            <w:hideMark/>
          </w:tcPr>
          <w:p w14:paraId="206D746F"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 </w:t>
            </w:r>
          </w:p>
        </w:tc>
      </w:tr>
      <w:tr w:rsidR="007F7BC7" w:rsidRPr="008C75D2" w14:paraId="27587223"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213071B2"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5-1 days before</w:t>
            </w:r>
          </w:p>
        </w:tc>
        <w:tc>
          <w:tcPr>
            <w:tcW w:w="2171" w:type="dxa"/>
            <w:tcBorders>
              <w:top w:val="nil"/>
              <w:left w:val="single" w:sz="4" w:space="0" w:color="auto"/>
              <w:bottom w:val="nil"/>
              <w:right w:val="nil"/>
            </w:tcBorders>
            <w:shd w:val="clear" w:color="auto" w:fill="auto"/>
            <w:noWrap/>
            <w:vAlign w:val="bottom"/>
            <w:hideMark/>
          </w:tcPr>
          <w:p w14:paraId="5A868C75"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w:t>
            </w:r>
          </w:p>
        </w:tc>
        <w:tc>
          <w:tcPr>
            <w:tcW w:w="2080" w:type="dxa"/>
            <w:tcBorders>
              <w:top w:val="nil"/>
              <w:left w:val="nil"/>
              <w:bottom w:val="nil"/>
              <w:right w:val="nil"/>
            </w:tcBorders>
            <w:shd w:val="clear" w:color="auto" w:fill="auto"/>
            <w:noWrap/>
            <w:vAlign w:val="bottom"/>
            <w:hideMark/>
          </w:tcPr>
          <w:p w14:paraId="76C759B0"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3.15 (0.42-23.32)</w:t>
            </w:r>
          </w:p>
        </w:tc>
        <w:tc>
          <w:tcPr>
            <w:tcW w:w="2080" w:type="dxa"/>
            <w:tcBorders>
              <w:top w:val="nil"/>
              <w:left w:val="nil"/>
              <w:bottom w:val="nil"/>
              <w:right w:val="single" w:sz="4" w:space="0" w:color="auto"/>
            </w:tcBorders>
            <w:shd w:val="clear" w:color="auto" w:fill="auto"/>
            <w:noWrap/>
            <w:vAlign w:val="bottom"/>
            <w:hideMark/>
          </w:tcPr>
          <w:p w14:paraId="58C8B86F"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6.36 (1.49-27.14)</w:t>
            </w:r>
          </w:p>
        </w:tc>
      </w:tr>
      <w:tr w:rsidR="007F7BC7" w:rsidRPr="008C75D2" w14:paraId="26454277"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071F6D34"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0-7 days after</w:t>
            </w:r>
          </w:p>
        </w:tc>
        <w:tc>
          <w:tcPr>
            <w:tcW w:w="2171" w:type="dxa"/>
            <w:tcBorders>
              <w:top w:val="nil"/>
              <w:left w:val="single" w:sz="4" w:space="0" w:color="auto"/>
              <w:bottom w:val="nil"/>
              <w:right w:val="nil"/>
            </w:tcBorders>
            <w:shd w:val="clear" w:color="auto" w:fill="auto"/>
            <w:noWrap/>
            <w:vAlign w:val="bottom"/>
            <w:hideMark/>
          </w:tcPr>
          <w:p w14:paraId="5BAD181D"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25.39 (12.03-53.56)</w:t>
            </w:r>
          </w:p>
        </w:tc>
        <w:tc>
          <w:tcPr>
            <w:tcW w:w="2080" w:type="dxa"/>
            <w:tcBorders>
              <w:top w:val="nil"/>
              <w:left w:val="nil"/>
              <w:bottom w:val="nil"/>
              <w:right w:val="nil"/>
            </w:tcBorders>
            <w:shd w:val="clear" w:color="auto" w:fill="auto"/>
            <w:noWrap/>
            <w:vAlign w:val="bottom"/>
            <w:hideMark/>
          </w:tcPr>
          <w:p w14:paraId="1A830188"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10.74 (4.56-25.29)</w:t>
            </w:r>
          </w:p>
        </w:tc>
        <w:tc>
          <w:tcPr>
            <w:tcW w:w="2080" w:type="dxa"/>
            <w:tcBorders>
              <w:top w:val="nil"/>
              <w:left w:val="nil"/>
              <w:bottom w:val="nil"/>
              <w:right w:val="single" w:sz="4" w:space="0" w:color="auto"/>
            </w:tcBorders>
            <w:shd w:val="clear" w:color="auto" w:fill="auto"/>
            <w:noWrap/>
            <w:vAlign w:val="bottom"/>
            <w:hideMark/>
          </w:tcPr>
          <w:p w14:paraId="2EDE6E96"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8.26 (3.28-20.78)</w:t>
            </w:r>
          </w:p>
        </w:tc>
      </w:tr>
      <w:tr w:rsidR="007F7BC7" w:rsidRPr="008C75D2" w14:paraId="16EFA065" w14:textId="77777777" w:rsidTr="00BA2317">
        <w:trPr>
          <w:trHeight w:val="283"/>
          <w:jc w:val="center"/>
        </w:trPr>
        <w:tc>
          <w:tcPr>
            <w:tcW w:w="2547" w:type="dxa"/>
            <w:tcBorders>
              <w:top w:val="nil"/>
              <w:left w:val="single" w:sz="4" w:space="0" w:color="auto"/>
              <w:bottom w:val="nil"/>
              <w:right w:val="nil"/>
            </w:tcBorders>
            <w:shd w:val="clear" w:color="auto" w:fill="auto"/>
            <w:noWrap/>
            <w:vAlign w:val="bottom"/>
            <w:hideMark/>
          </w:tcPr>
          <w:p w14:paraId="4A139E21"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8-28 days after</w:t>
            </w:r>
          </w:p>
        </w:tc>
        <w:tc>
          <w:tcPr>
            <w:tcW w:w="2171" w:type="dxa"/>
            <w:tcBorders>
              <w:top w:val="nil"/>
              <w:left w:val="single" w:sz="4" w:space="0" w:color="auto"/>
              <w:bottom w:val="nil"/>
              <w:right w:val="nil"/>
            </w:tcBorders>
            <w:shd w:val="clear" w:color="auto" w:fill="auto"/>
            <w:noWrap/>
            <w:vAlign w:val="bottom"/>
            <w:hideMark/>
          </w:tcPr>
          <w:p w14:paraId="6DA63C17"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7.91 (3.42-18.26)</w:t>
            </w:r>
          </w:p>
        </w:tc>
        <w:tc>
          <w:tcPr>
            <w:tcW w:w="2080" w:type="dxa"/>
            <w:tcBorders>
              <w:top w:val="nil"/>
              <w:left w:val="nil"/>
              <w:bottom w:val="nil"/>
              <w:right w:val="nil"/>
            </w:tcBorders>
            <w:shd w:val="clear" w:color="auto" w:fill="auto"/>
            <w:noWrap/>
            <w:vAlign w:val="bottom"/>
            <w:hideMark/>
          </w:tcPr>
          <w:p w14:paraId="1D5C31F9"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w:t>
            </w:r>
          </w:p>
        </w:tc>
        <w:tc>
          <w:tcPr>
            <w:tcW w:w="2080" w:type="dxa"/>
            <w:tcBorders>
              <w:top w:val="nil"/>
              <w:left w:val="nil"/>
              <w:bottom w:val="nil"/>
              <w:right w:val="single" w:sz="4" w:space="0" w:color="auto"/>
            </w:tcBorders>
            <w:shd w:val="clear" w:color="auto" w:fill="auto"/>
            <w:noWrap/>
            <w:vAlign w:val="bottom"/>
            <w:hideMark/>
          </w:tcPr>
          <w:p w14:paraId="74F5DB6B"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1.85 (0.53-6.46)</w:t>
            </w:r>
          </w:p>
        </w:tc>
      </w:tr>
      <w:tr w:rsidR="007F7BC7" w:rsidRPr="008C75D2" w14:paraId="31CEDC52" w14:textId="77777777" w:rsidTr="00BA2317">
        <w:trPr>
          <w:trHeight w:val="283"/>
          <w:jc w:val="center"/>
        </w:trPr>
        <w:tc>
          <w:tcPr>
            <w:tcW w:w="2547" w:type="dxa"/>
            <w:tcBorders>
              <w:top w:val="nil"/>
              <w:left w:val="single" w:sz="4" w:space="0" w:color="auto"/>
              <w:bottom w:val="single" w:sz="4" w:space="0" w:color="auto"/>
              <w:right w:val="nil"/>
            </w:tcBorders>
            <w:shd w:val="clear" w:color="auto" w:fill="auto"/>
            <w:noWrap/>
            <w:vAlign w:val="bottom"/>
            <w:hideMark/>
          </w:tcPr>
          <w:p w14:paraId="01E8F45F" w14:textId="77777777" w:rsidR="007F7BC7" w:rsidRPr="008C75D2" w:rsidRDefault="007F7BC7" w:rsidP="000F6575">
            <w:pPr>
              <w:ind w:firstLineChars="100" w:firstLine="220"/>
              <w:rPr>
                <w:rFonts w:eastAsia="Times New Roman" w:cs="Arial"/>
                <w:color w:val="000000"/>
                <w:sz w:val="22"/>
              </w:rPr>
            </w:pPr>
            <w:r w:rsidRPr="008C75D2">
              <w:rPr>
                <w:rFonts w:eastAsia="Times New Roman" w:cs="Arial"/>
                <w:color w:val="000000"/>
                <w:sz w:val="22"/>
              </w:rPr>
              <w:t>28-56 days after</w:t>
            </w:r>
          </w:p>
        </w:tc>
        <w:tc>
          <w:tcPr>
            <w:tcW w:w="2171" w:type="dxa"/>
            <w:tcBorders>
              <w:top w:val="nil"/>
              <w:left w:val="single" w:sz="4" w:space="0" w:color="auto"/>
              <w:bottom w:val="single" w:sz="4" w:space="0" w:color="auto"/>
              <w:right w:val="nil"/>
            </w:tcBorders>
            <w:shd w:val="clear" w:color="auto" w:fill="auto"/>
            <w:noWrap/>
            <w:vAlign w:val="bottom"/>
            <w:hideMark/>
          </w:tcPr>
          <w:p w14:paraId="60F3A465" w14:textId="77777777" w:rsidR="007F7BC7" w:rsidRPr="008C75D2" w:rsidRDefault="007F7BC7" w:rsidP="000F6575">
            <w:pPr>
              <w:jc w:val="center"/>
              <w:rPr>
                <w:rFonts w:eastAsia="Times New Roman" w:cs="Arial"/>
                <w:b/>
                <w:bCs/>
                <w:color w:val="000000"/>
                <w:sz w:val="22"/>
              </w:rPr>
            </w:pPr>
            <w:r w:rsidRPr="008C75D2">
              <w:rPr>
                <w:rFonts w:eastAsia="Times New Roman" w:cs="Arial"/>
                <w:b/>
                <w:bCs/>
                <w:color w:val="000000"/>
                <w:sz w:val="22"/>
              </w:rPr>
              <w:t>3.39 (1.18-9.76)</w:t>
            </w:r>
          </w:p>
        </w:tc>
        <w:tc>
          <w:tcPr>
            <w:tcW w:w="2080" w:type="dxa"/>
            <w:tcBorders>
              <w:top w:val="nil"/>
              <w:left w:val="nil"/>
              <w:bottom w:val="single" w:sz="4" w:space="0" w:color="auto"/>
              <w:right w:val="nil"/>
            </w:tcBorders>
            <w:shd w:val="clear" w:color="auto" w:fill="auto"/>
            <w:noWrap/>
            <w:vAlign w:val="bottom"/>
            <w:hideMark/>
          </w:tcPr>
          <w:p w14:paraId="7DF6A642"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1.34 (0.32-5.73)</w:t>
            </w:r>
          </w:p>
        </w:tc>
        <w:tc>
          <w:tcPr>
            <w:tcW w:w="2080" w:type="dxa"/>
            <w:tcBorders>
              <w:top w:val="nil"/>
              <w:left w:val="nil"/>
              <w:bottom w:val="single" w:sz="4" w:space="0" w:color="auto"/>
              <w:right w:val="single" w:sz="4" w:space="0" w:color="auto"/>
            </w:tcBorders>
            <w:shd w:val="clear" w:color="auto" w:fill="auto"/>
            <w:noWrap/>
            <w:vAlign w:val="bottom"/>
            <w:hideMark/>
          </w:tcPr>
          <w:p w14:paraId="7A553493" w14:textId="77777777" w:rsidR="007F7BC7" w:rsidRPr="008C75D2" w:rsidRDefault="007F7BC7" w:rsidP="000F6575">
            <w:pPr>
              <w:jc w:val="center"/>
              <w:rPr>
                <w:rFonts w:eastAsia="Times New Roman" w:cs="Arial"/>
                <w:color w:val="000000"/>
                <w:sz w:val="22"/>
              </w:rPr>
            </w:pPr>
            <w:r w:rsidRPr="008C75D2">
              <w:rPr>
                <w:rFonts w:eastAsia="Times New Roman" w:cs="Arial"/>
                <w:color w:val="000000"/>
                <w:sz w:val="22"/>
              </w:rPr>
              <w:t>0.52 (0.07-3.90)</w:t>
            </w:r>
          </w:p>
        </w:tc>
      </w:tr>
    </w:tbl>
    <w:p w14:paraId="67E70570" w14:textId="77777777" w:rsidR="007F7BC7" w:rsidRPr="008C75D2" w:rsidRDefault="007F7BC7" w:rsidP="000F6575">
      <w:r w:rsidRPr="008C75D2">
        <w:t>Patients' age quintile was adjusted</w:t>
      </w:r>
    </w:p>
    <w:p w14:paraId="24C876C0" w14:textId="77777777" w:rsidR="007F7BC7" w:rsidRPr="008C75D2" w:rsidRDefault="007F7BC7" w:rsidP="000F6575">
      <w:pPr>
        <w:rPr>
          <w:szCs w:val="24"/>
        </w:rPr>
      </w:pPr>
      <w:r w:rsidRPr="008C75D2">
        <w:rPr>
          <w:szCs w:val="24"/>
        </w:rPr>
        <w:t>IRR: incidence rate ratio</w:t>
      </w:r>
    </w:p>
    <w:p w14:paraId="39806E28" w14:textId="77777777" w:rsidR="007F7BC7" w:rsidRDefault="007F7BC7" w:rsidP="000F6575">
      <w:pPr>
        <w:spacing w:after="160"/>
      </w:pPr>
      <w:r>
        <w:br w:type="page"/>
      </w:r>
    </w:p>
    <w:p w14:paraId="0F0EB62C" w14:textId="77777777" w:rsidR="007F7BC7" w:rsidRPr="008C75D2" w:rsidRDefault="007F7BC7" w:rsidP="000F6575">
      <w:pPr>
        <w:pStyle w:val="Heading1"/>
        <w:spacing w:line="240" w:lineRule="auto"/>
      </w:pPr>
      <w:bookmarkStart w:id="3" w:name="_Toc62491927"/>
      <w:r w:rsidRPr="00755D12">
        <w:rPr>
          <w:b/>
          <w:bCs/>
        </w:rPr>
        <w:lastRenderedPageBreak/>
        <w:t>Supplementary Table 3</w:t>
      </w:r>
      <w:r w:rsidRPr="00AF4572">
        <w:t>. E-values for the association between Covid-19 and outcomes</w:t>
      </w:r>
      <w:bookmarkEnd w:id="3"/>
    </w:p>
    <w:tbl>
      <w:tblPr>
        <w:tblW w:w="9016" w:type="dxa"/>
        <w:tblLayout w:type="fixed"/>
        <w:tblLook w:val="04A0" w:firstRow="1" w:lastRow="0" w:firstColumn="1" w:lastColumn="0" w:noHBand="0" w:noVBand="1"/>
      </w:tblPr>
      <w:tblGrid>
        <w:gridCol w:w="2547"/>
        <w:gridCol w:w="1617"/>
        <w:gridCol w:w="1617"/>
        <w:gridCol w:w="1617"/>
        <w:gridCol w:w="1618"/>
      </w:tblGrid>
      <w:tr w:rsidR="007F7BC7" w:rsidRPr="00F0556E" w14:paraId="66E34712" w14:textId="77777777" w:rsidTr="00BA2317">
        <w:trPr>
          <w:trHeight w:val="20"/>
        </w:trPr>
        <w:tc>
          <w:tcPr>
            <w:tcW w:w="2547" w:type="dxa"/>
            <w:tcBorders>
              <w:top w:val="single" w:sz="4" w:space="0" w:color="auto"/>
              <w:left w:val="single" w:sz="4" w:space="0" w:color="auto"/>
              <w:right w:val="single" w:sz="4" w:space="0" w:color="auto"/>
            </w:tcBorders>
            <w:shd w:val="clear" w:color="auto" w:fill="auto"/>
            <w:noWrap/>
            <w:vAlign w:val="bottom"/>
          </w:tcPr>
          <w:p w14:paraId="426F6DF5" w14:textId="77777777" w:rsidR="007F7BC7" w:rsidRPr="00F0556E" w:rsidRDefault="007F7BC7" w:rsidP="000F6575">
            <w:pPr>
              <w:ind w:firstLine="313"/>
              <w:rPr>
                <w:rFonts w:eastAsia="Times New Roman" w:cs="Arial"/>
                <w:b/>
                <w:bCs/>
                <w:color w:val="000000"/>
                <w:sz w:val="22"/>
              </w:rPr>
            </w:pPr>
          </w:p>
        </w:tc>
        <w:tc>
          <w:tcPr>
            <w:tcW w:w="32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DA1DC8" w14:textId="77777777" w:rsidR="007F7BC7" w:rsidRDefault="007F7BC7" w:rsidP="000F6575">
            <w:pPr>
              <w:jc w:val="center"/>
              <w:rPr>
                <w:rFonts w:eastAsia="Times New Roman" w:cs="Arial"/>
                <w:b/>
                <w:bCs/>
                <w:color w:val="000000"/>
                <w:sz w:val="22"/>
              </w:rPr>
            </w:pPr>
            <w:r w:rsidRPr="00F0556E">
              <w:rPr>
                <w:rFonts w:eastAsia="Times New Roman" w:cs="Arial"/>
                <w:b/>
                <w:bCs/>
                <w:color w:val="000000"/>
                <w:sz w:val="22"/>
              </w:rPr>
              <w:t>Non-fatal events</w:t>
            </w:r>
          </w:p>
        </w:tc>
        <w:tc>
          <w:tcPr>
            <w:tcW w:w="32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B549F7" w14:textId="77777777" w:rsidR="007F7BC7" w:rsidRDefault="007F7BC7" w:rsidP="000F6575">
            <w:pPr>
              <w:jc w:val="center"/>
              <w:rPr>
                <w:rFonts w:eastAsia="Times New Roman" w:cs="Arial"/>
                <w:b/>
                <w:bCs/>
                <w:color w:val="000000"/>
                <w:sz w:val="22"/>
              </w:rPr>
            </w:pPr>
            <w:r>
              <w:rPr>
                <w:rFonts w:eastAsia="Times New Roman" w:cs="Arial"/>
                <w:b/>
                <w:bCs/>
                <w:color w:val="000000"/>
                <w:sz w:val="22"/>
              </w:rPr>
              <w:t>All events</w:t>
            </w:r>
          </w:p>
        </w:tc>
      </w:tr>
      <w:tr w:rsidR="007F7BC7" w:rsidRPr="00F0556E" w14:paraId="1338CFD2" w14:textId="77777777" w:rsidTr="00BA2317">
        <w:trPr>
          <w:trHeight w:val="20"/>
        </w:trPr>
        <w:tc>
          <w:tcPr>
            <w:tcW w:w="2547" w:type="dxa"/>
            <w:tcBorders>
              <w:left w:val="single" w:sz="4" w:space="0" w:color="auto"/>
              <w:bottom w:val="single" w:sz="4" w:space="0" w:color="auto"/>
              <w:right w:val="single" w:sz="4" w:space="0" w:color="auto"/>
            </w:tcBorders>
            <w:shd w:val="clear" w:color="auto" w:fill="auto"/>
            <w:noWrap/>
            <w:vAlign w:val="bottom"/>
          </w:tcPr>
          <w:p w14:paraId="382A5C2D" w14:textId="77777777" w:rsidR="007F7BC7" w:rsidRPr="00F0556E" w:rsidRDefault="007F7BC7" w:rsidP="000F6575">
            <w:pPr>
              <w:ind w:firstLine="313"/>
              <w:rPr>
                <w:rFonts w:eastAsia="Times New Roman" w:cs="Arial"/>
                <w:b/>
                <w:bCs/>
                <w:color w:val="000000"/>
                <w:sz w:val="22"/>
              </w:rPr>
            </w:pPr>
          </w:p>
        </w:tc>
        <w:tc>
          <w:tcPr>
            <w:tcW w:w="1617" w:type="dxa"/>
            <w:tcBorders>
              <w:top w:val="single" w:sz="4" w:space="0" w:color="auto"/>
              <w:left w:val="single" w:sz="4" w:space="0" w:color="auto"/>
              <w:bottom w:val="single" w:sz="4" w:space="0" w:color="auto"/>
            </w:tcBorders>
            <w:shd w:val="clear" w:color="auto" w:fill="auto"/>
            <w:noWrap/>
            <w:vAlign w:val="bottom"/>
          </w:tcPr>
          <w:p w14:paraId="4C1EEDA2" w14:textId="77777777" w:rsidR="007F7BC7" w:rsidRPr="00F0556E" w:rsidRDefault="007F7BC7" w:rsidP="000F6575">
            <w:pPr>
              <w:jc w:val="center"/>
              <w:rPr>
                <w:rFonts w:eastAsia="Times New Roman" w:cs="Arial"/>
                <w:b/>
                <w:bCs/>
                <w:color w:val="000000"/>
                <w:sz w:val="22"/>
              </w:rPr>
            </w:pPr>
            <w:r>
              <w:rPr>
                <w:rFonts w:eastAsia="Times New Roman" w:cs="Arial"/>
                <w:b/>
                <w:bCs/>
                <w:color w:val="000000"/>
                <w:sz w:val="22"/>
              </w:rPr>
              <w:t>IRR</w:t>
            </w:r>
          </w:p>
        </w:tc>
        <w:tc>
          <w:tcPr>
            <w:tcW w:w="1617" w:type="dxa"/>
            <w:tcBorders>
              <w:top w:val="single" w:sz="4" w:space="0" w:color="auto"/>
              <w:bottom w:val="single" w:sz="4" w:space="0" w:color="auto"/>
              <w:right w:val="single" w:sz="4" w:space="0" w:color="auto"/>
            </w:tcBorders>
          </w:tcPr>
          <w:p w14:paraId="598F3E09" w14:textId="77777777" w:rsidR="007F7BC7" w:rsidRDefault="007F7BC7" w:rsidP="000F6575">
            <w:pPr>
              <w:jc w:val="center"/>
              <w:rPr>
                <w:rFonts w:eastAsia="Times New Roman" w:cs="Arial"/>
                <w:b/>
                <w:bCs/>
                <w:color w:val="000000"/>
                <w:sz w:val="22"/>
              </w:rPr>
            </w:pPr>
            <w:r>
              <w:rPr>
                <w:rFonts w:eastAsia="Times New Roman" w:cs="Arial"/>
                <w:b/>
                <w:bCs/>
                <w:color w:val="000000"/>
                <w:sz w:val="22"/>
              </w:rPr>
              <w:t>Lower bound of 95% CI</w:t>
            </w:r>
          </w:p>
        </w:tc>
        <w:tc>
          <w:tcPr>
            <w:tcW w:w="1617" w:type="dxa"/>
            <w:tcBorders>
              <w:top w:val="single" w:sz="4" w:space="0" w:color="auto"/>
              <w:left w:val="single" w:sz="4" w:space="0" w:color="auto"/>
              <w:bottom w:val="single" w:sz="4" w:space="0" w:color="auto"/>
            </w:tcBorders>
            <w:shd w:val="clear" w:color="auto" w:fill="auto"/>
            <w:noWrap/>
            <w:vAlign w:val="bottom"/>
          </w:tcPr>
          <w:p w14:paraId="674BC578" w14:textId="77777777" w:rsidR="007F7BC7" w:rsidRPr="00F0556E" w:rsidRDefault="007F7BC7" w:rsidP="000F6575">
            <w:pPr>
              <w:jc w:val="center"/>
              <w:rPr>
                <w:rFonts w:eastAsia="Times New Roman" w:cs="Arial"/>
                <w:b/>
                <w:bCs/>
                <w:color w:val="000000"/>
                <w:sz w:val="22"/>
              </w:rPr>
            </w:pPr>
            <w:r>
              <w:rPr>
                <w:rFonts w:eastAsia="Times New Roman" w:cs="Arial"/>
                <w:b/>
                <w:bCs/>
                <w:color w:val="000000"/>
                <w:sz w:val="22"/>
              </w:rPr>
              <w:t>IRR</w:t>
            </w:r>
          </w:p>
        </w:tc>
        <w:tc>
          <w:tcPr>
            <w:tcW w:w="1618" w:type="dxa"/>
            <w:tcBorders>
              <w:top w:val="single" w:sz="4" w:space="0" w:color="auto"/>
              <w:bottom w:val="single" w:sz="4" w:space="0" w:color="auto"/>
              <w:right w:val="single" w:sz="4" w:space="0" w:color="auto"/>
            </w:tcBorders>
          </w:tcPr>
          <w:p w14:paraId="60E38381" w14:textId="77777777" w:rsidR="007F7BC7" w:rsidRDefault="007F7BC7" w:rsidP="000F6575">
            <w:pPr>
              <w:jc w:val="center"/>
              <w:rPr>
                <w:rFonts w:eastAsia="Times New Roman" w:cs="Arial"/>
                <w:b/>
                <w:bCs/>
                <w:color w:val="000000"/>
                <w:sz w:val="22"/>
              </w:rPr>
            </w:pPr>
            <w:r>
              <w:rPr>
                <w:rFonts w:eastAsia="Times New Roman" w:cs="Arial"/>
                <w:b/>
                <w:bCs/>
                <w:color w:val="000000"/>
                <w:sz w:val="22"/>
              </w:rPr>
              <w:t>Lower bound of 95% CI</w:t>
            </w:r>
          </w:p>
        </w:tc>
      </w:tr>
      <w:tr w:rsidR="007F7BC7" w:rsidRPr="007A299A" w14:paraId="3B75EBAD" w14:textId="77777777" w:rsidTr="00BA2317">
        <w:trPr>
          <w:trHeight w:val="20"/>
        </w:trPr>
        <w:tc>
          <w:tcPr>
            <w:tcW w:w="2547" w:type="dxa"/>
            <w:tcBorders>
              <w:top w:val="nil"/>
              <w:left w:val="single" w:sz="4" w:space="0" w:color="auto"/>
              <w:bottom w:val="nil"/>
              <w:right w:val="single" w:sz="4" w:space="0" w:color="auto"/>
            </w:tcBorders>
            <w:shd w:val="clear" w:color="auto" w:fill="auto"/>
            <w:noWrap/>
            <w:vAlign w:val="bottom"/>
            <w:hideMark/>
          </w:tcPr>
          <w:p w14:paraId="05896A9B" w14:textId="77777777" w:rsidR="007F7BC7" w:rsidRPr="007A299A" w:rsidRDefault="007F7BC7" w:rsidP="000F6575">
            <w:pPr>
              <w:rPr>
                <w:rFonts w:eastAsia="Times New Roman" w:cs="Arial"/>
                <w:b/>
                <w:bCs/>
                <w:color w:val="000000"/>
                <w:sz w:val="22"/>
              </w:rPr>
            </w:pPr>
            <w:r w:rsidRPr="007A299A">
              <w:rPr>
                <w:rFonts w:eastAsia="Times New Roman" w:cs="Arial"/>
                <w:b/>
                <w:bCs/>
                <w:color w:val="000000"/>
                <w:sz w:val="22"/>
              </w:rPr>
              <w:t>Composite</w:t>
            </w:r>
          </w:p>
        </w:tc>
        <w:tc>
          <w:tcPr>
            <w:tcW w:w="1617" w:type="dxa"/>
            <w:tcBorders>
              <w:top w:val="nil"/>
              <w:left w:val="single" w:sz="4" w:space="0" w:color="auto"/>
              <w:bottom w:val="nil"/>
            </w:tcBorders>
            <w:shd w:val="clear" w:color="auto" w:fill="auto"/>
            <w:noWrap/>
            <w:vAlign w:val="bottom"/>
            <w:hideMark/>
          </w:tcPr>
          <w:p w14:paraId="03CB8272" w14:textId="77777777" w:rsidR="007F7BC7" w:rsidRPr="007A299A" w:rsidRDefault="007F7BC7" w:rsidP="000F6575">
            <w:pPr>
              <w:jc w:val="center"/>
              <w:rPr>
                <w:rFonts w:eastAsia="Times New Roman" w:cs="Arial"/>
                <w:b/>
                <w:bCs/>
                <w:color w:val="000000"/>
                <w:sz w:val="22"/>
              </w:rPr>
            </w:pPr>
            <w:r w:rsidRPr="007A299A">
              <w:rPr>
                <w:rFonts w:eastAsia="Times New Roman" w:cs="Arial"/>
                <w:b/>
                <w:bCs/>
                <w:color w:val="000000"/>
                <w:sz w:val="22"/>
              </w:rPr>
              <w:t> </w:t>
            </w:r>
          </w:p>
        </w:tc>
        <w:tc>
          <w:tcPr>
            <w:tcW w:w="1617" w:type="dxa"/>
            <w:tcBorders>
              <w:top w:val="nil"/>
              <w:bottom w:val="nil"/>
              <w:right w:val="single" w:sz="4" w:space="0" w:color="auto"/>
            </w:tcBorders>
          </w:tcPr>
          <w:p w14:paraId="3158037E" w14:textId="77777777" w:rsidR="007F7BC7" w:rsidRPr="007A299A" w:rsidRDefault="007F7BC7" w:rsidP="000F6575">
            <w:pPr>
              <w:jc w:val="center"/>
              <w:rPr>
                <w:rFonts w:eastAsia="Times New Roman" w:cs="Arial"/>
                <w:b/>
                <w:bCs/>
                <w:color w:val="000000"/>
                <w:sz w:val="22"/>
              </w:rPr>
            </w:pPr>
          </w:p>
        </w:tc>
        <w:tc>
          <w:tcPr>
            <w:tcW w:w="1617" w:type="dxa"/>
            <w:tcBorders>
              <w:top w:val="nil"/>
              <w:left w:val="single" w:sz="4" w:space="0" w:color="auto"/>
              <w:bottom w:val="nil"/>
            </w:tcBorders>
            <w:shd w:val="clear" w:color="auto" w:fill="auto"/>
            <w:noWrap/>
            <w:vAlign w:val="bottom"/>
            <w:hideMark/>
          </w:tcPr>
          <w:p w14:paraId="188AB578" w14:textId="77777777" w:rsidR="007F7BC7" w:rsidRPr="007A299A" w:rsidRDefault="007F7BC7" w:rsidP="000F6575">
            <w:pPr>
              <w:jc w:val="center"/>
              <w:rPr>
                <w:rFonts w:eastAsia="Times New Roman" w:cs="Arial"/>
                <w:b/>
                <w:bCs/>
                <w:color w:val="000000"/>
                <w:sz w:val="22"/>
              </w:rPr>
            </w:pPr>
            <w:r w:rsidRPr="007A299A">
              <w:rPr>
                <w:rFonts w:eastAsia="Times New Roman" w:cs="Arial"/>
                <w:b/>
                <w:bCs/>
                <w:color w:val="000000"/>
                <w:sz w:val="22"/>
              </w:rPr>
              <w:t> </w:t>
            </w:r>
          </w:p>
        </w:tc>
        <w:tc>
          <w:tcPr>
            <w:tcW w:w="1618" w:type="dxa"/>
            <w:tcBorders>
              <w:top w:val="nil"/>
              <w:bottom w:val="nil"/>
              <w:right w:val="single" w:sz="4" w:space="0" w:color="auto"/>
            </w:tcBorders>
          </w:tcPr>
          <w:p w14:paraId="1C607504" w14:textId="77777777" w:rsidR="007F7BC7" w:rsidRPr="007A299A" w:rsidRDefault="007F7BC7" w:rsidP="000F6575">
            <w:pPr>
              <w:jc w:val="center"/>
              <w:rPr>
                <w:rFonts w:eastAsia="Times New Roman" w:cs="Arial"/>
                <w:b/>
                <w:bCs/>
                <w:color w:val="000000"/>
                <w:sz w:val="22"/>
              </w:rPr>
            </w:pPr>
          </w:p>
        </w:tc>
      </w:tr>
      <w:tr w:rsidR="007F7BC7" w:rsidRPr="00F0556E" w14:paraId="357981CF"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35DF21CB" w14:textId="77777777" w:rsidR="007F7BC7" w:rsidRPr="00F0556E" w:rsidRDefault="007F7BC7" w:rsidP="000F6575">
            <w:pPr>
              <w:ind w:firstLineChars="100" w:firstLine="220"/>
              <w:jc w:val="both"/>
              <w:rPr>
                <w:rFonts w:eastAsia="Times New Roman" w:cs="Arial"/>
                <w:color w:val="000000"/>
                <w:sz w:val="22"/>
              </w:rPr>
            </w:pPr>
            <w:r w:rsidRPr="00F0556E">
              <w:rPr>
                <w:sz w:val="22"/>
              </w:rPr>
              <w:t>5-1 days before</w:t>
            </w:r>
          </w:p>
        </w:tc>
        <w:tc>
          <w:tcPr>
            <w:tcW w:w="1617" w:type="dxa"/>
            <w:tcBorders>
              <w:top w:val="nil"/>
              <w:left w:val="single" w:sz="4" w:space="0" w:color="auto"/>
              <w:bottom w:val="nil"/>
            </w:tcBorders>
            <w:shd w:val="clear" w:color="auto" w:fill="auto"/>
            <w:noWrap/>
            <w:vAlign w:val="bottom"/>
          </w:tcPr>
          <w:p w14:paraId="4C202955" w14:textId="77777777" w:rsidR="007F7BC7" w:rsidRPr="00C22DAB" w:rsidRDefault="007F7BC7" w:rsidP="000F6575">
            <w:pPr>
              <w:jc w:val="center"/>
              <w:rPr>
                <w:rFonts w:eastAsia="Times New Roman" w:cs="Arial"/>
                <w:color w:val="000000"/>
                <w:sz w:val="22"/>
              </w:rPr>
            </w:pPr>
            <w:r w:rsidRPr="00C22DAB">
              <w:rPr>
                <w:rFonts w:eastAsia="Times New Roman" w:cs="Arial"/>
                <w:color w:val="000000"/>
                <w:sz w:val="22"/>
              </w:rPr>
              <w:t>9.01</w:t>
            </w:r>
          </w:p>
        </w:tc>
        <w:tc>
          <w:tcPr>
            <w:tcW w:w="1617" w:type="dxa"/>
            <w:tcBorders>
              <w:top w:val="nil"/>
              <w:bottom w:val="nil"/>
              <w:right w:val="single" w:sz="4" w:space="0" w:color="auto"/>
            </w:tcBorders>
          </w:tcPr>
          <w:p w14:paraId="08DE91C0" w14:textId="77777777" w:rsidR="007F7BC7" w:rsidRDefault="007F7BC7" w:rsidP="000F6575">
            <w:pPr>
              <w:jc w:val="center"/>
              <w:rPr>
                <w:rFonts w:eastAsia="Times New Roman" w:cs="Arial"/>
                <w:color w:val="000000"/>
                <w:sz w:val="22"/>
              </w:rPr>
            </w:pPr>
            <w:r>
              <w:rPr>
                <w:rFonts w:eastAsia="Times New Roman" w:cs="Arial"/>
                <w:color w:val="000000"/>
                <w:sz w:val="22"/>
              </w:rPr>
              <w:t>5.85</w:t>
            </w:r>
          </w:p>
        </w:tc>
        <w:tc>
          <w:tcPr>
            <w:tcW w:w="1617" w:type="dxa"/>
            <w:tcBorders>
              <w:top w:val="nil"/>
              <w:left w:val="single" w:sz="4" w:space="0" w:color="auto"/>
              <w:bottom w:val="nil"/>
            </w:tcBorders>
            <w:shd w:val="clear" w:color="auto" w:fill="auto"/>
            <w:noWrap/>
            <w:vAlign w:val="bottom"/>
          </w:tcPr>
          <w:p w14:paraId="5D8A2D7E"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6.88</w:t>
            </w:r>
          </w:p>
        </w:tc>
        <w:tc>
          <w:tcPr>
            <w:tcW w:w="1618" w:type="dxa"/>
            <w:tcBorders>
              <w:top w:val="nil"/>
              <w:bottom w:val="nil"/>
              <w:right w:val="single" w:sz="4" w:space="0" w:color="auto"/>
            </w:tcBorders>
          </w:tcPr>
          <w:p w14:paraId="19002433" w14:textId="77777777" w:rsidR="007F7BC7" w:rsidRDefault="007F7BC7" w:rsidP="000F6575">
            <w:pPr>
              <w:jc w:val="center"/>
              <w:rPr>
                <w:rFonts w:eastAsia="Times New Roman" w:cs="Arial"/>
                <w:color w:val="000000"/>
                <w:sz w:val="22"/>
              </w:rPr>
            </w:pPr>
            <w:r>
              <w:rPr>
                <w:rFonts w:eastAsia="Times New Roman" w:cs="Arial"/>
                <w:color w:val="000000"/>
                <w:sz w:val="22"/>
              </w:rPr>
              <w:t>4.44</w:t>
            </w:r>
          </w:p>
        </w:tc>
      </w:tr>
      <w:tr w:rsidR="007F7BC7" w:rsidRPr="00F0556E" w14:paraId="5D8AD14A"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1175AE68" w14:textId="77777777" w:rsidR="007F7BC7" w:rsidRPr="00F0556E" w:rsidRDefault="007F7BC7" w:rsidP="000F6575">
            <w:pPr>
              <w:ind w:firstLineChars="100" w:firstLine="220"/>
              <w:jc w:val="both"/>
              <w:rPr>
                <w:rFonts w:eastAsia="Times New Roman" w:cs="Arial"/>
                <w:color w:val="000000"/>
                <w:sz w:val="22"/>
              </w:rPr>
            </w:pPr>
            <w:r w:rsidRPr="00F0556E">
              <w:rPr>
                <w:sz w:val="22"/>
              </w:rPr>
              <w:t>0-7 days after</w:t>
            </w:r>
          </w:p>
        </w:tc>
        <w:tc>
          <w:tcPr>
            <w:tcW w:w="1617" w:type="dxa"/>
            <w:tcBorders>
              <w:top w:val="nil"/>
              <w:left w:val="single" w:sz="4" w:space="0" w:color="auto"/>
              <w:bottom w:val="nil"/>
            </w:tcBorders>
            <w:shd w:val="clear" w:color="auto" w:fill="auto"/>
            <w:noWrap/>
            <w:vAlign w:val="bottom"/>
          </w:tcPr>
          <w:p w14:paraId="6AB074D7"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23.51</w:t>
            </w:r>
          </w:p>
        </w:tc>
        <w:tc>
          <w:tcPr>
            <w:tcW w:w="1617" w:type="dxa"/>
            <w:tcBorders>
              <w:top w:val="nil"/>
              <w:bottom w:val="nil"/>
              <w:right w:val="single" w:sz="4" w:space="0" w:color="auto"/>
            </w:tcBorders>
          </w:tcPr>
          <w:p w14:paraId="0E7F4AA1" w14:textId="77777777" w:rsidR="007F7BC7" w:rsidRDefault="007F7BC7" w:rsidP="000F6575">
            <w:pPr>
              <w:jc w:val="center"/>
              <w:rPr>
                <w:rFonts w:eastAsia="Times New Roman" w:cs="Arial"/>
                <w:color w:val="000000"/>
                <w:sz w:val="22"/>
              </w:rPr>
            </w:pPr>
            <w:r>
              <w:rPr>
                <w:rFonts w:eastAsia="Times New Roman" w:cs="Arial"/>
                <w:color w:val="000000"/>
                <w:sz w:val="22"/>
              </w:rPr>
              <w:t>19.31</w:t>
            </w:r>
          </w:p>
        </w:tc>
        <w:tc>
          <w:tcPr>
            <w:tcW w:w="1617" w:type="dxa"/>
            <w:tcBorders>
              <w:top w:val="nil"/>
              <w:left w:val="single" w:sz="4" w:space="0" w:color="auto"/>
              <w:bottom w:val="nil"/>
            </w:tcBorders>
            <w:shd w:val="clear" w:color="auto" w:fill="auto"/>
            <w:noWrap/>
            <w:vAlign w:val="bottom"/>
          </w:tcPr>
          <w:p w14:paraId="445EB2E4"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10.88</w:t>
            </w:r>
          </w:p>
        </w:tc>
        <w:tc>
          <w:tcPr>
            <w:tcW w:w="1618" w:type="dxa"/>
            <w:tcBorders>
              <w:top w:val="nil"/>
              <w:bottom w:val="nil"/>
              <w:right w:val="single" w:sz="4" w:space="0" w:color="auto"/>
            </w:tcBorders>
          </w:tcPr>
          <w:p w14:paraId="0001BBB5" w14:textId="77777777" w:rsidR="007F7BC7" w:rsidRDefault="007F7BC7" w:rsidP="000F6575">
            <w:pPr>
              <w:jc w:val="center"/>
              <w:rPr>
                <w:rFonts w:eastAsia="Times New Roman" w:cs="Arial"/>
                <w:color w:val="000000"/>
                <w:sz w:val="22"/>
              </w:rPr>
            </w:pPr>
            <w:r>
              <w:rPr>
                <w:rFonts w:eastAsia="Times New Roman" w:cs="Arial"/>
                <w:color w:val="000000"/>
                <w:sz w:val="22"/>
              </w:rPr>
              <w:t>8.91</w:t>
            </w:r>
          </w:p>
        </w:tc>
      </w:tr>
      <w:tr w:rsidR="007F7BC7" w:rsidRPr="00F0556E" w14:paraId="665D7251" w14:textId="77777777" w:rsidTr="00BA2317">
        <w:trPr>
          <w:trHeight w:val="68"/>
        </w:trPr>
        <w:tc>
          <w:tcPr>
            <w:tcW w:w="2547" w:type="dxa"/>
            <w:tcBorders>
              <w:top w:val="nil"/>
              <w:left w:val="single" w:sz="4" w:space="0" w:color="auto"/>
              <w:bottom w:val="nil"/>
              <w:right w:val="single" w:sz="4" w:space="0" w:color="auto"/>
            </w:tcBorders>
            <w:shd w:val="clear" w:color="auto" w:fill="auto"/>
            <w:noWrap/>
            <w:hideMark/>
          </w:tcPr>
          <w:p w14:paraId="318BE91D" w14:textId="77777777" w:rsidR="007F7BC7" w:rsidRPr="00F0556E" w:rsidRDefault="007F7BC7" w:rsidP="000F6575">
            <w:pPr>
              <w:ind w:firstLineChars="100" w:firstLine="220"/>
              <w:jc w:val="both"/>
              <w:rPr>
                <w:rFonts w:eastAsia="Times New Roman" w:cs="Arial"/>
                <w:color w:val="000000"/>
                <w:sz w:val="22"/>
              </w:rPr>
            </w:pPr>
            <w:r w:rsidRPr="00F0556E">
              <w:rPr>
                <w:sz w:val="22"/>
              </w:rPr>
              <w:t>8-28 days after</w:t>
            </w:r>
          </w:p>
        </w:tc>
        <w:tc>
          <w:tcPr>
            <w:tcW w:w="1617" w:type="dxa"/>
            <w:tcBorders>
              <w:top w:val="nil"/>
              <w:left w:val="single" w:sz="4" w:space="0" w:color="auto"/>
              <w:bottom w:val="nil"/>
            </w:tcBorders>
            <w:shd w:val="clear" w:color="auto" w:fill="auto"/>
            <w:noWrap/>
            <w:vAlign w:val="bottom"/>
          </w:tcPr>
          <w:p w14:paraId="5F7ACE15"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5.09</w:t>
            </w:r>
          </w:p>
        </w:tc>
        <w:tc>
          <w:tcPr>
            <w:tcW w:w="1617" w:type="dxa"/>
            <w:tcBorders>
              <w:top w:val="nil"/>
              <w:bottom w:val="nil"/>
              <w:right w:val="single" w:sz="4" w:space="0" w:color="auto"/>
            </w:tcBorders>
          </w:tcPr>
          <w:p w14:paraId="0540DF96" w14:textId="77777777" w:rsidR="007F7BC7" w:rsidRDefault="007F7BC7" w:rsidP="000F6575">
            <w:pPr>
              <w:jc w:val="center"/>
              <w:rPr>
                <w:rFonts w:eastAsia="Times New Roman" w:cs="Arial"/>
                <w:color w:val="000000"/>
                <w:sz w:val="22"/>
              </w:rPr>
            </w:pPr>
            <w:r>
              <w:rPr>
                <w:rFonts w:eastAsia="Times New Roman" w:cs="Arial"/>
                <w:color w:val="000000"/>
                <w:sz w:val="22"/>
              </w:rPr>
              <w:t>3.74</w:t>
            </w:r>
          </w:p>
        </w:tc>
        <w:tc>
          <w:tcPr>
            <w:tcW w:w="1617" w:type="dxa"/>
            <w:tcBorders>
              <w:top w:val="nil"/>
              <w:left w:val="single" w:sz="4" w:space="0" w:color="auto"/>
              <w:bottom w:val="nil"/>
            </w:tcBorders>
            <w:shd w:val="clear" w:color="auto" w:fill="auto"/>
            <w:noWrap/>
            <w:vAlign w:val="bottom"/>
          </w:tcPr>
          <w:p w14:paraId="24CE3CCF"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2.54</w:t>
            </w:r>
          </w:p>
        </w:tc>
        <w:tc>
          <w:tcPr>
            <w:tcW w:w="1618" w:type="dxa"/>
            <w:tcBorders>
              <w:top w:val="nil"/>
              <w:bottom w:val="nil"/>
              <w:right w:val="single" w:sz="4" w:space="0" w:color="auto"/>
            </w:tcBorders>
          </w:tcPr>
          <w:p w14:paraId="16FF9756" w14:textId="77777777" w:rsidR="007F7BC7" w:rsidRDefault="007F7BC7" w:rsidP="000F6575">
            <w:pPr>
              <w:jc w:val="center"/>
              <w:rPr>
                <w:rFonts w:eastAsia="Times New Roman" w:cs="Arial"/>
                <w:color w:val="000000"/>
                <w:sz w:val="22"/>
              </w:rPr>
            </w:pPr>
            <w:r>
              <w:rPr>
                <w:rFonts w:eastAsia="Times New Roman" w:cs="Arial"/>
                <w:color w:val="000000"/>
                <w:sz w:val="22"/>
              </w:rPr>
              <w:t>1.22</w:t>
            </w:r>
          </w:p>
        </w:tc>
      </w:tr>
      <w:tr w:rsidR="007F7BC7" w:rsidRPr="00F0556E" w14:paraId="2496A474"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29F7707C" w14:textId="77777777" w:rsidR="007F7BC7" w:rsidRPr="00F0556E" w:rsidRDefault="007F7BC7" w:rsidP="000F6575">
            <w:pPr>
              <w:ind w:firstLineChars="100" w:firstLine="220"/>
              <w:jc w:val="both"/>
              <w:rPr>
                <w:rFonts w:eastAsia="Times New Roman" w:cs="Arial"/>
                <w:color w:val="000000"/>
                <w:sz w:val="22"/>
              </w:rPr>
            </w:pPr>
            <w:r w:rsidRPr="00F0556E">
              <w:rPr>
                <w:sz w:val="22"/>
              </w:rPr>
              <w:t>28-56 days after</w:t>
            </w:r>
          </w:p>
        </w:tc>
        <w:tc>
          <w:tcPr>
            <w:tcW w:w="1617" w:type="dxa"/>
            <w:tcBorders>
              <w:top w:val="nil"/>
              <w:left w:val="single" w:sz="4" w:space="0" w:color="auto"/>
              <w:bottom w:val="nil"/>
            </w:tcBorders>
            <w:shd w:val="clear" w:color="auto" w:fill="auto"/>
            <w:noWrap/>
            <w:vAlign w:val="bottom"/>
          </w:tcPr>
          <w:p w14:paraId="14A2FD79"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4.03</w:t>
            </w:r>
          </w:p>
        </w:tc>
        <w:tc>
          <w:tcPr>
            <w:tcW w:w="1617" w:type="dxa"/>
            <w:tcBorders>
              <w:top w:val="nil"/>
              <w:bottom w:val="nil"/>
              <w:right w:val="single" w:sz="4" w:space="0" w:color="auto"/>
            </w:tcBorders>
          </w:tcPr>
          <w:p w14:paraId="4BE2B5D1" w14:textId="77777777" w:rsidR="007F7BC7" w:rsidRDefault="007F7BC7" w:rsidP="000F6575">
            <w:pPr>
              <w:jc w:val="center"/>
              <w:rPr>
                <w:rFonts w:eastAsia="Times New Roman" w:cs="Arial"/>
                <w:color w:val="000000"/>
                <w:sz w:val="22"/>
              </w:rPr>
            </w:pPr>
            <w:r>
              <w:rPr>
                <w:rFonts w:eastAsia="Times New Roman" w:cs="Arial"/>
                <w:color w:val="000000"/>
                <w:sz w:val="22"/>
              </w:rPr>
              <w:t>2.94</w:t>
            </w:r>
          </w:p>
        </w:tc>
        <w:tc>
          <w:tcPr>
            <w:tcW w:w="1617" w:type="dxa"/>
            <w:tcBorders>
              <w:top w:val="nil"/>
              <w:left w:val="single" w:sz="4" w:space="0" w:color="auto"/>
              <w:bottom w:val="nil"/>
            </w:tcBorders>
            <w:shd w:val="clear" w:color="auto" w:fill="auto"/>
            <w:noWrap/>
            <w:vAlign w:val="bottom"/>
          </w:tcPr>
          <w:p w14:paraId="5365E8DE"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2.45</w:t>
            </w:r>
          </w:p>
        </w:tc>
        <w:tc>
          <w:tcPr>
            <w:tcW w:w="1618" w:type="dxa"/>
            <w:tcBorders>
              <w:top w:val="nil"/>
              <w:bottom w:val="nil"/>
              <w:right w:val="single" w:sz="4" w:space="0" w:color="auto"/>
            </w:tcBorders>
          </w:tcPr>
          <w:p w14:paraId="07A3739B" w14:textId="77777777" w:rsidR="007F7BC7" w:rsidRDefault="007F7BC7" w:rsidP="000F6575">
            <w:pPr>
              <w:jc w:val="center"/>
              <w:rPr>
                <w:rFonts w:eastAsia="Times New Roman" w:cs="Arial"/>
                <w:color w:val="000000"/>
                <w:sz w:val="22"/>
              </w:rPr>
            </w:pPr>
            <w:r>
              <w:rPr>
                <w:rFonts w:eastAsia="Times New Roman" w:cs="Arial"/>
                <w:color w:val="000000"/>
                <w:sz w:val="22"/>
              </w:rPr>
              <w:t>1.71</w:t>
            </w:r>
          </w:p>
        </w:tc>
      </w:tr>
      <w:tr w:rsidR="007F7BC7" w:rsidRPr="007A299A" w14:paraId="7A2F5E33" w14:textId="77777777" w:rsidTr="00BA2317">
        <w:trPr>
          <w:trHeight w:val="20"/>
        </w:trPr>
        <w:tc>
          <w:tcPr>
            <w:tcW w:w="2547" w:type="dxa"/>
            <w:tcBorders>
              <w:top w:val="nil"/>
              <w:left w:val="single" w:sz="4" w:space="0" w:color="auto"/>
              <w:bottom w:val="nil"/>
              <w:right w:val="single" w:sz="4" w:space="0" w:color="auto"/>
            </w:tcBorders>
            <w:shd w:val="clear" w:color="auto" w:fill="auto"/>
            <w:noWrap/>
            <w:vAlign w:val="bottom"/>
            <w:hideMark/>
          </w:tcPr>
          <w:p w14:paraId="422FB0E2" w14:textId="77777777" w:rsidR="007F7BC7" w:rsidRPr="007A299A" w:rsidRDefault="007F7BC7" w:rsidP="000F6575">
            <w:pPr>
              <w:rPr>
                <w:rFonts w:eastAsia="Times New Roman" w:cs="Arial"/>
                <w:b/>
                <w:bCs/>
                <w:color w:val="000000"/>
                <w:sz w:val="22"/>
              </w:rPr>
            </w:pPr>
            <w:r w:rsidRPr="007A299A">
              <w:rPr>
                <w:rFonts w:eastAsia="Times New Roman" w:cs="Arial"/>
                <w:b/>
                <w:bCs/>
                <w:color w:val="000000"/>
                <w:sz w:val="22"/>
              </w:rPr>
              <w:t>Myocardial infarction</w:t>
            </w:r>
          </w:p>
        </w:tc>
        <w:tc>
          <w:tcPr>
            <w:tcW w:w="1617" w:type="dxa"/>
            <w:tcBorders>
              <w:top w:val="nil"/>
              <w:left w:val="single" w:sz="4" w:space="0" w:color="auto"/>
              <w:bottom w:val="nil"/>
            </w:tcBorders>
            <w:shd w:val="clear" w:color="auto" w:fill="auto"/>
            <w:noWrap/>
            <w:vAlign w:val="bottom"/>
          </w:tcPr>
          <w:p w14:paraId="3AA1B787" w14:textId="77777777" w:rsidR="007F7BC7" w:rsidRPr="00C22DAB" w:rsidRDefault="007F7BC7" w:rsidP="000F6575">
            <w:pPr>
              <w:jc w:val="center"/>
              <w:rPr>
                <w:rFonts w:eastAsia="Times New Roman" w:cs="Arial"/>
                <w:color w:val="000000"/>
                <w:sz w:val="22"/>
              </w:rPr>
            </w:pPr>
          </w:p>
        </w:tc>
        <w:tc>
          <w:tcPr>
            <w:tcW w:w="1617" w:type="dxa"/>
            <w:tcBorders>
              <w:top w:val="nil"/>
              <w:bottom w:val="nil"/>
              <w:right w:val="single" w:sz="4" w:space="0" w:color="auto"/>
            </w:tcBorders>
          </w:tcPr>
          <w:p w14:paraId="690A7F52" w14:textId="77777777" w:rsidR="007F7BC7" w:rsidRPr="00C22DAB" w:rsidRDefault="007F7BC7" w:rsidP="000F6575">
            <w:pPr>
              <w:jc w:val="center"/>
              <w:rPr>
                <w:rFonts w:eastAsia="Times New Roman" w:cs="Arial"/>
                <w:color w:val="000000"/>
                <w:sz w:val="22"/>
              </w:rPr>
            </w:pPr>
          </w:p>
        </w:tc>
        <w:tc>
          <w:tcPr>
            <w:tcW w:w="1617" w:type="dxa"/>
            <w:tcBorders>
              <w:top w:val="nil"/>
              <w:left w:val="single" w:sz="4" w:space="0" w:color="auto"/>
              <w:bottom w:val="nil"/>
            </w:tcBorders>
            <w:shd w:val="clear" w:color="auto" w:fill="auto"/>
            <w:noWrap/>
            <w:vAlign w:val="bottom"/>
          </w:tcPr>
          <w:p w14:paraId="52C35F5B" w14:textId="77777777" w:rsidR="007F7BC7" w:rsidRPr="00C22DAB" w:rsidRDefault="007F7BC7" w:rsidP="000F6575">
            <w:pPr>
              <w:jc w:val="center"/>
              <w:rPr>
                <w:rFonts w:eastAsia="Times New Roman" w:cs="Arial"/>
                <w:color w:val="000000"/>
                <w:sz w:val="22"/>
              </w:rPr>
            </w:pPr>
          </w:p>
        </w:tc>
        <w:tc>
          <w:tcPr>
            <w:tcW w:w="1618" w:type="dxa"/>
            <w:tcBorders>
              <w:top w:val="nil"/>
              <w:bottom w:val="nil"/>
              <w:right w:val="single" w:sz="4" w:space="0" w:color="auto"/>
            </w:tcBorders>
          </w:tcPr>
          <w:p w14:paraId="2C2DF57C" w14:textId="77777777" w:rsidR="007F7BC7" w:rsidRPr="00C22DAB" w:rsidRDefault="007F7BC7" w:rsidP="000F6575">
            <w:pPr>
              <w:jc w:val="center"/>
              <w:rPr>
                <w:rFonts w:eastAsia="Times New Roman" w:cs="Arial"/>
                <w:color w:val="000000"/>
                <w:sz w:val="22"/>
              </w:rPr>
            </w:pPr>
          </w:p>
        </w:tc>
      </w:tr>
      <w:tr w:rsidR="007F7BC7" w:rsidRPr="00F0556E" w14:paraId="406CEFB3"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063DC7A9" w14:textId="77777777" w:rsidR="007F7BC7" w:rsidRPr="00F0556E" w:rsidRDefault="007F7BC7" w:rsidP="000F6575">
            <w:pPr>
              <w:ind w:firstLineChars="100" w:firstLine="220"/>
              <w:rPr>
                <w:rFonts w:eastAsia="Times New Roman" w:cs="Arial"/>
                <w:color w:val="000000"/>
                <w:sz w:val="22"/>
              </w:rPr>
            </w:pPr>
            <w:r w:rsidRPr="00F0556E">
              <w:rPr>
                <w:sz w:val="22"/>
              </w:rPr>
              <w:t>5-1 days before</w:t>
            </w:r>
          </w:p>
        </w:tc>
        <w:tc>
          <w:tcPr>
            <w:tcW w:w="1617" w:type="dxa"/>
            <w:tcBorders>
              <w:top w:val="nil"/>
              <w:left w:val="single" w:sz="4" w:space="0" w:color="auto"/>
              <w:bottom w:val="nil"/>
            </w:tcBorders>
            <w:shd w:val="clear" w:color="auto" w:fill="auto"/>
            <w:noWrap/>
            <w:vAlign w:val="bottom"/>
          </w:tcPr>
          <w:p w14:paraId="0B215F10"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9.77</w:t>
            </w:r>
          </w:p>
        </w:tc>
        <w:tc>
          <w:tcPr>
            <w:tcW w:w="1617" w:type="dxa"/>
            <w:tcBorders>
              <w:top w:val="nil"/>
              <w:bottom w:val="nil"/>
              <w:right w:val="single" w:sz="4" w:space="0" w:color="auto"/>
            </w:tcBorders>
          </w:tcPr>
          <w:p w14:paraId="1A4892ED" w14:textId="77777777" w:rsidR="007F7BC7" w:rsidRDefault="007F7BC7" w:rsidP="000F6575">
            <w:pPr>
              <w:jc w:val="center"/>
              <w:rPr>
                <w:rFonts w:eastAsia="Times New Roman" w:cs="Arial"/>
                <w:color w:val="000000"/>
                <w:sz w:val="22"/>
              </w:rPr>
            </w:pPr>
            <w:r>
              <w:rPr>
                <w:rFonts w:eastAsia="Times New Roman" w:cs="Arial"/>
                <w:color w:val="000000"/>
                <w:sz w:val="22"/>
              </w:rPr>
              <w:t>4.52</w:t>
            </w:r>
          </w:p>
        </w:tc>
        <w:tc>
          <w:tcPr>
            <w:tcW w:w="1617" w:type="dxa"/>
            <w:tcBorders>
              <w:top w:val="nil"/>
              <w:left w:val="single" w:sz="4" w:space="0" w:color="auto"/>
              <w:bottom w:val="nil"/>
            </w:tcBorders>
            <w:shd w:val="clear" w:color="auto" w:fill="auto"/>
            <w:noWrap/>
            <w:vAlign w:val="bottom"/>
          </w:tcPr>
          <w:p w14:paraId="6D3944B8"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7.04</w:t>
            </w:r>
          </w:p>
        </w:tc>
        <w:tc>
          <w:tcPr>
            <w:tcW w:w="1618" w:type="dxa"/>
            <w:tcBorders>
              <w:top w:val="nil"/>
              <w:bottom w:val="nil"/>
              <w:right w:val="single" w:sz="4" w:space="0" w:color="auto"/>
            </w:tcBorders>
          </w:tcPr>
          <w:p w14:paraId="490E30A4" w14:textId="77777777" w:rsidR="007F7BC7" w:rsidRDefault="007F7BC7" w:rsidP="000F6575">
            <w:pPr>
              <w:jc w:val="center"/>
              <w:rPr>
                <w:rFonts w:eastAsia="Times New Roman" w:cs="Arial"/>
                <w:color w:val="000000"/>
                <w:sz w:val="22"/>
              </w:rPr>
            </w:pPr>
            <w:r>
              <w:rPr>
                <w:rFonts w:eastAsia="Times New Roman" w:cs="Arial"/>
                <w:color w:val="000000"/>
                <w:sz w:val="22"/>
              </w:rPr>
              <w:t>3.12</w:t>
            </w:r>
          </w:p>
        </w:tc>
      </w:tr>
      <w:tr w:rsidR="007F7BC7" w:rsidRPr="00F0556E" w14:paraId="06B9BD63"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2E3483FD" w14:textId="77777777" w:rsidR="007F7BC7" w:rsidRPr="00F0556E" w:rsidRDefault="007F7BC7" w:rsidP="000F6575">
            <w:pPr>
              <w:ind w:firstLine="218"/>
              <w:rPr>
                <w:rFonts w:eastAsia="Times New Roman" w:cs="Arial"/>
                <w:color w:val="000000"/>
                <w:sz w:val="22"/>
              </w:rPr>
            </w:pPr>
            <w:r w:rsidRPr="00F0556E">
              <w:rPr>
                <w:sz w:val="22"/>
              </w:rPr>
              <w:t>0-7 days after</w:t>
            </w:r>
          </w:p>
        </w:tc>
        <w:tc>
          <w:tcPr>
            <w:tcW w:w="1617" w:type="dxa"/>
            <w:tcBorders>
              <w:top w:val="nil"/>
              <w:left w:val="single" w:sz="4" w:space="0" w:color="auto"/>
              <w:bottom w:val="nil"/>
            </w:tcBorders>
            <w:shd w:val="clear" w:color="auto" w:fill="auto"/>
            <w:noWrap/>
            <w:vAlign w:val="bottom"/>
          </w:tcPr>
          <w:p w14:paraId="2FB85235"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9.79</w:t>
            </w:r>
          </w:p>
        </w:tc>
        <w:tc>
          <w:tcPr>
            <w:tcW w:w="1617" w:type="dxa"/>
            <w:tcBorders>
              <w:top w:val="nil"/>
              <w:bottom w:val="nil"/>
              <w:right w:val="single" w:sz="4" w:space="0" w:color="auto"/>
            </w:tcBorders>
          </w:tcPr>
          <w:p w14:paraId="4D36982A" w14:textId="77777777" w:rsidR="007F7BC7" w:rsidRDefault="007F7BC7" w:rsidP="000F6575">
            <w:pPr>
              <w:jc w:val="center"/>
              <w:rPr>
                <w:rFonts w:eastAsia="Times New Roman" w:cs="Arial"/>
                <w:color w:val="000000"/>
                <w:sz w:val="22"/>
              </w:rPr>
            </w:pPr>
            <w:r>
              <w:rPr>
                <w:rFonts w:eastAsia="Times New Roman" w:cs="Arial"/>
                <w:color w:val="000000"/>
                <w:sz w:val="22"/>
              </w:rPr>
              <w:t>5.53</w:t>
            </w:r>
          </w:p>
        </w:tc>
        <w:tc>
          <w:tcPr>
            <w:tcW w:w="1617" w:type="dxa"/>
            <w:tcBorders>
              <w:top w:val="nil"/>
              <w:left w:val="single" w:sz="4" w:space="0" w:color="auto"/>
              <w:bottom w:val="nil"/>
            </w:tcBorders>
            <w:shd w:val="clear" w:color="auto" w:fill="auto"/>
            <w:noWrap/>
            <w:vAlign w:val="bottom"/>
          </w:tcPr>
          <w:p w14:paraId="42786617"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3.37</w:t>
            </w:r>
          </w:p>
        </w:tc>
        <w:tc>
          <w:tcPr>
            <w:tcW w:w="1618" w:type="dxa"/>
            <w:tcBorders>
              <w:top w:val="nil"/>
              <w:bottom w:val="nil"/>
              <w:right w:val="single" w:sz="4" w:space="0" w:color="auto"/>
            </w:tcBorders>
          </w:tcPr>
          <w:p w14:paraId="1FF14A3D" w14:textId="77777777" w:rsidR="007F7BC7" w:rsidRDefault="007F7BC7" w:rsidP="000F6575">
            <w:pPr>
              <w:jc w:val="center"/>
              <w:rPr>
                <w:rFonts w:eastAsia="Times New Roman" w:cs="Arial"/>
                <w:color w:val="000000"/>
                <w:sz w:val="22"/>
              </w:rPr>
            </w:pPr>
            <w:r>
              <w:rPr>
                <w:rFonts w:eastAsia="Times New Roman" w:cs="Arial"/>
                <w:color w:val="000000"/>
                <w:sz w:val="22"/>
              </w:rPr>
              <w:t>1.76</w:t>
            </w:r>
          </w:p>
        </w:tc>
      </w:tr>
      <w:tr w:rsidR="007F7BC7" w:rsidRPr="00F0556E" w14:paraId="7713F4D1"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1EA32D6C" w14:textId="77777777" w:rsidR="007F7BC7" w:rsidRPr="00F0556E" w:rsidRDefault="007F7BC7" w:rsidP="000F6575">
            <w:pPr>
              <w:ind w:firstLineChars="100" w:firstLine="220"/>
              <w:rPr>
                <w:rFonts w:eastAsia="Times New Roman" w:cs="Arial"/>
                <w:color w:val="000000"/>
                <w:sz w:val="22"/>
              </w:rPr>
            </w:pPr>
            <w:r w:rsidRPr="00F0556E">
              <w:rPr>
                <w:sz w:val="22"/>
              </w:rPr>
              <w:t>8-28 days after</w:t>
            </w:r>
          </w:p>
        </w:tc>
        <w:tc>
          <w:tcPr>
            <w:tcW w:w="1617" w:type="dxa"/>
            <w:tcBorders>
              <w:top w:val="nil"/>
              <w:left w:val="single" w:sz="4" w:space="0" w:color="auto"/>
              <w:bottom w:val="nil"/>
            </w:tcBorders>
            <w:shd w:val="clear" w:color="auto" w:fill="auto"/>
            <w:noWrap/>
            <w:vAlign w:val="bottom"/>
          </w:tcPr>
          <w:p w14:paraId="75125362"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bottom w:val="nil"/>
              <w:right w:val="single" w:sz="4" w:space="0" w:color="auto"/>
            </w:tcBorders>
            <w:vAlign w:val="bottom"/>
          </w:tcPr>
          <w:p w14:paraId="5B15DDEC" w14:textId="77777777" w:rsidR="007F7BC7"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left w:val="single" w:sz="4" w:space="0" w:color="auto"/>
              <w:bottom w:val="nil"/>
            </w:tcBorders>
            <w:shd w:val="clear" w:color="auto" w:fill="auto"/>
            <w:noWrap/>
            <w:vAlign w:val="bottom"/>
          </w:tcPr>
          <w:p w14:paraId="70EF825E"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8" w:type="dxa"/>
            <w:tcBorders>
              <w:top w:val="nil"/>
              <w:bottom w:val="nil"/>
              <w:right w:val="single" w:sz="4" w:space="0" w:color="auto"/>
            </w:tcBorders>
            <w:vAlign w:val="bottom"/>
          </w:tcPr>
          <w:p w14:paraId="2F6955F9" w14:textId="77777777" w:rsidR="007F7BC7" w:rsidRDefault="007F7BC7" w:rsidP="000F6575">
            <w:pPr>
              <w:jc w:val="center"/>
              <w:rPr>
                <w:rFonts w:eastAsia="Times New Roman" w:cs="Arial"/>
                <w:color w:val="000000"/>
                <w:sz w:val="22"/>
              </w:rPr>
            </w:pPr>
            <w:r>
              <w:rPr>
                <w:rFonts w:eastAsia="Times New Roman" w:cs="Arial"/>
                <w:color w:val="000000"/>
                <w:sz w:val="22"/>
              </w:rPr>
              <w:t>-</w:t>
            </w:r>
          </w:p>
        </w:tc>
      </w:tr>
      <w:tr w:rsidR="007F7BC7" w:rsidRPr="00F0556E" w14:paraId="55626311"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53A3DB14" w14:textId="77777777" w:rsidR="007F7BC7" w:rsidRPr="00F0556E" w:rsidRDefault="007F7BC7" w:rsidP="000F6575">
            <w:pPr>
              <w:ind w:firstLineChars="100" w:firstLine="220"/>
              <w:rPr>
                <w:rFonts w:eastAsia="Times New Roman" w:cs="Arial"/>
                <w:color w:val="000000"/>
                <w:sz w:val="22"/>
              </w:rPr>
            </w:pPr>
            <w:r w:rsidRPr="00F0556E">
              <w:rPr>
                <w:sz w:val="22"/>
              </w:rPr>
              <w:t>28-56 days after</w:t>
            </w:r>
          </w:p>
        </w:tc>
        <w:tc>
          <w:tcPr>
            <w:tcW w:w="1617" w:type="dxa"/>
            <w:tcBorders>
              <w:top w:val="nil"/>
              <w:left w:val="single" w:sz="4" w:space="0" w:color="auto"/>
              <w:bottom w:val="nil"/>
            </w:tcBorders>
            <w:shd w:val="clear" w:color="auto" w:fill="auto"/>
            <w:noWrap/>
            <w:vAlign w:val="bottom"/>
          </w:tcPr>
          <w:p w14:paraId="5018707F"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bottom w:val="nil"/>
              <w:right w:val="single" w:sz="4" w:space="0" w:color="auto"/>
            </w:tcBorders>
            <w:vAlign w:val="bottom"/>
          </w:tcPr>
          <w:p w14:paraId="54A096FF" w14:textId="77777777" w:rsidR="007F7BC7"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left w:val="single" w:sz="4" w:space="0" w:color="auto"/>
              <w:bottom w:val="nil"/>
            </w:tcBorders>
            <w:shd w:val="clear" w:color="auto" w:fill="auto"/>
            <w:noWrap/>
            <w:vAlign w:val="bottom"/>
          </w:tcPr>
          <w:p w14:paraId="2FCD8CD4"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8" w:type="dxa"/>
            <w:tcBorders>
              <w:top w:val="nil"/>
              <w:bottom w:val="nil"/>
              <w:right w:val="single" w:sz="4" w:space="0" w:color="auto"/>
            </w:tcBorders>
            <w:vAlign w:val="bottom"/>
          </w:tcPr>
          <w:p w14:paraId="7BA072D6" w14:textId="77777777" w:rsidR="007F7BC7" w:rsidRDefault="007F7BC7" w:rsidP="000F6575">
            <w:pPr>
              <w:jc w:val="center"/>
              <w:rPr>
                <w:rFonts w:eastAsia="Times New Roman" w:cs="Arial"/>
                <w:color w:val="000000"/>
                <w:sz w:val="22"/>
              </w:rPr>
            </w:pPr>
            <w:r>
              <w:rPr>
                <w:rFonts w:eastAsia="Times New Roman" w:cs="Arial"/>
                <w:color w:val="000000"/>
                <w:sz w:val="22"/>
              </w:rPr>
              <w:t>-</w:t>
            </w:r>
          </w:p>
        </w:tc>
      </w:tr>
      <w:tr w:rsidR="007F7BC7" w:rsidRPr="007A299A" w14:paraId="6D5CD281" w14:textId="77777777" w:rsidTr="00BA2317">
        <w:trPr>
          <w:trHeight w:val="20"/>
        </w:trPr>
        <w:tc>
          <w:tcPr>
            <w:tcW w:w="2547" w:type="dxa"/>
            <w:tcBorders>
              <w:top w:val="nil"/>
              <w:left w:val="single" w:sz="4" w:space="0" w:color="auto"/>
              <w:bottom w:val="nil"/>
              <w:right w:val="single" w:sz="4" w:space="0" w:color="auto"/>
            </w:tcBorders>
            <w:shd w:val="clear" w:color="auto" w:fill="auto"/>
            <w:noWrap/>
            <w:vAlign w:val="bottom"/>
            <w:hideMark/>
          </w:tcPr>
          <w:p w14:paraId="3A7F6F99" w14:textId="77777777" w:rsidR="007F7BC7" w:rsidRPr="007A299A" w:rsidRDefault="007F7BC7" w:rsidP="000F6575">
            <w:pPr>
              <w:rPr>
                <w:rFonts w:eastAsia="Times New Roman" w:cs="Arial"/>
                <w:b/>
                <w:bCs/>
                <w:color w:val="000000"/>
                <w:sz w:val="22"/>
              </w:rPr>
            </w:pPr>
            <w:r w:rsidRPr="007A299A">
              <w:rPr>
                <w:rFonts w:eastAsia="Times New Roman" w:cs="Arial"/>
                <w:b/>
                <w:bCs/>
                <w:color w:val="000000"/>
                <w:sz w:val="22"/>
              </w:rPr>
              <w:t>Ischaemic stroke</w:t>
            </w:r>
          </w:p>
        </w:tc>
        <w:tc>
          <w:tcPr>
            <w:tcW w:w="1617" w:type="dxa"/>
            <w:tcBorders>
              <w:top w:val="nil"/>
              <w:left w:val="single" w:sz="4" w:space="0" w:color="auto"/>
              <w:bottom w:val="nil"/>
            </w:tcBorders>
            <w:shd w:val="clear" w:color="auto" w:fill="auto"/>
            <w:noWrap/>
            <w:vAlign w:val="bottom"/>
          </w:tcPr>
          <w:p w14:paraId="45E9140D" w14:textId="77777777" w:rsidR="007F7BC7" w:rsidRPr="00C22DAB" w:rsidRDefault="007F7BC7" w:rsidP="000F6575">
            <w:pPr>
              <w:jc w:val="center"/>
              <w:rPr>
                <w:rFonts w:eastAsia="Times New Roman" w:cs="Arial"/>
                <w:color w:val="000000"/>
                <w:sz w:val="22"/>
              </w:rPr>
            </w:pPr>
          </w:p>
        </w:tc>
        <w:tc>
          <w:tcPr>
            <w:tcW w:w="1617" w:type="dxa"/>
            <w:tcBorders>
              <w:top w:val="nil"/>
              <w:bottom w:val="nil"/>
              <w:right w:val="single" w:sz="4" w:space="0" w:color="auto"/>
            </w:tcBorders>
          </w:tcPr>
          <w:p w14:paraId="19B31DE7" w14:textId="77777777" w:rsidR="007F7BC7" w:rsidRPr="00C22DAB" w:rsidRDefault="007F7BC7" w:rsidP="000F6575">
            <w:pPr>
              <w:jc w:val="center"/>
              <w:rPr>
                <w:rFonts w:eastAsia="Times New Roman" w:cs="Arial"/>
                <w:color w:val="000000"/>
                <w:sz w:val="22"/>
              </w:rPr>
            </w:pPr>
          </w:p>
        </w:tc>
        <w:tc>
          <w:tcPr>
            <w:tcW w:w="1617" w:type="dxa"/>
            <w:tcBorders>
              <w:top w:val="nil"/>
              <w:left w:val="single" w:sz="4" w:space="0" w:color="auto"/>
              <w:bottom w:val="nil"/>
            </w:tcBorders>
            <w:shd w:val="clear" w:color="auto" w:fill="auto"/>
            <w:noWrap/>
            <w:vAlign w:val="bottom"/>
          </w:tcPr>
          <w:p w14:paraId="078EDEF8" w14:textId="77777777" w:rsidR="007F7BC7" w:rsidRPr="00C22DAB" w:rsidRDefault="007F7BC7" w:rsidP="000F6575">
            <w:pPr>
              <w:jc w:val="center"/>
              <w:rPr>
                <w:rFonts w:eastAsia="Times New Roman" w:cs="Arial"/>
                <w:color w:val="000000"/>
                <w:sz w:val="22"/>
              </w:rPr>
            </w:pPr>
          </w:p>
        </w:tc>
        <w:tc>
          <w:tcPr>
            <w:tcW w:w="1618" w:type="dxa"/>
            <w:tcBorders>
              <w:top w:val="nil"/>
              <w:bottom w:val="nil"/>
              <w:right w:val="single" w:sz="4" w:space="0" w:color="auto"/>
            </w:tcBorders>
          </w:tcPr>
          <w:p w14:paraId="0F0C7E7A" w14:textId="77777777" w:rsidR="007F7BC7" w:rsidRPr="00C22DAB" w:rsidRDefault="007F7BC7" w:rsidP="000F6575">
            <w:pPr>
              <w:jc w:val="center"/>
              <w:rPr>
                <w:rFonts w:eastAsia="Times New Roman" w:cs="Arial"/>
                <w:color w:val="000000"/>
                <w:sz w:val="22"/>
              </w:rPr>
            </w:pPr>
          </w:p>
        </w:tc>
      </w:tr>
      <w:tr w:rsidR="007F7BC7" w:rsidRPr="00F0556E" w14:paraId="3407EEFB"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1D0483F2" w14:textId="77777777" w:rsidR="007F7BC7" w:rsidRPr="00F0556E" w:rsidRDefault="007F7BC7" w:rsidP="000F6575">
            <w:pPr>
              <w:ind w:firstLineChars="100" w:firstLine="220"/>
              <w:rPr>
                <w:rFonts w:eastAsia="Times New Roman" w:cs="Arial"/>
                <w:color w:val="000000"/>
                <w:sz w:val="22"/>
              </w:rPr>
            </w:pPr>
            <w:r w:rsidRPr="00F0556E">
              <w:rPr>
                <w:sz w:val="22"/>
              </w:rPr>
              <w:t>5-1 days before</w:t>
            </w:r>
          </w:p>
        </w:tc>
        <w:tc>
          <w:tcPr>
            <w:tcW w:w="1617" w:type="dxa"/>
            <w:tcBorders>
              <w:top w:val="nil"/>
              <w:left w:val="single" w:sz="4" w:space="0" w:color="auto"/>
              <w:bottom w:val="nil"/>
            </w:tcBorders>
            <w:shd w:val="clear" w:color="auto" w:fill="auto"/>
            <w:noWrap/>
            <w:vAlign w:val="bottom"/>
          </w:tcPr>
          <w:p w14:paraId="51468FBD"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bottom w:val="nil"/>
              <w:right w:val="single" w:sz="4" w:space="0" w:color="auto"/>
            </w:tcBorders>
          </w:tcPr>
          <w:p w14:paraId="1B0521AD" w14:textId="77777777" w:rsidR="007F7BC7" w:rsidRDefault="007F7BC7" w:rsidP="000F6575">
            <w:pPr>
              <w:jc w:val="center"/>
              <w:rPr>
                <w:rFonts w:eastAsia="Times New Roman" w:cs="Arial"/>
                <w:color w:val="000000"/>
                <w:sz w:val="22"/>
              </w:rPr>
            </w:pPr>
          </w:p>
        </w:tc>
        <w:tc>
          <w:tcPr>
            <w:tcW w:w="1617" w:type="dxa"/>
            <w:tcBorders>
              <w:top w:val="nil"/>
              <w:left w:val="single" w:sz="4" w:space="0" w:color="auto"/>
              <w:bottom w:val="nil"/>
            </w:tcBorders>
            <w:shd w:val="clear" w:color="auto" w:fill="auto"/>
            <w:noWrap/>
            <w:vAlign w:val="bottom"/>
          </w:tcPr>
          <w:p w14:paraId="2EE99F6C"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8" w:type="dxa"/>
            <w:tcBorders>
              <w:top w:val="nil"/>
              <w:bottom w:val="nil"/>
              <w:right w:val="single" w:sz="4" w:space="0" w:color="auto"/>
            </w:tcBorders>
          </w:tcPr>
          <w:p w14:paraId="5395C734" w14:textId="77777777" w:rsidR="007F7BC7" w:rsidRDefault="007F7BC7" w:rsidP="000F6575">
            <w:pPr>
              <w:jc w:val="center"/>
              <w:rPr>
                <w:rFonts w:eastAsia="Times New Roman" w:cs="Arial"/>
                <w:color w:val="000000"/>
                <w:sz w:val="22"/>
              </w:rPr>
            </w:pPr>
          </w:p>
        </w:tc>
      </w:tr>
      <w:tr w:rsidR="007F7BC7" w:rsidRPr="00F0556E" w14:paraId="74B8DFF6"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2F67EBE6" w14:textId="77777777" w:rsidR="007F7BC7" w:rsidRPr="00F0556E" w:rsidRDefault="007F7BC7" w:rsidP="000F6575">
            <w:pPr>
              <w:ind w:firstLineChars="100" w:firstLine="220"/>
              <w:rPr>
                <w:rFonts w:eastAsia="Times New Roman" w:cs="Arial"/>
                <w:color w:val="000000"/>
                <w:sz w:val="22"/>
              </w:rPr>
            </w:pPr>
            <w:r w:rsidRPr="00F0556E">
              <w:rPr>
                <w:sz w:val="22"/>
              </w:rPr>
              <w:t>0-7 days after</w:t>
            </w:r>
          </w:p>
        </w:tc>
        <w:tc>
          <w:tcPr>
            <w:tcW w:w="1617" w:type="dxa"/>
            <w:tcBorders>
              <w:top w:val="nil"/>
              <w:left w:val="single" w:sz="4" w:space="0" w:color="auto"/>
              <w:bottom w:val="nil"/>
            </w:tcBorders>
            <w:shd w:val="clear" w:color="auto" w:fill="auto"/>
            <w:noWrap/>
            <w:vAlign w:val="bottom"/>
          </w:tcPr>
          <w:p w14:paraId="40D1B2CB"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13.92</w:t>
            </w:r>
          </w:p>
        </w:tc>
        <w:tc>
          <w:tcPr>
            <w:tcW w:w="1617" w:type="dxa"/>
            <w:tcBorders>
              <w:top w:val="nil"/>
              <w:bottom w:val="nil"/>
              <w:right w:val="single" w:sz="4" w:space="0" w:color="auto"/>
            </w:tcBorders>
          </w:tcPr>
          <w:p w14:paraId="47C4E03A" w14:textId="77777777" w:rsidR="007F7BC7" w:rsidRDefault="007F7BC7" w:rsidP="000F6575">
            <w:pPr>
              <w:jc w:val="center"/>
              <w:rPr>
                <w:rFonts w:eastAsia="Times New Roman" w:cs="Arial"/>
                <w:color w:val="000000"/>
                <w:sz w:val="22"/>
              </w:rPr>
            </w:pPr>
            <w:r>
              <w:rPr>
                <w:rFonts w:eastAsia="Times New Roman" w:cs="Arial"/>
                <w:color w:val="000000"/>
                <w:sz w:val="22"/>
              </w:rPr>
              <w:t>9.51</w:t>
            </w:r>
          </w:p>
        </w:tc>
        <w:tc>
          <w:tcPr>
            <w:tcW w:w="1617" w:type="dxa"/>
            <w:tcBorders>
              <w:top w:val="nil"/>
              <w:left w:val="single" w:sz="4" w:space="0" w:color="auto"/>
              <w:bottom w:val="nil"/>
            </w:tcBorders>
            <w:shd w:val="clear" w:color="auto" w:fill="auto"/>
            <w:noWrap/>
            <w:vAlign w:val="bottom"/>
          </w:tcPr>
          <w:p w14:paraId="66DAD9AC"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5.95</w:t>
            </w:r>
          </w:p>
        </w:tc>
        <w:tc>
          <w:tcPr>
            <w:tcW w:w="1618" w:type="dxa"/>
            <w:tcBorders>
              <w:top w:val="nil"/>
              <w:bottom w:val="nil"/>
              <w:right w:val="single" w:sz="4" w:space="0" w:color="auto"/>
            </w:tcBorders>
          </w:tcPr>
          <w:p w14:paraId="74DD9C0F" w14:textId="77777777" w:rsidR="007F7BC7" w:rsidRDefault="007F7BC7" w:rsidP="000F6575">
            <w:pPr>
              <w:jc w:val="center"/>
              <w:rPr>
                <w:rFonts w:eastAsia="Times New Roman" w:cs="Arial"/>
                <w:color w:val="000000"/>
                <w:sz w:val="22"/>
              </w:rPr>
            </w:pPr>
            <w:r>
              <w:rPr>
                <w:rFonts w:eastAsia="Times New Roman" w:cs="Arial"/>
                <w:color w:val="000000"/>
                <w:sz w:val="22"/>
              </w:rPr>
              <w:t>4.11</w:t>
            </w:r>
          </w:p>
        </w:tc>
      </w:tr>
      <w:tr w:rsidR="007F7BC7" w:rsidRPr="00F0556E" w14:paraId="24CB0DF0"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7374CB96" w14:textId="77777777" w:rsidR="007F7BC7" w:rsidRPr="00F0556E" w:rsidRDefault="007F7BC7" w:rsidP="000F6575">
            <w:pPr>
              <w:ind w:firstLineChars="100" w:firstLine="220"/>
              <w:rPr>
                <w:rFonts w:eastAsia="Times New Roman" w:cs="Arial"/>
                <w:color w:val="000000"/>
                <w:sz w:val="22"/>
              </w:rPr>
            </w:pPr>
            <w:r w:rsidRPr="00F0556E">
              <w:rPr>
                <w:sz w:val="22"/>
              </w:rPr>
              <w:t>8-28 days after</w:t>
            </w:r>
          </w:p>
        </w:tc>
        <w:tc>
          <w:tcPr>
            <w:tcW w:w="1617" w:type="dxa"/>
            <w:tcBorders>
              <w:top w:val="nil"/>
              <w:left w:val="single" w:sz="4" w:space="0" w:color="auto"/>
              <w:bottom w:val="nil"/>
            </w:tcBorders>
            <w:shd w:val="clear" w:color="auto" w:fill="auto"/>
            <w:noWrap/>
            <w:vAlign w:val="bottom"/>
          </w:tcPr>
          <w:p w14:paraId="62B336FF"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bottom w:val="nil"/>
              <w:right w:val="single" w:sz="4" w:space="0" w:color="auto"/>
            </w:tcBorders>
            <w:vAlign w:val="bottom"/>
          </w:tcPr>
          <w:p w14:paraId="1051B812" w14:textId="77777777" w:rsidR="007F7BC7"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left w:val="single" w:sz="4" w:space="0" w:color="auto"/>
              <w:bottom w:val="nil"/>
            </w:tcBorders>
            <w:shd w:val="clear" w:color="auto" w:fill="auto"/>
            <w:noWrap/>
            <w:vAlign w:val="bottom"/>
          </w:tcPr>
          <w:p w14:paraId="2A0F3F71"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8" w:type="dxa"/>
            <w:tcBorders>
              <w:top w:val="nil"/>
              <w:bottom w:val="nil"/>
              <w:right w:val="single" w:sz="4" w:space="0" w:color="auto"/>
            </w:tcBorders>
            <w:vAlign w:val="bottom"/>
          </w:tcPr>
          <w:p w14:paraId="26018EAB" w14:textId="77777777" w:rsidR="007F7BC7" w:rsidRDefault="007F7BC7" w:rsidP="000F6575">
            <w:pPr>
              <w:jc w:val="center"/>
              <w:rPr>
                <w:rFonts w:eastAsia="Times New Roman" w:cs="Arial"/>
                <w:color w:val="000000"/>
                <w:sz w:val="22"/>
              </w:rPr>
            </w:pPr>
            <w:r>
              <w:rPr>
                <w:rFonts w:eastAsia="Times New Roman" w:cs="Arial"/>
                <w:color w:val="000000"/>
                <w:sz w:val="22"/>
              </w:rPr>
              <w:t>-</w:t>
            </w:r>
          </w:p>
        </w:tc>
      </w:tr>
      <w:tr w:rsidR="007F7BC7" w:rsidRPr="00F0556E" w14:paraId="183D331A"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1CE28589" w14:textId="77777777" w:rsidR="007F7BC7" w:rsidRPr="00F0556E" w:rsidRDefault="007F7BC7" w:rsidP="000F6575">
            <w:pPr>
              <w:ind w:firstLineChars="100" w:firstLine="220"/>
              <w:rPr>
                <w:rFonts w:eastAsia="Times New Roman" w:cs="Arial"/>
                <w:color w:val="000000"/>
                <w:sz w:val="22"/>
              </w:rPr>
            </w:pPr>
            <w:r w:rsidRPr="00F0556E">
              <w:rPr>
                <w:sz w:val="22"/>
              </w:rPr>
              <w:t>28-56 days after</w:t>
            </w:r>
          </w:p>
        </w:tc>
        <w:tc>
          <w:tcPr>
            <w:tcW w:w="1617" w:type="dxa"/>
            <w:tcBorders>
              <w:top w:val="nil"/>
              <w:left w:val="single" w:sz="4" w:space="0" w:color="auto"/>
              <w:bottom w:val="nil"/>
            </w:tcBorders>
            <w:shd w:val="clear" w:color="auto" w:fill="auto"/>
            <w:noWrap/>
            <w:vAlign w:val="bottom"/>
          </w:tcPr>
          <w:p w14:paraId="392987FA"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bottom w:val="nil"/>
              <w:right w:val="single" w:sz="4" w:space="0" w:color="auto"/>
            </w:tcBorders>
            <w:vAlign w:val="bottom"/>
          </w:tcPr>
          <w:p w14:paraId="095245EF" w14:textId="77777777" w:rsidR="007F7BC7"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left w:val="single" w:sz="4" w:space="0" w:color="auto"/>
              <w:bottom w:val="nil"/>
            </w:tcBorders>
            <w:shd w:val="clear" w:color="auto" w:fill="auto"/>
            <w:noWrap/>
            <w:vAlign w:val="bottom"/>
          </w:tcPr>
          <w:p w14:paraId="34519992"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8" w:type="dxa"/>
            <w:tcBorders>
              <w:top w:val="nil"/>
              <w:bottom w:val="nil"/>
              <w:right w:val="single" w:sz="4" w:space="0" w:color="auto"/>
            </w:tcBorders>
            <w:vAlign w:val="bottom"/>
          </w:tcPr>
          <w:p w14:paraId="397D5546" w14:textId="77777777" w:rsidR="007F7BC7" w:rsidRDefault="007F7BC7" w:rsidP="000F6575">
            <w:pPr>
              <w:jc w:val="center"/>
              <w:rPr>
                <w:rFonts w:eastAsia="Times New Roman" w:cs="Arial"/>
                <w:color w:val="000000"/>
                <w:sz w:val="22"/>
              </w:rPr>
            </w:pPr>
            <w:r>
              <w:rPr>
                <w:rFonts w:eastAsia="Times New Roman" w:cs="Arial"/>
                <w:color w:val="000000"/>
                <w:sz w:val="22"/>
              </w:rPr>
              <w:t>-</w:t>
            </w:r>
          </w:p>
        </w:tc>
      </w:tr>
      <w:tr w:rsidR="007F7BC7" w:rsidRPr="007A299A" w14:paraId="52C6CC53" w14:textId="77777777" w:rsidTr="00BA2317">
        <w:trPr>
          <w:trHeight w:val="20"/>
        </w:trPr>
        <w:tc>
          <w:tcPr>
            <w:tcW w:w="2547" w:type="dxa"/>
            <w:tcBorders>
              <w:top w:val="nil"/>
              <w:left w:val="single" w:sz="4" w:space="0" w:color="auto"/>
              <w:bottom w:val="nil"/>
              <w:right w:val="single" w:sz="4" w:space="0" w:color="auto"/>
            </w:tcBorders>
            <w:shd w:val="clear" w:color="auto" w:fill="auto"/>
            <w:noWrap/>
            <w:vAlign w:val="bottom"/>
            <w:hideMark/>
          </w:tcPr>
          <w:p w14:paraId="7EDE29A9" w14:textId="77777777" w:rsidR="007F7BC7" w:rsidRPr="007A299A" w:rsidRDefault="007F7BC7" w:rsidP="000F6575">
            <w:pPr>
              <w:rPr>
                <w:rFonts w:eastAsia="Times New Roman" w:cs="Arial"/>
                <w:b/>
                <w:bCs/>
                <w:color w:val="000000"/>
                <w:sz w:val="22"/>
              </w:rPr>
            </w:pPr>
            <w:r w:rsidRPr="007A299A">
              <w:rPr>
                <w:rFonts w:eastAsia="Times New Roman" w:cs="Arial"/>
                <w:b/>
                <w:bCs/>
                <w:color w:val="000000"/>
                <w:sz w:val="22"/>
              </w:rPr>
              <w:t>Pulmonary embolism</w:t>
            </w:r>
          </w:p>
        </w:tc>
        <w:tc>
          <w:tcPr>
            <w:tcW w:w="1617" w:type="dxa"/>
            <w:tcBorders>
              <w:top w:val="nil"/>
              <w:left w:val="single" w:sz="4" w:space="0" w:color="auto"/>
              <w:bottom w:val="nil"/>
            </w:tcBorders>
            <w:shd w:val="clear" w:color="auto" w:fill="auto"/>
            <w:noWrap/>
            <w:vAlign w:val="bottom"/>
          </w:tcPr>
          <w:p w14:paraId="2BF12198" w14:textId="77777777" w:rsidR="007F7BC7" w:rsidRPr="00C22DAB" w:rsidRDefault="007F7BC7" w:rsidP="000F6575">
            <w:pPr>
              <w:jc w:val="center"/>
              <w:rPr>
                <w:rFonts w:eastAsia="Times New Roman" w:cs="Arial"/>
                <w:color w:val="000000"/>
                <w:sz w:val="22"/>
              </w:rPr>
            </w:pPr>
          </w:p>
        </w:tc>
        <w:tc>
          <w:tcPr>
            <w:tcW w:w="1617" w:type="dxa"/>
            <w:tcBorders>
              <w:top w:val="nil"/>
              <w:bottom w:val="nil"/>
              <w:right w:val="single" w:sz="4" w:space="0" w:color="auto"/>
            </w:tcBorders>
          </w:tcPr>
          <w:p w14:paraId="5CA29EF5" w14:textId="77777777" w:rsidR="007F7BC7" w:rsidRPr="00C22DAB" w:rsidRDefault="007F7BC7" w:rsidP="000F6575">
            <w:pPr>
              <w:jc w:val="center"/>
              <w:rPr>
                <w:rFonts w:eastAsia="Times New Roman" w:cs="Arial"/>
                <w:color w:val="000000"/>
                <w:sz w:val="22"/>
              </w:rPr>
            </w:pPr>
          </w:p>
        </w:tc>
        <w:tc>
          <w:tcPr>
            <w:tcW w:w="1617" w:type="dxa"/>
            <w:tcBorders>
              <w:top w:val="nil"/>
              <w:left w:val="single" w:sz="4" w:space="0" w:color="auto"/>
              <w:bottom w:val="nil"/>
            </w:tcBorders>
            <w:shd w:val="clear" w:color="auto" w:fill="auto"/>
            <w:noWrap/>
            <w:vAlign w:val="bottom"/>
          </w:tcPr>
          <w:p w14:paraId="65B8F591" w14:textId="77777777" w:rsidR="007F7BC7" w:rsidRPr="00C22DAB" w:rsidRDefault="007F7BC7" w:rsidP="000F6575">
            <w:pPr>
              <w:jc w:val="center"/>
              <w:rPr>
                <w:rFonts w:eastAsia="Times New Roman" w:cs="Arial"/>
                <w:color w:val="000000"/>
                <w:sz w:val="22"/>
              </w:rPr>
            </w:pPr>
          </w:p>
        </w:tc>
        <w:tc>
          <w:tcPr>
            <w:tcW w:w="1618" w:type="dxa"/>
            <w:tcBorders>
              <w:top w:val="nil"/>
              <w:bottom w:val="nil"/>
              <w:right w:val="single" w:sz="4" w:space="0" w:color="auto"/>
            </w:tcBorders>
            <w:vAlign w:val="bottom"/>
          </w:tcPr>
          <w:p w14:paraId="03B1B058"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r>
      <w:tr w:rsidR="007F7BC7" w:rsidRPr="00F0556E" w14:paraId="5290FFB4"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2F997A60" w14:textId="77777777" w:rsidR="007F7BC7" w:rsidRPr="00F0556E" w:rsidRDefault="007F7BC7" w:rsidP="000F6575">
            <w:pPr>
              <w:ind w:firstLineChars="100" w:firstLine="220"/>
              <w:rPr>
                <w:rFonts w:eastAsia="Times New Roman" w:cs="Arial"/>
                <w:color w:val="000000"/>
                <w:sz w:val="22"/>
              </w:rPr>
            </w:pPr>
            <w:r w:rsidRPr="00F0556E">
              <w:rPr>
                <w:sz w:val="22"/>
              </w:rPr>
              <w:t>5-1 days before</w:t>
            </w:r>
          </w:p>
        </w:tc>
        <w:tc>
          <w:tcPr>
            <w:tcW w:w="1617" w:type="dxa"/>
            <w:tcBorders>
              <w:top w:val="nil"/>
              <w:left w:val="single" w:sz="4" w:space="0" w:color="auto"/>
              <w:bottom w:val="nil"/>
            </w:tcBorders>
            <w:shd w:val="clear" w:color="auto" w:fill="auto"/>
            <w:noWrap/>
            <w:vAlign w:val="bottom"/>
          </w:tcPr>
          <w:p w14:paraId="2DF86FC5"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19.39</w:t>
            </w:r>
          </w:p>
        </w:tc>
        <w:tc>
          <w:tcPr>
            <w:tcW w:w="1617" w:type="dxa"/>
            <w:tcBorders>
              <w:top w:val="nil"/>
              <w:bottom w:val="nil"/>
              <w:right w:val="single" w:sz="4" w:space="0" w:color="auto"/>
            </w:tcBorders>
          </w:tcPr>
          <w:p w14:paraId="2EE4A991" w14:textId="77777777" w:rsidR="007F7BC7" w:rsidRDefault="007F7BC7" w:rsidP="000F6575">
            <w:pPr>
              <w:jc w:val="center"/>
              <w:rPr>
                <w:rFonts w:eastAsia="Times New Roman" w:cs="Arial"/>
                <w:color w:val="000000"/>
                <w:sz w:val="22"/>
              </w:rPr>
            </w:pPr>
            <w:r>
              <w:rPr>
                <w:rFonts w:eastAsia="Times New Roman" w:cs="Arial"/>
                <w:color w:val="000000"/>
                <w:sz w:val="22"/>
              </w:rPr>
              <w:t>10.31</w:t>
            </w:r>
          </w:p>
        </w:tc>
        <w:tc>
          <w:tcPr>
            <w:tcW w:w="1617" w:type="dxa"/>
            <w:tcBorders>
              <w:top w:val="nil"/>
              <w:left w:val="single" w:sz="4" w:space="0" w:color="auto"/>
              <w:bottom w:val="nil"/>
            </w:tcBorders>
            <w:shd w:val="clear" w:color="auto" w:fill="auto"/>
            <w:noWrap/>
            <w:vAlign w:val="bottom"/>
          </w:tcPr>
          <w:p w14:paraId="1549E0B7"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14.42</w:t>
            </w:r>
          </w:p>
        </w:tc>
        <w:tc>
          <w:tcPr>
            <w:tcW w:w="1618" w:type="dxa"/>
            <w:tcBorders>
              <w:top w:val="nil"/>
              <w:bottom w:val="nil"/>
              <w:right w:val="single" w:sz="4" w:space="0" w:color="auto"/>
            </w:tcBorders>
          </w:tcPr>
          <w:p w14:paraId="4E3E996E" w14:textId="77777777" w:rsidR="007F7BC7" w:rsidRDefault="007F7BC7" w:rsidP="000F6575">
            <w:pPr>
              <w:jc w:val="center"/>
              <w:rPr>
                <w:rFonts w:eastAsia="Times New Roman" w:cs="Arial"/>
                <w:color w:val="000000"/>
                <w:sz w:val="22"/>
              </w:rPr>
            </w:pPr>
            <w:r>
              <w:rPr>
                <w:rFonts w:eastAsia="Times New Roman" w:cs="Arial"/>
                <w:color w:val="000000"/>
                <w:sz w:val="22"/>
              </w:rPr>
              <w:t>7.73</w:t>
            </w:r>
          </w:p>
        </w:tc>
      </w:tr>
      <w:tr w:rsidR="007F7BC7" w:rsidRPr="00F0556E" w14:paraId="76DEF15B"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1FAE8811" w14:textId="77777777" w:rsidR="007F7BC7" w:rsidRPr="00F0556E" w:rsidRDefault="007F7BC7" w:rsidP="000F6575">
            <w:pPr>
              <w:ind w:firstLineChars="100" w:firstLine="220"/>
              <w:rPr>
                <w:rFonts w:eastAsia="Times New Roman" w:cs="Arial"/>
                <w:color w:val="000000"/>
                <w:sz w:val="22"/>
              </w:rPr>
            </w:pPr>
            <w:r w:rsidRPr="00F0556E">
              <w:rPr>
                <w:sz w:val="22"/>
              </w:rPr>
              <w:t>0-7 days after</w:t>
            </w:r>
          </w:p>
        </w:tc>
        <w:tc>
          <w:tcPr>
            <w:tcW w:w="1617" w:type="dxa"/>
            <w:tcBorders>
              <w:top w:val="nil"/>
              <w:left w:val="single" w:sz="4" w:space="0" w:color="auto"/>
              <w:bottom w:val="nil"/>
            </w:tcBorders>
            <w:shd w:val="clear" w:color="auto" w:fill="auto"/>
            <w:noWrap/>
            <w:vAlign w:val="bottom"/>
          </w:tcPr>
          <w:p w14:paraId="05A6A854"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54.66</w:t>
            </w:r>
          </w:p>
        </w:tc>
        <w:tc>
          <w:tcPr>
            <w:tcW w:w="1617" w:type="dxa"/>
            <w:tcBorders>
              <w:top w:val="nil"/>
              <w:bottom w:val="nil"/>
              <w:right w:val="single" w:sz="4" w:space="0" w:color="auto"/>
            </w:tcBorders>
          </w:tcPr>
          <w:p w14:paraId="6594622D" w14:textId="77777777" w:rsidR="007F7BC7" w:rsidRDefault="007F7BC7" w:rsidP="000F6575">
            <w:pPr>
              <w:jc w:val="center"/>
              <w:rPr>
                <w:rFonts w:eastAsia="Times New Roman" w:cs="Arial"/>
                <w:color w:val="000000"/>
                <w:sz w:val="22"/>
              </w:rPr>
            </w:pPr>
            <w:r>
              <w:rPr>
                <w:rFonts w:eastAsia="Times New Roman" w:cs="Arial"/>
                <w:color w:val="000000"/>
                <w:sz w:val="22"/>
              </w:rPr>
              <w:t>40.59</w:t>
            </w:r>
          </w:p>
        </w:tc>
        <w:tc>
          <w:tcPr>
            <w:tcW w:w="1617" w:type="dxa"/>
            <w:tcBorders>
              <w:top w:val="nil"/>
              <w:left w:val="single" w:sz="4" w:space="0" w:color="auto"/>
              <w:bottom w:val="nil"/>
            </w:tcBorders>
            <w:shd w:val="clear" w:color="auto" w:fill="auto"/>
            <w:noWrap/>
            <w:vAlign w:val="bottom"/>
          </w:tcPr>
          <w:p w14:paraId="08873304"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34.11</w:t>
            </w:r>
          </w:p>
        </w:tc>
        <w:tc>
          <w:tcPr>
            <w:tcW w:w="1618" w:type="dxa"/>
            <w:tcBorders>
              <w:top w:val="nil"/>
              <w:bottom w:val="nil"/>
              <w:right w:val="single" w:sz="4" w:space="0" w:color="auto"/>
            </w:tcBorders>
          </w:tcPr>
          <w:p w14:paraId="45BCCBB0" w14:textId="77777777" w:rsidR="007F7BC7" w:rsidRDefault="007F7BC7" w:rsidP="000F6575">
            <w:pPr>
              <w:jc w:val="center"/>
              <w:rPr>
                <w:rFonts w:eastAsia="Times New Roman" w:cs="Arial"/>
                <w:color w:val="000000"/>
                <w:sz w:val="22"/>
              </w:rPr>
            </w:pPr>
            <w:r>
              <w:rPr>
                <w:rFonts w:eastAsia="Times New Roman" w:cs="Arial"/>
                <w:color w:val="000000"/>
                <w:sz w:val="22"/>
              </w:rPr>
              <w:t>24.41</w:t>
            </w:r>
          </w:p>
        </w:tc>
      </w:tr>
      <w:tr w:rsidR="007F7BC7" w:rsidRPr="00F0556E" w14:paraId="32BB6BA1"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61DE28C4" w14:textId="77777777" w:rsidR="007F7BC7" w:rsidRPr="00F0556E" w:rsidRDefault="007F7BC7" w:rsidP="000F6575">
            <w:pPr>
              <w:ind w:firstLineChars="100" w:firstLine="220"/>
              <w:rPr>
                <w:rFonts w:eastAsia="Times New Roman" w:cs="Arial"/>
                <w:color w:val="000000"/>
                <w:sz w:val="22"/>
              </w:rPr>
            </w:pPr>
            <w:r w:rsidRPr="00F0556E">
              <w:rPr>
                <w:sz w:val="22"/>
              </w:rPr>
              <w:t>8-28 days after</w:t>
            </w:r>
          </w:p>
        </w:tc>
        <w:tc>
          <w:tcPr>
            <w:tcW w:w="1617" w:type="dxa"/>
            <w:tcBorders>
              <w:top w:val="nil"/>
              <w:left w:val="single" w:sz="4" w:space="0" w:color="auto"/>
              <w:bottom w:val="nil"/>
            </w:tcBorders>
            <w:shd w:val="clear" w:color="auto" w:fill="auto"/>
            <w:noWrap/>
            <w:vAlign w:val="bottom"/>
          </w:tcPr>
          <w:p w14:paraId="22CED905"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14.02</w:t>
            </w:r>
          </w:p>
        </w:tc>
        <w:tc>
          <w:tcPr>
            <w:tcW w:w="1617" w:type="dxa"/>
            <w:tcBorders>
              <w:top w:val="nil"/>
              <w:bottom w:val="nil"/>
              <w:right w:val="single" w:sz="4" w:space="0" w:color="auto"/>
            </w:tcBorders>
          </w:tcPr>
          <w:p w14:paraId="74686B48" w14:textId="77777777" w:rsidR="007F7BC7" w:rsidRDefault="007F7BC7" w:rsidP="000F6575">
            <w:pPr>
              <w:jc w:val="center"/>
              <w:rPr>
                <w:rFonts w:eastAsia="Times New Roman" w:cs="Arial"/>
                <w:color w:val="000000"/>
                <w:sz w:val="22"/>
              </w:rPr>
            </w:pPr>
            <w:r>
              <w:rPr>
                <w:rFonts w:eastAsia="Times New Roman" w:cs="Arial"/>
                <w:color w:val="000000"/>
                <w:sz w:val="22"/>
              </w:rPr>
              <w:t>9.61</w:t>
            </w:r>
          </w:p>
        </w:tc>
        <w:tc>
          <w:tcPr>
            <w:tcW w:w="1617" w:type="dxa"/>
            <w:tcBorders>
              <w:top w:val="nil"/>
              <w:left w:val="single" w:sz="4" w:space="0" w:color="auto"/>
              <w:bottom w:val="nil"/>
            </w:tcBorders>
            <w:shd w:val="clear" w:color="auto" w:fill="auto"/>
            <w:noWrap/>
            <w:vAlign w:val="bottom"/>
          </w:tcPr>
          <w:p w14:paraId="64E89A85"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6.54</w:t>
            </w:r>
          </w:p>
        </w:tc>
        <w:tc>
          <w:tcPr>
            <w:tcW w:w="1618" w:type="dxa"/>
            <w:tcBorders>
              <w:top w:val="nil"/>
              <w:bottom w:val="nil"/>
              <w:right w:val="single" w:sz="4" w:space="0" w:color="auto"/>
            </w:tcBorders>
          </w:tcPr>
          <w:p w14:paraId="4A7CD9C6" w14:textId="77777777" w:rsidR="007F7BC7" w:rsidRDefault="007F7BC7" w:rsidP="000F6575">
            <w:pPr>
              <w:jc w:val="center"/>
              <w:rPr>
                <w:rFonts w:eastAsia="Times New Roman" w:cs="Arial"/>
                <w:color w:val="000000"/>
                <w:sz w:val="22"/>
              </w:rPr>
            </w:pPr>
            <w:r>
              <w:rPr>
                <w:rFonts w:eastAsia="Times New Roman" w:cs="Arial"/>
                <w:color w:val="000000"/>
                <w:sz w:val="22"/>
              </w:rPr>
              <w:t>4.52</w:t>
            </w:r>
          </w:p>
        </w:tc>
      </w:tr>
      <w:tr w:rsidR="007F7BC7" w:rsidRPr="00F0556E" w14:paraId="19BB4221"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5B1CCC23" w14:textId="77777777" w:rsidR="007F7BC7" w:rsidRPr="00F0556E" w:rsidRDefault="007F7BC7" w:rsidP="000F6575">
            <w:pPr>
              <w:ind w:firstLineChars="100" w:firstLine="220"/>
              <w:rPr>
                <w:rFonts w:eastAsia="Times New Roman" w:cs="Arial"/>
                <w:color w:val="000000"/>
                <w:sz w:val="22"/>
              </w:rPr>
            </w:pPr>
            <w:r w:rsidRPr="00F0556E">
              <w:rPr>
                <w:sz w:val="22"/>
              </w:rPr>
              <w:t>28-56 days after</w:t>
            </w:r>
          </w:p>
        </w:tc>
        <w:tc>
          <w:tcPr>
            <w:tcW w:w="1617" w:type="dxa"/>
            <w:tcBorders>
              <w:top w:val="nil"/>
              <w:left w:val="single" w:sz="4" w:space="0" w:color="auto"/>
              <w:bottom w:val="nil"/>
            </w:tcBorders>
            <w:shd w:val="clear" w:color="auto" w:fill="auto"/>
            <w:noWrap/>
            <w:vAlign w:val="bottom"/>
          </w:tcPr>
          <w:p w14:paraId="7AD053F2"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bottom w:val="nil"/>
              <w:right w:val="single" w:sz="4" w:space="0" w:color="auto"/>
            </w:tcBorders>
          </w:tcPr>
          <w:p w14:paraId="25316712" w14:textId="77777777" w:rsidR="007F7BC7"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left w:val="single" w:sz="4" w:space="0" w:color="auto"/>
              <w:bottom w:val="nil"/>
            </w:tcBorders>
            <w:shd w:val="clear" w:color="auto" w:fill="auto"/>
            <w:noWrap/>
            <w:vAlign w:val="bottom"/>
          </w:tcPr>
          <w:p w14:paraId="734BF6A0"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8" w:type="dxa"/>
            <w:tcBorders>
              <w:top w:val="nil"/>
              <w:bottom w:val="nil"/>
              <w:right w:val="single" w:sz="4" w:space="0" w:color="auto"/>
            </w:tcBorders>
          </w:tcPr>
          <w:p w14:paraId="44415734" w14:textId="77777777" w:rsidR="007F7BC7" w:rsidRDefault="007F7BC7" w:rsidP="000F6575">
            <w:pPr>
              <w:jc w:val="center"/>
              <w:rPr>
                <w:rFonts w:eastAsia="Times New Roman" w:cs="Arial"/>
                <w:color w:val="000000"/>
                <w:sz w:val="22"/>
              </w:rPr>
            </w:pPr>
            <w:r>
              <w:rPr>
                <w:rFonts w:eastAsia="Times New Roman" w:cs="Arial"/>
                <w:color w:val="000000"/>
                <w:sz w:val="22"/>
              </w:rPr>
              <w:t>-</w:t>
            </w:r>
          </w:p>
        </w:tc>
      </w:tr>
      <w:tr w:rsidR="007F7BC7" w:rsidRPr="007A299A" w14:paraId="55A33673" w14:textId="77777777" w:rsidTr="00BA2317">
        <w:trPr>
          <w:trHeight w:val="20"/>
        </w:trPr>
        <w:tc>
          <w:tcPr>
            <w:tcW w:w="2547" w:type="dxa"/>
            <w:tcBorders>
              <w:top w:val="nil"/>
              <w:left w:val="single" w:sz="4" w:space="0" w:color="auto"/>
              <w:bottom w:val="nil"/>
              <w:right w:val="single" w:sz="4" w:space="0" w:color="auto"/>
            </w:tcBorders>
            <w:shd w:val="clear" w:color="auto" w:fill="auto"/>
            <w:noWrap/>
            <w:vAlign w:val="bottom"/>
            <w:hideMark/>
          </w:tcPr>
          <w:p w14:paraId="3FE4B678" w14:textId="77777777" w:rsidR="007F7BC7" w:rsidRPr="007A299A" w:rsidRDefault="007F7BC7" w:rsidP="000F6575">
            <w:pPr>
              <w:rPr>
                <w:rFonts w:eastAsia="Times New Roman" w:cs="Arial"/>
                <w:b/>
                <w:bCs/>
                <w:color w:val="000000"/>
                <w:sz w:val="22"/>
              </w:rPr>
            </w:pPr>
            <w:r w:rsidRPr="007A299A">
              <w:rPr>
                <w:rFonts w:eastAsia="Times New Roman" w:cs="Arial"/>
                <w:b/>
                <w:bCs/>
                <w:color w:val="000000"/>
                <w:sz w:val="22"/>
              </w:rPr>
              <w:t>Deep vein thrombosis</w:t>
            </w:r>
          </w:p>
        </w:tc>
        <w:tc>
          <w:tcPr>
            <w:tcW w:w="1617" w:type="dxa"/>
            <w:tcBorders>
              <w:top w:val="nil"/>
              <w:left w:val="single" w:sz="4" w:space="0" w:color="auto"/>
              <w:bottom w:val="nil"/>
            </w:tcBorders>
            <w:shd w:val="clear" w:color="auto" w:fill="auto"/>
            <w:noWrap/>
            <w:vAlign w:val="bottom"/>
          </w:tcPr>
          <w:p w14:paraId="4438E233" w14:textId="77777777" w:rsidR="007F7BC7" w:rsidRPr="00C22DAB" w:rsidRDefault="007F7BC7" w:rsidP="000F6575">
            <w:pPr>
              <w:jc w:val="center"/>
              <w:rPr>
                <w:rFonts w:eastAsia="Times New Roman" w:cs="Arial"/>
                <w:color w:val="000000"/>
                <w:sz w:val="22"/>
              </w:rPr>
            </w:pPr>
          </w:p>
        </w:tc>
        <w:tc>
          <w:tcPr>
            <w:tcW w:w="1617" w:type="dxa"/>
            <w:tcBorders>
              <w:top w:val="nil"/>
              <w:bottom w:val="nil"/>
              <w:right w:val="single" w:sz="4" w:space="0" w:color="auto"/>
            </w:tcBorders>
          </w:tcPr>
          <w:p w14:paraId="554A98BD" w14:textId="77777777" w:rsidR="007F7BC7" w:rsidRPr="00C22DAB" w:rsidRDefault="007F7BC7" w:rsidP="000F6575">
            <w:pPr>
              <w:jc w:val="center"/>
              <w:rPr>
                <w:rFonts w:eastAsia="Times New Roman" w:cs="Arial"/>
                <w:color w:val="000000"/>
                <w:sz w:val="22"/>
              </w:rPr>
            </w:pPr>
          </w:p>
        </w:tc>
        <w:tc>
          <w:tcPr>
            <w:tcW w:w="1617" w:type="dxa"/>
            <w:tcBorders>
              <w:top w:val="nil"/>
              <w:left w:val="single" w:sz="4" w:space="0" w:color="auto"/>
              <w:bottom w:val="nil"/>
            </w:tcBorders>
            <w:shd w:val="clear" w:color="auto" w:fill="auto"/>
            <w:noWrap/>
            <w:vAlign w:val="bottom"/>
          </w:tcPr>
          <w:p w14:paraId="29D27F2D" w14:textId="77777777" w:rsidR="007F7BC7" w:rsidRPr="00C22DAB" w:rsidRDefault="007F7BC7" w:rsidP="000F6575">
            <w:pPr>
              <w:jc w:val="center"/>
              <w:rPr>
                <w:rFonts w:eastAsia="Times New Roman" w:cs="Arial"/>
                <w:color w:val="000000"/>
                <w:sz w:val="22"/>
              </w:rPr>
            </w:pPr>
          </w:p>
        </w:tc>
        <w:tc>
          <w:tcPr>
            <w:tcW w:w="1618" w:type="dxa"/>
            <w:tcBorders>
              <w:top w:val="nil"/>
              <w:bottom w:val="nil"/>
              <w:right w:val="single" w:sz="4" w:space="0" w:color="auto"/>
            </w:tcBorders>
          </w:tcPr>
          <w:p w14:paraId="0B65A623" w14:textId="77777777" w:rsidR="007F7BC7" w:rsidRPr="00C22DAB" w:rsidRDefault="007F7BC7" w:rsidP="000F6575">
            <w:pPr>
              <w:jc w:val="center"/>
              <w:rPr>
                <w:rFonts w:eastAsia="Times New Roman" w:cs="Arial"/>
                <w:color w:val="000000"/>
                <w:sz w:val="22"/>
              </w:rPr>
            </w:pPr>
          </w:p>
        </w:tc>
      </w:tr>
      <w:tr w:rsidR="007F7BC7" w:rsidRPr="00F0556E" w14:paraId="036A430C"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716CBA48" w14:textId="77777777" w:rsidR="007F7BC7" w:rsidRPr="00F0556E" w:rsidRDefault="007F7BC7" w:rsidP="000F6575">
            <w:pPr>
              <w:ind w:firstLineChars="100" w:firstLine="220"/>
              <w:rPr>
                <w:rFonts w:eastAsia="Times New Roman" w:cs="Arial"/>
                <w:color w:val="000000"/>
                <w:sz w:val="22"/>
              </w:rPr>
            </w:pPr>
            <w:r w:rsidRPr="00F0556E">
              <w:rPr>
                <w:sz w:val="22"/>
              </w:rPr>
              <w:t>5-1 days before</w:t>
            </w:r>
          </w:p>
        </w:tc>
        <w:tc>
          <w:tcPr>
            <w:tcW w:w="1617" w:type="dxa"/>
            <w:tcBorders>
              <w:top w:val="nil"/>
              <w:left w:val="single" w:sz="4" w:space="0" w:color="auto"/>
              <w:bottom w:val="nil"/>
            </w:tcBorders>
            <w:shd w:val="clear" w:color="auto" w:fill="auto"/>
            <w:noWrap/>
            <w:vAlign w:val="bottom"/>
          </w:tcPr>
          <w:p w14:paraId="73335A8F"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8.81</w:t>
            </w:r>
          </w:p>
        </w:tc>
        <w:tc>
          <w:tcPr>
            <w:tcW w:w="1617" w:type="dxa"/>
            <w:tcBorders>
              <w:top w:val="nil"/>
              <w:bottom w:val="nil"/>
              <w:right w:val="single" w:sz="4" w:space="0" w:color="auto"/>
            </w:tcBorders>
          </w:tcPr>
          <w:p w14:paraId="14260A47" w14:textId="77777777" w:rsidR="007F7BC7" w:rsidRDefault="007F7BC7" w:rsidP="000F6575">
            <w:pPr>
              <w:jc w:val="center"/>
              <w:rPr>
                <w:rFonts w:eastAsia="Times New Roman" w:cs="Arial"/>
                <w:color w:val="000000"/>
                <w:sz w:val="22"/>
              </w:rPr>
            </w:pPr>
            <w:r>
              <w:rPr>
                <w:rFonts w:eastAsia="Times New Roman" w:cs="Arial"/>
                <w:color w:val="000000"/>
                <w:sz w:val="22"/>
              </w:rPr>
              <w:t>2.32</w:t>
            </w:r>
          </w:p>
        </w:tc>
        <w:tc>
          <w:tcPr>
            <w:tcW w:w="1617" w:type="dxa"/>
            <w:tcBorders>
              <w:top w:val="nil"/>
              <w:left w:val="single" w:sz="4" w:space="0" w:color="auto"/>
              <w:bottom w:val="nil"/>
            </w:tcBorders>
            <w:shd w:val="clear" w:color="auto" w:fill="auto"/>
            <w:noWrap/>
            <w:vAlign w:val="bottom"/>
          </w:tcPr>
          <w:p w14:paraId="1264EFAE"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7.93</w:t>
            </w:r>
          </w:p>
        </w:tc>
        <w:tc>
          <w:tcPr>
            <w:tcW w:w="1618" w:type="dxa"/>
            <w:tcBorders>
              <w:top w:val="nil"/>
              <w:bottom w:val="nil"/>
              <w:right w:val="single" w:sz="4" w:space="0" w:color="auto"/>
            </w:tcBorders>
          </w:tcPr>
          <w:p w14:paraId="454BAE4B" w14:textId="77777777" w:rsidR="007F7BC7" w:rsidRDefault="007F7BC7" w:rsidP="000F6575">
            <w:pPr>
              <w:jc w:val="center"/>
              <w:rPr>
                <w:rFonts w:eastAsia="Times New Roman" w:cs="Arial"/>
                <w:color w:val="000000"/>
                <w:sz w:val="22"/>
              </w:rPr>
            </w:pPr>
            <w:r>
              <w:rPr>
                <w:rFonts w:eastAsia="Times New Roman" w:cs="Arial"/>
                <w:color w:val="000000"/>
                <w:sz w:val="22"/>
              </w:rPr>
              <w:t>2.01</w:t>
            </w:r>
          </w:p>
        </w:tc>
      </w:tr>
      <w:tr w:rsidR="007F7BC7" w:rsidRPr="00F0556E" w14:paraId="0767DAB3" w14:textId="77777777" w:rsidTr="00BA2317">
        <w:trPr>
          <w:trHeight w:val="20"/>
        </w:trPr>
        <w:tc>
          <w:tcPr>
            <w:tcW w:w="2547" w:type="dxa"/>
            <w:tcBorders>
              <w:top w:val="nil"/>
              <w:left w:val="single" w:sz="4" w:space="0" w:color="auto"/>
              <w:bottom w:val="nil"/>
              <w:right w:val="single" w:sz="4" w:space="0" w:color="auto"/>
            </w:tcBorders>
            <w:shd w:val="clear" w:color="auto" w:fill="auto"/>
            <w:noWrap/>
            <w:hideMark/>
          </w:tcPr>
          <w:p w14:paraId="1E9AE7FF" w14:textId="77777777" w:rsidR="007F7BC7" w:rsidRPr="00F0556E" w:rsidRDefault="007F7BC7" w:rsidP="000F6575">
            <w:pPr>
              <w:ind w:firstLineChars="100" w:firstLine="220"/>
              <w:rPr>
                <w:rFonts w:eastAsia="Times New Roman" w:cs="Arial"/>
                <w:color w:val="000000"/>
                <w:sz w:val="22"/>
              </w:rPr>
            </w:pPr>
            <w:r w:rsidRPr="00F0556E">
              <w:rPr>
                <w:sz w:val="22"/>
              </w:rPr>
              <w:t>0-7 days after</w:t>
            </w:r>
          </w:p>
        </w:tc>
        <w:tc>
          <w:tcPr>
            <w:tcW w:w="1617" w:type="dxa"/>
            <w:tcBorders>
              <w:top w:val="nil"/>
              <w:left w:val="single" w:sz="4" w:space="0" w:color="auto"/>
              <w:bottom w:val="nil"/>
            </w:tcBorders>
            <w:shd w:val="clear" w:color="auto" w:fill="auto"/>
            <w:noWrap/>
            <w:vAlign w:val="bottom"/>
          </w:tcPr>
          <w:p w14:paraId="37C2E3CD"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34.37</w:t>
            </w:r>
          </w:p>
        </w:tc>
        <w:tc>
          <w:tcPr>
            <w:tcW w:w="1617" w:type="dxa"/>
            <w:tcBorders>
              <w:top w:val="nil"/>
              <w:bottom w:val="nil"/>
              <w:right w:val="single" w:sz="4" w:space="0" w:color="auto"/>
            </w:tcBorders>
          </w:tcPr>
          <w:p w14:paraId="4AA9F1DC" w14:textId="77777777" w:rsidR="007F7BC7" w:rsidRDefault="007F7BC7" w:rsidP="000F6575">
            <w:pPr>
              <w:jc w:val="center"/>
              <w:rPr>
                <w:rFonts w:eastAsia="Times New Roman" w:cs="Arial"/>
                <w:color w:val="000000"/>
                <w:sz w:val="22"/>
              </w:rPr>
            </w:pPr>
            <w:r>
              <w:rPr>
                <w:rFonts w:eastAsia="Times New Roman" w:cs="Arial"/>
                <w:color w:val="000000"/>
                <w:sz w:val="22"/>
              </w:rPr>
              <w:t>21.49</w:t>
            </w:r>
          </w:p>
        </w:tc>
        <w:tc>
          <w:tcPr>
            <w:tcW w:w="1617" w:type="dxa"/>
            <w:tcBorders>
              <w:top w:val="nil"/>
              <w:left w:val="single" w:sz="4" w:space="0" w:color="auto"/>
              <w:bottom w:val="nil"/>
            </w:tcBorders>
            <w:shd w:val="clear" w:color="auto" w:fill="auto"/>
            <w:noWrap/>
            <w:vAlign w:val="bottom"/>
          </w:tcPr>
          <w:p w14:paraId="74B05C36"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22.51</w:t>
            </w:r>
          </w:p>
        </w:tc>
        <w:tc>
          <w:tcPr>
            <w:tcW w:w="1618" w:type="dxa"/>
            <w:tcBorders>
              <w:top w:val="nil"/>
              <w:bottom w:val="nil"/>
              <w:right w:val="single" w:sz="4" w:space="0" w:color="auto"/>
            </w:tcBorders>
          </w:tcPr>
          <w:p w14:paraId="2CCE74E9" w14:textId="77777777" w:rsidR="007F7BC7" w:rsidRDefault="007F7BC7" w:rsidP="000F6575">
            <w:pPr>
              <w:jc w:val="center"/>
              <w:rPr>
                <w:rFonts w:eastAsia="Times New Roman" w:cs="Arial"/>
                <w:color w:val="000000"/>
                <w:sz w:val="22"/>
              </w:rPr>
            </w:pPr>
            <w:r>
              <w:rPr>
                <w:rFonts w:eastAsia="Times New Roman" w:cs="Arial"/>
                <w:color w:val="000000"/>
                <w:sz w:val="22"/>
              </w:rPr>
              <w:t>14.08</w:t>
            </w:r>
          </w:p>
        </w:tc>
      </w:tr>
      <w:tr w:rsidR="007F7BC7" w:rsidRPr="00F0556E" w14:paraId="735F5FEF" w14:textId="77777777" w:rsidTr="00BA2317">
        <w:trPr>
          <w:trHeight w:val="20"/>
        </w:trPr>
        <w:tc>
          <w:tcPr>
            <w:tcW w:w="2547" w:type="dxa"/>
            <w:tcBorders>
              <w:top w:val="nil"/>
              <w:left w:val="single" w:sz="4" w:space="0" w:color="auto"/>
              <w:right w:val="single" w:sz="4" w:space="0" w:color="auto"/>
            </w:tcBorders>
            <w:shd w:val="clear" w:color="auto" w:fill="auto"/>
            <w:noWrap/>
            <w:hideMark/>
          </w:tcPr>
          <w:p w14:paraId="363DC684" w14:textId="77777777" w:rsidR="007F7BC7" w:rsidRPr="00F0556E" w:rsidRDefault="007F7BC7" w:rsidP="000F6575">
            <w:pPr>
              <w:ind w:firstLineChars="100" w:firstLine="220"/>
              <w:rPr>
                <w:rFonts w:eastAsia="Times New Roman" w:cs="Arial"/>
                <w:color w:val="000000"/>
                <w:sz w:val="22"/>
              </w:rPr>
            </w:pPr>
            <w:r w:rsidRPr="00F0556E">
              <w:rPr>
                <w:sz w:val="22"/>
              </w:rPr>
              <w:t>8-28 days after</w:t>
            </w:r>
          </w:p>
        </w:tc>
        <w:tc>
          <w:tcPr>
            <w:tcW w:w="1617" w:type="dxa"/>
            <w:tcBorders>
              <w:top w:val="nil"/>
              <w:left w:val="single" w:sz="4" w:space="0" w:color="auto"/>
            </w:tcBorders>
            <w:shd w:val="clear" w:color="auto" w:fill="auto"/>
            <w:noWrap/>
            <w:vAlign w:val="bottom"/>
          </w:tcPr>
          <w:p w14:paraId="7AF58659"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6.74</w:t>
            </w:r>
          </w:p>
        </w:tc>
        <w:tc>
          <w:tcPr>
            <w:tcW w:w="1617" w:type="dxa"/>
            <w:tcBorders>
              <w:top w:val="nil"/>
              <w:right w:val="single" w:sz="4" w:space="0" w:color="auto"/>
            </w:tcBorders>
          </w:tcPr>
          <w:p w14:paraId="383000B7" w14:textId="77777777" w:rsidR="007F7BC7" w:rsidRDefault="007F7BC7" w:rsidP="000F6575">
            <w:pPr>
              <w:jc w:val="center"/>
              <w:rPr>
                <w:rFonts w:eastAsia="Times New Roman" w:cs="Arial"/>
                <w:color w:val="000000"/>
                <w:sz w:val="22"/>
              </w:rPr>
            </w:pPr>
            <w:r>
              <w:rPr>
                <w:rFonts w:eastAsia="Times New Roman" w:cs="Arial"/>
                <w:color w:val="000000"/>
                <w:sz w:val="22"/>
              </w:rPr>
              <w:t>3.21</w:t>
            </w:r>
          </w:p>
        </w:tc>
        <w:tc>
          <w:tcPr>
            <w:tcW w:w="1617" w:type="dxa"/>
            <w:tcBorders>
              <w:top w:val="nil"/>
              <w:left w:val="single" w:sz="4" w:space="0" w:color="auto"/>
            </w:tcBorders>
            <w:shd w:val="clear" w:color="auto" w:fill="auto"/>
            <w:noWrap/>
            <w:vAlign w:val="bottom"/>
          </w:tcPr>
          <w:p w14:paraId="2498340A"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4.29</w:t>
            </w:r>
          </w:p>
        </w:tc>
        <w:tc>
          <w:tcPr>
            <w:tcW w:w="1618" w:type="dxa"/>
            <w:tcBorders>
              <w:top w:val="nil"/>
              <w:right w:val="single" w:sz="4" w:space="0" w:color="auto"/>
            </w:tcBorders>
          </w:tcPr>
          <w:p w14:paraId="7E112903" w14:textId="77777777" w:rsidR="007F7BC7" w:rsidRDefault="007F7BC7" w:rsidP="000F6575">
            <w:pPr>
              <w:jc w:val="center"/>
              <w:rPr>
                <w:rFonts w:eastAsia="Times New Roman" w:cs="Arial"/>
                <w:color w:val="000000"/>
                <w:sz w:val="22"/>
              </w:rPr>
            </w:pPr>
            <w:r>
              <w:rPr>
                <w:rFonts w:eastAsia="Times New Roman" w:cs="Arial"/>
                <w:color w:val="000000"/>
                <w:sz w:val="22"/>
              </w:rPr>
              <w:t>1.86</w:t>
            </w:r>
          </w:p>
        </w:tc>
      </w:tr>
      <w:tr w:rsidR="007F7BC7" w:rsidRPr="00F0556E" w14:paraId="642241BF" w14:textId="77777777" w:rsidTr="00BA2317">
        <w:trPr>
          <w:trHeight w:val="20"/>
        </w:trPr>
        <w:tc>
          <w:tcPr>
            <w:tcW w:w="2547" w:type="dxa"/>
            <w:tcBorders>
              <w:top w:val="nil"/>
              <w:left w:val="single" w:sz="4" w:space="0" w:color="auto"/>
              <w:bottom w:val="single" w:sz="4" w:space="0" w:color="auto"/>
              <w:right w:val="single" w:sz="4" w:space="0" w:color="auto"/>
            </w:tcBorders>
            <w:shd w:val="clear" w:color="auto" w:fill="auto"/>
            <w:noWrap/>
            <w:hideMark/>
          </w:tcPr>
          <w:p w14:paraId="2CF039CE" w14:textId="77777777" w:rsidR="007F7BC7" w:rsidRPr="00F0556E" w:rsidRDefault="007F7BC7" w:rsidP="000F6575">
            <w:pPr>
              <w:ind w:firstLineChars="100" w:firstLine="220"/>
              <w:rPr>
                <w:rFonts w:eastAsia="Times New Roman" w:cs="Arial"/>
                <w:color w:val="000000"/>
                <w:sz w:val="22"/>
              </w:rPr>
            </w:pPr>
            <w:r w:rsidRPr="00F0556E">
              <w:rPr>
                <w:sz w:val="22"/>
              </w:rPr>
              <w:t>28-56 days after</w:t>
            </w:r>
          </w:p>
        </w:tc>
        <w:tc>
          <w:tcPr>
            <w:tcW w:w="1617" w:type="dxa"/>
            <w:tcBorders>
              <w:top w:val="nil"/>
              <w:left w:val="single" w:sz="4" w:space="0" w:color="auto"/>
              <w:bottom w:val="single" w:sz="4" w:space="0" w:color="auto"/>
            </w:tcBorders>
            <w:shd w:val="clear" w:color="auto" w:fill="auto"/>
            <w:noWrap/>
            <w:vAlign w:val="bottom"/>
          </w:tcPr>
          <w:p w14:paraId="16E64F8E"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bottom w:val="single" w:sz="4" w:space="0" w:color="auto"/>
              <w:right w:val="single" w:sz="4" w:space="0" w:color="auto"/>
            </w:tcBorders>
          </w:tcPr>
          <w:p w14:paraId="1C86CB83" w14:textId="77777777" w:rsidR="007F7BC7" w:rsidRDefault="007F7BC7" w:rsidP="000F6575">
            <w:pPr>
              <w:jc w:val="center"/>
              <w:rPr>
                <w:rFonts w:eastAsia="Times New Roman" w:cs="Arial"/>
                <w:color w:val="000000"/>
                <w:sz w:val="22"/>
              </w:rPr>
            </w:pPr>
            <w:r>
              <w:rPr>
                <w:rFonts w:eastAsia="Times New Roman" w:cs="Arial"/>
                <w:color w:val="000000"/>
                <w:sz w:val="22"/>
              </w:rPr>
              <w:t>-</w:t>
            </w:r>
          </w:p>
        </w:tc>
        <w:tc>
          <w:tcPr>
            <w:tcW w:w="1617" w:type="dxa"/>
            <w:tcBorders>
              <w:top w:val="nil"/>
              <w:left w:val="single" w:sz="4" w:space="0" w:color="auto"/>
              <w:bottom w:val="single" w:sz="4" w:space="0" w:color="auto"/>
            </w:tcBorders>
            <w:shd w:val="clear" w:color="auto" w:fill="auto"/>
            <w:noWrap/>
            <w:vAlign w:val="bottom"/>
          </w:tcPr>
          <w:p w14:paraId="7A3A1AA8" w14:textId="77777777" w:rsidR="007F7BC7" w:rsidRPr="00C22DAB" w:rsidRDefault="007F7BC7" w:rsidP="000F6575">
            <w:pPr>
              <w:jc w:val="center"/>
              <w:rPr>
                <w:rFonts w:eastAsia="Times New Roman" w:cs="Arial"/>
                <w:color w:val="000000"/>
                <w:sz w:val="22"/>
              </w:rPr>
            </w:pPr>
            <w:r>
              <w:rPr>
                <w:rFonts w:eastAsia="Times New Roman" w:cs="Arial"/>
                <w:color w:val="000000"/>
                <w:sz w:val="22"/>
              </w:rPr>
              <w:t>-</w:t>
            </w:r>
          </w:p>
        </w:tc>
        <w:tc>
          <w:tcPr>
            <w:tcW w:w="1618" w:type="dxa"/>
            <w:tcBorders>
              <w:top w:val="nil"/>
              <w:bottom w:val="single" w:sz="4" w:space="0" w:color="auto"/>
              <w:right w:val="single" w:sz="4" w:space="0" w:color="auto"/>
            </w:tcBorders>
          </w:tcPr>
          <w:p w14:paraId="221D9678" w14:textId="77777777" w:rsidR="007F7BC7" w:rsidRDefault="007F7BC7" w:rsidP="000F6575">
            <w:pPr>
              <w:jc w:val="center"/>
              <w:rPr>
                <w:rFonts w:eastAsia="Times New Roman" w:cs="Arial"/>
                <w:color w:val="000000"/>
                <w:sz w:val="22"/>
              </w:rPr>
            </w:pPr>
            <w:r>
              <w:rPr>
                <w:rFonts w:eastAsia="Times New Roman" w:cs="Arial"/>
                <w:color w:val="000000"/>
                <w:sz w:val="22"/>
              </w:rPr>
              <w:t>-</w:t>
            </w:r>
          </w:p>
        </w:tc>
      </w:tr>
    </w:tbl>
    <w:p w14:paraId="11413985" w14:textId="77777777" w:rsidR="007F7BC7" w:rsidRDefault="007F7BC7" w:rsidP="000F6575">
      <w:pPr>
        <w:rPr>
          <w:szCs w:val="24"/>
        </w:rPr>
      </w:pPr>
      <w:r>
        <w:rPr>
          <w:szCs w:val="24"/>
        </w:rPr>
        <w:t>E-values were not calculated for non-significant results</w:t>
      </w:r>
    </w:p>
    <w:p w14:paraId="36C2685A" w14:textId="300576D0" w:rsidR="00456AC4" w:rsidRDefault="00456AC4" w:rsidP="000F6575">
      <w:pPr>
        <w:spacing w:after="160"/>
      </w:pPr>
    </w:p>
    <w:sectPr w:rsidR="00456A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2BEE1" w14:textId="77777777" w:rsidR="00A57535" w:rsidRDefault="00A57535" w:rsidP="007F7BC7">
      <w:r>
        <w:separator/>
      </w:r>
    </w:p>
  </w:endnote>
  <w:endnote w:type="continuationSeparator" w:id="0">
    <w:p w14:paraId="270701C1" w14:textId="77777777" w:rsidR="00A57535" w:rsidRDefault="00A57535" w:rsidP="007F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903361"/>
      <w:docPartObj>
        <w:docPartGallery w:val="Page Numbers (Bottom of Page)"/>
        <w:docPartUnique/>
      </w:docPartObj>
    </w:sdtPr>
    <w:sdtEndPr>
      <w:rPr>
        <w:noProof/>
      </w:rPr>
    </w:sdtEndPr>
    <w:sdtContent>
      <w:p w14:paraId="10FE2A76" w14:textId="0D14EBF6" w:rsidR="007F7BC7" w:rsidRDefault="007F7BC7" w:rsidP="007F7B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BE1E" w14:textId="77777777" w:rsidR="00A57535" w:rsidRDefault="00A57535" w:rsidP="007F7BC7">
      <w:r>
        <w:separator/>
      </w:r>
    </w:p>
  </w:footnote>
  <w:footnote w:type="continuationSeparator" w:id="0">
    <w:p w14:paraId="0EC01DBC" w14:textId="77777777" w:rsidR="00A57535" w:rsidRDefault="00A57535" w:rsidP="007F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C7"/>
    <w:rsid w:val="000E1227"/>
    <w:rsid w:val="000F6575"/>
    <w:rsid w:val="00456AC4"/>
    <w:rsid w:val="00560533"/>
    <w:rsid w:val="005C3BD1"/>
    <w:rsid w:val="00755D12"/>
    <w:rsid w:val="007D0FC4"/>
    <w:rsid w:val="007F7BC7"/>
    <w:rsid w:val="00955E0B"/>
    <w:rsid w:val="00A57535"/>
    <w:rsid w:val="00DD2545"/>
    <w:rsid w:val="00E9075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4AD2"/>
  <w15:chartTrackingRefBased/>
  <w15:docId w15:val="{62970B2A-EBC7-407D-BB98-A71E5EA5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C7"/>
    <w:pPr>
      <w:spacing w:after="0" w:line="240" w:lineRule="auto"/>
    </w:pPr>
    <w:rPr>
      <w:rFonts w:ascii="Arial" w:hAnsi="Arial"/>
      <w:sz w:val="24"/>
    </w:rPr>
  </w:style>
  <w:style w:type="paragraph" w:styleId="Heading1">
    <w:name w:val="heading 1"/>
    <w:basedOn w:val="Normal"/>
    <w:next w:val="Normal"/>
    <w:link w:val="Heading1Char"/>
    <w:uiPriority w:val="9"/>
    <w:qFormat/>
    <w:rsid w:val="00E90750"/>
    <w:pPr>
      <w:spacing w:line="480"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BC7"/>
    <w:pPr>
      <w:tabs>
        <w:tab w:val="center" w:pos="4513"/>
        <w:tab w:val="right" w:pos="9026"/>
      </w:tabs>
    </w:pPr>
  </w:style>
  <w:style w:type="character" w:customStyle="1" w:styleId="HeaderChar">
    <w:name w:val="Header Char"/>
    <w:basedOn w:val="DefaultParagraphFont"/>
    <w:link w:val="Header"/>
    <w:uiPriority w:val="99"/>
    <w:rsid w:val="007F7BC7"/>
    <w:rPr>
      <w:rFonts w:ascii="Arial" w:hAnsi="Arial"/>
      <w:sz w:val="24"/>
    </w:rPr>
  </w:style>
  <w:style w:type="paragraph" w:styleId="Footer">
    <w:name w:val="footer"/>
    <w:basedOn w:val="Normal"/>
    <w:link w:val="FooterChar"/>
    <w:uiPriority w:val="99"/>
    <w:unhideWhenUsed/>
    <w:rsid w:val="007F7BC7"/>
    <w:pPr>
      <w:tabs>
        <w:tab w:val="center" w:pos="4513"/>
        <w:tab w:val="right" w:pos="9026"/>
      </w:tabs>
    </w:pPr>
  </w:style>
  <w:style w:type="character" w:customStyle="1" w:styleId="FooterChar">
    <w:name w:val="Footer Char"/>
    <w:basedOn w:val="DefaultParagraphFont"/>
    <w:link w:val="Footer"/>
    <w:uiPriority w:val="99"/>
    <w:rsid w:val="007F7BC7"/>
    <w:rPr>
      <w:rFonts w:ascii="Arial" w:hAnsi="Arial"/>
      <w:sz w:val="24"/>
    </w:rPr>
  </w:style>
  <w:style w:type="character" w:customStyle="1" w:styleId="Heading1Char">
    <w:name w:val="Heading 1 Char"/>
    <w:basedOn w:val="DefaultParagraphFont"/>
    <w:link w:val="Heading1"/>
    <w:uiPriority w:val="9"/>
    <w:rsid w:val="00E90750"/>
    <w:rPr>
      <w:rFonts w:ascii="Arial" w:hAnsi="Arial"/>
      <w:sz w:val="24"/>
    </w:rPr>
  </w:style>
  <w:style w:type="paragraph" w:styleId="TOCHeading">
    <w:name w:val="TOC Heading"/>
    <w:basedOn w:val="Heading1"/>
    <w:next w:val="Normal"/>
    <w:uiPriority w:val="39"/>
    <w:unhideWhenUsed/>
    <w:qFormat/>
    <w:rsid w:val="005C3BD1"/>
    <w:pPr>
      <w:keepNext/>
      <w:keepLines/>
      <w:spacing w:before="240" w:line="259" w:lineRule="auto"/>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5C3BD1"/>
    <w:pPr>
      <w:spacing w:after="100"/>
    </w:pPr>
  </w:style>
  <w:style w:type="character" w:styleId="Hyperlink">
    <w:name w:val="Hyperlink"/>
    <w:basedOn w:val="DefaultParagraphFont"/>
    <w:uiPriority w:val="99"/>
    <w:unhideWhenUsed/>
    <w:rsid w:val="005C3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471C-175C-4024-809A-3D1F5FE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Ho</dc:creator>
  <cp:keywords/>
  <dc:description/>
  <cp:lastModifiedBy>Frederick Ho</cp:lastModifiedBy>
  <cp:revision>10</cp:revision>
  <dcterms:created xsi:type="dcterms:W3CDTF">2021-01-25T10:25:00Z</dcterms:created>
  <dcterms:modified xsi:type="dcterms:W3CDTF">2021-01-27T03:09:00Z</dcterms:modified>
</cp:coreProperties>
</file>