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BB4F2" w14:textId="2334D946" w:rsidR="00A24095" w:rsidRDefault="00A24095" w:rsidP="00A2409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proofErr w:type="spellStart"/>
      <w:r>
        <w:t>RoB</w:t>
      </w:r>
      <w:proofErr w:type="spellEnd"/>
      <w:r>
        <w:t xml:space="preserve"> 2.0 tool</w:t>
      </w:r>
      <w:r w:rsidR="00E55352">
        <w:t xml:space="preserve"> (individually randomized, parallel group trials)</w:t>
      </w:r>
    </w:p>
    <w:p w14:paraId="7AA9771C" w14:textId="77777777" w:rsidR="00A24095" w:rsidRPr="00E60A57" w:rsidRDefault="00A24095" w:rsidP="00A2409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A24095" w:rsidRPr="00C1728A" w14:paraId="529A0F9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B6D26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32A72DF0" w14:textId="03D25CD9" w:rsidR="00A24095" w:rsidRPr="00C1728A" w:rsidRDefault="002701CF" w:rsidP="001534B9">
            <w:r>
              <w:t>RC</w:t>
            </w:r>
          </w:p>
        </w:tc>
      </w:tr>
      <w:tr w:rsidR="00A24095" w:rsidRPr="00C1728A" w14:paraId="5FB0763B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46DDD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0AC962C8" w14:textId="77777777" w:rsidR="00A24095" w:rsidRDefault="002701CF" w:rsidP="001534B9">
            <w:proofErr w:type="spellStart"/>
            <w:r w:rsidRPr="002701CF">
              <w:t>Afanasiev</w:t>
            </w:r>
            <w:proofErr w:type="spellEnd"/>
            <w:r w:rsidRPr="002701CF">
              <w:t xml:space="preserve"> (2016)</w:t>
            </w:r>
          </w:p>
          <w:p w14:paraId="4F8FEE29" w14:textId="218F1FF3" w:rsidR="002701CF" w:rsidRPr="00C1728A" w:rsidRDefault="002701CF" w:rsidP="001534B9"/>
        </w:tc>
      </w:tr>
    </w:tbl>
    <w:p w14:paraId="0FB49F63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86C139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3464C" w14:textId="2F2DA800" w:rsidR="00A24095" w:rsidRPr="00CF6C80" w:rsidRDefault="00A930D3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CA753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A24095" w:rsidRPr="0047180D" w14:paraId="7EA94749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7512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31B1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A24095" w:rsidRPr="0047180D" w14:paraId="5E7773F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0C29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EE0E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27A7AAC3" w14:textId="77777777" w:rsidR="00A24095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13C48FD1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EB5E2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74A47E08" w14:textId="5CDB89F3" w:rsidR="00A24095" w:rsidRDefault="002701CF" w:rsidP="001534B9">
            <w:r>
              <w:t>HSP60, HSP70 and 6-minute walk test</w:t>
            </w:r>
          </w:p>
          <w:p w14:paraId="6583FE6D" w14:textId="77777777" w:rsidR="00A24095" w:rsidRPr="00C1728A" w:rsidRDefault="00A24095" w:rsidP="001534B9"/>
        </w:tc>
      </w:tr>
    </w:tbl>
    <w:p w14:paraId="76CDEDD5" w14:textId="77777777" w:rsidR="00A24095" w:rsidRPr="00C1728A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522340E4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A0B53" w14:textId="77777777" w:rsidR="00A24095" w:rsidRPr="009535B3" w:rsidRDefault="00A2409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49014E3C" w14:textId="62B43119" w:rsidR="00A24095" w:rsidRPr="00C1728A" w:rsidRDefault="002701CF" w:rsidP="001534B9">
            <w:r w:rsidRPr="002701CF">
              <w:rPr>
                <w:rFonts w:ascii="Calibri" w:hAnsi="Calibri" w:cs="Calibri"/>
                <w:color w:val="000000"/>
              </w:rPr>
              <w:t xml:space="preserve">Active group's patient walk distance within 6 minutes significantly increased from 265.4 SD 38.5 to 376.4 SD 39.4 meters (n=63) when compared with the placebo group increased from </w:t>
            </w:r>
            <w:proofErr w:type="spellStart"/>
            <w:r w:rsidRPr="002701CF">
              <w:rPr>
                <w:rFonts w:ascii="Calibri" w:hAnsi="Calibri" w:cs="Calibri"/>
                <w:color w:val="000000"/>
              </w:rPr>
              <w:t>from</w:t>
            </w:r>
            <w:proofErr w:type="spellEnd"/>
            <w:r w:rsidRPr="002701CF">
              <w:rPr>
                <w:rFonts w:ascii="Calibri" w:hAnsi="Calibri" w:cs="Calibri"/>
                <w:color w:val="000000"/>
              </w:rPr>
              <w:t xml:space="preserve"> 211.4 SD 40.1 to 213.6 SD 38.5 meters (n=7). </w:t>
            </w:r>
            <w:proofErr w:type="spellStart"/>
            <w:r w:rsidRPr="002701CF">
              <w:rPr>
                <w:rFonts w:ascii="Calibri" w:hAnsi="Calibri" w:cs="Calibri"/>
                <w:color w:val="000000"/>
              </w:rPr>
              <w:t>Hsp</w:t>
            </w:r>
            <w:proofErr w:type="spellEnd"/>
            <w:r w:rsidRPr="002701CF">
              <w:rPr>
                <w:rFonts w:ascii="Calibri" w:hAnsi="Calibri" w:cs="Calibri"/>
                <w:color w:val="000000"/>
              </w:rPr>
              <w:t xml:space="preserve"> 60 increased from 131.5 SD 34.3 to 133.8 SD 34.0 and </w:t>
            </w:r>
            <w:proofErr w:type="spellStart"/>
            <w:r w:rsidRPr="002701CF">
              <w:rPr>
                <w:rFonts w:ascii="Calibri" w:hAnsi="Calibri" w:cs="Calibri"/>
                <w:color w:val="000000"/>
              </w:rPr>
              <w:t>Hsp</w:t>
            </w:r>
            <w:proofErr w:type="spellEnd"/>
            <w:r w:rsidRPr="002701CF">
              <w:rPr>
                <w:rFonts w:ascii="Calibri" w:hAnsi="Calibri" w:cs="Calibri"/>
                <w:color w:val="000000"/>
              </w:rPr>
              <w:t xml:space="preserve"> 70 increased from 9.4 SD 6.7 to 14.3 SD 12.3 for placebo group. For active subgroup1 (initial HR&lt;80), </w:t>
            </w:r>
            <w:proofErr w:type="spellStart"/>
            <w:r w:rsidRPr="002701CF">
              <w:rPr>
                <w:rFonts w:ascii="Calibri" w:hAnsi="Calibri" w:cs="Calibri"/>
                <w:color w:val="000000"/>
              </w:rPr>
              <w:t>Hsp</w:t>
            </w:r>
            <w:proofErr w:type="spellEnd"/>
            <w:r w:rsidRPr="002701CF">
              <w:rPr>
                <w:rFonts w:ascii="Calibri" w:hAnsi="Calibri" w:cs="Calibri"/>
                <w:color w:val="000000"/>
              </w:rPr>
              <w:t xml:space="preserve"> 60 increased 103.9 SD 75.1 to 154.3 SD 92.6 </w:t>
            </w:r>
            <w:proofErr w:type="gramStart"/>
            <w:r w:rsidRPr="002701CF">
              <w:rPr>
                <w:rFonts w:ascii="Calibri" w:hAnsi="Calibri" w:cs="Calibri"/>
                <w:color w:val="000000"/>
              </w:rPr>
              <w:t>and  Hsp</w:t>
            </w:r>
            <w:proofErr w:type="gramEnd"/>
            <w:r w:rsidRPr="002701CF">
              <w:rPr>
                <w:rFonts w:ascii="Calibri" w:hAnsi="Calibri" w:cs="Calibri"/>
                <w:color w:val="000000"/>
              </w:rPr>
              <w:t xml:space="preserve">70 increased from 12.9 SD 5.8 to 20.5 SD 9.1. For active subgroup2 (initial HR&gt;80), </w:t>
            </w:r>
            <w:proofErr w:type="spellStart"/>
            <w:r w:rsidRPr="002701CF">
              <w:rPr>
                <w:rFonts w:ascii="Calibri" w:hAnsi="Calibri" w:cs="Calibri"/>
                <w:color w:val="000000"/>
              </w:rPr>
              <w:t>Hsp</w:t>
            </w:r>
            <w:proofErr w:type="spellEnd"/>
            <w:r w:rsidRPr="002701CF">
              <w:rPr>
                <w:rFonts w:ascii="Calibri" w:hAnsi="Calibri" w:cs="Calibri"/>
                <w:color w:val="000000"/>
              </w:rPr>
              <w:t xml:space="preserve"> 60 remain the same, before </w:t>
            </w:r>
            <w:proofErr w:type="spellStart"/>
            <w:r w:rsidRPr="002701CF">
              <w:rPr>
                <w:rFonts w:ascii="Calibri" w:hAnsi="Calibri" w:cs="Calibri"/>
                <w:color w:val="000000"/>
              </w:rPr>
              <w:t>sitmulation</w:t>
            </w:r>
            <w:proofErr w:type="spellEnd"/>
            <w:r w:rsidRPr="002701CF">
              <w:rPr>
                <w:rFonts w:ascii="Calibri" w:hAnsi="Calibri" w:cs="Calibri"/>
                <w:color w:val="000000"/>
              </w:rPr>
              <w:t xml:space="preserve"> is 166.5 SD 97.2 and after stimulation is 165.0 SD 168.7</w:t>
            </w:r>
            <w:proofErr w:type="gramStart"/>
            <w:r w:rsidRPr="002701CF">
              <w:rPr>
                <w:rFonts w:ascii="Calibri" w:hAnsi="Calibri" w:cs="Calibri"/>
                <w:color w:val="000000"/>
              </w:rPr>
              <w:t>;  Hsp</w:t>
            </w:r>
            <w:proofErr w:type="gramEnd"/>
            <w:r w:rsidRPr="002701CF">
              <w:rPr>
                <w:rFonts w:ascii="Calibri" w:hAnsi="Calibri" w:cs="Calibri"/>
                <w:color w:val="000000"/>
              </w:rPr>
              <w:t xml:space="preserve">70 increased from 12.0 SD 6.8 </w:t>
            </w:r>
            <w:r>
              <w:rPr>
                <w:rFonts w:ascii="Calibri" w:hAnsi="Calibri" w:cs="Calibri"/>
                <w:color w:val="000000"/>
              </w:rPr>
              <w:t xml:space="preserve">to </w:t>
            </w:r>
            <w:r w:rsidRPr="002701CF">
              <w:rPr>
                <w:rFonts w:ascii="Calibri" w:hAnsi="Calibri" w:cs="Calibri"/>
                <w:color w:val="000000"/>
              </w:rPr>
              <w:t>22.4 SD 22.0.</w:t>
            </w:r>
          </w:p>
        </w:tc>
      </w:tr>
    </w:tbl>
    <w:p w14:paraId="2D7D56A7" w14:textId="77777777" w:rsidR="00A24095" w:rsidRDefault="00A24095" w:rsidP="00A24095"/>
    <w:p w14:paraId="3C7206C1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3E413D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9FBE4" w14:textId="77777777" w:rsidR="00A24095" w:rsidRPr="00CF6C80" w:rsidRDefault="00A2409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15B9B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A24095" w:rsidRPr="0047180D" w14:paraId="5499B20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AD4DB" w14:textId="6B1E24CF" w:rsidR="00A24095" w:rsidRPr="00377ABC" w:rsidRDefault="00353AAE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4D204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27508B52" w14:textId="77777777" w:rsidR="00A24095" w:rsidRDefault="00A24095" w:rsidP="00A24095"/>
    <w:p w14:paraId="57FD8029" w14:textId="77777777" w:rsidR="00A24095" w:rsidRPr="009535B3" w:rsidRDefault="00A24095" w:rsidP="00A2409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332A87A7" w14:textId="10D6ADE0" w:rsidR="00A24095" w:rsidRPr="00CD6C10" w:rsidRDefault="00AF17A0" w:rsidP="00A24095">
      <w:r>
        <w:rPr>
          <w:szCs w:val="20"/>
        </w:rPr>
        <w:sym w:font="Wingdings" w:char="F0FE"/>
      </w:r>
      <w:r w:rsidR="00A24095">
        <w:rPr>
          <w:szCs w:val="20"/>
        </w:rPr>
        <w:tab/>
      </w:r>
      <w:r w:rsidR="00A24095" w:rsidRPr="00CD6C10">
        <w:t>Journal article(s) with results of the trial</w:t>
      </w:r>
    </w:p>
    <w:p w14:paraId="01A2D495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5EC2137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5671DD67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6947928E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79CE3F2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7858C44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006DE7C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1361820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1EC5297F" w14:textId="77777777" w:rsidR="00A24095" w:rsidRPr="00CD6C10" w:rsidRDefault="00A24095" w:rsidP="00A24095">
      <w:r w:rsidRPr="00CF6C80">
        <w:rPr>
          <w:szCs w:val="20"/>
        </w:rPr>
        <w:lastRenderedPageBreak/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0CD5B6E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7DD6A23B" w14:textId="77777777" w:rsidR="00A24095" w:rsidRPr="00C1728A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60E0F108" w14:textId="77777777" w:rsidR="00A24095" w:rsidRDefault="00A24095" w:rsidP="003119E8">
      <w:pPr>
        <w:pStyle w:val="Heading1"/>
        <w:sectPr w:rsidR="00A24095" w:rsidSect="00A2409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5E656772" w14:textId="77777777" w:rsidR="004D57F0" w:rsidRPr="00C1728A" w:rsidRDefault="004D57F0" w:rsidP="00A24095">
      <w:pPr>
        <w:pStyle w:val="Heading2"/>
        <w:numPr>
          <w:ilvl w:val="0"/>
          <w:numId w:val="0"/>
        </w:numPr>
        <w:ind w:left="576" w:hanging="576"/>
      </w:pPr>
      <w:bookmarkStart w:id="4" w:name="_Ref396936025"/>
      <w:bookmarkStart w:id="5" w:name="_Toc399091996"/>
      <w:bookmarkStart w:id="6" w:name="_Toc460505222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9E1DA2" w:rsidRPr="00C1728A" w14:paraId="417C5A3E" w14:textId="77777777" w:rsidTr="009E1DA2">
        <w:trPr>
          <w:cantSplit/>
          <w:trHeight w:val="20"/>
          <w:tblHeader/>
        </w:trPr>
        <w:tc>
          <w:tcPr>
            <w:tcW w:w="1650" w:type="dxa"/>
            <w:tcBorders>
              <w:right w:val="single" w:sz="4" w:space="0" w:color="auto"/>
            </w:tcBorders>
          </w:tcPr>
          <w:p w14:paraId="47913966" w14:textId="1013E7A0" w:rsidR="009E1DA2" w:rsidRPr="00301697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953D1AD" w14:textId="66A98F4F" w:rsidR="009E1DA2" w:rsidRDefault="009E1DA2" w:rsidP="009E1DA2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0F9FA89A" w14:textId="11EBADA8" w:rsidR="009E1DA2" w:rsidRPr="00113162" w:rsidRDefault="009E1DA2" w:rsidP="009E1DA2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3CBBF" w14:textId="1971C55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9E1DA2" w:rsidRPr="00C1728A" w14:paraId="0B865E7F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733E612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B21B563" w14:textId="77777777" w:rsidR="009E1DA2" w:rsidRPr="00C1728A" w:rsidRDefault="009E1DA2" w:rsidP="009E1DA2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7387501" w14:textId="410C06B2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EE72F" w14:textId="77777777" w:rsidR="009E1DA2" w:rsidRDefault="00AF677C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Randomly assigned</w:t>
            </w:r>
          </w:p>
          <w:p w14:paraId="6BED5943" w14:textId="33C8309F" w:rsidR="00AF677C" w:rsidRPr="00C1728A" w:rsidRDefault="00AF677C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reason to suspect revealing the allocation sequence before intervention</w:t>
            </w:r>
          </w:p>
        </w:tc>
      </w:tr>
      <w:tr w:rsidR="009E1DA2" w:rsidRPr="00C1728A" w14:paraId="036FAB5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CE3EB0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BD456A" w14:textId="159C73AE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1CB85F" w14:textId="0146F1D6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ED9C536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0A731C2" w14:textId="77777777" w:rsidTr="00A2409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E0E0D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2C2E13E9" w14:textId="77777777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EBEA87C" w14:textId="00B4F5E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 </w:t>
            </w:r>
            <w:r w:rsidR="009D36CE">
              <w:rPr>
                <w:color w:val="FF000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3528AE4" w14:textId="51C279BD" w:rsidR="009E1DA2" w:rsidRPr="00C1728A" w:rsidRDefault="009D36CE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Large difference in group size design. </w:t>
            </w:r>
            <w:r w:rsidR="002701CF">
              <w:rPr>
                <w:szCs w:val="20"/>
              </w:rPr>
              <w:t xml:space="preserve">No significant difference in clinical </w:t>
            </w:r>
            <w:r>
              <w:rPr>
                <w:szCs w:val="20"/>
              </w:rPr>
              <w:t>characteristics</w:t>
            </w:r>
            <w:r w:rsidR="002701CF">
              <w:rPr>
                <w:szCs w:val="20"/>
              </w:rPr>
              <w:t xml:space="preserve"> but the baseline </w:t>
            </w:r>
            <w:r>
              <w:rPr>
                <w:szCs w:val="20"/>
              </w:rPr>
              <w:t xml:space="preserve">has </w:t>
            </w:r>
            <w:proofErr w:type="spellStart"/>
            <w:proofErr w:type="gramStart"/>
            <w:r>
              <w:rPr>
                <w:szCs w:val="20"/>
              </w:rPr>
              <w:t>a</w:t>
            </w:r>
            <w:proofErr w:type="spellEnd"/>
            <w:proofErr w:type="gramEnd"/>
            <w:r w:rsidR="002701CF">
              <w:rPr>
                <w:szCs w:val="20"/>
              </w:rPr>
              <w:t xml:space="preserve"> </w:t>
            </w:r>
            <w:r>
              <w:rPr>
                <w:szCs w:val="20"/>
              </w:rPr>
              <w:t>obvious</w:t>
            </w:r>
            <w:r w:rsidR="002701CF">
              <w:rPr>
                <w:szCs w:val="20"/>
              </w:rPr>
              <w:t xml:space="preserve"> difference in 6-minuts walk test </w:t>
            </w:r>
            <w:r>
              <w:rPr>
                <w:szCs w:val="20"/>
              </w:rPr>
              <w:t>between two groups, but no between group comparison was reported.</w:t>
            </w:r>
          </w:p>
        </w:tc>
      </w:tr>
      <w:tr w:rsidR="005A3DDE" w:rsidRPr="00C1728A" w14:paraId="0D7CBAB6" w14:textId="77777777" w:rsidTr="009D36CE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92CACBA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EB3FD2" w14:textId="77777777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68FC5CD7" w14:textId="235A29E2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  <w:r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4828032" w14:textId="4BA45FE9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5A3DDE" w:rsidRPr="00C1728A" w14:paraId="060E7984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513829B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2769" w14:textId="246796DE" w:rsidR="005A3DDE" w:rsidRPr="000F1C27" w:rsidRDefault="005A3DDE" w:rsidP="005A3DD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BC57" w14:textId="4DB07E2B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D3C" w14:textId="6054FC21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</w:p>
        </w:tc>
      </w:tr>
      <w:tr w:rsidR="005A3DDE" w:rsidRPr="00C1728A" w14:paraId="6C525D1F" w14:textId="77777777" w:rsidTr="00A2409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745873F3" w14:textId="77777777" w:rsidR="005A3DDE" w:rsidRPr="006210AB" w:rsidRDefault="005A3DDE" w:rsidP="005A3DDE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065178F" w14:textId="77777777" w:rsidR="005A3DDE" w:rsidRPr="000F1C27" w:rsidRDefault="005A3DDE" w:rsidP="005A3DDE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457A2D" w14:textId="5076F465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 w:rsidRPr="009D36CE">
              <w:rPr>
                <w:color w:val="FF0000"/>
                <w:szCs w:val="20"/>
              </w:rPr>
              <w:t>PY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16CF727" w14:textId="1EE01E3F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The stimulation procedure has 15 sessions with a total time up to one hours. The placebo has no current and no sensation for all these sessions. </w:t>
            </w:r>
          </w:p>
        </w:tc>
      </w:tr>
      <w:tr w:rsidR="005A3DDE" w:rsidRPr="00C1728A" w14:paraId="58FD9018" w14:textId="77777777" w:rsidTr="00A2409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2ECB52D1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34ECC6" w14:textId="77777777" w:rsidR="005A3DDE" w:rsidRDefault="005A3DDE" w:rsidP="005A3DDE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E6C4166" w14:textId="3A5BF9E8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 w:rsidRPr="009D36CE">
              <w:rPr>
                <w:szCs w:val="20"/>
              </w:rPr>
              <w:t>NI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6A1594E2" w14:textId="77777777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</w:p>
        </w:tc>
      </w:tr>
      <w:tr w:rsidR="005A3DDE" w:rsidRPr="00C1728A" w14:paraId="694EFCF3" w14:textId="77777777" w:rsidTr="00A2409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128DDB70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7280EAF" w14:textId="77777777" w:rsidR="005A3DDE" w:rsidRDefault="005A3DDE" w:rsidP="005A3DDE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6C835DB" w14:textId="63B986EC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C6C3B6" w14:textId="2E3E75E8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Placebo rather than sham meant that stimulation sensation was not experienced by control group for entirety of stimulation period</w:t>
            </w:r>
          </w:p>
        </w:tc>
      </w:tr>
      <w:tr w:rsidR="005A3DDE" w:rsidRPr="00C1728A" w14:paraId="084D6A57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64ADC55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0F36B7D" w14:textId="77777777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56F869C" w14:textId="2D3E189A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28BCD3D" w14:textId="44929458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issues reported.</w:t>
            </w:r>
          </w:p>
        </w:tc>
      </w:tr>
      <w:tr w:rsidR="005A3DDE" w:rsidRPr="00C1728A" w14:paraId="06F4F4F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F54288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806145B" w14:textId="77777777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C479C55" w14:textId="0281631B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P</w:t>
            </w: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2454857" w14:textId="68BBAA4E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non-compliance reported.</w:t>
            </w:r>
          </w:p>
        </w:tc>
      </w:tr>
      <w:tr w:rsidR="005A3DDE" w:rsidRPr="00C1728A" w14:paraId="128B4781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E668CE1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F379C2F" w14:textId="77777777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536F8812" w14:textId="4D220AE8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8C401F0" w14:textId="62D75208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Analysis appeared </w:t>
            </w:r>
            <w:proofErr w:type="gramStart"/>
            <w:r>
              <w:rPr>
                <w:szCs w:val="20"/>
              </w:rPr>
              <w:t>sufficient</w:t>
            </w:r>
            <w:proofErr w:type="gramEnd"/>
            <w:r>
              <w:rPr>
                <w:szCs w:val="20"/>
              </w:rPr>
              <w:t xml:space="preserve"> (</w:t>
            </w:r>
            <w:r>
              <w:rPr>
                <w:rStyle w:val="fontstyle01"/>
              </w:rPr>
              <w:t>Mann-Whitney-Wilcoxon test</w:t>
            </w:r>
            <w:r>
              <w:rPr>
                <w:szCs w:val="20"/>
              </w:rPr>
              <w:t>)</w:t>
            </w:r>
          </w:p>
        </w:tc>
      </w:tr>
      <w:tr w:rsidR="005A3DDE" w:rsidRPr="00C1728A" w14:paraId="7C36690B" w14:textId="77777777" w:rsidTr="00226ECB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442E853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5D75E12" w14:textId="77777777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FF00"/>
          </w:tcPr>
          <w:p w14:paraId="02408892" w14:textId="3610E09C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00C40D14" w14:textId="5EA97471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5A3DDE" w:rsidRPr="00C1728A" w14:paraId="2EDDCE0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4E68C559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467C5D2" w14:textId="3513869C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C1CBEA3" w14:textId="0F91BA5A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Favours experimental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35CA59A5" w14:textId="1019E391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</w:p>
        </w:tc>
      </w:tr>
      <w:tr w:rsidR="005A3DDE" w:rsidRPr="00C1728A" w14:paraId="41140890" w14:textId="77777777" w:rsidTr="00A2409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E35E080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Bias due to missing </w:t>
            </w:r>
            <w:r>
              <w:rPr>
                <w:rFonts w:cs="Arial"/>
                <w:b/>
                <w:szCs w:val="20"/>
              </w:rPr>
              <w:lastRenderedPageBreak/>
              <w:t>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3F24EF0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lastRenderedPageBreak/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CB2F1E" w14:textId="2B3DEE23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 w:rsidRPr="008E1429">
              <w:rPr>
                <w:color w:val="FF0000"/>
                <w:szCs w:val="20"/>
              </w:rPr>
              <w:t>N</w:t>
            </w:r>
            <w:r w:rsidRPr="00113162"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2ADB7B40" w14:textId="235F2EA8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Many data points missing.</w:t>
            </w:r>
          </w:p>
        </w:tc>
      </w:tr>
      <w:tr w:rsidR="005A3DDE" w:rsidRPr="00C1728A" w14:paraId="3DC83D6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38994CA3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C1DD843" w14:textId="77777777" w:rsidR="005A3DDE" w:rsidRPr="00611DC9" w:rsidRDefault="005A3DDE" w:rsidP="005A3DDE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FFE7461" w14:textId="5BCB4FEE" w:rsidR="005A3DDE" w:rsidRPr="008E1429" w:rsidRDefault="005A3DDE" w:rsidP="005A3DDE">
            <w:pPr>
              <w:spacing w:after="0"/>
              <w:jc w:val="center"/>
              <w:rPr>
                <w:color w:val="FF0000"/>
                <w:szCs w:val="20"/>
              </w:rPr>
            </w:pPr>
            <w:r w:rsidRPr="008E1429">
              <w:rPr>
                <w:color w:val="FF000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FC398C2" w14:textId="158DB634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reasoning was given.</w:t>
            </w:r>
          </w:p>
        </w:tc>
      </w:tr>
      <w:tr w:rsidR="005A3DDE" w:rsidRPr="00C1728A" w14:paraId="15724C64" w14:textId="77777777" w:rsidTr="008E1429">
        <w:trPr>
          <w:cantSplit/>
          <w:trHeight w:val="355"/>
        </w:trPr>
        <w:tc>
          <w:tcPr>
            <w:tcW w:w="1650" w:type="dxa"/>
            <w:vMerge/>
            <w:tcBorders>
              <w:right w:val="nil"/>
            </w:tcBorders>
          </w:tcPr>
          <w:p w14:paraId="45E8FDEC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6622E96" w14:textId="77777777" w:rsidR="005A3DDE" w:rsidRPr="009C1A68" w:rsidRDefault="005A3DDE" w:rsidP="005A3DDE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4FA200E4" w14:textId="5C74C348" w:rsidR="005A3DDE" w:rsidRPr="008E1429" w:rsidRDefault="005A3DDE" w:rsidP="005A3DDE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 w:rsidRPr="008E1429">
              <w:rPr>
                <w:color w:val="FF0000"/>
                <w:szCs w:val="20"/>
              </w:rPr>
              <w:t xml:space="preserve">N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900D9" w14:textId="2C162918" w:rsidR="005A3DDE" w:rsidRPr="008E1429" w:rsidRDefault="005A3DDE" w:rsidP="005A3DDE">
            <w:pPr>
              <w:spacing w:after="0"/>
              <w:jc w:val="center"/>
              <w:rPr>
                <w:color w:val="FF0000"/>
                <w:szCs w:val="20"/>
              </w:rPr>
            </w:pPr>
            <w:r w:rsidRPr="008E1429">
              <w:rPr>
                <w:szCs w:val="20"/>
              </w:rPr>
              <w:t xml:space="preserve">No since </w:t>
            </w:r>
            <w:proofErr w:type="gramStart"/>
            <w:r w:rsidRPr="008E1429">
              <w:rPr>
                <w:szCs w:val="20"/>
              </w:rPr>
              <w:t>more close</w:t>
            </w:r>
            <w:proofErr w:type="gramEnd"/>
            <w:r w:rsidRPr="008E1429">
              <w:rPr>
                <w:szCs w:val="20"/>
              </w:rPr>
              <w:t xml:space="preserve"> to half of the data points were missing</w:t>
            </w:r>
          </w:p>
        </w:tc>
      </w:tr>
      <w:tr w:rsidR="005A3DDE" w:rsidRPr="00C1728A" w14:paraId="39342511" w14:textId="77777777" w:rsidTr="008E1429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CE95DB6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FBCF098" w14:textId="77777777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0E67037D" w14:textId="58A97E91" w:rsidR="005A3DDE" w:rsidRPr="00C1728A" w:rsidRDefault="005A3DDE" w:rsidP="005A3DDE">
            <w:pPr>
              <w:tabs>
                <w:tab w:val="left" w:pos="960"/>
                <w:tab w:val="center" w:pos="1193"/>
                <w:tab w:val="right" w:pos="2387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  <w:t>High</w:t>
            </w:r>
            <w:r w:rsidRPr="00C1728A">
              <w:rPr>
                <w:szCs w:val="20"/>
              </w:rPr>
              <w:t xml:space="preserve"> </w:t>
            </w:r>
            <w:r>
              <w:rPr>
                <w:szCs w:val="20"/>
              </w:rPr>
              <w:tab/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20FD8716" w14:textId="5655980C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5A3DDE" w:rsidRPr="00C1728A" w14:paraId="05988E0A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207EE15B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983447" w14:textId="491FDED8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01A67EC" w14:textId="27D684CE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011CAA9" w14:textId="1437D48B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</w:p>
        </w:tc>
      </w:tr>
      <w:tr w:rsidR="005A3DDE" w:rsidRPr="00C1728A" w14:paraId="252C880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88DC48A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1B9B0BD" w14:textId="77777777" w:rsidR="005A3DDE" w:rsidRPr="00C1728A" w:rsidRDefault="005A3DDE" w:rsidP="005A3DDE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DE487" w14:textId="1093D22D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 w:rsidRPr="005A3DDE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4EF4ECC8" w14:textId="44805049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</w:p>
        </w:tc>
      </w:tr>
      <w:tr w:rsidR="005A3DDE" w:rsidRPr="00C1728A" w14:paraId="4738AAA0" w14:textId="77777777" w:rsidTr="00A2409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386C3AEE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B1D9EFE" w14:textId="77777777" w:rsidR="005A3DDE" w:rsidRPr="00C1728A" w:rsidRDefault="005A3DDE" w:rsidP="005A3DDE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A694AA5" w14:textId="17F8127A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246163A6" w14:textId="07357693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Physiological and physical measurements not susceptible to change due to observer bias</w:t>
            </w:r>
          </w:p>
        </w:tc>
      </w:tr>
      <w:tr w:rsidR="005A3DDE" w:rsidRPr="00C1728A" w14:paraId="20546367" w14:textId="77777777" w:rsidTr="00956B3A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F6955D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5CCF771" w14:textId="77777777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233D57AF" w14:textId="7DF1434F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03599FCE" w14:textId="416E4C31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5A3DDE" w:rsidRPr="00C1728A" w14:paraId="318ED27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076176B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D6D5C22" w14:textId="4F28B35A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7744C48" w14:textId="51E51E33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  <w:bookmarkStart w:id="7" w:name="_GoBack"/>
            <w:bookmarkEnd w:id="7"/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39F4E62" w14:textId="45FF46CD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</w:p>
        </w:tc>
      </w:tr>
      <w:tr w:rsidR="005A3DDE" w:rsidRPr="00C1728A" w14:paraId="4D6A95C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F2D7A18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EB1DA84" w14:textId="77777777" w:rsidR="005A3DDE" w:rsidRPr="00C1728A" w:rsidRDefault="005A3DDE" w:rsidP="005A3DDE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Are the reported outcome data likely to have been selected, </w:t>
            </w:r>
            <w:proofErr w:type="gramStart"/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on the basis of</w:t>
            </w:r>
            <w:proofErr w:type="gramEnd"/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818ADBB" w14:textId="77777777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CDA61D" w14:textId="46779214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evidence indicating selection from multiple outcome measurements, but possibility of selection from multiple time points; intentions not specified</w:t>
            </w:r>
          </w:p>
        </w:tc>
      </w:tr>
      <w:tr w:rsidR="005A3DDE" w:rsidRPr="00C1728A" w14:paraId="42BA0D1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D01CF90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198484FB" w14:textId="77777777" w:rsidR="005A3DDE" w:rsidRPr="00C1728A" w:rsidRDefault="005A3DDE" w:rsidP="005A3DDE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BEE5778" w14:textId="7581200E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19E589B" w14:textId="6D4BF991" w:rsidR="005A3DDE" w:rsidRPr="00C1728A" w:rsidRDefault="005A3DDE" w:rsidP="005A3DDE">
            <w:pPr>
              <w:spacing w:after="0"/>
              <w:rPr>
                <w:szCs w:val="20"/>
              </w:rPr>
            </w:pPr>
          </w:p>
        </w:tc>
      </w:tr>
      <w:tr w:rsidR="005A3DDE" w:rsidRPr="00C1728A" w14:paraId="361A35B2" w14:textId="77777777" w:rsidTr="002C6BF7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6963DCB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CCD8549" w14:textId="77777777" w:rsidR="005A3DDE" w:rsidRPr="00C1728A" w:rsidRDefault="005A3DDE" w:rsidP="005A3DDE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37F3B20" w14:textId="28797331" w:rsidR="005A3DDE" w:rsidRPr="00956A3C" w:rsidRDefault="002C6BF7" w:rsidP="005A3DDE">
            <w:pPr>
              <w:spacing w:after="0"/>
              <w:jc w:val="center"/>
              <w:rPr>
                <w:szCs w:val="20"/>
              </w:rPr>
            </w:pPr>
            <w:r w:rsidRPr="002C6BF7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30C3355" w14:textId="31976251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Only reported on within group analysis. No between group analysis was reported </w:t>
            </w:r>
          </w:p>
        </w:tc>
      </w:tr>
      <w:tr w:rsidR="002C6BF7" w:rsidRPr="00C1728A" w14:paraId="12E111C8" w14:textId="77777777" w:rsidTr="002C6BF7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68AC435" w14:textId="77777777" w:rsidR="002C6BF7" w:rsidRPr="00C1728A" w:rsidRDefault="002C6BF7" w:rsidP="002C6BF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495F73A" w14:textId="77777777" w:rsidR="002C6BF7" w:rsidRPr="00C1728A" w:rsidRDefault="002C6BF7" w:rsidP="002C6BF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A3AF7" w14:textId="5F7444D0" w:rsidR="002C6BF7" w:rsidRPr="00C1728A" w:rsidRDefault="002C6BF7" w:rsidP="002C6BF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CF52032" w14:textId="5D25B685" w:rsidR="002C6BF7" w:rsidRPr="00C1728A" w:rsidRDefault="002C6BF7" w:rsidP="002C6BF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5A3DDE" w:rsidRPr="00C1728A" w14:paraId="2F7DE8FD" w14:textId="77777777" w:rsidTr="002C6BF7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F73E39F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BF02CEA" w14:textId="512BEB84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0B43" w14:textId="50C080CB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1D4E5BB" w14:textId="32038AEA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</w:p>
        </w:tc>
      </w:tr>
      <w:tr w:rsidR="005A3DDE" w:rsidRPr="00C1728A" w14:paraId="69DA1CFD" w14:textId="77777777" w:rsidTr="005A3DDE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0C5FF247" w14:textId="77777777" w:rsidR="005A3DDE" w:rsidRPr="00B04881" w:rsidRDefault="005A3DDE" w:rsidP="005A3DDE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57DE4264" w14:textId="77777777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04A5E3CD" w14:textId="6B1BF93B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B20F168" w14:textId="6A441380" w:rsidR="005A3DDE" w:rsidRPr="00C1728A" w:rsidRDefault="005A3DDE" w:rsidP="005A3DD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Some issues with differences between control (placebo, n=7) and experimental (n = 53); </w:t>
            </w:r>
            <w:proofErr w:type="gramStart"/>
            <w:r>
              <w:rPr>
                <w:szCs w:val="20"/>
              </w:rPr>
              <w:t>also</w:t>
            </w:r>
            <w:proofErr w:type="gramEnd"/>
            <w:r>
              <w:rPr>
                <w:szCs w:val="20"/>
              </w:rPr>
              <w:t xml:space="preserve"> No comment on missing outcomes.</w:t>
            </w:r>
          </w:p>
        </w:tc>
      </w:tr>
      <w:tr w:rsidR="005A3DDE" w:rsidRPr="00C1728A" w14:paraId="13FC09D0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F96F9A3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DF3D95B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5EE62457" w14:textId="77777777" w:rsidR="005A3DDE" w:rsidRPr="00C1728A" w:rsidRDefault="005A3DDE" w:rsidP="005A3DD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0D04DB" w14:textId="427EDD10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Favours experimental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2AF1" w14:textId="6F5F797C" w:rsidR="005A3DDE" w:rsidRPr="00C1728A" w:rsidRDefault="005A3DDE" w:rsidP="005A3DDE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4711351F" w14:textId="77777777" w:rsidR="00FC1307" w:rsidRPr="004D57F0" w:rsidRDefault="00FC1307" w:rsidP="004D57F0">
      <w:pPr>
        <w:rPr>
          <w:rFonts w:eastAsiaTheme="majorEastAsia" w:cstheme="majorBidi"/>
          <w:sz w:val="28"/>
          <w:szCs w:val="28"/>
        </w:rPr>
      </w:pPr>
    </w:p>
    <w:sectPr w:rsidR="00FC1307" w:rsidRPr="004D57F0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06F60" w14:textId="77777777" w:rsidR="00067CC8" w:rsidRDefault="00067CC8" w:rsidP="000B4350">
      <w:pPr>
        <w:spacing w:after="0"/>
      </w:pPr>
      <w:r>
        <w:separator/>
      </w:r>
    </w:p>
  </w:endnote>
  <w:endnote w:type="continuationSeparator" w:id="0">
    <w:p w14:paraId="47A0AB87" w14:textId="77777777" w:rsidR="00067CC8" w:rsidRDefault="00067CC8" w:rsidP="000B43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thGraphic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705BA" w14:textId="1B2DD29E" w:rsidR="000B4350" w:rsidRDefault="000B4350" w:rsidP="000B43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9CF02" w14:textId="77777777" w:rsidR="00067CC8" w:rsidRDefault="00067CC8" w:rsidP="000B4350">
      <w:pPr>
        <w:spacing w:after="0"/>
      </w:pPr>
      <w:r>
        <w:separator/>
      </w:r>
    </w:p>
  </w:footnote>
  <w:footnote w:type="continuationSeparator" w:id="0">
    <w:p w14:paraId="13CFCCA9" w14:textId="77777777" w:rsidR="00067CC8" w:rsidRDefault="00067CC8" w:rsidP="000B43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9E5BD" w14:textId="1AE37E04" w:rsidR="005D33E2" w:rsidRDefault="005D33E2" w:rsidP="005D33E2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47880"/>
    <w:rsid w:val="00067CC8"/>
    <w:rsid w:val="000B4350"/>
    <w:rsid w:val="00114B46"/>
    <w:rsid w:val="0018273F"/>
    <w:rsid w:val="00226ECB"/>
    <w:rsid w:val="002701CF"/>
    <w:rsid w:val="002C6BF7"/>
    <w:rsid w:val="00310E28"/>
    <w:rsid w:val="003119E8"/>
    <w:rsid w:val="00353AAE"/>
    <w:rsid w:val="00360946"/>
    <w:rsid w:val="00421741"/>
    <w:rsid w:val="004532A6"/>
    <w:rsid w:val="004B7E09"/>
    <w:rsid w:val="004D57F0"/>
    <w:rsid w:val="00507EC0"/>
    <w:rsid w:val="00525E86"/>
    <w:rsid w:val="005546C2"/>
    <w:rsid w:val="00576D4C"/>
    <w:rsid w:val="005A3DDE"/>
    <w:rsid w:val="005D33E2"/>
    <w:rsid w:val="00647F5C"/>
    <w:rsid w:val="006827B3"/>
    <w:rsid w:val="006B3E36"/>
    <w:rsid w:val="006E01F6"/>
    <w:rsid w:val="00783A76"/>
    <w:rsid w:val="007A0E97"/>
    <w:rsid w:val="007A1C3A"/>
    <w:rsid w:val="00827635"/>
    <w:rsid w:val="008E018F"/>
    <w:rsid w:val="008E1429"/>
    <w:rsid w:val="00914A0D"/>
    <w:rsid w:val="00956A3C"/>
    <w:rsid w:val="00956B3A"/>
    <w:rsid w:val="00973ABD"/>
    <w:rsid w:val="009D36CE"/>
    <w:rsid w:val="009D5B17"/>
    <w:rsid w:val="009E1DA2"/>
    <w:rsid w:val="00A077BB"/>
    <w:rsid w:val="00A24095"/>
    <w:rsid w:val="00A32571"/>
    <w:rsid w:val="00A930D3"/>
    <w:rsid w:val="00AB1E55"/>
    <w:rsid w:val="00AC7A50"/>
    <w:rsid w:val="00AF17A0"/>
    <w:rsid w:val="00AF677C"/>
    <w:rsid w:val="00B40873"/>
    <w:rsid w:val="00B554CC"/>
    <w:rsid w:val="00C544DC"/>
    <w:rsid w:val="00C7667D"/>
    <w:rsid w:val="00C81FDE"/>
    <w:rsid w:val="00D752F3"/>
    <w:rsid w:val="00E55352"/>
    <w:rsid w:val="00E60FF4"/>
    <w:rsid w:val="00E7156D"/>
    <w:rsid w:val="00F24BE3"/>
    <w:rsid w:val="00FB3936"/>
    <w:rsid w:val="00F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30"/>
  <w15:docId w15:val="{B9F19AB5-12A1-4129-9883-1A37F2E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43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4350"/>
    <w:rPr>
      <w:rFonts w:ascii="Constantia" w:eastAsiaTheme="minorHAnsi" w:hAnsi="Constantia"/>
      <w:sz w:val="20"/>
      <w:szCs w:val="22"/>
      <w:lang w:val="en-GB"/>
    </w:rPr>
  </w:style>
  <w:style w:type="character" w:customStyle="1" w:styleId="fontstyle01">
    <w:name w:val="fontstyle01"/>
    <w:basedOn w:val="DefaultParagraphFont"/>
    <w:rsid w:val="008E1429"/>
    <w:rPr>
      <w:rFonts w:ascii="GarthGraphic" w:hAnsi="GarthGraphic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rex chen</cp:lastModifiedBy>
  <cp:revision>4</cp:revision>
  <dcterms:created xsi:type="dcterms:W3CDTF">2020-08-13T17:38:00Z</dcterms:created>
  <dcterms:modified xsi:type="dcterms:W3CDTF">2020-08-18T18:07:00Z</dcterms:modified>
</cp:coreProperties>
</file>