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BAE3" w14:textId="77777777" w:rsidR="00413430" w:rsidRPr="00FE21A1" w:rsidRDefault="00413430" w:rsidP="00413430">
      <w:pPr>
        <w:spacing w:after="120" w:line="360" w:lineRule="auto"/>
        <w:jc w:val="center"/>
        <w:rPr>
          <w:rFonts w:ascii="Times New Roman" w:hAnsi="Times New Roman"/>
          <w:b/>
          <w:sz w:val="24"/>
          <w:szCs w:val="24"/>
          <w:lang w:val="en-US"/>
        </w:rPr>
      </w:pPr>
      <w:bookmarkStart w:id="0" w:name="_Hlk36832660"/>
      <w:r w:rsidRPr="00FE21A1">
        <w:rPr>
          <w:rFonts w:ascii="Times New Roman" w:hAnsi="Times New Roman"/>
          <w:b/>
          <w:sz w:val="24"/>
          <w:szCs w:val="24"/>
          <w:lang w:val="en-US"/>
        </w:rPr>
        <w:t>Supplementary Methods</w:t>
      </w:r>
    </w:p>
    <w:p w14:paraId="13816D1D" w14:textId="77777777" w:rsidR="00413430" w:rsidRPr="00FE21A1" w:rsidRDefault="00413430" w:rsidP="008B28CE">
      <w:pPr>
        <w:spacing w:line="480" w:lineRule="auto"/>
        <w:jc w:val="both"/>
        <w:rPr>
          <w:rFonts w:ascii="Times New Roman" w:eastAsia="Times New Roman" w:hAnsi="Times New Roman"/>
          <w:i/>
          <w:iCs/>
          <w:color w:val="000000"/>
          <w:sz w:val="24"/>
          <w:szCs w:val="24"/>
          <w:lang w:eastAsia="en-GB"/>
        </w:rPr>
      </w:pPr>
    </w:p>
    <w:p w14:paraId="49B14549" w14:textId="4E0AE85F" w:rsidR="00965FBE" w:rsidRPr="00904DBB" w:rsidRDefault="00965FBE" w:rsidP="008B28CE">
      <w:pPr>
        <w:spacing w:line="480" w:lineRule="auto"/>
        <w:jc w:val="both"/>
        <w:rPr>
          <w:rFonts w:ascii="Times New Roman" w:eastAsia="Times New Roman" w:hAnsi="Times New Roman"/>
          <w:b/>
          <w:bCs/>
          <w:i/>
          <w:iCs/>
          <w:color w:val="000000"/>
          <w:sz w:val="24"/>
          <w:szCs w:val="24"/>
          <w:lang w:eastAsia="en-GB"/>
        </w:rPr>
      </w:pPr>
      <w:r w:rsidRPr="00904DBB">
        <w:rPr>
          <w:rFonts w:ascii="Times New Roman" w:eastAsia="Times New Roman" w:hAnsi="Times New Roman"/>
          <w:b/>
          <w:bCs/>
          <w:i/>
          <w:iCs/>
          <w:color w:val="000000"/>
          <w:sz w:val="24"/>
          <w:szCs w:val="24"/>
          <w:lang w:eastAsia="en-GB"/>
        </w:rPr>
        <w:t>Circulating biomarkers</w:t>
      </w:r>
    </w:p>
    <w:p w14:paraId="050CC282" w14:textId="053084C9" w:rsidR="00BA43C2" w:rsidRPr="00A4607B" w:rsidRDefault="0022377D" w:rsidP="00BA43C2">
      <w:pPr>
        <w:spacing w:line="480" w:lineRule="auto"/>
        <w:jc w:val="both"/>
        <w:rPr>
          <w:rFonts w:ascii="Times New Roman" w:eastAsia="Times New Roman" w:hAnsi="Times New Roman"/>
          <w:color w:val="000000"/>
          <w:sz w:val="24"/>
          <w:szCs w:val="24"/>
          <w:lang w:eastAsia="en-GB"/>
        </w:rPr>
        <w:sectPr w:rsidR="00BA43C2" w:rsidRPr="00A4607B">
          <w:pgSz w:w="11906" w:h="16838"/>
          <w:pgMar w:top="1417" w:right="1134" w:bottom="1134" w:left="1134" w:header="708" w:footer="708" w:gutter="0"/>
          <w:cols w:space="708"/>
          <w:docGrid w:linePitch="360"/>
        </w:sectPr>
      </w:pPr>
      <w:r w:rsidRPr="00FE21A1">
        <w:rPr>
          <w:rFonts w:ascii="Times New Roman" w:eastAsia="Times New Roman" w:hAnsi="Times New Roman"/>
          <w:color w:val="000000"/>
          <w:sz w:val="24"/>
          <w:szCs w:val="24"/>
          <w:lang w:eastAsia="en-GB"/>
        </w:rPr>
        <w:t xml:space="preserve">Blood samples were obtained between 7 and 9 AM from participants who had fasted overnight and had refrained from smoking for at least 6 hours (h). Biochemical analyses were performed in the centralised </w:t>
      </w:r>
      <w:proofErr w:type="spellStart"/>
      <w:r w:rsidRPr="00FE21A1">
        <w:rPr>
          <w:rFonts w:ascii="Times New Roman" w:eastAsia="Times New Roman" w:hAnsi="Times New Roman"/>
          <w:color w:val="000000"/>
          <w:sz w:val="24"/>
          <w:szCs w:val="24"/>
          <w:lang w:eastAsia="en-GB"/>
        </w:rPr>
        <w:t>Moli-sani</w:t>
      </w:r>
      <w:proofErr w:type="spellEnd"/>
      <w:r w:rsidRPr="00FE21A1">
        <w:rPr>
          <w:rFonts w:ascii="Times New Roman" w:eastAsia="Times New Roman" w:hAnsi="Times New Roman"/>
          <w:color w:val="000000"/>
          <w:sz w:val="24"/>
          <w:szCs w:val="24"/>
          <w:lang w:eastAsia="en-GB"/>
        </w:rPr>
        <w:t xml:space="preserve"> laboratory</w:t>
      </w:r>
      <w:r w:rsidR="00C93539">
        <w:rPr>
          <w:rFonts w:ascii="Times New Roman" w:eastAsia="Times New Roman" w:hAnsi="Times New Roman"/>
          <w:color w:val="000000"/>
          <w:sz w:val="24"/>
          <w:szCs w:val="24"/>
          <w:lang w:eastAsia="en-GB"/>
        </w:rPr>
        <w:t>, as described elsewhere</w:t>
      </w:r>
      <w:r w:rsidRPr="00FE21A1">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{"citationItems":[{"id":"ITEM-1","itemData":{"DOI":"10.3324/haematol.2011.043042","ISSN":"0390-6078","PMID":"21546503","abstract":"BACKGROUND The understanding of non-genetic regulation of platelet indices--platelet count, plateletcrit, mean platelet volume, and platelet distribution width--is limited. The association of these platelet indices with a number of biochemical, environmental and clinical variables was studied in a large cohort of the general population. DESIGN AND METHODS Men and women (n=18,097, 52% women, 56±12 years) were randomly recruited from various villages in Molise (Italy) in the framework of the population-based cohort study \"Moli-sani\". Hemochromocytometric analyses were performed using an automatic analyzer (Beckman Coulter, IL, Milan, Italy). Associations of platelet indices with dependent variables were investigated by multivariable linear regression analysis. RESULTS Full models including age, sex, body mass index, blood pressure, smoking, menopause, white and red blood cell counts, mean corpuscular volume, D-dimers, C-reactive protein, high-density lipoproteins, low-density lipoproteins, triglycerides, glucose, and drug use explained 16%, 21%, 1.9% and 4.7% of platelet count, plateletcrit, mean platelet volume and platelet distribution width variability, respectively; variables that appeared to be most strongly associated were white blood cell count, age, and sex. Platelet count, mean platelet volume and plateletcrit were positively associated with white blood cell count, while platelet distribution width was negatively associated with white blood cell count. Platelet count and plateletcrit were also positively associated with C-reactive protein and D-dimers (P&lt;0.0001). Each of the other variables, although associated with platelet indices in a statistically significant manner, only explained less than 0.5% of their variability. Platelet indices varied across Molise villages, independently of any other platelet count determinant or characteristics of the villages. CONCLUSIONS The association of platelet indices with white blood cell count, C-reactive protein and D-dimers in a general population underline the relation between platelets and inflammation.","author":[{"dropping-particle":"","family":"Santimone","given":"I.","non-dropping-particle":"","parse-names":false,"suffix":""},{"dropping-particle":"","family":"Castelnuovo","given":"A.","non-dropping-particle":"Di","parse-names":false,"suffix":""},{"dropping-particle":"","family":"Curtis","given":"A.","non-dropping-particle":"De","parse-names":false,"suffix":""},{"dropping-particle":"","family":"Spinelli","given":"M.","non-dropping-particle":"","parse-names":false,"suffix":""},{"dropping-particle":"","family":"Cugino","given":"D.","non-dropping-particle":"","parse-names":false,"suffix":""},{"dropping-particle":"","family":"Gianfagna","given":"F.","non-dropping-particle":"","parse-names":false,"suffix":""},{"dropping-particle":"","family":"Zito","given":"F.","non-dropping-particle":"","parse-names":false,"suffix":""},{"dropping-particle":"","family":"Donati","given":"M. B.","non-dropping-particle":"","parse-names":false,"suffix":""},{"dropping-particle":"","family":"Cerletti","given":"C.","non-dropping-particle":"","parse-names":false,"suffix":""},{"dropping-particle":"","family":"Gaetano","given":"G.","non-dropping-particle":"de","parse-names":false,"suffix":""},{"dropping-particle":"","family":"Iacoviello","given":"L.","non-dropping-particle":"","parse-names":false,"suffix":""},{"dropping-particle":"","family":"MOLI-SANI Project Investigators","given":"","non-dropping-particle":"","parse-names":false,"suffix":""}],"container-title":"Haematologica","id":"ITEM-1","issue":"8","issued":{"date-parts":[["2011","8","1"]]},"page":"1180-1188","title":"White blood cell count, sex and age are major determinants of heterogeneity of platelet indices in an adult general population: results from the MOLI-SANI project","type":"article-journal","volume":"96"},"uris":["http://www.mendeley.com/documents/?uuid=d92993e0-d99d-3fe3-afd5-985c084f840c"]}],"mendeley":{"formattedCitation":"[1]","plainTextFormattedCitation":"[1]","previouslyFormattedCitation":"&lt;sup&gt;1&lt;/sup&gt;"},"properties":{"noteIndex":0},"schema":"https://github.com/citation-style-language/schema/raw/master/csl-citation.json"}</w:instrText>
      </w:r>
      <w:r w:rsidRPr="00FE21A1">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[1]</w:t>
      </w:r>
      <w:r w:rsidRPr="00FE21A1">
        <w:rPr>
          <w:rFonts w:ascii="Times New Roman" w:eastAsia="Times New Roman" w:hAnsi="Times New Roman"/>
          <w:color w:val="000000"/>
          <w:sz w:val="24"/>
          <w:szCs w:val="24"/>
          <w:lang w:eastAsia="en-GB"/>
        </w:rPr>
        <w:fldChar w:fldCharType="end"/>
      </w:r>
      <w:r w:rsidRPr="00FE21A1">
        <w:rPr>
          <w:rFonts w:ascii="Times New Roman" w:eastAsia="Times New Roman" w:hAnsi="Times New Roman"/>
          <w:color w:val="000000"/>
          <w:sz w:val="24"/>
          <w:szCs w:val="24"/>
          <w:lang w:eastAsia="en-GB"/>
        </w:rPr>
        <w:t xml:space="preserve">. </w:t>
      </w:r>
      <w:proofErr w:type="spellStart"/>
      <w:r w:rsidR="00B36CA8">
        <w:rPr>
          <w:rFonts w:ascii="Times New Roman" w:eastAsia="Times New Roman" w:hAnsi="Times New Roman"/>
          <w:color w:val="000000"/>
          <w:sz w:val="24"/>
          <w:szCs w:val="24"/>
          <w:lang w:eastAsia="en-GB"/>
        </w:rPr>
        <w:t>H</w:t>
      </w:r>
      <w:r w:rsidRPr="00FE21A1">
        <w:rPr>
          <w:rFonts w:ascii="Times New Roman" w:eastAsia="Times New Roman" w:hAnsi="Times New Roman"/>
          <w:color w:val="000000"/>
          <w:sz w:val="24"/>
          <w:szCs w:val="24"/>
          <w:lang w:eastAsia="en-GB"/>
        </w:rPr>
        <w:t>aemochromocytometric</w:t>
      </w:r>
      <w:proofErr w:type="spellEnd"/>
      <w:r w:rsidRPr="00FE21A1">
        <w:rPr>
          <w:rFonts w:ascii="Times New Roman" w:eastAsia="Times New Roman" w:hAnsi="Times New Roman"/>
          <w:color w:val="000000"/>
          <w:sz w:val="24"/>
          <w:szCs w:val="24"/>
          <w:lang w:eastAsia="en-GB"/>
        </w:rPr>
        <w:t xml:space="preserve"> analyses were performed by cell counter (Coulter HMX, Beckman Coulter, Milan, Italy) within 3 h from </w:t>
      </w:r>
      <w:r w:rsidR="00C93539">
        <w:rPr>
          <w:rFonts w:ascii="Times New Roman" w:eastAsia="Times New Roman" w:hAnsi="Times New Roman"/>
          <w:color w:val="000000"/>
          <w:sz w:val="24"/>
          <w:szCs w:val="24"/>
          <w:lang w:eastAsia="en-GB"/>
        </w:rPr>
        <w:t xml:space="preserve">venepuncture. Analyses of </w:t>
      </w:r>
      <w:r w:rsidR="00201AC7">
        <w:rPr>
          <w:rFonts w:ascii="Times New Roman" w:eastAsia="Times New Roman" w:hAnsi="Times New Roman"/>
          <w:color w:val="000000"/>
          <w:sz w:val="24"/>
          <w:szCs w:val="24"/>
          <w:lang w:eastAsia="en-GB"/>
        </w:rPr>
        <w:t>c</w:t>
      </w:r>
      <w:r w:rsidR="00C93539" w:rsidRPr="00C93539">
        <w:rPr>
          <w:rFonts w:ascii="Times New Roman" w:eastAsia="Times New Roman" w:hAnsi="Times New Roman"/>
          <w:color w:val="000000"/>
          <w:sz w:val="24"/>
          <w:szCs w:val="24"/>
          <w:lang w:eastAsia="en-GB"/>
        </w:rPr>
        <w:t>reatinine</w:t>
      </w:r>
      <w:r w:rsidR="00C93539">
        <w:rPr>
          <w:rFonts w:ascii="Times New Roman" w:eastAsia="Times New Roman" w:hAnsi="Times New Roman"/>
          <w:color w:val="000000"/>
          <w:sz w:val="24"/>
          <w:szCs w:val="24"/>
          <w:lang w:eastAsia="en-GB"/>
        </w:rPr>
        <w:t xml:space="preserve">, </w:t>
      </w:r>
      <w:proofErr w:type="spellStart"/>
      <w:r w:rsidR="00C93539">
        <w:rPr>
          <w:rFonts w:ascii="Times New Roman" w:eastAsia="Times New Roman" w:hAnsi="Times New Roman"/>
          <w:color w:val="000000"/>
          <w:sz w:val="24"/>
          <w:szCs w:val="24"/>
          <w:lang w:eastAsia="en-GB"/>
        </w:rPr>
        <w:t>apoliproteins</w:t>
      </w:r>
      <w:proofErr w:type="spellEnd"/>
      <w:r w:rsidR="00C93539">
        <w:rPr>
          <w:rFonts w:ascii="Times New Roman" w:eastAsia="Times New Roman" w:hAnsi="Times New Roman"/>
          <w:color w:val="000000"/>
          <w:sz w:val="24"/>
          <w:szCs w:val="24"/>
          <w:lang w:eastAsia="en-GB"/>
        </w:rPr>
        <w:t xml:space="preserve"> A1/B, C-peptide, </w:t>
      </w:r>
      <w:r w:rsidR="00201AC7">
        <w:rPr>
          <w:rFonts w:ascii="Times New Roman" w:eastAsia="Times New Roman" w:hAnsi="Times New Roman"/>
          <w:color w:val="000000"/>
          <w:sz w:val="24"/>
          <w:szCs w:val="24"/>
          <w:lang w:eastAsia="en-GB"/>
        </w:rPr>
        <w:t>c</w:t>
      </w:r>
      <w:r w:rsidR="00C93539">
        <w:rPr>
          <w:rFonts w:ascii="Times New Roman" w:eastAsia="Times New Roman" w:hAnsi="Times New Roman"/>
          <w:color w:val="000000"/>
          <w:sz w:val="24"/>
          <w:szCs w:val="24"/>
          <w:lang w:eastAsia="en-GB"/>
        </w:rPr>
        <w:t>ystatin</w:t>
      </w:r>
      <w:r w:rsidR="00201AC7">
        <w:rPr>
          <w:rFonts w:ascii="Times New Roman" w:eastAsia="Times New Roman" w:hAnsi="Times New Roman"/>
          <w:color w:val="000000"/>
          <w:sz w:val="24"/>
          <w:szCs w:val="24"/>
          <w:lang w:eastAsia="en-GB"/>
        </w:rPr>
        <w:t xml:space="preserve"> </w:t>
      </w:r>
      <w:r w:rsidR="00C93539">
        <w:rPr>
          <w:rFonts w:ascii="Times New Roman" w:eastAsia="Times New Roman" w:hAnsi="Times New Roman"/>
          <w:color w:val="000000"/>
          <w:sz w:val="24"/>
          <w:szCs w:val="24"/>
          <w:lang w:eastAsia="en-GB"/>
        </w:rPr>
        <w:t xml:space="preserve">C, </w:t>
      </w:r>
      <w:r w:rsidR="00201AC7">
        <w:rPr>
          <w:rFonts w:ascii="Times New Roman" w:eastAsia="Times New Roman" w:hAnsi="Times New Roman"/>
          <w:color w:val="000000"/>
          <w:sz w:val="24"/>
          <w:szCs w:val="24"/>
          <w:lang w:eastAsia="en-GB"/>
        </w:rPr>
        <w:t>i</w:t>
      </w:r>
      <w:r w:rsidR="00C93539">
        <w:rPr>
          <w:rFonts w:ascii="Times New Roman" w:eastAsia="Times New Roman" w:hAnsi="Times New Roman"/>
          <w:color w:val="000000"/>
          <w:sz w:val="24"/>
          <w:szCs w:val="24"/>
          <w:lang w:eastAsia="en-GB"/>
        </w:rPr>
        <w:t xml:space="preserve">nsulin, lipoprotein </w:t>
      </w:r>
      <w:r w:rsidR="00201AC7">
        <w:rPr>
          <w:rFonts w:ascii="Times New Roman" w:eastAsia="Times New Roman" w:hAnsi="Times New Roman"/>
          <w:color w:val="000000"/>
          <w:sz w:val="24"/>
          <w:szCs w:val="24"/>
          <w:lang w:eastAsia="en-GB"/>
        </w:rPr>
        <w:t>a</w:t>
      </w:r>
      <w:r w:rsidR="00C93539">
        <w:rPr>
          <w:rFonts w:ascii="Times New Roman" w:eastAsia="Times New Roman" w:hAnsi="Times New Roman"/>
          <w:color w:val="000000"/>
          <w:sz w:val="24"/>
          <w:szCs w:val="24"/>
          <w:lang w:eastAsia="en-GB"/>
        </w:rPr>
        <w:t xml:space="preserve">, </w:t>
      </w:r>
      <w:r w:rsidR="0067700E">
        <w:rPr>
          <w:rFonts w:ascii="Times New Roman" w:eastAsia="Times New Roman" w:hAnsi="Times New Roman"/>
          <w:color w:val="000000"/>
          <w:sz w:val="24"/>
          <w:szCs w:val="24"/>
          <w:lang w:eastAsia="en-GB"/>
        </w:rPr>
        <w:t>N-Terminal Pro-B-Type Natriuretic Peptide</w:t>
      </w:r>
      <w:r w:rsidR="00C93539">
        <w:rPr>
          <w:rFonts w:ascii="Times New Roman" w:eastAsia="Times New Roman" w:hAnsi="Times New Roman"/>
          <w:color w:val="000000"/>
          <w:sz w:val="24"/>
          <w:szCs w:val="24"/>
          <w:lang w:eastAsia="en-GB"/>
        </w:rPr>
        <w:t xml:space="preserve">, </w:t>
      </w:r>
      <w:r w:rsidR="003B5296">
        <w:rPr>
          <w:rFonts w:ascii="Times New Roman" w:eastAsia="Times New Roman" w:hAnsi="Times New Roman"/>
          <w:color w:val="000000"/>
          <w:sz w:val="24"/>
          <w:szCs w:val="24"/>
          <w:lang w:eastAsia="en-GB"/>
        </w:rPr>
        <w:t>testosterone</w:t>
      </w:r>
      <w:r w:rsidR="00C93539">
        <w:rPr>
          <w:rFonts w:ascii="Times New Roman" w:eastAsia="Times New Roman" w:hAnsi="Times New Roman"/>
          <w:color w:val="000000"/>
          <w:sz w:val="24"/>
          <w:szCs w:val="24"/>
          <w:lang w:eastAsia="en-GB"/>
        </w:rPr>
        <w:t xml:space="preserve">, high sensitivity troponin I and vitamin D were performed </w:t>
      </w:r>
      <w:r w:rsidR="00515C70">
        <w:rPr>
          <w:rFonts w:ascii="Times New Roman" w:eastAsia="Times New Roman" w:hAnsi="Times New Roman"/>
          <w:color w:val="000000"/>
          <w:sz w:val="24"/>
          <w:szCs w:val="24"/>
          <w:lang w:eastAsia="en-GB"/>
        </w:rPr>
        <w:t>within</w:t>
      </w:r>
      <w:r w:rsidR="00291BC9">
        <w:rPr>
          <w:rFonts w:ascii="Times New Roman" w:eastAsia="Times New Roman" w:hAnsi="Times New Roman"/>
          <w:color w:val="000000"/>
          <w:sz w:val="24"/>
          <w:szCs w:val="24"/>
          <w:lang w:eastAsia="en-GB"/>
        </w:rPr>
        <w:t xml:space="preserve"> the </w:t>
      </w:r>
      <w:proofErr w:type="spellStart"/>
      <w:r w:rsidR="00291BC9" w:rsidRPr="00291BC9">
        <w:rPr>
          <w:rFonts w:ascii="Times New Roman" w:eastAsia="Times New Roman" w:hAnsi="Times New Roman"/>
          <w:color w:val="000000"/>
          <w:sz w:val="24"/>
          <w:szCs w:val="24"/>
          <w:lang w:eastAsia="en-GB"/>
        </w:rPr>
        <w:t>BiomarCaRE</w:t>
      </w:r>
      <w:proofErr w:type="spellEnd"/>
      <w:r w:rsidR="00291BC9" w:rsidRPr="00291BC9">
        <w:rPr>
          <w:rFonts w:ascii="Times New Roman" w:eastAsia="Times New Roman" w:hAnsi="Times New Roman"/>
          <w:color w:val="000000"/>
          <w:sz w:val="24"/>
          <w:szCs w:val="24"/>
          <w:lang w:eastAsia="en-GB"/>
        </w:rPr>
        <w:t xml:space="preserve"> </w:t>
      </w:r>
      <w:r w:rsidR="00291BC9">
        <w:rPr>
          <w:rFonts w:ascii="Times New Roman" w:eastAsia="Times New Roman" w:hAnsi="Times New Roman"/>
          <w:color w:val="000000"/>
          <w:sz w:val="24"/>
          <w:szCs w:val="24"/>
          <w:lang w:eastAsia="en-GB"/>
        </w:rPr>
        <w:t>Consortium and</w:t>
      </w:r>
      <w:r w:rsidR="00C93539">
        <w:rPr>
          <w:rFonts w:ascii="Times New Roman" w:eastAsia="Times New Roman" w:hAnsi="Times New Roman"/>
          <w:color w:val="000000"/>
          <w:sz w:val="24"/>
          <w:szCs w:val="24"/>
          <w:lang w:eastAsia="en-GB"/>
        </w:rPr>
        <w:t xml:space="preserve"> have been described in details elsewhere </w:t>
      </w:r>
      <w:r w:rsidR="00A4607B">
        <w:rPr>
          <w:rFonts w:ascii="Times New Roman" w:eastAsia="Times New Roman" w:hAnsi="Times New Roman"/>
          <w:color w:val="000000"/>
          <w:sz w:val="24"/>
          <w:szCs w:val="24"/>
          <w:lang w:eastAsia="en-GB"/>
        </w:rPr>
        <w:t xml:space="preserve">(see </w:t>
      </w:r>
      <w:hyperlink r:id="rId5" w:history="1">
        <w:r w:rsidR="0092304E" w:rsidRPr="00337C42">
          <w:rPr>
            <w:rStyle w:val="Collegamentoipertestuale"/>
            <w:rFonts w:ascii="Times New Roman" w:eastAsia="Times New Roman" w:hAnsi="Times New Roman"/>
            <w:sz w:val="24"/>
            <w:szCs w:val="24"/>
            <w:lang w:eastAsia="en-GB"/>
          </w:rPr>
          <w:t>https://cordis.europa.eu/project/id/278913/reporting/it</w:t>
        </w:r>
      </w:hyperlink>
      <w:r w:rsidR="00A4607B">
        <w:rPr>
          <w:rFonts w:ascii="Times New Roman" w:eastAsia="Times New Roman" w:hAnsi="Times New Roman"/>
          <w:color w:val="000000"/>
          <w:sz w:val="24"/>
          <w:szCs w:val="24"/>
          <w:lang w:eastAsia="en-GB"/>
        </w:rPr>
        <w:t>)</w:t>
      </w:r>
      <w:r w:rsidR="00A4607B">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{"citationItems":[{"id":"ITEM-1","itemData":{"DOI":"10.1007/s10654-014-9952-x","ISSN":"0393-2990","abstract":"Biomarkers are considered as tools to enhance cardiovascular risk estimation. However, the value of biomarkers on risk estimation beyond European risk scores, their comparative impact among different European regions and their role towards personalised medicine remains uncertain. Biomarker for Cardiovascular Risk Assessment in Europe (BiomarCaRE) is an European collaborative research project with the primary objective to assess the value of established and emerging biomarkers for cardiovascular risk prediction. BiomarCaRE integrates clinical and epidemiological biomarker research and commercial enterprises throughout Europe to combine innovation in biomarker discovery for cardiovascular disease prediction with consecutive validation of biomarker effectiveness in large, well-defined primary and secondary prevention cohorts including over 300,000 participants from 13 European countries. Results from this study will contribute to improved cardiovascular risk prediction across different European populations. The present publication describes the rationale and design of the BiomarCaRE project.","author":[{"dropping-particle":"","family":"Zeller","given":"Tanja","non-dropping-particle":"","parse-names":false,"suffix":""},{"dropping-particle":"","family":"Hughes","given":"Maria","non-dropping-particle":"","parse-names":false,"suffix":""},{"dropping-particle":"","family":"Tuovinen","given":"Tarja","non-dropping-particle":"","parse-names":false,"suffix":""},{"dropping-particle":"","family":"Schillert","given":"Arne","non-dropping-particle":"","parse-names":false,"suffix":""},{"dropping-particle":"","family":"Conrads-Frank","given":"Annette","non-dropping-particle":"","parse-names":false,"suffix":""},{"dropping-particle":"den","family":"Ruijter","given":"Hester","non-dropping-particle":"","parse-names":false,"suffix":""},{"dropping-particle":"","family":"Schnabel","given":"Renate B.","non-dropping-particle":"","parse-names":false,"suffix":""},{"dropping-particle":"","family":"Kee","given":"Frank","non-dropping-particle":"","parse-names":false,"suffix":""},{"dropping-particle":"","family":"Salomaa","given":"Veikko","non-dropping-particle":"","parse-names":false,"suffix":""},{"dropping-particle":"","family":"Siebert","given":"Uwe","non-dropping-particle":"","parse-names":false,"suffix":""},{"dropping-particle":"","family":"Thorand","given":"Barbara","non-dropping-particle":"","parse-names":false,"suffix":""},{"dropping-particle":"","family":"Ziegler","given":"Andreas","non-dropping-particle":"","parse-names":false,"suffix":""},{"dropping-particle":"","family":"Breek","given":"Heico","non-dropping-particle":"","parse-names":false,"suffix":""},{"dropping-particle":"","family":"Pasterkamp","given":"Gerard","non-dropping-particle":"","parse-names":false,"suffix":""},{"dropping-particle":"","family":"Kuulasmaa","given":"Kari","non-dropping-particle":"","parse-names":false,"suffix":""},{"dropping-particle":"","family":"Koenig","given":"Wolfgang","non-dropping-particle":"","parse-names":false,"suffix":""},{"dropping-particle":"","family":"Blankenberg","given":"Stefan","non-dropping-particle":"","parse-names":false,"suffix":""}],"container-title":"European Journal of Epidemiology","id":"ITEM-1","issue":"10","issued":{"date-parts":[["2014","10","20"]]},"page":"777-790","publisher":"Kluwer Academic Publishers","title":"BiomarCaRE: rationale and design of the European BiomarCaRE project including 300,000 participants from 13 European countries","type":"article-journal","volume":"29"},"uris":["http://www.mendeley.com/documents/?uuid=caf8e44b-f59e-3a86-9b53-109d8592d12b"]}],"mendeley":{"formattedCitation":"[2]","plainTextFormattedCitation":"[2]","previouslyFormattedCitation":"&lt;sup&gt;2&lt;/sup&gt;"},"properties":{"noteIndex":0},"schema":"https://github.com/citation-style-language/schema/raw/master/csl-citation.json"}</w:instrText>
      </w:r>
      <w:r w:rsidR="00A4607B">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[2]</w:t>
      </w:r>
      <w:r w:rsidR="00A4607B">
        <w:rPr>
          <w:rFonts w:ascii="Times New Roman" w:eastAsia="Times New Roman" w:hAnsi="Times New Roman"/>
          <w:color w:val="000000"/>
          <w:sz w:val="24"/>
          <w:szCs w:val="24"/>
          <w:lang w:eastAsia="en-GB"/>
        </w:rPr>
        <w:fldChar w:fldCharType="end"/>
      </w:r>
      <w:r w:rsidR="00C93539" w:rsidRPr="0067700E">
        <w:rPr>
          <w:rFonts w:ascii="Times New Roman" w:eastAsia="Times New Roman" w:hAnsi="Times New Roman"/>
          <w:color w:val="000000"/>
          <w:sz w:val="24"/>
          <w:szCs w:val="24"/>
          <w:lang w:eastAsia="en-GB"/>
        </w:rPr>
        <w:t xml:space="preserve">. </w:t>
      </w:r>
      <w:r w:rsidR="00A4607B" w:rsidRPr="00A4607B">
        <w:rPr>
          <w:rFonts w:ascii="Times New Roman" w:eastAsia="Times New Roman" w:hAnsi="Times New Roman"/>
          <w:color w:val="000000"/>
          <w:sz w:val="24"/>
          <w:szCs w:val="24"/>
          <w:lang w:val="en-US" w:eastAsia="en-GB"/>
        </w:rPr>
        <w:t>M</w:t>
      </w:r>
      <w:proofErr w:type="spellStart"/>
      <w:r w:rsidR="00C93539">
        <w:rPr>
          <w:rFonts w:ascii="Times New Roman" w:eastAsia="Times New Roman" w:hAnsi="Times New Roman"/>
          <w:color w:val="000000"/>
          <w:sz w:val="24"/>
          <w:szCs w:val="24"/>
          <w:lang w:eastAsia="en-GB"/>
        </w:rPr>
        <w:t>ain</w:t>
      </w:r>
      <w:proofErr w:type="spellEnd"/>
      <w:r w:rsidR="00C93539">
        <w:rPr>
          <w:rFonts w:ascii="Times New Roman" w:eastAsia="Times New Roman" w:hAnsi="Times New Roman"/>
          <w:color w:val="000000"/>
          <w:sz w:val="24"/>
          <w:szCs w:val="24"/>
          <w:lang w:eastAsia="en-GB"/>
        </w:rPr>
        <w:t xml:space="preserve"> information </w:t>
      </w:r>
      <w:r w:rsidR="00A4607B">
        <w:rPr>
          <w:rFonts w:ascii="Times New Roman" w:eastAsia="Times New Roman" w:hAnsi="Times New Roman"/>
          <w:color w:val="000000"/>
          <w:sz w:val="24"/>
          <w:szCs w:val="24"/>
          <w:lang w:eastAsia="en-GB"/>
        </w:rPr>
        <w:t xml:space="preserve">and descriptive statistics </w:t>
      </w:r>
      <w:r w:rsidR="00C93539">
        <w:rPr>
          <w:rFonts w:ascii="Times New Roman" w:eastAsia="Times New Roman" w:hAnsi="Times New Roman"/>
          <w:color w:val="000000"/>
          <w:sz w:val="24"/>
          <w:szCs w:val="24"/>
          <w:lang w:eastAsia="en-GB"/>
        </w:rPr>
        <w:t xml:space="preserve">for all the circulating biomarkers currently available in the </w:t>
      </w:r>
      <w:proofErr w:type="spellStart"/>
      <w:r w:rsidR="00C93539">
        <w:rPr>
          <w:rFonts w:ascii="Times New Roman" w:eastAsia="Times New Roman" w:hAnsi="Times New Roman"/>
          <w:color w:val="000000"/>
          <w:sz w:val="24"/>
          <w:szCs w:val="24"/>
          <w:lang w:eastAsia="en-GB"/>
        </w:rPr>
        <w:t>Moli-sani</w:t>
      </w:r>
      <w:proofErr w:type="spellEnd"/>
      <w:r w:rsidR="00C93539">
        <w:rPr>
          <w:rFonts w:ascii="Times New Roman" w:eastAsia="Times New Roman" w:hAnsi="Times New Roman"/>
          <w:color w:val="000000"/>
          <w:sz w:val="24"/>
          <w:szCs w:val="24"/>
          <w:lang w:eastAsia="en-GB"/>
        </w:rPr>
        <w:t xml:space="preserve"> study </w:t>
      </w:r>
      <w:r w:rsidR="00A4607B">
        <w:rPr>
          <w:rFonts w:ascii="Times New Roman" w:eastAsia="Times New Roman" w:hAnsi="Times New Roman"/>
          <w:color w:val="000000"/>
          <w:sz w:val="24"/>
          <w:szCs w:val="24"/>
          <w:lang w:eastAsia="en-GB"/>
        </w:rPr>
        <w:t xml:space="preserve">is reported </w:t>
      </w:r>
      <w:r w:rsidR="00C93539">
        <w:rPr>
          <w:rFonts w:ascii="Times New Roman" w:eastAsia="Times New Roman" w:hAnsi="Times New Roman"/>
          <w:color w:val="000000"/>
          <w:sz w:val="24"/>
          <w:szCs w:val="24"/>
          <w:lang w:eastAsia="en-GB"/>
        </w:rPr>
        <w:t>in Table S1.</w:t>
      </w:r>
    </w:p>
    <w:p w14:paraId="08C93CDD" w14:textId="2B55B861" w:rsidR="00BA43C2" w:rsidRDefault="00BA43C2" w:rsidP="00BA43C2">
      <w:pPr>
        <w:spacing w:line="480" w:lineRule="auto"/>
        <w:jc w:val="center"/>
        <w:rPr>
          <w:rFonts w:ascii="Times New Roman" w:eastAsia="Times New Roman" w:hAnsi="Times New Roman"/>
          <w:b/>
          <w:bCs/>
          <w:color w:val="000000"/>
          <w:sz w:val="24"/>
          <w:szCs w:val="24"/>
          <w:lang w:eastAsia="en-GB"/>
        </w:rPr>
      </w:pPr>
      <w:r w:rsidRPr="00BA43C2">
        <w:rPr>
          <w:rFonts w:ascii="Times New Roman" w:eastAsia="Times New Roman" w:hAnsi="Times New Roman"/>
          <w:b/>
          <w:bCs/>
          <w:color w:val="000000"/>
          <w:sz w:val="24"/>
          <w:szCs w:val="24"/>
          <w:lang w:eastAsia="en-GB"/>
        </w:rPr>
        <w:lastRenderedPageBreak/>
        <w:t xml:space="preserve">Table S1. Details and main descriptive statistics of all the blood markers </w:t>
      </w:r>
      <w:r w:rsidR="006F12F8">
        <w:rPr>
          <w:rFonts w:ascii="Times New Roman" w:eastAsia="Times New Roman" w:hAnsi="Times New Roman"/>
          <w:b/>
          <w:bCs/>
          <w:color w:val="000000"/>
          <w:sz w:val="24"/>
          <w:szCs w:val="24"/>
          <w:lang w:eastAsia="en-GB"/>
        </w:rPr>
        <w:t xml:space="preserve">currently </w:t>
      </w:r>
      <w:r w:rsidRPr="00BA43C2">
        <w:rPr>
          <w:rFonts w:ascii="Times New Roman" w:eastAsia="Times New Roman" w:hAnsi="Times New Roman"/>
          <w:b/>
          <w:bCs/>
          <w:color w:val="000000"/>
          <w:sz w:val="24"/>
          <w:szCs w:val="24"/>
          <w:lang w:eastAsia="en-GB"/>
        </w:rPr>
        <w:t xml:space="preserve">available in the </w:t>
      </w:r>
      <w:proofErr w:type="spellStart"/>
      <w:r w:rsidRPr="00BA43C2">
        <w:rPr>
          <w:rFonts w:ascii="Times New Roman" w:eastAsia="Times New Roman" w:hAnsi="Times New Roman"/>
          <w:b/>
          <w:bCs/>
          <w:color w:val="000000"/>
          <w:sz w:val="24"/>
          <w:szCs w:val="24"/>
          <w:lang w:eastAsia="en-GB"/>
        </w:rPr>
        <w:t>Moli-sani</w:t>
      </w:r>
      <w:proofErr w:type="spellEnd"/>
      <w:r w:rsidRPr="00BA43C2">
        <w:rPr>
          <w:rFonts w:ascii="Times New Roman" w:eastAsia="Times New Roman" w:hAnsi="Times New Roman"/>
          <w:b/>
          <w:bCs/>
          <w:color w:val="000000"/>
          <w:sz w:val="24"/>
          <w:szCs w:val="24"/>
          <w:lang w:eastAsia="en-GB"/>
        </w:rPr>
        <w:t xml:space="preserve"> study.</w:t>
      </w:r>
    </w:p>
    <w:p w14:paraId="128F1F22" w14:textId="77777777" w:rsidR="006B55AA" w:rsidRPr="00BA43C2" w:rsidRDefault="006B55AA" w:rsidP="00BA43C2">
      <w:pPr>
        <w:spacing w:line="480" w:lineRule="auto"/>
        <w:jc w:val="center"/>
        <w:rPr>
          <w:rFonts w:ascii="Times New Roman" w:eastAsia="Times New Roman" w:hAnsi="Times New Roman"/>
          <w:b/>
          <w:bCs/>
          <w:color w:val="000000"/>
          <w:sz w:val="24"/>
          <w:szCs w:val="24"/>
          <w:lang w:eastAsia="en-GB"/>
        </w:rPr>
      </w:pPr>
    </w:p>
    <w:tbl>
      <w:tblPr>
        <w:tblW w:w="13442" w:type="dxa"/>
        <w:jc w:val="center"/>
        <w:tblCellMar>
          <w:left w:w="70" w:type="dxa"/>
          <w:right w:w="70" w:type="dxa"/>
        </w:tblCellMar>
        <w:tblLook w:val="04A0" w:firstRow="1" w:lastRow="0" w:firstColumn="1" w:lastColumn="0" w:noHBand="0" w:noVBand="1"/>
      </w:tblPr>
      <w:tblGrid>
        <w:gridCol w:w="1933"/>
        <w:gridCol w:w="1640"/>
        <w:gridCol w:w="914"/>
        <w:gridCol w:w="1407"/>
        <w:gridCol w:w="1214"/>
        <w:gridCol w:w="1454"/>
        <w:gridCol w:w="960"/>
        <w:gridCol w:w="1040"/>
        <w:gridCol w:w="960"/>
        <w:gridCol w:w="960"/>
        <w:gridCol w:w="960"/>
      </w:tblGrid>
      <w:tr w:rsidR="00BA43C2" w:rsidRPr="00BA43C2" w14:paraId="70C84862"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990B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Variable</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20227A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Source</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7B91E9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Unit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3D6912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Observations</w:t>
            </w:r>
            <w:proofErr w:type="spellEnd"/>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98B049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 xml:space="preserve"># </w:t>
            </w:r>
            <w:proofErr w:type="spellStart"/>
            <w:r w:rsidRPr="00BA43C2">
              <w:rPr>
                <w:rFonts w:ascii="Times New Roman" w:eastAsia="Times New Roman" w:hAnsi="Times New Roman"/>
                <w:color w:val="000000"/>
                <w:sz w:val="24"/>
                <w:szCs w:val="24"/>
                <w:lang w:val="it-IT" w:eastAsia="it-IT"/>
              </w:rPr>
              <w:t>Missing</w:t>
            </w:r>
            <w:proofErr w:type="spellEnd"/>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53B1D7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Missing</w:t>
            </w:r>
            <w:proofErr w:type="spellEnd"/>
            <w:r w:rsidRPr="00BA43C2">
              <w:rPr>
                <w:rFonts w:ascii="Times New Roman" w:eastAsia="Times New Roman" w:hAnsi="Times New Roman"/>
                <w:color w:val="000000"/>
                <w:sz w:val="24"/>
                <w:szCs w:val="24"/>
                <w:lang w:val="it-IT" w:eastAsia="it-IT"/>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E75D6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Min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1F781E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Max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3F3EF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Median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5EEDC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Mean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D4F50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SD</w:t>
            </w:r>
          </w:p>
        </w:tc>
      </w:tr>
      <w:tr w:rsidR="00BA43C2" w:rsidRPr="00BA43C2" w14:paraId="707DC921"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BEB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LY</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ED9D6D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613823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5786EB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23450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83B8B5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875</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7F5D58E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29718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FF47A5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064DF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E91DC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28EFA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7.33</w:t>
            </w:r>
          </w:p>
        </w:tc>
      </w:tr>
      <w:tr w:rsidR="00BA43C2" w:rsidRPr="00BA43C2" w14:paraId="21749A05"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E86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MO</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F769E1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49C12A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283736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23449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7EEB96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876</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C4BFB8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FDA37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0.70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275E1C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34.30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627FC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CDE1C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5A3A1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2.10</w:t>
            </w:r>
          </w:p>
        </w:tc>
      </w:tr>
      <w:tr w:rsidR="00BA43C2" w:rsidRPr="00BA43C2" w14:paraId="366CB268"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5804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GR</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256915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E135C6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7CC971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23447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ECC0AC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878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4C5E5C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0C142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56ECDE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90.60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6DCE7C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B5DD7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FD31C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7.75</w:t>
            </w:r>
          </w:p>
        </w:tc>
      </w:tr>
      <w:tr w:rsidR="00BA43C2" w:rsidRPr="00BA43C2" w14:paraId="6B095160"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5225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EO</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7022B6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2949090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1EC623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17290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481419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7035</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DBEBEE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AFB8A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54CCD9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7806A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A4049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51F3F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1.75</w:t>
            </w:r>
          </w:p>
        </w:tc>
      </w:tr>
      <w:tr w:rsidR="00BA43C2" w:rsidRPr="00BA43C2" w14:paraId="17ED7351"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B95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BA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B6B681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2865BB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778FE8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16885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7CA523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7440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7C116D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972B6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368BF5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19.90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81845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BEAA4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96B01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0.40</w:t>
            </w:r>
          </w:p>
        </w:tc>
      </w:tr>
      <w:tr w:rsidR="00BA43C2" w:rsidRPr="00BA43C2" w14:paraId="36F8B9A5"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96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NE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635C54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7DD88F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8DC153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17309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E27B72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7016</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4A92B0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28.8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E494A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42837E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88.30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F5028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56.80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6E4F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56.67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FB40F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8.14</w:t>
            </w:r>
          </w:p>
        </w:tc>
      </w:tr>
      <w:tr w:rsidR="00BA43C2" w:rsidRPr="00BA43C2" w14:paraId="5D23AD79"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CE7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WBC</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D5BE87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29F349B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Pr>
                <w:rFonts w:ascii="Times New Roman" w:eastAsia="Times New Roman" w:hAnsi="Times New Roman"/>
                <w:color w:val="000000"/>
                <w:sz w:val="24"/>
                <w:szCs w:val="24"/>
                <w:lang w:val="it-IT" w:eastAsia="it-IT"/>
              </w:rPr>
              <w:t>×</w:t>
            </w:r>
            <w:r w:rsidRPr="00BA43C2">
              <w:rPr>
                <w:rFonts w:ascii="Times New Roman" w:eastAsia="Times New Roman" w:hAnsi="Times New Roman"/>
                <w:color w:val="000000"/>
                <w:sz w:val="24"/>
                <w:szCs w:val="24"/>
                <w:lang w:val="it-IT" w:eastAsia="it-IT"/>
              </w:rPr>
              <w:t>10</w:t>
            </w:r>
            <w:r w:rsidRPr="00BA43C2">
              <w:rPr>
                <w:rFonts w:ascii="Times New Roman" w:eastAsia="Times New Roman" w:hAnsi="Times New Roman"/>
                <w:color w:val="000000"/>
                <w:sz w:val="24"/>
                <w:szCs w:val="24"/>
                <w:vertAlign w:val="superscript"/>
                <w:lang w:val="it-IT" w:eastAsia="it-IT"/>
              </w:rPr>
              <w:t>3</w:t>
            </w:r>
            <w:r w:rsidRPr="00BA43C2">
              <w:rPr>
                <w:rFonts w:ascii="Times New Roman" w:eastAsia="Times New Roman" w:hAnsi="Times New Roman"/>
                <w:color w:val="000000"/>
                <w:sz w:val="24"/>
                <w:szCs w:val="24"/>
                <w:lang w:val="it-IT" w:eastAsia="it-IT"/>
              </w:rPr>
              <w:t>/µl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560F6A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3E375C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82B338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64BE1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FDEA3A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68.80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39D35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6E03A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8FF7D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1.78</w:t>
            </w:r>
          </w:p>
        </w:tc>
      </w:tr>
      <w:tr w:rsidR="00BA43C2" w:rsidRPr="00BA43C2" w14:paraId="26A00A36"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2E7F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RBC</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C4A46A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886210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Pr>
                <w:rFonts w:ascii="Times New Roman" w:eastAsia="Times New Roman" w:hAnsi="Times New Roman"/>
                <w:color w:val="000000"/>
                <w:sz w:val="24"/>
                <w:szCs w:val="24"/>
                <w:lang w:val="it-IT" w:eastAsia="it-IT"/>
              </w:rPr>
              <w:t>×</w:t>
            </w:r>
            <w:r w:rsidRPr="00BA43C2">
              <w:rPr>
                <w:rFonts w:ascii="Times New Roman" w:eastAsia="Times New Roman" w:hAnsi="Times New Roman"/>
                <w:color w:val="000000"/>
                <w:sz w:val="24"/>
                <w:szCs w:val="24"/>
                <w:lang w:val="it-IT" w:eastAsia="it-IT"/>
              </w:rPr>
              <w:t>10</w:t>
            </w:r>
            <w:r>
              <w:rPr>
                <w:rFonts w:ascii="Times New Roman" w:eastAsia="Times New Roman" w:hAnsi="Times New Roman"/>
                <w:color w:val="000000"/>
                <w:sz w:val="24"/>
                <w:szCs w:val="24"/>
                <w:vertAlign w:val="superscript"/>
                <w:lang w:val="it-IT" w:eastAsia="it-IT"/>
              </w:rPr>
              <w:t>6</w:t>
            </w:r>
            <w:r w:rsidRPr="00BA43C2">
              <w:rPr>
                <w:rFonts w:ascii="Times New Roman" w:eastAsia="Times New Roman" w:hAnsi="Times New Roman"/>
                <w:color w:val="000000"/>
                <w:sz w:val="24"/>
                <w:szCs w:val="24"/>
                <w:lang w:val="it-IT" w:eastAsia="it-IT"/>
              </w:rPr>
              <w:t>/µl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CAEF77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F597BB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6EBADF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7E979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2.67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589EC5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498.00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3CD52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CAAD5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4.94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697AF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3.24</w:t>
            </w:r>
          </w:p>
        </w:tc>
      </w:tr>
      <w:tr w:rsidR="00BA43C2" w:rsidRPr="00BA43C2" w14:paraId="109CE024"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8C5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Hgb</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D78AD7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9A3692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D04C1C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A8A97E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661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1F263F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F2D06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6.60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031E40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06781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3A4BD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7B9F5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1.51</w:t>
            </w:r>
          </w:p>
        </w:tc>
      </w:tr>
      <w:tr w:rsidR="00BA43C2" w:rsidRPr="00BA43C2" w14:paraId="274E16EC"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F9181" w14:textId="7DED57D1"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H</w:t>
            </w:r>
            <w:r w:rsidR="00144B03">
              <w:rPr>
                <w:rFonts w:ascii="Times New Roman" w:eastAsia="Times New Roman" w:hAnsi="Times New Roman"/>
                <w:color w:val="000000"/>
                <w:sz w:val="24"/>
                <w:szCs w:val="24"/>
                <w:lang w:val="it-IT" w:eastAsia="it-IT"/>
              </w:rPr>
              <w:t>ct</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08DE63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EC4C80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E3AB9C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DF56C8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B51F04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7ACCB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13.50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F0BB5C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67.90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48BF4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43.30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DFAF0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43.28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4BB43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4.03</w:t>
            </w:r>
          </w:p>
        </w:tc>
      </w:tr>
      <w:tr w:rsidR="00BA43C2" w:rsidRPr="00BA43C2" w14:paraId="4A15B556"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2D4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MCV</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F1F086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4933A8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fl</w:t>
            </w:r>
            <w:proofErr w:type="spellEnd"/>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F3838D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AE938A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660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02ECFA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E239D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10.20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7D137E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123.90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5A9A9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A895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88.33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A3EF0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6.04</w:t>
            </w:r>
          </w:p>
        </w:tc>
      </w:tr>
      <w:tr w:rsidR="00BA43C2" w:rsidRPr="00BA43C2" w14:paraId="7CFCA559"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A7D4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MCH</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2041EB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31B7F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pg</w:t>
            </w:r>
            <w:proofErr w:type="spellEnd"/>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0F9A7C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4A686C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660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38DB2C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102E8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DD5CE6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42.20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5B45D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29.90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92300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29.58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4952D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2.45</w:t>
            </w:r>
          </w:p>
        </w:tc>
      </w:tr>
      <w:tr w:rsidR="00BA43C2" w:rsidRPr="00BA43C2" w14:paraId="23564032"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48F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MCHC</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FDBC22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CB3781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C1370E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0DF70F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6FD70C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DD1D5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22.50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4BCA87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317.00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98C19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47933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E6E11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2.17</w:t>
            </w:r>
          </w:p>
        </w:tc>
      </w:tr>
      <w:tr w:rsidR="00BA43C2" w:rsidRPr="00BA43C2" w14:paraId="5CEA8723"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975E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RDW</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D5D4A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F0E6E6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7AE6F5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23544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9F3059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781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B2B7F8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C72A1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9A59C7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70C70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90B8D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10647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1.23</w:t>
            </w:r>
          </w:p>
        </w:tc>
      </w:tr>
      <w:tr w:rsidR="00BA43C2" w:rsidRPr="00BA43C2" w14:paraId="7DBF7B2B"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311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Plt</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51C18D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1F22B9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Pr>
                <w:rFonts w:ascii="Times New Roman" w:eastAsia="Times New Roman" w:hAnsi="Times New Roman"/>
                <w:color w:val="000000"/>
                <w:sz w:val="24"/>
                <w:szCs w:val="24"/>
                <w:lang w:val="it-IT" w:eastAsia="it-IT"/>
              </w:rPr>
              <w:t>×</w:t>
            </w:r>
            <w:r w:rsidRPr="00BA43C2">
              <w:rPr>
                <w:rFonts w:ascii="Times New Roman" w:eastAsia="Times New Roman" w:hAnsi="Times New Roman"/>
                <w:color w:val="000000"/>
                <w:sz w:val="24"/>
                <w:szCs w:val="24"/>
                <w:lang w:val="it-IT" w:eastAsia="it-IT"/>
              </w:rPr>
              <w:t>10</w:t>
            </w:r>
            <w:r w:rsidRPr="00BA43C2">
              <w:rPr>
                <w:rFonts w:ascii="Times New Roman" w:eastAsia="Times New Roman" w:hAnsi="Times New Roman"/>
                <w:color w:val="000000"/>
                <w:sz w:val="24"/>
                <w:szCs w:val="24"/>
                <w:vertAlign w:val="superscript"/>
                <w:lang w:val="it-IT" w:eastAsia="it-IT"/>
              </w:rPr>
              <w:t>3</w:t>
            </w:r>
            <w:r w:rsidRPr="00BA43C2">
              <w:rPr>
                <w:rFonts w:ascii="Times New Roman" w:eastAsia="Times New Roman" w:hAnsi="Times New Roman"/>
                <w:color w:val="000000"/>
                <w:sz w:val="24"/>
                <w:szCs w:val="24"/>
                <w:lang w:val="it-IT" w:eastAsia="it-IT"/>
              </w:rPr>
              <w:t>/µl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27E923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CBC7D2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61A495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7B5D7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CBDDB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1091.00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A8F00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0CF33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248.92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DC5BE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64.15</w:t>
            </w:r>
          </w:p>
        </w:tc>
      </w:tr>
      <w:tr w:rsidR="00BA43C2" w:rsidRPr="00BA43C2" w14:paraId="0B304A7D"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2C4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MPV</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3E0F39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7EEBAF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fl</w:t>
            </w:r>
            <w:proofErr w:type="spellEnd"/>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C880D1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23401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A6A35D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924</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7A166A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ED03A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5.20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0B2848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92D49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F2320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76A8A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1.23</w:t>
            </w:r>
          </w:p>
        </w:tc>
      </w:tr>
      <w:tr w:rsidR="00BA43C2" w:rsidRPr="00BA43C2" w14:paraId="3E7A0792"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45A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PCT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3CAB98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33C9A8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700299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23388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C497BA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937</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A1A573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8FC74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9DB8A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5F858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91CC3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953CA0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0.06</w:t>
            </w:r>
          </w:p>
        </w:tc>
      </w:tr>
      <w:tr w:rsidR="00BA43C2" w:rsidRPr="00BA43C2" w14:paraId="5A0E38A3"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392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PDW</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A79F06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blood</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308361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D111E9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23252</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4CFBD8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1073</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0A6DE1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A3613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8.20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2D63A2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62.60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82A21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91531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2CF05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1.78</w:t>
            </w:r>
          </w:p>
        </w:tc>
      </w:tr>
      <w:tr w:rsidR="00BA43C2" w:rsidRPr="00BA43C2" w14:paraId="41FD6C9B"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B40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 xml:space="preserve">Total </w:t>
            </w:r>
            <w:proofErr w:type="spellStart"/>
            <w:r w:rsidRPr="00BA43C2">
              <w:rPr>
                <w:rFonts w:ascii="Times New Roman" w:eastAsia="Times New Roman" w:hAnsi="Times New Roman"/>
                <w:color w:val="000000"/>
                <w:sz w:val="24"/>
                <w:szCs w:val="24"/>
                <w:lang w:val="it-IT" w:eastAsia="it-IT"/>
              </w:rPr>
              <w:t>Cholesterol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FCA898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80B966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F95BF7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24174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EDF0E1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E2CB51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2B1A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55.00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4B2EB1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604.00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F120B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3815DD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213.18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F97B5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41.77</w:t>
            </w:r>
          </w:p>
        </w:tc>
      </w:tr>
      <w:tr w:rsidR="00BA43C2" w:rsidRPr="00BA43C2" w14:paraId="3E1E82C4"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C526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HDL</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F31CF9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4F5F16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A3BE26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24172</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66A44C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153</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5DDE76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02409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A74BE3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B22A6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11BD3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57.53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957E6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14.89</w:t>
            </w:r>
          </w:p>
        </w:tc>
      </w:tr>
      <w:tr w:rsidR="00BA43C2" w:rsidRPr="00BA43C2" w14:paraId="221AE348"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7B2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LDL</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8FFB0B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42AABB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409E8B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23818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B31838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507</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58FC41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62450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3.60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FFDF60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416.40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D3588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128.20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F74C6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130.12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3A780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35.10</w:t>
            </w:r>
          </w:p>
        </w:tc>
      </w:tr>
      <w:tr w:rsidR="00BA43C2" w:rsidRPr="00BA43C2" w14:paraId="3DACAF2E"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E12F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Triglycerides</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17AE82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328BFD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D5554D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24173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DA4372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152</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FE4FA2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5EB24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19.00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E9C8B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950.00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C5476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50319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130.06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8BA10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85.72</w:t>
            </w:r>
          </w:p>
        </w:tc>
      </w:tr>
      <w:tr w:rsidR="00BA43C2" w:rsidRPr="00BA43C2" w14:paraId="21224A55"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4F4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Glucose</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9F423C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060D44D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617954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24174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1C660B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27A295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910A6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E481D4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443.00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982F2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97.00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5660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101.49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C322F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25.40</w:t>
            </w:r>
          </w:p>
        </w:tc>
      </w:tr>
      <w:tr w:rsidR="00BA43C2" w:rsidRPr="00BA43C2" w14:paraId="1542B1BD"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737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CRP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7CC59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2B438F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6FB690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24297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5F8011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64E8BE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59C76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54393E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8D1A4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369D3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3B1FE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3.26</w:t>
            </w:r>
          </w:p>
        </w:tc>
      </w:tr>
      <w:tr w:rsidR="00BA43C2" w:rsidRPr="00BA43C2" w14:paraId="6DEF7B13"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5F9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D-</w:t>
            </w:r>
            <w:proofErr w:type="spellStart"/>
            <w:r w:rsidRPr="00BA43C2">
              <w:rPr>
                <w:rFonts w:ascii="Times New Roman" w:eastAsia="Times New Roman" w:hAnsi="Times New Roman"/>
                <w:color w:val="000000"/>
                <w:sz w:val="24"/>
                <w:szCs w:val="24"/>
                <w:lang w:val="it-IT" w:eastAsia="it-IT"/>
              </w:rPr>
              <w:t>dimer</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EC461E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 xml:space="preserve">plasma </w:t>
            </w:r>
            <w:proofErr w:type="spellStart"/>
            <w:r w:rsidRPr="00BA43C2">
              <w:rPr>
                <w:rFonts w:ascii="Times New Roman" w:eastAsia="Times New Roman" w:hAnsi="Times New Roman"/>
                <w:color w:val="000000"/>
                <w:sz w:val="24"/>
                <w:szCs w:val="24"/>
                <w:lang w:val="it-IT" w:eastAsia="it-IT"/>
              </w:rPr>
              <w:t>citrate</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EED543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ng</w:t>
            </w:r>
            <w:proofErr w:type="spellEnd"/>
            <w:r w:rsidRPr="00BA43C2">
              <w:rPr>
                <w:rFonts w:ascii="Times New Roman" w:eastAsia="Times New Roman" w:hAnsi="Times New Roman"/>
                <w:color w:val="000000"/>
                <w:sz w:val="24"/>
                <w:szCs w:val="24"/>
                <w:lang w:val="it-IT" w:eastAsia="it-IT"/>
              </w:rPr>
              <w:t>/ml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1C434F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21824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F2FEA8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2501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5C4502E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8C304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325ED8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1597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704BA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199.19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14543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109.51</w:t>
            </w:r>
          </w:p>
        </w:tc>
      </w:tr>
      <w:tr w:rsidR="00BA43C2" w:rsidRPr="00BA43C2" w14:paraId="5B2D5C64"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171A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Albumin</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A80EC5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2EF821B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gr/dl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033693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16270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F57373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8055</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5FEF397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7B65D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1.80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3FEAF0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8CF20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2F1FD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E52E4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0.32</w:t>
            </w:r>
          </w:p>
        </w:tc>
      </w:tr>
      <w:tr w:rsidR="00BA43C2" w:rsidRPr="00BA43C2" w14:paraId="07847B42"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592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lastRenderedPageBreak/>
              <w:t>ALT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0EFB59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7163C2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U/lt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B0E2C8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16270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9D050F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8055</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7BF574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84B56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82F41F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329.00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2D15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25AEF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B590E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15.41</w:t>
            </w:r>
          </w:p>
        </w:tc>
      </w:tr>
      <w:tr w:rsidR="00BA43C2" w:rsidRPr="00BA43C2" w14:paraId="5DB7EF5D"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533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AST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794BD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D5ED35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U/lt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9DF89C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16268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FB6505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8057</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03515C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90B2D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11.00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D2A4D4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316.00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E489C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861BB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E20A7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10.34</w:t>
            </w:r>
          </w:p>
        </w:tc>
      </w:tr>
      <w:tr w:rsidR="00BA43C2" w:rsidRPr="00BA43C2" w14:paraId="538199F7"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99D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Uric</w:t>
            </w:r>
            <w:proofErr w:type="spellEnd"/>
            <w:r w:rsidRPr="00BA43C2">
              <w:rPr>
                <w:rFonts w:ascii="Times New Roman" w:eastAsia="Times New Roman" w:hAnsi="Times New Roman"/>
                <w:color w:val="000000"/>
                <w:sz w:val="24"/>
                <w:szCs w:val="24"/>
                <w:lang w:val="it-IT" w:eastAsia="it-IT"/>
              </w:rPr>
              <w:t xml:space="preserve"> acid</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F291C9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073A589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466931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16266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E25D68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8059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CA519C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DB658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FD2AB4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01CEB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62EE3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5950E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1.50</w:t>
            </w:r>
          </w:p>
        </w:tc>
      </w:tr>
      <w:tr w:rsidR="00BA43C2" w:rsidRPr="00BA43C2" w14:paraId="26EF8666"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6FB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Creatinine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856E1A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81A93A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E9FA0B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23647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CE69DE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678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6434FB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5652A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ACF64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71E5E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0.78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8E9BE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FFA87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0.21</w:t>
            </w:r>
          </w:p>
        </w:tc>
      </w:tr>
      <w:tr w:rsidR="00BA43C2" w:rsidRPr="00BA43C2" w14:paraId="39087E69"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3B984" w14:textId="1BF17BA9"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Apo-A</w:t>
            </w:r>
            <w:r>
              <w:rPr>
                <w:rFonts w:ascii="Times New Roman" w:eastAsia="Times New Roman" w:hAnsi="Times New Roman"/>
                <w:color w:val="000000"/>
                <w:sz w:val="24"/>
                <w:szCs w:val="24"/>
                <w:lang w:val="it-IT" w:eastAsia="it-IT"/>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FF0DB3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61693C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B3078E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23674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D9A616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697641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E79E9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0.15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8BD128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D8E6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CDD85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F08AC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0.32</w:t>
            </w:r>
          </w:p>
        </w:tc>
      </w:tr>
      <w:tr w:rsidR="00BA43C2" w:rsidRPr="00BA43C2" w14:paraId="226C42F3"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649A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Apo-B</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EA363E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D3C7A8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g/L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43525D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23683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5F9AE0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642</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0696253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1EDE1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03ADEC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81BB5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FC7E7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8BE20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0.24</w:t>
            </w:r>
          </w:p>
        </w:tc>
      </w:tr>
      <w:tr w:rsidR="00BA43C2" w:rsidRPr="00BA43C2" w14:paraId="4516C909"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348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C-peptide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C58E71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9A7866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ng</w:t>
            </w:r>
            <w:proofErr w:type="spellEnd"/>
            <w:r w:rsidRPr="00BA43C2">
              <w:rPr>
                <w:rFonts w:ascii="Times New Roman" w:eastAsia="Times New Roman" w:hAnsi="Times New Roman"/>
                <w:color w:val="000000"/>
                <w:sz w:val="24"/>
                <w:szCs w:val="24"/>
                <w:lang w:val="it-IT" w:eastAsia="it-IT"/>
              </w:rPr>
              <w:t>/ml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ADCC84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23419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2FD47E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906</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79BC548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031F7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7DC395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12.08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91395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50A96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D807BB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0.83</w:t>
            </w:r>
          </w:p>
        </w:tc>
      </w:tr>
      <w:tr w:rsidR="00BA43C2" w:rsidRPr="00BA43C2" w14:paraId="1DCE2A9F"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48E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Cystatin</w:t>
            </w:r>
            <w:proofErr w:type="spellEnd"/>
            <w:r w:rsidRPr="00BA43C2">
              <w:rPr>
                <w:rFonts w:ascii="Times New Roman" w:eastAsia="Times New Roman" w:hAnsi="Times New Roman"/>
                <w:color w:val="000000"/>
                <w:sz w:val="24"/>
                <w:szCs w:val="24"/>
                <w:lang w:val="it-IT" w:eastAsia="it-IT"/>
              </w:rPr>
              <w:t>-C</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5983EE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0CB0EE5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AB561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B6CD43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916020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59457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7CA245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0E210F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B11C3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0.99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94069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0.25</w:t>
            </w:r>
          </w:p>
        </w:tc>
      </w:tr>
      <w:tr w:rsidR="00BA43C2" w:rsidRPr="00BA43C2" w14:paraId="0B8E2B52"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E61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Insulin</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998A90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099D6A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pmoli</w:t>
            </w:r>
            <w:proofErr w:type="spellEnd"/>
            <w:r w:rsidRPr="00BA43C2">
              <w:rPr>
                <w:rFonts w:ascii="Times New Roman" w:eastAsia="Times New Roman" w:hAnsi="Times New Roman"/>
                <w:color w:val="000000"/>
                <w:sz w:val="24"/>
                <w:szCs w:val="24"/>
                <w:lang w:val="it-IT" w:eastAsia="it-IT"/>
              </w:rPr>
              <w:t>/L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8CD6FD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23504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C49099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821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5900AD7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0B3AA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BD691C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1459.70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A463F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9B527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60.01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B8973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44.11</w:t>
            </w:r>
          </w:p>
        </w:tc>
      </w:tr>
      <w:tr w:rsidR="00BA43C2" w:rsidRPr="00BA43C2" w14:paraId="0B6B414E"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928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Lp</w:t>
            </w:r>
            <w:proofErr w:type="spellEnd"/>
            <w:r w:rsidRPr="00BA43C2">
              <w:rPr>
                <w:rFonts w:ascii="Times New Roman" w:eastAsia="Times New Roman" w:hAnsi="Times New Roman"/>
                <w:color w:val="000000"/>
                <w:sz w:val="24"/>
                <w:szCs w:val="24"/>
                <w:lang w:val="it-IT" w:eastAsia="it-IT"/>
              </w:rPr>
              <w:t>(a)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4A1FF3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5C7AC7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mg/dl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830AE9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22999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EA5E03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1326</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6C98961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C3F6CF"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CE02B0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E0995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11.30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6795F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18.08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F10C2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18.83</w:t>
            </w:r>
          </w:p>
        </w:tc>
      </w:tr>
      <w:tr w:rsidR="00BA43C2" w:rsidRPr="00BA43C2" w14:paraId="0C70453A"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15B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NT-</w:t>
            </w:r>
            <w:proofErr w:type="spellStart"/>
            <w:r w:rsidRPr="00BA43C2">
              <w:rPr>
                <w:rFonts w:ascii="Times New Roman" w:eastAsia="Times New Roman" w:hAnsi="Times New Roman"/>
                <w:color w:val="000000"/>
                <w:sz w:val="24"/>
                <w:szCs w:val="24"/>
                <w:lang w:val="it-IT" w:eastAsia="it-IT"/>
              </w:rPr>
              <w:t>proBNP</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A0EF92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EDTA plasma</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B7927A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pg</w:t>
            </w:r>
            <w:proofErr w:type="spellEnd"/>
            <w:r w:rsidRPr="00BA43C2">
              <w:rPr>
                <w:rFonts w:ascii="Times New Roman" w:eastAsia="Times New Roman" w:hAnsi="Times New Roman"/>
                <w:color w:val="000000"/>
                <w:sz w:val="24"/>
                <w:szCs w:val="24"/>
                <w:lang w:val="it-IT" w:eastAsia="it-IT"/>
              </w:rPr>
              <w:t>/ml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1F4283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22453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EB8608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1872</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725C405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7.7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1CF18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96B344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24396.00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C1F01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23BFA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98.85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7D213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283.00</w:t>
            </w:r>
          </w:p>
        </w:tc>
      </w:tr>
      <w:tr w:rsidR="00BA43C2" w:rsidRPr="00BA43C2" w14:paraId="5BE87105"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7A6B" w14:textId="70AA7F2F"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Testosteron</w:t>
            </w:r>
            <w:r w:rsidR="003B5296">
              <w:rPr>
                <w:rFonts w:ascii="Times New Roman" w:eastAsia="Times New Roman" w:hAnsi="Times New Roman"/>
                <w:color w:val="000000"/>
                <w:sz w:val="24"/>
                <w:szCs w:val="24"/>
                <w:lang w:val="it-IT" w:eastAsia="it-IT"/>
              </w:rPr>
              <w:t>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191252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84A16B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nmoli</w:t>
            </w:r>
            <w:proofErr w:type="spellEnd"/>
            <w:r w:rsidRPr="00BA43C2">
              <w:rPr>
                <w:rFonts w:ascii="Times New Roman" w:eastAsia="Times New Roman" w:hAnsi="Times New Roman"/>
                <w:color w:val="000000"/>
                <w:sz w:val="24"/>
                <w:szCs w:val="24"/>
                <w:lang w:val="it-IT" w:eastAsia="it-IT"/>
              </w:rPr>
              <w:t>/L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D55448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22366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B32490E"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1959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329746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6376D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0.45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AD33E1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0201B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0807EC"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249EB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9.40</w:t>
            </w:r>
          </w:p>
        </w:tc>
      </w:tr>
      <w:tr w:rsidR="00BA43C2" w:rsidRPr="00BA43C2" w14:paraId="268412F3"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4B7A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Troponin</w:t>
            </w:r>
            <w:proofErr w:type="spellEnd"/>
            <w:r w:rsidRPr="00BA43C2">
              <w:rPr>
                <w:rFonts w:ascii="Times New Roman" w:eastAsia="Times New Roman" w:hAnsi="Times New Roman"/>
                <w:color w:val="000000"/>
                <w:sz w:val="24"/>
                <w:szCs w:val="24"/>
                <w:lang w:val="it-IT" w:eastAsia="it-IT"/>
              </w:rPr>
              <w:t>-I</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A46CF5A"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98D5409"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pg</w:t>
            </w:r>
            <w:proofErr w:type="spellEnd"/>
            <w:r w:rsidRPr="00BA43C2">
              <w:rPr>
                <w:rFonts w:ascii="Times New Roman" w:eastAsia="Times New Roman" w:hAnsi="Times New Roman"/>
                <w:color w:val="000000"/>
                <w:sz w:val="24"/>
                <w:szCs w:val="24"/>
                <w:lang w:val="it-IT" w:eastAsia="it-IT"/>
              </w:rPr>
              <w:t>/ml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DDDBAC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23767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E53588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558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E774280"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3F0916"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4C49A4"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2538.90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B1D85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C57FED"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3.76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2C97B1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24.19</w:t>
            </w:r>
          </w:p>
        </w:tc>
      </w:tr>
      <w:tr w:rsidR="00BA43C2" w:rsidRPr="00BA43C2" w14:paraId="59E2F2B0" w14:textId="77777777" w:rsidTr="00BA43C2">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7B5D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VitD</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567D078"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serum</w:t>
            </w:r>
            <w:proofErr w:type="spellEnd"/>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2AB583D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proofErr w:type="spellStart"/>
            <w:r w:rsidRPr="00BA43C2">
              <w:rPr>
                <w:rFonts w:ascii="Times New Roman" w:eastAsia="Times New Roman" w:hAnsi="Times New Roman"/>
                <w:color w:val="000000"/>
                <w:sz w:val="24"/>
                <w:szCs w:val="24"/>
                <w:lang w:val="it-IT" w:eastAsia="it-IT"/>
              </w:rPr>
              <w:t>ng</w:t>
            </w:r>
            <w:proofErr w:type="spellEnd"/>
            <w:r w:rsidRPr="00BA43C2">
              <w:rPr>
                <w:rFonts w:ascii="Times New Roman" w:eastAsia="Times New Roman" w:hAnsi="Times New Roman"/>
                <w:color w:val="000000"/>
                <w:sz w:val="24"/>
                <w:szCs w:val="24"/>
                <w:lang w:val="it-IT" w:eastAsia="it-IT"/>
              </w:rPr>
              <w:t>/ml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0903091"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23452</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6A3F38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873</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5AC18AFB"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FDA755"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7095427"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138.30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EE21B3"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17.50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8FBF7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18.91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B05612" w14:textId="77777777" w:rsidR="00BA43C2" w:rsidRPr="00BA43C2" w:rsidRDefault="00BA43C2" w:rsidP="005C361D">
            <w:pPr>
              <w:spacing w:after="0" w:line="240" w:lineRule="auto"/>
              <w:jc w:val="center"/>
              <w:rPr>
                <w:rFonts w:ascii="Times New Roman" w:eastAsia="Times New Roman" w:hAnsi="Times New Roman"/>
                <w:color w:val="000000"/>
                <w:sz w:val="24"/>
                <w:szCs w:val="24"/>
                <w:lang w:val="it-IT" w:eastAsia="it-IT"/>
              </w:rPr>
            </w:pPr>
            <w:r w:rsidRPr="00BA43C2">
              <w:rPr>
                <w:rFonts w:ascii="Times New Roman" w:eastAsia="Times New Roman" w:hAnsi="Times New Roman"/>
                <w:color w:val="000000"/>
                <w:sz w:val="24"/>
                <w:szCs w:val="24"/>
                <w:lang w:val="it-IT" w:eastAsia="it-IT"/>
              </w:rPr>
              <w:t>9.26</w:t>
            </w:r>
          </w:p>
        </w:tc>
      </w:tr>
    </w:tbl>
    <w:p w14:paraId="20158D46" w14:textId="6DCC49A9" w:rsidR="00BA43C2" w:rsidRDefault="00BA43C2" w:rsidP="00BA43C2">
      <w:pPr>
        <w:spacing w:line="480" w:lineRule="auto"/>
        <w:jc w:val="both"/>
        <w:rPr>
          <w:rFonts w:ascii="Times New Roman" w:eastAsia="Times New Roman" w:hAnsi="Times New Roman"/>
          <w:color w:val="000000"/>
          <w:sz w:val="24"/>
          <w:szCs w:val="24"/>
          <w:lang w:eastAsia="en-GB"/>
        </w:rPr>
      </w:pPr>
    </w:p>
    <w:p w14:paraId="317E726B" w14:textId="7C42EC01" w:rsidR="00BA43C2" w:rsidRPr="005C361D" w:rsidRDefault="005C361D" w:rsidP="00BA43C2">
      <w:pPr>
        <w:spacing w:line="480" w:lineRule="auto"/>
        <w:jc w:val="both"/>
        <w:rPr>
          <w:rFonts w:ascii="Times New Roman" w:eastAsia="Times New Roman" w:hAnsi="Times New Roman"/>
          <w:color w:val="000000"/>
          <w:sz w:val="24"/>
          <w:szCs w:val="24"/>
          <w:lang w:val="en-US" w:eastAsia="en-GB"/>
        </w:rPr>
      </w:pPr>
      <w:r w:rsidRPr="005C361D">
        <w:rPr>
          <w:rFonts w:ascii="Times New Roman" w:eastAsia="Times New Roman" w:hAnsi="Times New Roman"/>
          <w:color w:val="000000"/>
          <w:sz w:val="24"/>
          <w:szCs w:val="24"/>
          <w:lang w:val="en-US" w:eastAsia="en-GB"/>
        </w:rPr>
        <w:t>Abbreviations: NT-</w:t>
      </w:r>
      <w:proofErr w:type="spellStart"/>
      <w:r w:rsidRPr="005C361D">
        <w:rPr>
          <w:rFonts w:ascii="Times New Roman" w:eastAsia="Times New Roman" w:hAnsi="Times New Roman"/>
          <w:color w:val="000000"/>
          <w:sz w:val="24"/>
          <w:szCs w:val="24"/>
          <w:lang w:val="en-US" w:eastAsia="en-GB"/>
        </w:rPr>
        <w:t>proBNP</w:t>
      </w:r>
      <w:proofErr w:type="spellEnd"/>
      <w:r w:rsidRPr="005C361D">
        <w:rPr>
          <w:rFonts w:ascii="Times New Roman" w:eastAsia="Times New Roman" w:hAnsi="Times New Roman"/>
          <w:color w:val="000000"/>
          <w:sz w:val="24"/>
          <w:szCs w:val="24"/>
          <w:lang w:val="en-US" w:eastAsia="en-GB"/>
        </w:rPr>
        <w:t xml:space="preserve"> = </w:t>
      </w:r>
      <w:r w:rsidR="0067700E">
        <w:rPr>
          <w:rFonts w:ascii="Times New Roman" w:eastAsia="Times New Roman" w:hAnsi="Times New Roman"/>
          <w:color w:val="000000"/>
          <w:sz w:val="24"/>
          <w:szCs w:val="24"/>
          <w:lang w:val="en-US" w:eastAsia="en-GB"/>
        </w:rPr>
        <w:t>N-Terminal Pro-B-Type Natriuretic Peptide</w:t>
      </w:r>
      <w:r w:rsidRPr="005C361D">
        <w:rPr>
          <w:rFonts w:ascii="Times New Roman" w:eastAsia="Times New Roman" w:hAnsi="Times New Roman"/>
          <w:color w:val="000000"/>
          <w:sz w:val="24"/>
          <w:szCs w:val="24"/>
          <w:lang w:val="en-US" w:eastAsia="en-GB"/>
        </w:rPr>
        <w:t xml:space="preserve">; ALT = alanine aminotransferase; AST = aspartate transaminase; HDL/LDL = high/low density lipoprotein; </w:t>
      </w:r>
      <w:proofErr w:type="spellStart"/>
      <w:r w:rsidRPr="005C361D">
        <w:rPr>
          <w:rFonts w:ascii="Times New Roman" w:eastAsia="Times New Roman" w:hAnsi="Times New Roman"/>
          <w:color w:val="000000"/>
          <w:sz w:val="24"/>
          <w:szCs w:val="24"/>
          <w:lang w:val="en-US" w:eastAsia="en-GB"/>
        </w:rPr>
        <w:t>Lp</w:t>
      </w:r>
      <w:proofErr w:type="spellEnd"/>
      <w:r w:rsidRPr="005C361D">
        <w:rPr>
          <w:rFonts w:ascii="Times New Roman" w:eastAsia="Times New Roman" w:hAnsi="Times New Roman"/>
          <w:color w:val="000000"/>
          <w:sz w:val="24"/>
          <w:szCs w:val="24"/>
          <w:lang w:val="en-US" w:eastAsia="en-GB"/>
        </w:rPr>
        <w:t xml:space="preserve">(a) = lipoprotein-a; Apo-A1/-B = apolipoprotein A1/B; </w:t>
      </w:r>
      <w:proofErr w:type="spellStart"/>
      <w:r w:rsidRPr="005C361D">
        <w:rPr>
          <w:rFonts w:ascii="Times New Roman" w:eastAsia="Times New Roman" w:hAnsi="Times New Roman"/>
          <w:color w:val="000000"/>
          <w:sz w:val="24"/>
          <w:szCs w:val="24"/>
          <w:lang w:val="en-US" w:eastAsia="en-GB"/>
        </w:rPr>
        <w:t>VitD</w:t>
      </w:r>
      <w:proofErr w:type="spellEnd"/>
      <w:r w:rsidRPr="005C361D">
        <w:rPr>
          <w:rFonts w:ascii="Times New Roman" w:eastAsia="Times New Roman" w:hAnsi="Times New Roman"/>
          <w:color w:val="000000"/>
          <w:sz w:val="24"/>
          <w:szCs w:val="24"/>
          <w:lang w:val="en-US" w:eastAsia="en-GB"/>
        </w:rPr>
        <w:t xml:space="preserve"> = vitamin D; CRP = high sensitivity C-reactive protein; RBC = red blood cell count; RDW = red cell distribution width; </w:t>
      </w:r>
      <w:proofErr w:type="spellStart"/>
      <w:r w:rsidR="00144B03" w:rsidRPr="00144B03">
        <w:rPr>
          <w:rFonts w:ascii="Times New Roman" w:eastAsia="Times New Roman" w:hAnsi="Times New Roman"/>
          <w:color w:val="000000"/>
          <w:sz w:val="24"/>
          <w:szCs w:val="24"/>
          <w:lang w:val="en-US" w:eastAsia="it-IT"/>
        </w:rPr>
        <w:t>Hct</w:t>
      </w:r>
      <w:proofErr w:type="spellEnd"/>
      <w:r w:rsidR="00144B03" w:rsidRPr="005C361D">
        <w:rPr>
          <w:rFonts w:ascii="Times New Roman" w:eastAsia="Times New Roman" w:hAnsi="Times New Roman"/>
          <w:color w:val="000000"/>
          <w:sz w:val="24"/>
          <w:szCs w:val="24"/>
          <w:lang w:val="en-US" w:eastAsia="en-GB"/>
        </w:rPr>
        <w:t xml:space="preserve"> </w:t>
      </w:r>
      <w:r w:rsidR="00144B03">
        <w:rPr>
          <w:rFonts w:ascii="Times New Roman" w:eastAsia="Times New Roman" w:hAnsi="Times New Roman"/>
          <w:color w:val="000000"/>
          <w:sz w:val="24"/>
          <w:szCs w:val="24"/>
          <w:lang w:val="en-US" w:eastAsia="en-GB"/>
        </w:rPr>
        <w:t xml:space="preserve">= hematocrit; </w:t>
      </w:r>
      <w:r w:rsidRPr="005C361D">
        <w:rPr>
          <w:rFonts w:ascii="Times New Roman" w:eastAsia="Times New Roman" w:hAnsi="Times New Roman"/>
          <w:color w:val="000000"/>
          <w:sz w:val="24"/>
          <w:szCs w:val="24"/>
          <w:lang w:val="en-US" w:eastAsia="en-GB"/>
        </w:rPr>
        <w:t xml:space="preserve">Hgb = hemoglobin; </w:t>
      </w:r>
      <w:r w:rsidR="00144B03" w:rsidRPr="005C361D">
        <w:rPr>
          <w:rFonts w:ascii="Times New Roman" w:eastAsia="Times New Roman" w:hAnsi="Times New Roman"/>
          <w:color w:val="000000"/>
          <w:sz w:val="24"/>
          <w:szCs w:val="24"/>
          <w:lang w:val="en-US" w:eastAsia="en-GB"/>
        </w:rPr>
        <w:t>MCH = mean corpuscular hemoglobin</w:t>
      </w:r>
      <w:r w:rsidR="00144B03">
        <w:rPr>
          <w:rFonts w:ascii="Times New Roman" w:eastAsia="Times New Roman" w:hAnsi="Times New Roman"/>
          <w:color w:val="000000"/>
          <w:sz w:val="24"/>
          <w:szCs w:val="24"/>
          <w:lang w:val="en-US" w:eastAsia="en-GB"/>
        </w:rPr>
        <w:t xml:space="preserve">; </w:t>
      </w:r>
      <w:r w:rsidRPr="005C361D">
        <w:rPr>
          <w:rFonts w:ascii="Times New Roman" w:eastAsia="Times New Roman" w:hAnsi="Times New Roman"/>
          <w:color w:val="000000"/>
          <w:sz w:val="24"/>
          <w:szCs w:val="24"/>
          <w:lang w:val="en-US" w:eastAsia="en-GB"/>
        </w:rPr>
        <w:t xml:space="preserve">MCHC = mean corpuscular hemoglobin concentration; LY, MO, GR, NE, BA EO, WBC = lymphocyte, monocyte, granulocyte, neutrophil, basophil, eosinophil and total white blood cell count; </w:t>
      </w:r>
      <w:proofErr w:type="spellStart"/>
      <w:r w:rsidRPr="005C361D">
        <w:rPr>
          <w:rFonts w:ascii="Times New Roman" w:eastAsia="Times New Roman" w:hAnsi="Times New Roman"/>
          <w:color w:val="000000"/>
          <w:sz w:val="24"/>
          <w:szCs w:val="24"/>
          <w:lang w:val="en-US" w:eastAsia="en-GB"/>
        </w:rPr>
        <w:t>Plt</w:t>
      </w:r>
      <w:proofErr w:type="spellEnd"/>
      <w:r w:rsidRPr="005C361D">
        <w:rPr>
          <w:rFonts w:ascii="Times New Roman" w:eastAsia="Times New Roman" w:hAnsi="Times New Roman"/>
          <w:color w:val="000000"/>
          <w:sz w:val="24"/>
          <w:szCs w:val="24"/>
          <w:lang w:val="en-US" w:eastAsia="en-GB"/>
        </w:rPr>
        <w:t xml:space="preserve"> = platelet count; MPV = mean platelet volume; PDW = platelet distribution width</w:t>
      </w:r>
      <w:r w:rsidR="00144B03">
        <w:rPr>
          <w:rFonts w:ascii="Times New Roman" w:eastAsia="Times New Roman" w:hAnsi="Times New Roman"/>
          <w:color w:val="000000"/>
          <w:sz w:val="24"/>
          <w:szCs w:val="24"/>
          <w:lang w:val="en-US" w:eastAsia="en-GB"/>
        </w:rPr>
        <w:t xml:space="preserve">; PCT = </w:t>
      </w:r>
      <w:proofErr w:type="spellStart"/>
      <w:r w:rsidR="00144B03">
        <w:rPr>
          <w:rFonts w:ascii="Times New Roman" w:eastAsia="Times New Roman" w:hAnsi="Times New Roman"/>
          <w:color w:val="000000"/>
          <w:sz w:val="24"/>
          <w:szCs w:val="24"/>
          <w:lang w:val="en-US" w:eastAsia="en-GB"/>
        </w:rPr>
        <w:t>plateletcrit</w:t>
      </w:r>
      <w:proofErr w:type="spellEnd"/>
      <w:r w:rsidR="00144B03">
        <w:rPr>
          <w:rFonts w:ascii="Times New Roman" w:eastAsia="Times New Roman" w:hAnsi="Times New Roman"/>
          <w:color w:val="000000"/>
          <w:sz w:val="24"/>
          <w:szCs w:val="24"/>
          <w:lang w:val="en-US" w:eastAsia="en-GB"/>
        </w:rPr>
        <w:t>.</w:t>
      </w:r>
    </w:p>
    <w:p w14:paraId="020E3A85" w14:textId="76E7A374" w:rsidR="00BA43C2" w:rsidRDefault="00BA43C2" w:rsidP="00BA43C2">
      <w:pPr>
        <w:spacing w:line="480" w:lineRule="auto"/>
        <w:jc w:val="both"/>
        <w:rPr>
          <w:rFonts w:ascii="Times New Roman" w:eastAsia="Times New Roman" w:hAnsi="Times New Roman"/>
          <w:color w:val="000000"/>
          <w:sz w:val="24"/>
          <w:szCs w:val="24"/>
          <w:lang w:eastAsia="en-GB"/>
        </w:rPr>
      </w:pPr>
    </w:p>
    <w:p w14:paraId="5F7C8EC7" w14:textId="736466E5" w:rsidR="00BA43C2" w:rsidRDefault="00BA43C2" w:rsidP="008B28CE">
      <w:pPr>
        <w:spacing w:line="480" w:lineRule="auto"/>
        <w:jc w:val="both"/>
        <w:rPr>
          <w:rFonts w:ascii="Times New Roman" w:eastAsia="Times New Roman" w:hAnsi="Times New Roman"/>
          <w:i/>
          <w:iCs/>
          <w:color w:val="000000"/>
          <w:sz w:val="24"/>
          <w:szCs w:val="24"/>
          <w:lang w:eastAsia="en-GB"/>
        </w:rPr>
        <w:sectPr w:rsidR="00BA43C2" w:rsidSect="00BA43C2">
          <w:pgSz w:w="16838" w:h="11906" w:orient="landscape"/>
          <w:pgMar w:top="1134" w:right="1134" w:bottom="1134" w:left="1418" w:header="709" w:footer="709" w:gutter="0"/>
          <w:cols w:space="708"/>
          <w:docGrid w:linePitch="360"/>
        </w:sectPr>
      </w:pPr>
    </w:p>
    <w:p w14:paraId="6C694841" w14:textId="4904FD77" w:rsidR="00965FBE" w:rsidRPr="00904DBB" w:rsidRDefault="0022377D" w:rsidP="008B28CE">
      <w:pPr>
        <w:spacing w:line="480" w:lineRule="auto"/>
        <w:jc w:val="both"/>
        <w:rPr>
          <w:rFonts w:ascii="Times New Roman" w:eastAsia="Times New Roman" w:hAnsi="Times New Roman"/>
          <w:b/>
          <w:bCs/>
          <w:i/>
          <w:iCs/>
          <w:color w:val="000000"/>
          <w:sz w:val="24"/>
          <w:szCs w:val="24"/>
          <w:lang w:eastAsia="en-GB"/>
        </w:rPr>
      </w:pPr>
      <w:r w:rsidRPr="00904DBB">
        <w:rPr>
          <w:rFonts w:ascii="Times New Roman" w:eastAsia="Times New Roman" w:hAnsi="Times New Roman"/>
          <w:b/>
          <w:bCs/>
          <w:i/>
          <w:iCs/>
          <w:color w:val="000000"/>
          <w:sz w:val="24"/>
          <w:szCs w:val="24"/>
          <w:lang w:eastAsia="en-GB"/>
        </w:rPr>
        <w:lastRenderedPageBreak/>
        <w:t>Exposures and covariates</w:t>
      </w:r>
    </w:p>
    <w:p w14:paraId="4BF7849A" w14:textId="53CBC2F6" w:rsidR="00C963ED" w:rsidRPr="00FE21A1" w:rsidRDefault="00C963ED" w:rsidP="008B28CE">
      <w:pPr>
        <w:spacing w:line="480" w:lineRule="auto"/>
        <w:jc w:val="both"/>
        <w:rPr>
          <w:rFonts w:ascii="Times New Roman" w:eastAsia="Times New Roman" w:hAnsi="Times New Roman"/>
          <w:color w:val="000000"/>
          <w:sz w:val="24"/>
          <w:szCs w:val="24"/>
          <w:lang w:eastAsia="en-GB"/>
        </w:rPr>
      </w:pPr>
      <w:r w:rsidRPr="00FE21A1">
        <w:rPr>
          <w:rFonts w:ascii="Times New Roman" w:eastAsia="Times New Roman" w:hAnsi="Times New Roman"/>
          <w:color w:val="000000"/>
          <w:sz w:val="24"/>
          <w:szCs w:val="24"/>
          <w:lang w:eastAsia="en-GB"/>
        </w:rPr>
        <w:t>Physical and mental wellbeing w</w:t>
      </w:r>
      <w:r w:rsidR="0022377D" w:rsidRPr="00FE21A1">
        <w:rPr>
          <w:rFonts w:ascii="Times New Roman" w:eastAsia="Times New Roman" w:hAnsi="Times New Roman"/>
          <w:color w:val="000000"/>
          <w:sz w:val="24"/>
          <w:szCs w:val="24"/>
          <w:lang w:eastAsia="en-GB"/>
        </w:rPr>
        <w:t>ere</w:t>
      </w:r>
      <w:r w:rsidRPr="00FE21A1">
        <w:rPr>
          <w:rFonts w:ascii="Times New Roman" w:eastAsia="Times New Roman" w:hAnsi="Times New Roman"/>
          <w:color w:val="000000"/>
          <w:sz w:val="24"/>
          <w:szCs w:val="24"/>
          <w:lang w:eastAsia="en-GB"/>
        </w:rPr>
        <w:t xml:space="preserve"> assessed through </w:t>
      </w:r>
      <w:r w:rsidR="0022377D" w:rsidRPr="00FE21A1">
        <w:rPr>
          <w:rFonts w:ascii="Times New Roman" w:eastAsia="Times New Roman" w:hAnsi="Times New Roman"/>
          <w:color w:val="000000"/>
          <w:sz w:val="24"/>
          <w:szCs w:val="24"/>
          <w:lang w:eastAsia="en-GB"/>
        </w:rPr>
        <w:t>t</w:t>
      </w:r>
      <w:r w:rsidRPr="00FE21A1">
        <w:rPr>
          <w:rFonts w:ascii="Times New Roman" w:eastAsia="Times New Roman" w:hAnsi="Times New Roman"/>
          <w:color w:val="000000"/>
          <w:sz w:val="24"/>
          <w:szCs w:val="24"/>
          <w:lang w:eastAsia="en-GB"/>
        </w:rPr>
        <w:t>he validated Italian version of the self-administered SF-36 test (SF36-MCS)</w:t>
      </w:r>
      <w:r w:rsidRPr="00FE21A1">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{"citationItems":[{"id":"ITEM-1","itemData":{"ISSN":"0895-4356 (Print)","PMID":"9817120","abstract":"This article reports on the development and validation of the Italian SF-36 Health Survey using data from seven studies in which an Italian version of the SF-36 was administered to more than 7000 subjects between 1991 and 1995. Empirical findings from a wide array of studies and diseases indicate that the performance of the questionnaire improved as the Italian translation was revised and that it met the standards suggested by the literature in terms of feasibility, psychometric tests, and interpretability. This generally satisfactory picture strengthens the idea that the Italian SF-36 is as valid and reliable as the original instrument and applicable and valid across age, gender, and disease. Empirical evidence from a cross-sectional survey carried out to norm the final version in a representative sample of 2031 individuals confirms the questionnaire's characteristics in terms of hypothesized constructs and psychometric behavior and gives a better picture of its external validity (i.e., robustness and generalizability) when administered in settings that are very close to real world.","author":[{"dropping-particle":"","family":"Apolone","given":"G","non-dropping-particle":"","parse-names":false,"suffix":""},{"dropping-particle":"","family":"Mosconi","given":"P","non-dropping-particle":"","parse-names":false,"suffix":""}],"container-title":"Journal of clinical epidemiology","id":"ITEM-1","issue":"11","issued":{"date-parts":[["1998","11"]]},"language":"eng","page":"1025-1036","publisher-place":"United States","title":"The Italian SF-36 Health Survey: translation, validation and norming.","type":"article-journal","volume":"51"},"uris":["http://www.mendeley.com/documents/?uuid=9f486162-1a3d-48e2-8f2f-ad62a02509f5"]}],"mendeley":{"formattedCitation":"[3]","plainTextFormattedCitation":"[3]","previouslyFormattedCitation":"&lt;sup&gt;3&lt;/sup&gt;"},"properties":{"noteIndex":0},"schema":"https://github.com/citation-style-language/schema/raw/master/csl-citation.json"}</w:instrText>
      </w:r>
      <w:r w:rsidRPr="00FE21A1">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[3]</w:t>
      </w:r>
      <w:r w:rsidRPr="00FE21A1">
        <w:rPr>
          <w:rFonts w:ascii="Times New Roman" w:eastAsia="Times New Roman" w:hAnsi="Times New Roman"/>
          <w:color w:val="000000"/>
          <w:sz w:val="24"/>
          <w:szCs w:val="24"/>
          <w:lang w:eastAsia="en-GB"/>
        </w:rPr>
        <w:fldChar w:fldCharType="end"/>
      </w:r>
      <w:r w:rsidRPr="00FE21A1">
        <w:rPr>
          <w:rFonts w:ascii="Times New Roman" w:eastAsia="Times New Roman" w:hAnsi="Times New Roman"/>
          <w:color w:val="000000"/>
          <w:sz w:val="24"/>
          <w:szCs w:val="24"/>
          <w:lang w:eastAsia="en-GB"/>
        </w:rPr>
        <w:t>, a widely used and thoroughly validated scale assessing health-related quality of life</w:t>
      </w:r>
      <w:r w:rsidR="006B55AA">
        <w:rPr>
          <w:rFonts w:ascii="Times New Roman" w:eastAsia="Times New Roman" w:hAnsi="Times New Roman"/>
          <w:color w:val="000000"/>
          <w:sz w:val="24"/>
          <w:szCs w:val="24"/>
          <w:lang w:eastAsia="en-GB"/>
        </w:rPr>
        <w:t xml:space="preserve"> (QoL)</w:t>
      </w:r>
      <w:r w:rsidRPr="00FE21A1">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{"citationItems":[{"id":"ITEM-1","itemData":{"ISSN":"0895-4356 (Print)","PMID":"9817107","abstract":"This article presents information about the development and evaluation of the SF-36 Health Survey, a 36-item generic measure of health status. It summarizes studies of reliability and validity and provides administrative and interpretation guidelines for the SF-36. A brief history of the International Quality of Life Assessment (IQOLA) Project is also included.","author":[{"dropping-particle":"","family":"Ware","given":"J E Jr","non-dropping-particle":"","parse-names":false,"suffix":""},{"dropping-particle":"","family":"Gandek","given":"B","non-dropping-particle":"","parse-names":false,"suffix":""}],"container-title":"Journal of clinical epidemiology","id":"ITEM-1","issue":"11","issued":{"date-parts":[["1998","11"]]},"language":"eng","page":"903-912","publisher-place":"United States","title":"Overview of the SF-36 Health Survey and the International Quality of Life Assessment (IQOLA) Project.","type":"article-journal","volume":"51"},"uris":["http://www.mendeley.com/documents/?uuid=6ac4ec23-eacb-4f5c-9ee3-e04b3236adff"]}],"mendeley":{"formattedCitation":"[4]","plainTextFormattedCitation":"[4]","previouslyFormattedCitation":"&lt;sup&gt;4&lt;/sup&gt;"},"properties":{"noteIndex":0},"schema":"https://github.com/citation-style-language/schema/raw/master/csl-citation.json"}</w:instrText>
      </w:r>
      <w:r w:rsidRPr="00FE21A1">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[4]</w:t>
      </w:r>
      <w:r w:rsidRPr="00FE21A1">
        <w:rPr>
          <w:rFonts w:ascii="Times New Roman" w:eastAsia="Times New Roman" w:hAnsi="Times New Roman"/>
          <w:color w:val="000000"/>
          <w:sz w:val="24"/>
          <w:szCs w:val="24"/>
          <w:lang w:eastAsia="en-GB"/>
        </w:rPr>
        <w:fldChar w:fldCharType="end"/>
      </w:r>
      <w:bookmarkEnd w:id="0"/>
      <w:r w:rsidRPr="00FE21A1">
        <w:rPr>
          <w:rFonts w:ascii="Times New Roman" w:eastAsia="Times New Roman" w:hAnsi="Times New Roman"/>
          <w:color w:val="000000"/>
          <w:sz w:val="24"/>
          <w:szCs w:val="24"/>
          <w:lang w:eastAsia="en-GB"/>
        </w:rPr>
        <w:t>. The questionnaire contains 36 items measuring eight multi-item parameters of health status covering the following domains: physical functioning, role limitations due to physical health problems, bodily pain, general health perceptions, vitality, social functioning, role limitations due to emotional problems and mental health</w:t>
      </w:r>
      <w:r w:rsidR="0022377D" w:rsidRPr="00FE21A1">
        <w:rPr>
          <w:rFonts w:ascii="Times New Roman" w:eastAsia="Times New Roman" w:hAnsi="Times New Roman"/>
          <w:color w:val="000000"/>
          <w:sz w:val="24"/>
          <w:szCs w:val="24"/>
          <w:lang w:eastAsia="en-GB"/>
        </w:rPr>
        <w:t>, which include depression and anxiety component</w:t>
      </w:r>
      <w:r w:rsidR="001170AC">
        <w:rPr>
          <w:rFonts w:ascii="Times New Roman" w:eastAsia="Times New Roman" w:hAnsi="Times New Roman"/>
          <w:color w:val="000000"/>
          <w:sz w:val="24"/>
          <w:szCs w:val="24"/>
          <w:lang w:eastAsia="en-GB"/>
        </w:rPr>
        <w:t>s</w:t>
      </w:r>
      <w:r w:rsidRPr="00FE21A1">
        <w:rPr>
          <w:rFonts w:ascii="Times New Roman" w:eastAsia="Times New Roman" w:hAnsi="Times New Roman"/>
          <w:color w:val="000000"/>
          <w:sz w:val="24"/>
          <w:szCs w:val="24"/>
          <w:lang w:eastAsia="en-GB"/>
        </w:rPr>
        <w:t>. The first four domains deal with physical aspects and generate the physical component score, while the other four reflect psychological features and generate the mental component score</w:t>
      </w:r>
      <w:r w:rsidRPr="00FE21A1">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{"citationItems":[{"id":"ITEM-1","itemData":{"ISSN":"0895-4356 (Print)","PMID":"9817107","abstract":"This article presents information about the development and evaluation of the SF-36 Health Survey, a 36-item generic measure of health status. It summarizes studies of reliability and validity and provides administrative and interpretation guidelines for the SF-36. A brief history of the International Quality of Life Assessment (IQOLA) Project is also included.","author":[{"dropping-particle":"","family":"Ware","given":"J E Jr","non-dropping-particle":"","parse-names":false,"suffix":""},{"dropping-particle":"","family":"Gandek","given":"B","non-dropping-particle":"","parse-names":false,"suffix":""}],"container-title":"Journal of clinical epidemiology","id":"ITEM-1","issue":"11","issued":{"date-parts":[["1998","11"]]},"language":"eng","page":"903-912","publisher-place":"United States","title":"Overview of the SF-36 Health Survey and the International Quality of Life Assessment (IQOLA) Project.","type":"article-journal","volume":"51"},"uris":["http://www.mendeley.com/documents/?uuid=6ac4ec23-eacb-4f5c-9ee3-e04b3236adff"]}],"mendeley":{"formattedCitation":"[4]","plainTextFormattedCitation":"[4]","previouslyFormattedCitation":"&lt;sup&gt;4&lt;/sup&gt;"},"properties":{"noteIndex":0},"schema":"https://github.com/citation-style-language/schema/raw/master/csl-citation.json"}</w:instrText>
      </w:r>
      <w:r w:rsidRPr="00FE21A1">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[4]</w:t>
      </w:r>
      <w:r w:rsidRPr="00FE21A1">
        <w:rPr>
          <w:rFonts w:ascii="Times New Roman" w:eastAsia="Times New Roman" w:hAnsi="Times New Roman"/>
          <w:color w:val="000000"/>
          <w:sz w:val="24"/>
          <w:szCs w:val="24"/>
          <w:lang w:eastAsia="en-GB"/>
        </w:rPr>
        <w:fldChar w:fldCharType="end"/>
      </w:r>
      <w:r w:rsidRPr="00FE21A1">
        <w:rPr>
          <w:rFonts w:ascii="Times New Roman" w:eastAsia="Times New Roman" w:hAnsi="Times New Roman"/>
          <w:color w:val="000000"/>
          <w:sz w:val="24"/>
          <w:szCs w:val="24"/>
          <w:lang w:eastAsia="en-GB"/>
        </w:rPr>
        <w:t>. For each domain, a score ranking from 0 (worst health) to 100 (best health) was calculated as the weighted sum of the questions relevant to that domain. To obtain the global scores for each component (mental and physical), relevant domains are first transformed into a z-score (assigning equal weight to each item), then the resulting z-scores are combined into a global z-score through a weighted mean, using weights that resulted from a principal component analysis. Finally, the global scores are standardized to a normal distribution with mean = 50 and SD = 10</w:t>
      </w:r>
      <w:r w:rsidRPr="00FE21A1">
        <w:rPr>
          <w:rFonts w:ascii="Times New Roman" w:eastAsia="Times New Roman" w:hAnsi="Times New Roman"/>
          <w:color w:val="000000"/>
          <w:sz w:val="24"/>
          <w:szCs w:val="24"/>
          <w:lang w:eastAsia="en-GB"/>
        </w:rPr>
        <w:fldChar w:fldCharType="begin" w:fldLock="1"/>
      </w:r>
      <w:r w:rsidR="0091230F">
        <w:rPr>
          <w:rFonts w:ascii="Times New Roman" w:eastAsia="Times New Roman" w:hAnsi="Times New Roman"/>
          <w:color w:val="000000"/>
          <w:sz w:val="24"/>
          <w:szCs w:val="24"/>
          <w:lang w:eastAsia="en-GB"/>
        </w:rPr>
        <w:instrText>ADDIN CSL_CITATION {"citationItems":[{"id":"ITEM-1","itemData":{"ISSN":"0025-7079 (Print)","PMID":"1593914","abstract":"A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short-form.","author":[{"dropping-particle":"","family":"Ware","given":"J E Jr","non-dropping-particle":"","parse-names":false,"suffix":""},{"dropping-particle":"","family":"Sherbourne","given":"C D","non-dropping-particle":"","parse-names":false,"suffix":""}],"container-title":"Medical care","id":"ITEM-1","issue":"6","issued":{"date-parts":[["1992","6"]]},"language":"eng","page":"473-483","publisher-place":"United States","title":"The MOS 36-item short-form health survey (SF-36). I. Conceptual framework and item selection.","type":"article-journal","volume":"30"},"uris":["http://www.mendeley.com/documents/?uuid=de2d194f-75dc-4aa2-9bc3-060b135800e9"]}],"mendeley":{"formattedCitation":"[5]","plainTextFormattedCitation":"[5]","previouslyFormattedCitation":"&lt;sup&gt;5&lt;/sup&gt;"},"properties":{"noteIndex":0},"schema":"https://github.com/citation-style-language/schema/raw/master/csl-citation.json"}</w:instrText>
      </w:r>
      <w:r w:rsidRPr="00FE21A1">
        <w:rPr>
          <w:rFonts w:ascii="Times New Roman" w:eastAsia="Times New Roman" w:hAnsi="Times New Roman"/>
          <w:color w:val="000000"/>
          <w:sz w:val="24"/>
          <w:szCs w:val="24"/>
          <w:lang w:eastAsia="en-GB"/>
        </w:rPr>
        <w:fldChar w:fldCharType="separate"/>
      </w:r>
      <w:r w:rsidR="0091230F" w:rsidRPr="0091230F">
        <w:rPr>
          <w:rFonts w:ascii="Times New Roman" w:eastAsia="Times New Roman" w:hAnsi="Times New Roman"/>
          <w:noProof/>
          <w:color w:val="000000"/>
          <w:sz w:val="24"/>
          <w:szCs w:val="24"/>
          <w:lang w:eastAsia="en-GB"/>
        </w:rPr>
        <w:t>[5]</w:t>
      </w:r>
      <w:r w:rsidRPr="00FE21A1">
        <w:rPr>
          <w:rFonts w:ascii="Times New Roman" w:eastAsia="Times New Roman" w:hAnsi="Times New Roman"/>
          <w:color w:val="000000"/>
          <w:sz w:val="24"/>
          <w:szCs w:val="24"/>
          <w:lang w:eastAsia="en-GB"/>
        </w:rPr>
        <w:fldChar w:fldCharType="end"/>
      </w:r>
      <w:r w:rsidRPr="00FE21A1">
        <w:rPr>
          <w:rFonts w:ascii="Times New Roman" w:eastAsia="Times New Roman" w:hAnsi="Times New Roman"/>
          <w:color w:val="000000"/>
          <w:sz w:val="24"/>
          <w:szCs w:val="24"/>
          <w:lang w:eastAsia="en-GB"/>
        </w:rPr>
        <w:t>.</w:t>
      </w:r>
    </w:p>
    <w:p w14:paraId="52D19997" w14:textId="5C46E280" w:rsidR="0022377D" w:rsidRPr="00FE21A1" w:rsidRDefault="0022377D" w:rsidP="008B28CE">
      <w:pPr>
        <w:spacing w:after="120" w:line="480" w:lineRule="auto"/>
        <w:jc w:val="both"/>
        <w:rPr>
          <w:rFonts w:ascii="Times New Roman" w:hAnsi="Times New Roman"/>
          <w:sz w:val="24"/>
          <w:szCs w:val="24"/>
        </w:rPr>
      </w:pPr>
      <w:r w:rsidRPr="00FE21A1">
        <w:rPr>
          <w:rFonts w:ascii="Times New Roman" w:hAnsi="Times New Roman"/>
          <w:sz w:val="24"/>
          <w:szCs w:val="24"/>
        </w:rPr>
        <w:t xml:space="preserve">For </w:t>
      </w:r>
      <w:r w:rsidRPr="00FE21A1">
        <w:rPr>
          <w:rFonts w:ascii="Times New Roman" w:hAnsi="Times New Roman"/>
          <w:i/>
          <w:sz w:val="24"/>
          <w:szCs w:val="24"/>
        </w:rPr>
        <w:t>smoking status</w:t>
      </w:r>
      <w:r w:rsidRPr="00FE21A1">
        <w:rPr>
          <w:rFonts w:ascii="Times New Roman" w:hAnsi="Times New Roman"/>
          <w:sz w:val="24"/>
          <w:szCs w:val="24"/>
        </w:rPr>
        <w:t xml:space="preserve">, subjects were assigned to three categories based on their cigarette smoking habits: </w:t>
      </w:r>
      <w:r w:rsidRPr="00FE21A1">
        <w:rPr>
          <w:rFonts w:ascii="Times New Roman" w:hAnsi="Times New Roman"/>
          <w:i/>
          <w:sz w:val="24"/>
          <w:szCs w:val="24"/>
        </w:rPr>
        <w:t>smokers, ex</w:t>
      </w:r>
      <w:r w:rsidR="00796038" w:rsidRPr="00FE21A1">
        <w:rPr>
          <w:rFonts w:ascii="Times New Roman" w:hAnsi="Times New Roman"/>
          <w:i/>
          <w:sz w:val="24"/>
          <w:szCs w:val="24"/>
        </w:rPr>
        <w:t>-smokers</w:t>
      </w:r>
      <w:r w:rsidRPr="00FE21A1">
        <w:rPr>
          <w:rFonts w:ascii="Times New Roman" w:hAnsi="Times New Roman"/>
          <w:i/>
          <w:sz w:val="24"/>
          <w:szCs w:val="24"/>
        </w:rPr>
        <w:t xml:space="preserve"> </w:t>
      </w:r>
      <w:r w:rsidRPr="00FE21A1">
        <w:rPr>
          <w:rFonts w:ascii="Times New Roman" w:hAnsi="Times New Roman"/>
          <w:sz w:val="24"/>
          <w:szCs w:val="24"/>
        </w:rPr>
        <w:t xml:space="preserve">(i.e. subjects who quitted at least one year before the interview) and </w:t>
      </w:r>
      <w:r w:rsidRPr="00FE21A1">
        <w:rPr>
          <w:rFonts w:ascii="Times New Roman" w:hAnsi="Times New Roman"/>
          <w:i/>
          <w:sz w:val="24"/>
          <w:szCs w:val="24"/>
        </w:rPr>
        <w:t>n</w:t>
      </w:r>
      <w:r w:rsidR="00796038" w:rsidRPr="00FE21A1">
        <w:rPr>
          <w:rFonts w:ascii="Times New Roman" w:hAnsi="Times New Roman"/>
          <w:i/>
          <w:sz w:val="24"/>
          <w:szCs w:val="24"/>
        </w:rPr>
        <w:t>ever</w:t>
      </w:r>
      <w:r w:rsidRPr="00FE21A1">
        <w:rPr>
          <w:rFonts w:ascii="Times New Roman" w:hAnsi="Times New Roman"/>
          <w:i/>
          <w:sz w:val="24"/>
          <w:szCs w:val="24"/>
        </w:rPr>
        <w:t>-smokers</w:t>
      </w:r>
      <w:r w:rsidR="00796038" w:rsidRPr="00FE21A1">
        <w:rPr>
          <w:rFonts w:ascii="Times New Roman" w:hAnsi="Times New Roman"/>
          <w:i/>
          <w:sz w:val="24"/>
          <w:szCs w:val="24"/>
        </w:rPr>
        <w:t xml:space="preserve"> </w:t>
      </w:r>
      <w:r w:rsidR="00796038" w:rsidRPr="00FE21A1">
        <w:rPr>
          <w:rFonts w:ascii="Times New Roman" w:hAnsi="Times New Roman"/>
          <w:iCs/>
          <w:sz w:val="24"/>
          <w:szCs w:val="24"/>
        </w:rPr>
        <w:t>(reference class)</w:t>
      </w:r>
      <w:r w:rsidRPr="00FE21A1">
        <w:rPr>
          <w:rFonts w:ascii="Times New Roman" w:hAnsi="Times New Roman"/>
          <w:sz w:val="24"/>
          <w:szCs w:val="24"/>
        </w:rPr>
        <w:t>.</w:t>
      </w:r>
    </w:p>
    <w:p w14:paraId="4DFE25DF" w14:textId="5650EE79" w:rsidR="0022377D" w:rsidRPr="00FE21A1" w:rsidRDefault="0022377D" w:rsidP="008B28CE">
      <w:pPr>
        <w:spacing w:after="120" w:line="480" w:lineRule="auto"/>
        <w:jc w:val="both"/>
        <w:rPr>
          <w:rFonts w:ascii="Times New Roman" w:hAnsi="Times New Roman"/>
          <w:sz w:val="24"/>
          <w:szCs w:val="24"/>
        </w:rPr>
      </w:pPr>
      <w:r w:rsidRPr="00FE21A1">
        <w:rPr>
          <w:rFonts w:ascii="Times New Roman" w:hAnsi="Times New Roman"/>
          <w:sz w:val="24"/>
          <w:szCs w:val="24"/>
        </w:rPr>
        <w:t xml:space="preserve">Leisure-time </w:t>
      </w:r>
      <w:r w:rsidRPr="00FE21A1">
        <w:rPr>
          <w:rFonts w:ascii="Times New Roman" w:hAnsi="Times New Roman"/>
          <w:i/>
          <w:sz w:val="24"/>
          <w:szCs w:val="24"/>
        </w:rPr>
        <w:t>physical activity</w:t>
      </w:r>
      <w:r w:rsidRPr="00FE21A1">
        <w:rPr>
          <w:rFonts w:ascii="Times New Roman" w:hAnsi="Times New Roman"/>
          <w:sz w:val="24"/>
          <w:szCs w:val="24"/>
        </w:rPr>
        <w:t xml:space="preserve"> was assessed through a structured questionnaire and expressed as daily energy expenditure in metabolic equivalent task-hours </w:t>
      </w:r>
      <w:bookmarkStart w:id="1" w:name="_Hlk36916000"/>
      <w:r w:rsidRPr="00FE21A1">
        <w:rPr>
          <w:rFonts w:ascii="Times New Roman" w:hAnsi="Times New Roman"/>
          <w:sz w:val="24"/>
          <w:szCs w:val="24"/>
        </w:rPr>
        <w:t>(MET-h/day)</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{"citationItems":[{"id":"ITEM-1","itemData":{"DOI":"10.1097/00005768-200009001-00009","ISSN":"0195-9131","PMID":"10993420","abstract":"We provide an updated version of the Compendium of Physical Activities, a coding scheme that classifies specific physical activity (PA) by rate of energy expenditure. It was developed to enhance the comparability of results across studies using self-reports of PA. The Compendium coding scheme links a five-digit code that describes physical activities by major headings (e.g., occupation, transportation, etc.) and specific activities within each major heading with its intensity, defined as the ratio of work metabolic rate to a standard resting metabolic rate (MET). Energy expenditure in MET-minutes, MET-hours, kcal, or kcal per kilogram body weight can be estimated for specific activities by type or MET intensity. Additions to the Compendium were obtained from studies describing daily PA patterns of adults and studies measuring the energy cost of specific physical activities in field settings. The updated version includes two new major headings of volunteer and religious activities, extends the number of specific activities from 477 to 605, and provides updated MET intensity levels for selected activities.","author":[{"dropping-particle":"","family":"Ainsworth","given":"B E","non-dropping-particle":"","parse-names":false,"suffix":""},{"dropping-particle":"","family":"Haskell","given":"W L","non-dropping-particle":"","parse-names":false,"suffix":""},{"dropping-particle":"","family":"Whitt","given":"M C","non-dropping-particle":"","parse-names":false,"suffix":""},{"dropping-particle":"","family":"Irwin","given":"M L","non-dropping-particle":"","parse-names":false,"suffix":""},{"dropping-particle":"","family":"Swartz","given":"A M","non-dropping-particle":"","parse-names":false,"suffix":""},{"dropping-particle":"","family":"Strath","given":"S J","non-dropping-particle":"","parse-names":false,"suffix":""},{"dropping-particle":"","family":"O'Brien","given":"W L","non-dropping-particle":"","parse-names":false,"suffix":""},{"dropping-particle":"","family":"Bassett","given":"D R","non-dropping-particle":"","parse-names":false,"suffix":""},{"dropping-particle":"","family":"Schmitz","given":"K H","non-dropping-particle":"","parse-names":false,"suffix":""},{"dropping-particle":"","family":"Emplaincourt","given":"P O","non-dropping-particle":"","parse-names":false,"suffix":""},{"dropping-particle":"","family":"Jacobs","given":"D R","non-dropping-particle":"","parse-names":false,"suffix":""},{"dropping-particle":"","family":"Leon","given":"A S","non-dropping-particle":"","parse-names":false,"suffix":""}],"container-title":"Medicine and science in sports and exercise","id":"ITEM-1","issue":"9 Suppl","issued":{"date-parts":[["2000","9"]]},"page":"S498-504","title":"Compendium of physical activities: an update of activity codes and MET intensities.","type":"article-journal","volume":"32"},"uris":["http://www.mendeley.com/documents/?uuid=ac22212c-79b6-3f66-b96c-189c9bc40ff1"]}],"mendeley":{"formattedCitation":"[6]","plainTextFormattedCitation":"[6]","previouslyFormattedCitation":"&lt;sup&gt;6&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[6]</w:t>
      </w:r>
      <w:r w:rsidRPr="00FE21A1">
        <w:rPr>
          <w:rFonts w:ascii="Times New Roman" w:hAnsi="Times New Roman"/>
          <w:sz w:val="24"/>
          <w:szCs w:val="24"/>
        </w:rPr>
        <w:fldChar w:fldCharType="end"/>
      </w:r>
      <w:bookmarkEnd w:id="1"/>
      <w:r w:rsidRPr="00FE21A1">
        <w:rPr>
          <w:rFonts w:ascii="Times New Roman" w:hAnsi="Times New Roman"/>
          <w:sz w:val="24"/>
          <w:szCs w:val="24"/>
        </w:rPr>
        <w:t xml:space="preserve">. </w:t>
      </w:r>
    </w:p>
    <w:p w14:paraId="29FFCB0F" w14:textId="53C6B38C" w:rsidR="0022377D" w:rsidRPr="00FE21A1" w:rsidRDefault="0022377D" w:rsidP="008B28CE">
      <w:pPr>
        <w:spacing w:after="120" w:line="480" w:lineRule="auto"/>
        <w:jc w:val="both"/>
        <w:rPr>
          <w:rFonts w:ascii="Times New Roman" w:hAnsi="Times New Roman"/>
          <w:sz w:val="24"/>
          <w:szCs w:val="24"/>
        </w:rPr>
      </w:pPr>
      <w:r w:rsidRPr="00FE21A1">
        <w:rPr>
          <w:rFonts w:ascii="Times New Roman" w:hAnsi="Times New Roman"/>
          <w:sz w:val="24"/>
          <w:szCs w:val="24"/>
        </w:rPr>
        <w:t>Food intake was assessed through the validated Italian EPIC food frequency questionnaire</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{"citationItems":[{"id":"ITEM-1","itemData":{"ISSN":"0300-5771","PMID":"9126543","abstract":"A pilot questionnaire was developed for the EPIC centres of northern Italy, and validated in the feasibility part of the cohort project. The questionnaire was self-administered and of the food frequency type with portion size estimated by means of pictures. It was structured by courses within a meal characteristic of Italian dietary habits. Dietary intake estimated by the questionnaire was compared to the corresponding estimates obtained from 8-14 24-hour recall interviews administered over a 1-year period. The reference method was validated by means of urinary nitrogen in 4-6 repeated 24-hour urine collections. One hundred and ninety-seven volunteers (47 men and 150 women) were enrolled and completed the study lasting 1 year. They filled out two questionnaires at the beginning and at the end of the study, and had a 24-hour recall interview once a month. Twenty-four-hour urine samples were collected at regular intervals. Usual intake of energy, the major nutrients and some vitamins were estimated for the questionnaires and the reference method by means of food composition tables compiled for this study. The agreement between the questionnaire and the 24-hour recalls was only good for alcohol consumption: Pearson's correlation was 0.73 and 0.77 in men and women respectively. Otherwise the relative validity of the questionnaire ranged between 0.28 for fat to 0.52 for carbohydrates in men and 0.25 and 0.50 in women for the same nutrients. The validity of the two interview methods in estimating protein intake, compared to mean urinary nitrogen was 0.24 (M) and 0.18 (W) for the questionnaire and 0.63 (M) and 0.48 (W) for 24-hour recalls. The main causes of low performance of the questionnaire were identified to be the estimated intake of dressing and cooking fats, vegetables and meat. Remedies were devised and introduced in the final version of the questionnaire currently in use in the EPIC project.","author":[{"dropping-particle":"","family":"Pisani","given":"P","non-dropping-particle":"","parse-names":false,"suffix":""},{"dropping-particle":"","family":"Faggiano","given":"F","non-dropping-particle":"","parse-names":false,"suffix":""},{"dropping-particle":"","family":"Krogh","given":"V","non-dropping-particle":"","parse-names":false,"suffix":""},{"dropping-particle":"","family":"Palli","given":"D","non-dropping-particle":"","parse-names":false,"suffix":""},{"dropping-particle":"","family":"Vineis","given":"P","non-dropping-particle":"","parse-names":false,"suffix":""},{"dropping-particle":"","family":"Berrino","given":"F","non-dropping-particle":"","parse-names":false,"suffix":""}],"container-title":"International journal of epidemiology","id":"ITEM-1","issued":{"date-parts":[["1997"]]},"page":"S152-60","title":"Relative validity and reproducibility of a food frequency dietary questionnaire for use in the Italian EPIC centres.","type":"article-journal","volume":"26 Suppl 1"},"uris":["http://www.mendeley.com/documents/?uuid=10d4ea8f-ff08-3546-b650-14f6a9f52071"]}],"mendeley":{"formattedCitation":"[7]","plainTextFormattedCitation":"[7]","previouslyFormattedCitation":"&lt;sup&gt;7&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[7]</w:t>
      </w:r>
      <w:r w:rsidRPr="00FE21A1">
        <w:rPr>
          <w:rFonts w:ascii="Times New Roman" w:hAnsi="Times New Roman"/>
          <w:sz w:val="24"/>
          <w:szCs w:val="24"/>
        </w:rPr>
        <w:fldChar w:fldCharType="end"/>
      </w:r>
      <w:r w:rsidRPr="00FE21A1">
        <w:rPr>
          <w:rFonts w:ascii="Times New Roman" w:hAnsi="Times New Roman"/>
          <w:sz w:val="24"/>
          <w:szCs w:val="24"/>
        </w:rPr>
        <w:t xml:space="preserve">. Adherence to </w:t>
      </w:r>
      <w:r w:rsidRPr="00FE21A1">
        <w:rPr>
          <w:rFonts w:ascii="Times New Roman" w:hAnsi="Times New Roman"/>
          <w:i/>
          <w:sz w:val="24"/>
          <w:szCs w:val="24"/>
        </w:rPr>
        <w:t>Mediterranean Diet</w:t>
      </w:r>
      <w:r w:rsidRPr="00FE21A1">
        <w:rPr>
          <w:rFonts w:ascii="Times New Roman" w:hAnsi="Times New Roman"/>
          <w:sz w:val="24"/>
          <w:szCs w:val="24"/>
        </w:rPr>
        <w:t xml:space="preserve"> was defined according to the Mediterranean Diet Score</w:t>
      </w:r>
      <w:r w:rsidR="00133CCB" w:rsidRPr="00FE21A1">
        <w:rPr>
          <w:rFonts w:ascii="Times New Roman" w:hAnsi="Times New Roman"/>
          <w:sz w:val="24"/>
          <w:szCs w:val="24"/>
        </w:rPr>
        <w:t>, ranging from 0 (low adherence) to 9 (high adherence)</w:t>
      </w:r>
      <w:bookmarkStart w:id="2" w:name="_Hlk36916103"/>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{"citationItems":[{"id":"ITEM-1","itemData":{"DOI":"10.1056/NEJMoa025039","ISSN":"0028-4793","PMID":"12826634","abstract":"BACKGROUND Adherence to a Mediterranean diet may improve longevity, but relevant data are limited. METHODS We conducted a population-based, prospective investigation involving 22,043 adults in Greece who completed an extensive, validated, food-frequency questionnaire at base line. Adherence to the traditional Mediterranean diet was assessed by a 10-point Mediterranean-diet scale that incorporated the salient characteristics of this diet (range of scores, 0 to 9, with higher scores indicating greater adherence). We used proportional-hazards regression to assess the relation between adherence to the Mediterranean diet and total mortality, as well as mortality due to coronary heart disease and mortality due to cancer, with adjustment for age, sex, body-mass index, physical-activity level, and other potential confounders. RESULTS During a median of 44 months of follow-up, there were 275 deaths. A higher degree of adherence to the Mediterranean diet was associated with a reduction in total mortality (adjusted hazard ratio for death associated with a two-point increment in the Mediterranean-diet score, 0.75 [95 percent confidence interval, 0.64 to 0.87]). An inverse association with greater adherence to this diet was evident for both death due to coronary heart disease (adjusted hazard ratio, 0.67 [95 percent confidence interval, 0.47 to 0.94]) and death due to cancer (adjusted hazard ratio, 0.76 [95 percent confidence interval, 0.59 to 0.98]). Associations between individual food groups contributing to the Mediterranean-diet score and total mortality were generally not significant. CONCLUSIONS Greater adherence to the traditional Mediterranean diet is associated with a significant reduction in total mortality.","author":[{"dropping-particle":"","family":"Trichopoulou","given":"Antonia","non-dropping-particle":"","parse-names":false,"suffix":""},{"dropping-particle":"","family":"Costacou","given":"Tina","non-dropping-particle":"","parse-names":false,"suffix":""},{"dropping-particle":"","family":"Bamia","given":"Christina","non-dropping-particle":"","parse-names":false,"suffix":""},{"dropping-particle":"","family":"Trichopoulos","given":"Dimitrios","non-dropping-particle":"","parse-names":false,"suffix":""}],"container-title":"New England Journal of Medicine","id":"ITEM-1","issue":"26","issued":{"date-parts":[["2003","6","26"]]},"page":"2599-2608","title":"Adherence to a Mediterranean Diet and Survival in a Greek Population","type":"article-journal","volume":"348"},"uris":["http://www.mendeley.com/documents/?uuid=ab3a0d5e-ab4e-3a9f-b402-8239d60628bb"]}],"mendeley":{"formattedCitation":"[8]","plainTextFormattedCitation":"[8]","previouslyFormattedCitation":"&lt;sup&gt;8&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[8]</w:t>
      </w:r>
      <w:r w:rsidRPr="00FE21A1">
        <w:rPr>
          <w:rFonts w:ascii="Times New Roman" w:hAnsi="Times New Roman"/>
          <w:sz w:val="24"/>
          <w:szCs w:val="24"/>
        </w:rPr>
        <w:fldChar w:fldCharType="end"/>
      </w:r>
      <w:bookmarkEnd w:id="2"/>
      <w:r w:rsidRPr="00FE21A1">
        <w:rPr>
          <w:rFonts w:ascii="Times New Roman" w:hAnsi="Times New Roman"/>
          <w:sz w:val="24"/>
          <w:szCs w:val="24"/>
        </w:rPr>
        <w:t xml:space="preserve">. </w:t>
      </w:r>
      <w:r w:rsidR="00133CCB" w:rsidRPr="00FE21A1">
        <w:rPr>
          <w:rFonts w:ascii="Times New Roman" w:hAnsi="Times New Roman"/>
          <w:sz w:val="24"/>
          <w:szCs w:val="24"/>
        </w:rPr>
        <w:t>Then we defined three adherence classes: low (</w:t>
      </w:r>
      <w:proofErr w:type="spellStart"/>
      <w:r w:rsidR="00133CCB" w:rsidRPr="00FE21A1">
        <w:rPr>
          <w:rFonts w:ascii="Times New Roman" w:hAnsi="Times New Roman"/>
          <w:sz w:val="24"/>
          <w:szCs w:val="24"/>
        </w:rPr>
        <w:t>Trichopoulou</w:t>
      </w:r>
      <w:proofErr w:type="spellEnd"/>
      <w:r w:rsidR="00133CCB" w:rsidRPr="00FE21A1">
        <w:rPr>
          <w:rFonts w:ascii="Times New Roman" w:hAnsi="Times New Roman"/>
          <w:sz w:val="24"/>
          <w:szCs w:val="24"/>
        </w:rPr>
        <w:t xml:space="preserve"> score 0-3, used as reference), moderate (4-6) and high (7-9). </w:t>
      </w:r>
      <w:r w:rsidRPr="00FE21A1">
        <w:rPr>
          <w:rFonts w:ascii="Times New Roman" w:hAnsi="Times New Roman"/>
          <w:sz w:val="24"/>
          <w:szCs w:val="24"/>
        </w:rPr>
        <w:t xml:space="preserve">The EPIC questionnaire also allowed to compute </w:t>
      </w:r>
      <w:r w:rsidRPr="00F849BA">
        <w:rPr>
          <w:rFonts w:ascii="Times New Roman" w:hAnsi="Times New Roman"/>
          <w:i/>
          <w:iCs/>
          <w:sz w:val="24"/>
          <w:szCs w:val="24"/>
        </w:rPr>
        <w:t>alcohol consumption</w:t>
      </w:r>
      <w:r w:rsidRPr="00FE21A1">
        <w:rPr>
          <w:rFonts w:ascii="Times New Roman" w:hAnsi="Times New Roman"/>
          <w:sz w:val="24"/>
          <w:szCs w:val="24"/>
        </w:rPr>
        <w:t xml:space="preserve"> habits</w:t>
      </w:r>
      <w:r w:rsidR="00D671BF" w:rsidRPr="00FE21A1">
        <w:rPr>
          <w:rFonts w:ascii="Times New Roman" w:hAnsi="Times New Roman"/>
          <w:sz w:val="24"/>
          <w:szCs w:val="24"/>
        </w:rPr>
        <w:t xml:space="preserve"> along with additional </w:t>
      </w:r>
      <w:r w:rsidR="00796038" w:rsidRPr="00FE21A1">
        <w:rPr>
          <w:rFonts w:ascii="Times New Roman" w:hAnsi="Times New Roman"/>
          <w:sz w:val="24"/>
          <w:szCs w:val="24"/>
        </w:rPr>
        <w:t>questions</w:t>
      </w:r>
      <w:r w:rsidRPr="00FE21A1">
        <w:rPr>
          <w:rFonts w:ascii="Times New Roman" w:hAnsi="Times New Roman"/>
          <w:sz w:val="24"/>
          <w:szCs w:val="24"/>
        </w:rPr>
        <w:t xml:space="preserve">, </w:t>
      </w:r>
      <w:r w:rsidR="00D671BF" w:rsidRPr="00FE21A1">
        <w:rPr>
          <w:rFonts w:ascii="Times New Roman" w:hAnsi="Times New Roman"/>
          <w:sz w:val="24"/>
          <w:szCs w:val="24"/>
        </w:rPr>
        <w:t>as</w:t>
      </w:r>
      <w:r w:rsidR="00796038" w:rsidRPr="00FE21A1">
        <w:rPr>
          <w:rFonts w:ascii="Times New Roman" w:hAnsi="Times New Roman"/>
          <w:sz w:val="24"/>
          <w:szCs w:val="24"/>
        </w:rPr>
        <w:t xml:space="preserve"> described by</w:t>
      </w:r>
      <w:r w:rsidRPr="00FE21A1">
        <w:rPr>
          <w:rFonts w:ascii="Times New Roman" w:hAnsi="Times New Roman"/>
          <w:sz w:val="24"/>
          <w:szCs w:val="24"/>
        </w:rPr>
        <w:t xml:space="preserve"> </w:t>
      </w:r>
      <w:bookmarkStart w:id="3" w:name="_Hlk36916039"/>
      <w:r w:rsidRPr="00FE21A1">
        <w:rPr>
          <w:rFonts w:ascii="Times New Roman" w:hAnsi="Times New Roman"/>
          <w:sz w:val="24"/>
          <w:szCs w:val="24"/>
        </w:rPr>
        <w:lastRenderedPageBreak/>
        <w:fldChar w:fldCharType="begin" w:fldLock="1"/>
      </w:r>
      <w:r w:rsidR="0091230F">
        <w:rPr>
          <w:rFonts w:ascii="Times New Roman" w:hAnsi="Times New Roman"/>
          <w:sz w:val="24"/>
          <w:szCs w:val="24"/>
        </w:rPr>
        <w:instrText>ADDIN CSL_CITATION {"citationItems":[{"id":"ITEM-1","itemData":{"DOI":"10.1111/add.14490","ISSN":"13600443","abstract":"Background and aims Epidemiological evidence on the impact of different\nalcohol drinking patterns on health-care systems or hospitalizations is\nsparse. We investigated how the different average volumes of alcohol\nconsumed relate to all-cause and cause-specific hospitalizations. Design\nProspective cohort study (baseline 2005-10) linked to a registry of\nhospital discharge records to identify hospitalizations at follow-up\n(December 2013). Setting Molise region, Italy. Participants A total of\n20 682 individuals (48% men, age &gt;= 35 years) who participated in the\nMoli-sani Study and were free from cardiovascular disease or cancer at\nbaseline. Measurements The alcohol volume consumed in the year before\nenrolment was classified as: life-time abstainers, former drinkers,\noccasional drinkers and current drinkers who drank 1-12 (referent),\n12.1-24, 24.1-48 and &gt; 48 g/day of alcohol. Cause-specific\nhospitalizations were assigned by Italian Diagnosis Related Groups\nclassification or by ICD-9 code of main admission diagnoses. Incidence\nrate ratios (IRR) of hospitalization were estimated by Poisson\nregression, taking into account the total number of admissions that\noccurred during the follow-up per person. Findings During a median\nfollow-up of 6.3 years, 12 996 multiple hospital admissions occurred. In\nmultivariable analyses, life-time abstainers and former drinkers had\nhigher rates of all-cause {[}IRR = 1.11, 95% confidence interval (CI) =\n1.05-1.17 and IRR = 1.19, 95% CI = 1.02-1.31, respectively] and\nvascular (IRR = 1.14, 95% CI = 1.02-1.27 and IRR = 1.48, 95% CI =\n1.24-1.76, respectively) hospitalizations compared with light alcohol\nconsumers. Alcohol consumption &gt; 48 g/day was associated with a higher\nrate of hospitalization for both alcohol-related diseases (IRR = 1.74,\n95% CI = 1.32-2.29) and cancer (IRR = 1.36, 95% CI = 1.12-1.65). The\nmagnitude of the association between heavier alcohol intake and\nhospitalization tended to be greater in smokers than non-smokers. No\nassociations were observed with hospitalization for trauma or\nneurodegenerative diseases. Conclusions Moderate alcohol consumption\nappears to have a modest but complex impact on global hospitalization\nburden. Heavier drinkers have a higher rate of hospitalization for all\ncauses, including alcohol-related diseases and cancer, a risk that\nappears to be further magnified by concurrent smoking.","author":[{"dropping-particle":"","family":"Costanzo","given":"Simona","non-dropping-particle":"","parse-names":false,"suffix":""},{"dropping-particle":"","family":"Mukamal","given":"Kenneth J.","non-dropping-particle":"","parse-names":false,"suffix":""},{"dropping-particle":"","family":"Castelnuovo","given":"Augusto","non-dropping-particle":"Di","parse-names":false,"suffix":""},{"dropping-particle":"","family":"Bonaccio","given":"Marialaura","non-dropping-particle":"","parse-names":false,"suffix":""},{"dropping-particle":"","family":"Olivieri","given":"Marco","non-dropping-particle":"","parse-names":false,"suffix":""},{"dropping-particle":"","family":"Persichillo","given":"Mariarosaria","non-dropping-particle":"","parse-names":false,"suffix":""},{"dropping-particle":"","family":"Curtis","given":"Amalia","non-dropping-particle":"D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Addiction","id":"ITEM-1","issue":"4","issued":{"date-parts":[["2019"]]},"page":"636-650","title":"Alcohol consumption and hospitalization burden in an adult Italian population: prospective results from the Moli-sani study","type":"article-journal","volume":"114"},"uris":["http://www.mendeley.com/documents/?uuid=ba0f4bcd-e66f-449d-afc3-c45188f45542"]}],"mendeley":{"formattedCitation":"[9]","plainTextFormattedCitation":"[9]","previouslyFormattedCitation":"&lt;sup&gt;9&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[9]</w:t>
      </w:r>
      <w:r w:rsidRPr="00FE21A1">
        <w:rPr>
          <w:rFonts w:ascii="Times New Roman" w:hAnsi="Times New Roman"/>
          <w:sz w:val="24"/>
          <w:szCs w:val="24"/>
        </w:rPr>
        <w:fldChar w:fldCharType="end"/>
      </w:r>
      <w:bookmarkEnd w:id="3"/>
      <w:r w:rsidR="00796038" w:rsidRPr="00FE21A1">
        <w:rPr>
          <w:rFonts w:ascii="Times New Roman" w:hAnsi="Times New Roman"/>
          <w:sz w:val="24"/>
          <w:szCs w:val="24"/>
        </w:rPr>
        <w:t xml:space="preserve">. Participants were classified based on the estimated </w:t>
      </w:r>
      <w:r w:rsidR="00F849BA">
        <w:rPr>
          <w:rFonts w:ascii="Times New Roman" w:hAnsi="Times New Roman"/>
          <w:sz w:val="24"/>
          <w:szCs w:val="24"/>
        </w:rPr>
        <w:t xml:space="preserve">daily </w:t>
      </w:r>
      <w:r w:rsidR="00796038" w:rsidRPr="00FE21A1">
        <w:rPr>
          <w:rFonts w:ascii="Times New Roman" w:hAnsi="Times New Roman"/>
          <w:sz w:val="24"/>
          <w:szCs w:val="24"/>
        </w:rPr>
        <w:t>alcohol volume consumed in the year before enrolment: life-time abstainers, former drinkers, occasional drinkers and current drinkers who drank 1–12 (reference class), 12.1–24, 24.1–48 and &gt;48 g/day.</w:t>
      </w:r>
    </w:p>
    <w:p w14:paraId="08FB2095" w14:textId="2A0C3753" w:rsidR="00D671BF" w:rsidRPr="00FE21A1" w:rsidRDefault="0022377D" w:rsidP="008B28CE">
      <w:pPr>
        <w:spacing w:after="120" w:line="480" w:lineRule="auto"/>
        <w:jc w:val="both"/>
        <w:rPr>
          <w:rFonts w:ascii="Times New Roman" w:hAnsi="Times New Roman"/>
          <w:sz w:val="24"/>
          <w:szCs w:val="24"/>
        </w:rPr>
      </w:pPr>
      <w:r w:rsidRPr="00FE21A1">
        <w:rPr>
          <w:rFonts w:ascii="Times New Roman" w:hAnsi="Times New Roman"/>
          <w:sz w:val="24"/>
          <w:szCs w:val="24"/>
        </w:rPr>
        <w:t>Height and weight were measured for each participant, as well as waist circumference (cm), which was measured in the middle between the 12</w:t>
      </w:r>
      <w:r w:rsidRPr="00FE21A1">
        <w:rPr>
          <w:rFonts w:ascii="Times New Roman" w:hAnsi="Times New Roman"/>
          <w:sz w:val="24"/>
          <w:szCs w:val="24"/>
          <w:vertAlign w:val="superscript"/>
        </w:rPr>
        <w:t>th</w:t>
      </w:r>
      <w:r w:rsidRPr="00FE21A1">
        <w:rPr>
          <w:rFonts w:ascii="Times New Roman" w:hAnsi="Times New Roman"/>
          <w:sz w:val="24"/>
          <w:szCs w:val="24"/>
        </w:rPr>
        <w:t xml:space="preserve"> rib and the iliac crest, while hip circumference (cm) was measured around the buttocks. Then </w:t>
      </w:r>
      <w:r w:rsidRPr="00FE21A1">
        <w:rPr>
          <w:rFonts w:ascii="Times New Roman" w:hAnsi="Times New Roman"/>
          <w:i/>
          <w:iCs/>
          <w:sz w:val="24"/>
          <w:szCs w:val="24"/>
        </w:rPr>
        <w:t>Body mass index (BMI)</w:t>
      </w:r>
      <w:r w:rsidRPr="00FE21A1">
        <w:rPr>
          <w:rFonts w:ascii="Times New Roman" w:hAnsi="Times New Roman"/>
          <w:sz w:val="24"/>
          <w:szCs w:val="24"/>
        </w:rPr>
        <w:t xml:space="preserve"> was calculated, and participants were grouped into three categories: &lt;25, 25–29.9, and ≥30</w:t>
      </w:r>
      <w:r w:rsidR="00D671BF" w:rsidRPr="00FE21A1">
        <w:rPr>
          <w:rFonts w:ascii="Times New Roman" w:hAnsi="Times New Roman"/>
          <w:sz w:val="24"/>
          <w:szCs w:val="24"/>
        </w:rPr>
        <w:t xml:space="preserve"> kg/m</w:t>
      </w:r>
      <w:r w:rsidR="00D671BF" w:rsidRPr="00FE21A1">
        <w:rPr>
          <w:rFonts w:ascii="Times New Roman" w:hAnsi="Times New Roman"/>
          <w:sz w:val="24"/>
          <w:szCs w:val="24"/>
          <w:vertAlign w:val="superscript"/>
        </w:rPr>
        <w:t>2</w:t>
      </w:r>
      <w:r w:rsidRPr="00FE21A1">
        <w:rPr>
          <w:rFonts w:ascii="Times New Roman" w:hAnsi="Times New Roman"/>
          <w:sz w:val="24"/>
          <w:szCs w:val="24"/>
        </w:rPr>
        <w:t>.</w:t>
      </w:r>
      <w:bookmarkStart w:id="4" w:name="_Hlk31797339"/>
      <w:r w:rsidR="00CB5FC2" w:rsidRPr="00FE21A1">
        <w:rPr>
          <w:rFonts w:ascii="Times New Roman" w:hAnsi="Times New Roman"/>
          <w:sz w:val="24"/>
          <w:szCs w:val="24"/>
        </w:rPr>
        <w:t xml:space="preserve"> </w:t>
      </w:r>
      <w:r w:rsidR="00D671BF" w:rsidRPr="00FE21A1">
        <w:rPr>
          <w:rFonts w:ascii="Times New Roman" w:hAnsi="Times New Roman"/>
          <w:sz w:val="24"/>
          <w:szCs w:val="24"/>
        </w:rPr>
        <w:t xml:space="preserve">Since </w:t>
      </w:r>
      <w:r w:rsidR="00133CCB" w:rsidRPr="00FE21A1">
        <w:rPr>
          <w:rFonts w:ascii="Times New Roman" w:hAnsi="Times New Roman"/>
          <w:i/>
          <w:iCs/>
          <w:sz w:val="24"/>
          <w:szCs w:val="24"/>
        </w:rPr>
        <w:t>R</w:t>
      </w:r>
      <w:r w:rsidR="00D671BF" w:rsidRPr="00FE21A1">
        <w:rPr>
          <w:rFonts w:ascii="Times New Roman" w:hAnsi="Times New Roman"/>
          <w:i/>
          <w:iCs/>
          <w:sz w:val="24"/>
          <w:szCs w:val="24"/>
        </w:rPr>
        <w:t>elative Fat Mass (RFM)</w:t>
      </w:r>
      <w:r w:rsidR="00D671BF" w:rsidRPr="00FE21A1">
        <w:rPr>
          <w:rFonts w:ascii="Times New Roman" w:hAnsi="Times New Roman"/>
          <w:sz w:val="24"/>
          <w:szCs w:val="24"/>
        </w:rPr>
        <w:t xml:space="preserve"> has been reported to be more accurate than BMI in estimating whole-body fat percentage measured by dual energy X-ray absorptiometry, and to improve body fat-defined obesity misclassification</w:t>
      </w:r>
      <w:r w:rsidR="00D671BF"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{"citationItems":[{"id":"ITEM-1","itemData":{"DOI":"10.1038/s41598-018-29362-1","ISSN":"20452322","abstract":"High whole-body fat percentage is independently associated with increased mortality. We aimed to identify a simple anthropometric linear equation that is more accurate than the body mass index (BMI) to estimate whole-body fat percentage among adult individuals. National Health and Nutrition Examination Survey (NHANES) 1999–2004 data (n = 12,581) were used for model development and NHANES 2005–2006 data (n = 3,456) were used for model validation. From the 365 anthropometric indices generated, the final selected equation was as follows: 64 − (20 × height/waist circumference) + (12 × sex), named as the relative fat mass (RFM); sex = 0 for men and 1 for women. In the validation dataset, compared with BMI, RFM better predicted whole-body fat percentage, measured by dual energy X-ray absorptiometry (DXA), among women and men. RFM showed better accuracy than the BMI and had fewer false negative cases of body fat-defined obesity among women and men. RFM reduced total obesity misclassification among all women and all men and, overall, among Mexican-Americans, European-Americans and African-Americans. In the population studied, the suggested RFM was more accurate than BMI to estimate whole-body fat percentage among women and men and improved body fat-defined obesity misclassification among American adult individuals of Mexican, European or African ethnicity.","author":[{"dropping-particle":"","family":"Woolcott","given":"Orison O.","non-dropping-particle":"","parse-names":false,"suffix":""},{"dropping-particle":"","family":"Bergman","given":"Richard N.","non-dropping-particle":"","parse-names":false,"suffix":""}],"container-title":"Scientific Reports","id":"ITEM-1","issue":"1","issued":{"date-parts":[["2018"]]},"page":"1-11","title":"Relative fat mass (RFM) as a new estimator of whole-body fat percentage ─ A cross-sectional study in American adult individuals","type":"article-journal","volume":"8"},"uris":["http://www.mendeley.com/documents/?uuid=b11ca45c-acbf-48d0-b7f1-c749b1519bc8"]}],"mendeley":{"formattedCitation":"[10]","plainTextFormattedCitation":"[10]","previouslyFormattedCitation":"&lt;sup&gt;10&lt;/sup&gt;"},"properties":{"noteIndex":0},"schema":"https://github.com/citation-style-language/schema/raw/master/csl-citation.json"}</w:instrText>
      </w:r>
      <w:r w:rsidR="00D671BF" w:rsidRPr="00FE21A1">
        <w:rPr>
          <w:rFonts w:ascii="Times New Roman" w:hAnsi="Times New Roman"/>
          <w:sz w:val="24"/>
          <w:szCs w:val="24"/>
        </w:rPr>
        <w:fldChar w:fldCharType="separate"/>
      </w:r>
      <w:r w:rsidR="0091230F" w:rsidRPr="0091230F">
        <w:rPr>
          <w:rFonts w:ascii="Times New Roman" w:hAnsi="Times New Roman"/>
          <w:noProof/>
          <w:sz w:val="24"/>
          <w:szCs w:val="24"/>
        </w:rPr>
        <w:t>[10]</w:t>
      </w:r>
      <w:r w:rsidR="00D671BF" w:rsidRPr="00FE21A1">
        <w:rPr>
          <w:rFonts w:ascii="Times New Roman" w:hAnsi="Times New Roman"/>
          <w:sz w:val="24"/>
          <w:szCs w:val="24"/>
        </w:rPr>
        <w:fldChar w:fldCharType="end"/>
      </w:r>
      <w:bookmarkStart w:id="5" w:name="_Hlk31797118"/>
      <w:r w:rsidR="00D671BF" w:rsidRPr="00FE21A1">
        <w:rPr>
          <w:rFonts w:ascii="Times New Roman" w:hAnsi="Times New Roman"/>
          <w:sz w:val="24"/>
          <w:szCs w:val="24"/>
        </w:rPr>
        <w:t xml:space="preserve">, we computed and analysed </w:t>
      </w:r>
      <w:r w:rsidR="00F849BA">
        <w:rPr>
          <w:rFonts w:ascii="Times New Roman" w:hAnsi="Times New Roman"/>
          <w:sz w:val="24"/>
          <w:szCs w:val="24"/>
        </w:rPr>
        <w:t>this parameter, computed as</w:t>
      </w:r>
      <w:r w:rsidR="00D671BF" w:rsidRPr="00FE21A1">
        <w:rPr>
          <w:rFonts w:ascii="Times New Roman" w:hAnsi="Times New Roman"/>
          <w:sz w:val="24"/>
          <w:szCs w:val="24"/>
        </w:rPr>
        <w:t xml:space="preserve"> </w:t>
      </w:r>
    </w:p>
    <w:p w14:paraId="251DAD3A" w14:textId="77777777" w:rsidR="00D671BF" w:rsidRPr="00B3167C" w:rsidRDefault="00D671BF" w:rsidP="008B28CE">
      <w:pPr>
        <w:spacing w:after="120" w:line="480" w:lineRule="auto"/>
        <w:jc w:val="center"/>
        <w:rPr>
          <w:rFonts w:ascii="Times New Roman" w:hAnsi="Times New Roman"/>
          <w:i/>
          <w:iCs/>
          <w:sz w:val="24"/>
          <w:szCs w:val="24"/>
          <w:shd w:val="clear" w:color="auto" w:fill="FFFFFF"/>
          <w:lang w:val="en-US"/>
        </w:rPr>
      </w:pPr>
      <w:r w:rsidRPr="00B3167C">
        <w:rPr>
          <w:rFonts w:ascii="Times New Roman" w:eastAsia="Times New Roman" w:hAnsi="Times New Roman"/>
          <w:i/>
          <w:iCs/>
          <w:sz w:val="24"/>
          <w:szCs w:val="24"/>
          <w:lang w:val="en-US" w:eastAsia="it-IT"/>
        </w:rPr>
        <w:t xml:space="preserve">RFM = </w:t>
      </w:r>
      <w:r w:rsidRPr="00B3167C">
        <w:rPr>
          <w:rFonts w:ascii="Times New Roman" w:hAnsi="Times New Roman"/>
          <w:i/>
          <w:iCs/>
          <w:sz w:val="24"/>
          <w:szCs w:val="24"/>
          <w:shd w:val="clear" w:color="auto" w:fill="FFFFFF"/>
          <w:lang w:val="en-US"/>
        </w:rPr>
        <w:t>64 − (20 × height/waist circumference) + (12 × sex),</w:t>
      </w:r>
    </w:p>
    <w:p w14:paraId="7E8B4D47" w14:textId="136B0012" w:rsidR="00D671BF" w:rsidRPr="00F849BA" w:rsidRDefault="00D671BF" w:rsidP="008B28CE">
      <w:pPr>
        <w:spacing w:after="120" w:line="480" w:lineRule="auto"/>
        <w:jc w:val="both"/>
        <w:rPr>
          <w:rFonts w:ascii="Times New Roman" w:hAnsi="Times New Roman"/>
          <w:sz w:val="24"/>
          <w:szCs w:val="24"/>
        </w:rPr>
      </w:pPr>
      <w:r w:rsidRPr="00FE21A1">
        <w:rPr>
          <w:rFonts w:ascii="Times New Roman" w:hAnsi="Times New Roman"/>
          <w:sz w:val="24"/>
          <w:szCs w:val="24"/>
          <w:shd w:val="clear" w:color="auto" w:fill="FFFFFF"/>
          <w:lang w:val="en-US"/>
        </w:rPr>
        <w:t>where</w:t>
      </w:r>
      <w:r w:rsidRPr="00FE21A1">
        <w:rPr>
          <w:rFonts w:ascii="Times New Roman" w:hAnsi="Times New Roman"/>
          <w:sz w:val="24"/>
          <w:szCs w:val="24"/>
        </w:rPr>
        <w:t xml:space="preserve"> </w:t>
      </w:r>
      <w:r w:rsidRPr="00FE21A1">
        <w:rPr>
          <w:rFonts w:ascii="Times New Roman" w:hAnsi="Times New Roman"/>
          <w:sz w:val="24"/>
          <w:szCs w:val="24"/>
          <w:shd w:val="clear" w:color="auto" w:fill="FFFFFF"/>
          <w:lang w:val="en-US"/>
        </w:rPr>
        <w:t>height and waist are in the same scale unit, sex = 0 for men and 1 for women</w:t>
      </w:r>
      <w:r w:rsidR="00F849BA"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{"citationItems":[{"id":"ITEM-1","itemData":{"DOI":"10.1038/s41598-018-29362-1","ISSN":"20452322","abstract":"High whole-body fat percentage is independently associated with increased mortality. We aimed to identify a simple anthropometric linear equation that is more accurate than the body mass index (BMI) to estimate whole-body fat percentage among adult individuals. National Health and Nutrition Examination Survey (NHANES) 1999–2004 data (n = 12,581) were used for model development and NHANES 2005–2006 data (n = 3,456) were used for model validation. From the 365 anthropometric indices generated, the final selected equation was as follows: 64 − (20 × height/waist circumference) + (12 × sex), named as the relative fat mass (RFM); sex = 0 for men and 1 for women. In the validation dataset, compared with BMI, RFM better predicted whole-body fat percentage, measured by dual energy X-ray absorptiometry (DXA), among women and men. RFM showed better accuracy than the BMI and had fewer false negative cases of body fat-defined obesity among women and men. RFM reduced total obesity misclassification among all women and all men and, overall, among Mexican-Americans, European-Americans and African-Americans. In the population studied, the suggested RFM was more accurate than BMI to estimate whole-body fat percentage among women and men and improved body fat-defined obesity misclassification among American adult individuals of Mexican, European or African ethnicity.","author":[{"dropping-particle":"","family":"Woolcott","given":"Orison O.","non-dropping-particle":"","parse-names":false,"suffix":""},{"dropping-particle":"","family":"Bergman","given":"Richard N.","non-dropping-particle":"","parse-names":false,"suffix":""}],"container-title":"Scientific Reports","id":"ITEM-1","issue":"1","issued":{"date-parts":[["2018"]]},"page":"1-11","title":"Relative fat mass (RFM) as a new estimator of whole-body fat percentage ─ A cross-sectional study in American adult individuals","type":"article-journal","volume":"8"},"uris":["http://www.mendeley.com/documents/?uuid=b11ca45c-acbf-48d0-b7f1-c749b1519bc8"]}],"mendeley":{"formattedCitation":"[10]","plainTextFormattedCitation":"[10]","previouslyFormattedCitation":"&lt;sup&gt;10&lt;/sup&gt;"},"properties":{"noteIndex":0},"schema":"https://github.com/citation-style-language/schema/raw/master/csl-citation.json"}</w:instrText>
      </w:r>
      <w:r w:rsidR="00F849BA" w:rsidRPr="00FE21A1">
        <w:rPr>
          <w:rFonts w:ascii="Times New Roman" w:hAnsi="Times New Roman"/>
          <w:sz w:val="24"/>
          <w:szCs w:val="24"/>
        </w:rPr>
        <w:fldChar w:fldCharType="separate"/>
      </w:r>
      <w:r w:rsidR="0091230F" w:rsidRPr="0091230F">
        <w:rPr>
          <w:rFonts w:ascii="Times New Roman" w:hAnsi="Times New Roman"/>
          <w:noProof/>
          <w:sz w:val="24"/>
          <w:szCs w:val="24"/>
        </w:rPr>
        <w:t>[10]</w:t>
      </w:r>
      <w:r w:rsidR="00F849BA" w:rsidRPr="00FE21A1">
        <w:rPr>
          <w:rFonts w:ascii="Times New Roman" w:hAnsi="Times New Roman"/>
          <w:sz w:val="24"/>
          <w:szCs w:val="24"/>
        </w:rPr>
        <w:fldChar w:fldCharType="end"/>
      </w:r>
      <w:r w:rsidRPr="00FE21A1">
        <w:rPr>
          <w:rFonts w:ascii="Times New Roman" w:hAnsi="Times New Roman"/>
          <w:sz w:val="24"/>
          <w:szCs w:val="24"/>
          <w:shd w:val="clear" w:color="auto" w:fill="FFFFFF"/>
          <w:lang w:val="en-US"/>
        </w:rPr>
        <w:t>.</w:t>
      </w:r>
    </w:p>
    <w:bookmarkEnd w:id="4"/>
    <w:bookmarkEnd w:id="5"/>
    <w:p w14:paraId="2F6CF346" w14:textId="1450D47D" w:rsidR="00B760C6" w:rsidRPr="00FE21A1" w:rsidRDefault="00B760C6" w:rsidP="008B28CE">
      <w:pPr>
        <w:spacing w:after="120" w:line="480" w:lineRule="auto"/>
        <w:jc w:val="both"/>
        <w:rPr>
          <w:rFonts w:ascii="Times New Roman" w:eastAsia="Times New Roman" w:hAnsi="Times New Roman"/>
          <w:iCs/>
          <w:sz w:val="24"/>
          <w:szCs w:val="24"/>
          <w:lang w:eastAsia="en-GB"/>
        </w:rPr>
      </w:pPr>
      <w:r w:rsidRPr="00FE21A1">
        <w:rPr>
          <w:rFonts w:ascii="Times New Roman" w:eastAsia="Times New Roman" w:hAnsi="Times New Roman"/>
          <w:iCs/>
          <w:sz w:val="24"/>
          <w:szCs w:val="24"/>
          <w:lang w:eastAsia="en-GB"/>
        </w:rPr>
        <w:t>Socioeconomic status (SES) information was self-reported and/or collected by a structured questionnaire administered by trained personnel.</w:t>
      </w:r>
    </w:p>
    <w:p w14:paraId="2E48C23E" w14:textId="54610CE5" w:rsidR="0022377D" w:rsidRPr="00FE21A1" w:rsidRDefault="00073EA0" w:rsidP="008B28CE">
      <w:pPr>
        <w:spacing w:after="120" w:line="480" w:lineRule="auto"/>
        <w:jc w:val="both"/>
        <w:rPr>
          <w:rFonts w:ascii="Times New Roman" w:eastAsia="Times New Roman" w:hAnsi="Times New Roman"/>
          <w:sz w:val="24"/>
          <w:szCs w:val="24"/>
          <w:lang w:eastAsia="en-GB"/>
        </w:rPr>
      </w:pPr>
      <w:r w:rsidRPr="00FE21A1">
        <w:rPr>
          <w:rFonts w:ascii="Times New Roman" w:eastAsia="Times New Roman" w:hAnsi="Times New Roman"/>
          <w:i/>
          <w:sz w:val="24"/>
          <w:szCs w:val="24"/>
          <w:lang w:eastAsia="en-GB"/>
        </w:rPr>
        <w:t>E</w:t>
      </w:r>
      <w:r w:rsidR="0022377D" w:rsidRPr="00FE21A1">
        <w:rPr>
          <w:rFonts w:ascii="Times New Roman" w:eastAsia="Times New Roman" w:hAnsi="Times New Roman"/>
          <w:i/>
          <w:sz w:val="24"/>
          <w:szCs w:val="24"/>
          <w:lang w:eastAsia="en-GB"/>
        </w:rPr>
        <w:t>ducational attainment</w:t>
      </w:r>
      <w:r w:rsidRPr="00FE21A1">
        <w:rPr>
          <w:rFonts w:ascii="Times New Roman" w:eastAsia="Times New Roman" w:hAnsi="Times New Roman"/>
          <w:sz w:val="24"/>
          <w:szCs w:val="24"/>
          <w:lang w:eastAsia="en-GB"/>
        </w:rPr>
        <w:t xml:space="preserve"> was defined as </w:t>
      </w:r>
      <w:r w:rsidR="006B55AA">
        <w:rPr>
          <w:rFonts w:ascii="Times New Roman" w:eastAsia="Times New Roman" w:hAnsi="Times New Roman"/>
          <w:sz w:val="24"/>
          <w:szCs w:val="24"/>
          <w:lang w:eastAsia="en-GB"/>
        </w:rPr>
        <w:t xml:space="preserve">the </w:t>
      </w:r>
      <w:r w:rsidRPr="00FE21A1">
        <w:rPr>
          <w:rFonts w:ascii="Times New Roman" w:eastAsia="Times New Roman" w:hAnsi="Times New Roman"/>
          <w:sz w:val="24"/>
          <w:szCs w:val="24"/>
          <w:lang w:eastAsia="en-GB"/>
        </w:rPr>
        <w:t xml:space="preserve">education level completed and </w:t>
      </w:r>
      <w:r w:rsidR="0022377D" w:rsidRPr="00FE21A1">
        <w:rPr>
          <w:rFonts w:ascii="Times New Roman" w:eastAsia="Times New Roman" w:hAnsi="Times New Roman"/>
          <w:sz w:val="24"/>
          <w:szCs w:val="24"/>
          <w:lang w:eastAsia="en-GB"/>
        </w:rPr>
        <w:t xml:space="preserve">subjects were divided into four </w:t>
      </w:r>
      <w:r w:rsidRPr="00FE21A1">
        <w:rPr>
          <w:rFonts w:ascii="Times New Roman" w:eastAsia="Times New Roman" w:hAnsi="Times New Roman"/>
          <w:sz w:val="24"/>
          <w:szCs w:val="24"/>
          <w:lang w:eastAsia="en-GB"/>
        </w:rPr>
        <w:t>classes</w:t>
      </w:r>
      <w:r w:rsidR="0022377D" w:rsidRPr="00FE21A1">
        <w:rPr>
          <w:rFonts w:ascii="Times New Roman" w:eastAsia="Times New Roman" w:hAnsi="Times New Roman"/>
          <w:sz w:val="24"/>
          <w:szCs w:val="24"/>
          <w:lang w:eastAsia="en-GB"/>
        </w:rPr>
        <w:t xml:space="preserve">: </w:t>
      </w:r>
      <w:r w:rsidRPr="006B55AA">
        <w:rPr>
          <w:rFonts w:ascii="Times New Roman" w:eastAsia="Times New Roman" w:hAnsi="Times New Roman"/>
          <w:sz w:val="24"/>
          <w:szCs w:val="24"/>
          <w:lang w:eastAsia="en-GB"/>
        </w:rPr>
        <w:t>None/</w:t>
      </w:r>
      <w:r w:rsidR="0022377D" w:rsidRPr="006B55AA">
        <w:rPr>
          <w:rFonts w:ascii="Times New Roman" w:eastAsia="Times New Roman" w:hAnsi="Times New Roman"/>
          <w:sz w:val="24"/>
          <w:szCs w:val="24"/>
          <w:lang w:eastAsia="en-GB"/>
        </w:rPr>
        <w:t>Primary</w:t>
      </w:r>
      <w:r w:rsidRPr="006B55AA">
        <w:rPr>
          <w:rFonts w:ascii="Times New Roman" w:eastAsia="Times New Roman" w:hAnsi="Times New Roman"/>
          <w:sz w:val="24"/>
          <w:szCs w:val="24"/>
          <w:lang w:eastAsia="en-GB"/>
        </w:rPr>
        <w:t xml:space="preserve"> (reference)</w:t>
      </w:r>
      <w:r w:rsidR="0022377D" w:rsidRPr="006B55AA">
        <w:rPr>
          <w:rFonts w:ascii="Times New Roman" w:eastAsia="Times New Roman" w:hAnsi="Times New Roman"/>
          <w:sz w:val="24"/>
          <w:szCs w:val="24"/>
          <w:lang w:eastAsia="en-GB"/>
        </w:rPr>
        <w:t>, Lower secondary, Upper secondary and Post-secondar</w:t>
      </w:r>
      <w:r w:rsidR="0022377D" w:rsidRPr="00FE21A1">
        <w:rPr>
          <w:rFonts w:ascii="Times New Roman" w:eastAsia="Times New Roman" w:hAnsi="Times New Roman"/>
          <w:i/>
          <w:sz w:val="24"/>
          <w:szCs w:val="24"/>
          <w:lang w:eastAsia="en-GB"/>
        </w:rPr>
        <w:t>y</w:t>
      </w:r>
      <w:r w:rsidR="0022377D" w:rsidRPr="00FE21A1">
        <w:rPr>
          <w:rFonts w:ascii="Times New Roman" w:eastAsia="Times New Roman" w:hAnsi="Times New Roman"/>
          <w:sz w:val="24"/>
          <w:szCs w:val="24"/>
          <w:lang w:eastAsia="en-GB"/>
        </w:rPr>
        <w:t xml:space="preserve">. </w:t>
      </w:r>
    </w:p>
    <w:p w14:paraId="6F7116F9" w14:textId="78A05C1E" w:rsidR="002E6078" w:rsidRPr="00FE21A1" w:rsidRDefault="00B2572E" w:rsidP="008B28CE">
      <w:pPr>
        <w:spacing w:after="120" w:line="480" w:lineRule="auto"/>
        <w:jc w:val="both"/>
        <w:rPr>
          <w:rFonts w:ascii="Times New Roman" w:eastAsia="Times New Roman" w:hAnsi="Times New Roman"/>
          <w:sz w:val="24"/>
          <w:szCs w:val="24"/>
          <w:lang w:eastAsia="en-GB"/>
        </w:rPr>
      </w:pPr>
      <w:r w:rsidRPr="00FE21A1">
        <w:rPr>
          <w:rFonts w:ascii="Times New Roman" w:eastAsia="Times New Roman" w:hAnsi="Times New Roman"/>
          <w:sz w:val="24"/>
          <w:szCs w:val="24"/>
          <w:lang w:eastAsia="en-GB"/>
        </w:rPr>
        <w:t xml:space="preserve">Current </w:t>
      </w:r>
      <w:r w:rsidRPr="00FE21A1">
        <w:rPr>
          <w:rFonts w:ascii="Times New Roman" w:eastAsia="Times New Roman" w:hAnsi="Times New Roman"/>
          <w:i/>
          <w:iCs/>
          <w:sz w:val="24"/>
          <w:szCs w:val="24"/>
          <w:lang w:eastAsia="en-GB"/>
        </w:rPr>
        <w:t>o</w:t>
      </w:r>
      <w:r w:rsidR="002E6078" w:rsidRPr="00FE21A1">
        <w:rPr>
          <w:rFonts w:ascii="Times New Roman" w:eastAsia="Times New Roman" w:hAnsi="Times New Roman"/>
          <w:i/>
          <w:iCs/>
          <w:sz w:val="24"/>
          <w:szCs w:val="24"/>
          <w:lang w:eastAsia="en-GB"/>
        </w:rPr>
        <w:t>ccupational social class</w:t>
      </w:r>
      <w:r w:rsidR="002E6078" w:rsidRPr="00FE21A1">
        <w:rPr>
          <w:rFonts w:ascii="Times New Roman" w:eastAsia="Times New Roman" w:hAnsi="Times New Roman"/>
          <w:sz w:val="24"/>
          <w:szCs w:val="24"/>
          <w:lang w:eastAsia="en-GB"/>
        </w:rPr>
        <w:t xml:space="preserve"> was classified based on the Registrar General’s occupation classification scheme</w:t>
      </w:r>
      <w:r w:rsidRPr="00FE21A1">
        <w:rPr>
          <w:rFonts w:ascii="Times New Roman" w:eastAsia="Times New Roman" w:hAnsi="Times New Roman"/>
          <w:sz w:val="24"/>
          <w:szCs w:val="24"/>
          <w:lang w:eastAsia="en-GB"/>
        </w:rPr>
        <w:t>,</w:t>
      </w:r>
      <w:r w:rsidR="002E6078" w:rsidRPr="00FE21A1">
        <w:rPr>
          <w:rFonts w:ascii="Times New Roman" w:eastAsia="Times New Roman" w:hAnsi="Times New Roman"/>
          <w:sz w:val="24"/>
          <w:szCs w:val="24"/>
          <w:lang w:eastAsia="en-GB"/>
        </w:rPr>
        <w:t xml:space="preserve"> and ranked as previously described by</w:t>
      </w:r>
      <w:r w:rsidRPr="00FE21A1">
        <w:rPr>
          <w:rFonts w:ascii="Times New Roman" w:eastAsia="Times New Roman" w:hAnsi="Times New Roman"/>
          <w:sz w:val="24"/>
          <w:szCs w:val="24"/>
          <w:lang w:eastAsia="en-GB"/>
        </w:rPr>
        <w:fldChar w:fldCharType="begin" w:fldLock="1"/>
      </w:r>
      <w:r w:rsidR="0091230F">
        <w:rPr>
          <w:rFonts w:ascii="Times New Roman" w:eastAsia="Times New Roman" w:hAnsi="Times New Roman"/>
          <w:sz w:val="24"/>
          <w:szCs w:val="24"/>
          <w:lang w:eastAsia="en-GB"/>
        </w:rPr>
        <w:instrText>ADDIN CSL_CITATION {"citationItems":[{"id":"ITEM-1","itemData":{"DOI":"10.1007/s00038-016-0939-0","ISSN":"1420911X","PMID":"28110395","abstract":"OBJECTIVES: To test the association of low-grade inflammation with socioeconomic status (SES) and determine the relative contribution of prevalent chronic diseases and health-related behaviours in explaining such association., METHODS: Cross-sectional analysis on 19,867 subjects (age&gt;=35, 48.1% men) recruited within the Moli-sani study from 2005 to 2010 (Italy). A score of low-grade inflammation, including platelet and leukocyte counts, the granulocyte-to-lymphocyte ratio, and C-reactive protein was applied. SES was measured by education, household income, and occupational social class., RESULTS: Low SES was associated with elevated levels of low-grade inflammation. Health behaviours (including adiposity, smoking, physical activity, and Mediterranean diet adherence) explained 53.5, 53.9, and 84.9% of the association between social class, income, and education with low-grade inflammation, respectively. Adiposity and body mass index showed a prominent role, while prevalent chronic diseases and conditions only marginally attenuated SES inequalities in inflammation., CONCLUSIONS: Low-grade inflammation was socioeconomically patterned in a large Mediterranean population. Potentially modifiable behavioural factors explained the greatest part of this association with a leading contribution of adiposity, body mass index, and physical activity.","author":[{"dropping-particle":"","family":"Bonaccio","given":"Marialaura","non-dropping-particle":"","parse-names":false,"suffix":""},{"dropping-particle":"","family":"Castelnuovo","given":"Augusto","non-dropping-particle":"Di","parse-names":false,"suffix":""},{"dropping-particle":"","family":"Pounis","given":"George","non-dropping-particle":"","parse-names":false,"suffix":""},{"dropping-particle":"","family":"Curtis","given":"Amalia","non-dropping-particle":"De","parse-names":false,"suffix":""},{"dropping-particle":"","family":"Costanzo","given":"Simona","non-dropping-particle":"","parse-names":false,"suffix":""},{"dropping-particle":"","family":"Persichillo","given":"Mariarosaria","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dropping-particle":"","family":"On behalf of the Moli-sani Study Investigators","given":"","non-dropping-particle":"","parse-names":false,"suffix":""}],"container-title":"International Journal of Public Health","id":"ITEM-1","issue":"5","issued":{"date-parts":[["2017"]]},"page":"551-562","publisher":"Springer International Publishing","title":"Relative contribution of health-related behaviours and chronic diseases to the socioeconomic patterning of low-grade inflammation","type":"article-journal","volume":"62"},"uris":["http://www.mendeley.com/documents/?uuid=02ad28bc-04cd-434c-b04b-e4bad84e0d5e"]}],"mendeley":{"formattedCitation":"[11]","plainTextFormattedCitation":"[11]","previouslyFormattedCitation":"&lt;sup&gt;11&lt;/sup&gt;"},"properties":{"noteIndex":0},"schema":"https://github.com/citation-style-language/schema/raw/master/csl-citation.json"}</w:instrText>
      </w:r>
      <w:r w:rsidRPr="00FE21A1">
        <w:rPr>
          <w:rFonts w:ascii="Times New Roman" w:eastAsia="Times New Roman" w:hAnsi="Times New Roman"/>
          <w:sz w:val="24"/>
          <w:szCs w:val="24"/>
          <w:lang w:eastAsia="en-GB"/>
        </w:rPr>
        <w:fldChar w:fldCharType="separate"/>
      </w:r>
      <w:r w:rsidR="0091230F" w:rsidRPr="0091230F">
        <w:rPr>
          <w:rFonts w:ascii="Times New Roman" w:eastAsia="Times New Roman" w:hAnsi="Times New Roman"/>
          <w:noProof/>
          <w:sz w:val="24"/>
          <w:szCs w:val="24"/>
          <w:lang w:eastAsia="en-GB"/>
        </w:rPr>
        <w:t>[11]</w:t>
      </w:r>
      <w:r w:rsidRPr="00FE21A1">
        <w:rPr>
          <w:rFonts w:ascii="Times New Roman" w:eastAsia="Times New Roman" w:hAnsi="Times New Roman"/>
          <w:sz w:val="24"/>
          <w:szCs w:val="24"/>
          <w:lang w:eastAsia="en-GB"/>
        </w:rPr>
        <w:fldChar w:fldCharType="end"/>
      </w:r>
      <w:r w:rsidRPr="00FE21A1">
        <w:rPr>
          <w:rFonts w:ascii="Times New Roman" w:eastAsia="Times New Roman" w:hAnsi="Times New Roman"/>
          <w:sz w:val="24"/>
          <w:szCs w:val="24"/>
          <w:lang w:eastAsia="en-GB"/>
        </w:rPr>
        <w:t>. Based on this rank, five o</w:t>
      </w:r>
      <w:r w:rsidR="002E6078" w:rsidRPr="00FE21A1">
        <w:rPr>
          <w:rFonts w:ascii="Times New Roman" w:eastAsia="Times New Roman" w:hAnsi="Times New Roman"/>
          <w:sz w:val="24"/>
          <w:szCs w:val="24"/>
          <w:lang w:eastAsia="en-GB"/>
        </w:rPr>
        <w:t>ccupational class</w:t>
      </w:r>
      <w:r w:rsidRPr="00FE21A1">
        <w:rPr>
          <w:rFonts w:ascii="Times New Roman" w:eastAsia="Times New Roman" w:hAnsi="Times New Roman"/>
          <w:sz w:val="24"/>
          <w:szCs w:val="24"/>
          <w:lang w:eastAsia="en-GB"/>
        </w:rPr>
        <w:t xml:space="preserve">es were defined: </w:t>
      </w:r>
      <w:r w:rsidR="002E6078" w:rsidRPr="00FE21A1">
        <w:rPr>
          <w:rFonts w:ascii="Times New Roman" w:eastAsia="Times New Roman" w:hAnsi="Times New Roman"/>
          <w:sz w:val="24"/>
          <w:szCs w:val="24"/>
          <w:lang w:eastAsia="en-GB"/>
        </w:rPr>
        <w:t>professional/managerial</w:t>
      </w:r>
      <w:r w:rsidRPr="00FE21A1">
        <w:rPr>
          <w:rFonts w:ascii="Times New Roman" w:eastAsia="Times New Roman" w:hAnsi="Times New Roman"/>
          <w:sz w:val="24"/>
          <w:szCs w:val="24"/>
          <w:lang w:eastAsia="en-GB"/>
        </w:rPr>
        <w:t xml:space="preserve"> (reference)</w:t>
      </w:r>
      <w:r w:rsidR="002E6078" w:rsidRPr="00FE21A1">
        <w:rPr>
          <w:rFonts w:ascii="Times New Roman" w:eastAsia="Times New Roman" w:hAnsi="Times New Roman"/>
          <w:sz w:val="24"/>
          <w:szCs w:val="24"/>
          <w:lang w:eastAsia="en-GB"/>
        </w:rPr>
        <w:t>, skilled non-manual,</w:t>
      </w:r>
      <w:r w:rsidRPr="00FE21A1">
        <w:rPr>
          <w:rFonts w:ascii="Times New Roman" w:eastAsia="Times New Roman" w:hAnsi="Times New Roman"/>
          <w:sz w:val="24"/>
          <w:szCs w:val="24"/>
          <w:lang w:eastAsia="en-GB"/>
        </w:rPr>
        <w:t xml:space="preserve"> </w:t>
      </w:r>
      <w:r w:rsidR="002E6078" w:rsidRPr="00FE21A1">
        <w:rPr>
          <w:rFonts w:ascii="Times New Roman" w:eastAsia="Times New Roman" w:hAnsi="Times New Roman"/>
          <w:sz w:val="24"/>
          <w:szCs w:val="24"/>
          <w:lang w:eastAsia="en-GB"/>
        </w:rPr>
        <w:t>skilled manual, partly skilled/unskilled and unemployed/unclassified</w:t>
      </w:r>
      <w:r w:rsidRPr="00FE21A1">
        <w:rPr>
          <w:rFonts w:ascii="Times New Roman" w:eastAsia="Times New Roman" w:hAnsi="Times New Roman"/>
          <w:sz w:val="24"/>
          <w:szCs w:val="24"/>
          <w:lang w:eastAsia="en-GB"/>
        </w:rPr>
        <w:t>.</w:t>
      </w:r>
    </w:p>
    <w:p w14:paraId="1A4253E7" w14:textId="3F72FDC5" w:rsidR="002E6078" w:rsidRPr="00FE21A1" w:rsidRDefault="00B2572E" w:rsidP="008B28CE">
      <w:pPr>
        <w:spacing w:after="120" w:line="480" w:lineRule="auto"/>
        <w:jc w:val="both"/>
        <w:rPr>
          <w:rFonts w:ascii="Times New Roman" w:eastAsia="Times New Roman" w:hAnsi="Times New Roman"/>
          <w:sz w:val="24"/>
          <w:szCs w:val="24"/>
          <w:lang w:eastAsia="en-GB"/>
        </w:rPr>
      </w:pPr>
      <w:r w:rsidRPr="00FE21A1">
        <w:rPr>
          <w:rFonts w:ascii="Times New Roman" w:eastAsia="Times New Roman" w:hAnsi="Times New Roman"/>
          <w:sz w:val="24"/>
          <w:szCs w:val="24"/>
          <w:lang w:eastAsia="en-GB"/>
        </w:rPr>
        <w:t xml:space="preserve">Self-reported </w:t>
      </w:r>
      <w:r w:rsidRPr="00FE21A1">
        <w:rPr>
          <w:rFonts w:ascii="Times New Roman" w:eastAsia="Times New Roman" w:hAnsi="Times New Roman"/>
          <w:i/>
          <w:iCs/>
          <w:sz w:val="24"/>
          <w:szCs w:val="24"/>
          <w:lang w:eastAsia="en-GB"/>
        </w:rPr>
        <w:t>household income</w:t>
      </w:r>
      <w:r w:rsidRPr="00FE21A1">
        <w:rPr>
          <w:rFonts w:ascii="Times New Roman" w:eastAsia="Times New Roman" w:hAnsi="Times New Roman"/>
          <w:sz w:val="24"/>
          <w:szCs w:val="24"/>
          <w:lang w:eastAsia="en-GB"/>
        </w:rPr>
        <w:t>, expressed as earned Euros per year, was defined as a five-level variable</w:t>
      </w:r>
      <w:r w:rsidR="00F849BA">
        <w:rPr>
          <w:rFonts w:ascii="Times New Roman" w:eastAsia="Times New Roman" w:hAnsi="Times New Roman"/>
          <w:sz w:val="24"/>
          <w:szCs w:val="24"/>
          <w:lang w:eastAsia="en-GB"/>
        </w:rPr>
        <w:t>:</w:t>
      </w:r>
      <w:r w:rsidRPr="00FE21A1">
        <w:rPr>
          <w:rFonts w:ascii="Times New Roman" w:eastAsia="Times New Roman" w:hAnsi="Times New Roman"/>
          <w:sz w:val="24"/>
          <w:szCs w:val="24"/>
          <w:lang w:eastAsia="en-GB"/>
        </w:rPr>
        <w:t xml:space="preserve"> &lt;10,000; [10,000–25,000[; [25,000–40,000[; &gt;40,000, and missing values, which were collapsed into a non-respondent category. The lowest yearly income class was taken as reference in the analyses.</w:t>
      </w:r>
    </w:p>
    <w:p w14:paraId="74659D4E" w14:textId="4578A33A" w:rsidR="00796038" w:rsidRPr="00FE21A1" w:rsidRDefault="00B760C6" w:rsidP="008B28CE">
      <w:pPr>
        <w:spacing w:line="480" w:lineRule="auto"/>
        <w:jc w:val="both"/>
        <w:rPr>
          <w:rFonts w:ascii="Times New Roman" w:hAnsi="Times New Roman"/>
          <w:sz w:val="24"/>
          <w:szCs w:val="24"/>
        </w:rPr>
      </w:pPr>
      <w:r w:rsidRPr="00FE21A1">
        <w:rPr>
          <w:rFonts w:ascii="Times New Roman" w:hAnsi="Times New Roman"/>
          <w:sz w:val="24"/>
          <w:szCs w:val="24"/>
        </w:rPr>
        <w:lastRenderedPageBreak/>
        <w:t>Socioeconomic status at 8 years of age (</w:t>
      </w:r>
      <w:r w:rsidRPr="00FE21A1">
        <w:rPr>
          <w:rFonts w:ascii="Times New Roman" w:hAnsi="Times New Roman"/>
          <w:i/>
          <w:iCs/>
          <w:sz w:val="24"/>
          <w:szCs w:val="24"/>
        </w:rPr>
        <w:t>childhood SES</w:t>
      </w:r>
      <w:r w:rsidRPr="00FE21A1">
        <w:rPr>
          <w:rFonts w:ascii="Times New Roman" w:hAnsi="Times New Roman"/>
          <w:sz w:val="24"/>
          <w:szCs w:val="24"/>
        </w:rPr>
        <w:t xml:space="preserve">) was defined using retrospective questions on </w:t>
      </w:r>
      <w:proofErr w:type="spellStart"/>
      <w:r w:rsidR="00B2572E" w:rsidRPr="00FE21A1">
        <w:rPr>
          <w:rFonts w:ascii="Times New Roman" w:hAnsi="Times New Roman"/>
          <w:sz w:val="24"/>
          <w:szCs w:val="24"/>
        </w:rPr>
        <w:t>i</w:t>
      </w:r>
      <w:proofErr w:type="spellEnd"/>
      <w:r w:rsidR="00B2572E" w:rsidRPr="00FE21A1">
        <w:rPr>
          <w:rFonts w:ascii="Times New Roman" w:hAnsi="Times New Roman"/>
          <w:sz w:val="24"/>
          <w:szCs w:val="24"/>
        </w:rPr>
        <w:t xml:space="preserve">) </w:t>
      </w:r>
      <w:r w:rsidRPr="00FE21A1">
        <w:rPr>
          <w:rFonts w:ascii="Times New Roman" w:hAnsi="Times New Roman"/>
          <w:sz w:val="24"/>
          <w:szCs w:val="24"/>
        </w:rPr>
        <w:t xml:space="preserve">housing tenure (rented, 1 dwelling ownership, &gt;1 dwelling ownership); </w:t>
      </w:r>
      <w:r w:rsidR="00B2572E" w:rsidRPr="00FE21A1">
        <w:rPr>
          <w:rFonts w:ascii="Times New Roman" w:hAnsi="Times New Roman"/>
          <w:sz w:val="24"/>
          <w:szCs w:val="24"/>
        </w:rPr>
        <w:t xml:space="preserve">ii) </w:t>
      </w:r>
      <w:r w:rsidRPr="00FE21A1">
        <w:rPr>
          <w:rFonts w:ascii="Times New Roman" w:hAnsi="Times New Roman"/>
          <w:sz w:val="24"/>
          <w:szCs w:val="24"/>
        </w:rPr>
        <w:t xml:space="preserve">access to hot water; and </w:t>
      </w:r>
      <w:r w:rsidR="00B2572E" w:rsidRPr="00FE21A1">
        <w:rPr>
          <w:rFonts w:ascii="Times New Roman" w:hAnsi="Times New Roman"/>
          <w:sz w:val="24"/>
          <w:szCs w:val="24"/>
        </w:rPr>
        <w:t xml:space="preserve">iii) </w:t>
      </w:r>
      <w:r w:rsidR="00F8513B" w:rsidRPr="00FE21A1">
        <w:rPr>
          <w:rFonts w:ascii="Times New Roman" w:hAnsi="Times New Roman"/>
          <w:sz w:val="24"/>
          <w:szCs w:val="24"/>
        </w:rPr>
        <w:t>overcrowding in the household</w:t>
      </w:r>
      <w:r w:rsidR="00C07A00" w:rsidRPr="00FE21A1">
        <w:rPr>
          <w:rFonts w:ascii="Times New Roman" w:hAnsi="Times New Roman"/>
          <w:sz w:val="24"/>
          <w:szCs w:val="24"/>
        </w:rPr>
        <w:t xml:space="preserve"> (i.e. </w:t>
      </w:r>
      <w:r w:rsidRPr="00FE21A1">
        <w:rPr>
          <w:rFonts w:ascii="Times New Roman" w:hAnsi="Times New Roman"/>
          <w:sz w:val="24"/>
          <w:szCs w:val="24"/>
        </w:rPr>
        <w:t>the ratio between the number of rooms available and of persons living in the household</w:t>
      </w:r>
      <w:r w:rsidR="00C07A00" w:rsidRPr="00FE21A1">
        <w:rPr>
          <w:rFonts w:ascii="Times New Roman" w:hAnsi="Times New Roman"/>
          <w:sz w:val="24"/>
          <w:szCs w:val="24"/>
        </w:rPr>
        <w:t>)</w:t>
      </w:r>
      <w:r w:rsidR="00333E2B">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{"citationItems":[{"id":"ITEM-1","itemData":{"DOI":"10.1136/jech-2018-211582","abstract":"Background A life course approach has been suggested as the most appropriate to establish the total impact of socioeconomic status (SES) on adult health outcomes; however, such an approach has been poorly used within Mediterranean populations. We aimed to examine the SES trajectories from childhood to adulthood associated with mortality risk in a large general population-based cohort and to test potential pathways (eg, inflammation) underlying such associations.Methods Longitudinal analyses on 22 194 subjects recruited in the Moli-sani Study, Italy (2005–2010). Low and high SES in childhood, educational attainment (low/high) and SES during adulthood (measured by a score including material resources and dichotomised as low/high) were used to define overall trajectories.Results Over 8.3 years of follow-up, 1155 deaths occurred. In the group with poor childhood SES, an upward trajectory in both educational and material circumstances was associated with lower risk of all-cause death (HR=0.64; 95% CI 0.47 to 0.87), as opposed to subjects who remained stably low (low education and adulthood SES). Subjects with high childhood SES, but not educational achievement, were at increased risk of total and cardiovascular disease (CVD) death, although reporting higher material SES in adult life, as compared with the stably high SES group (HR=1.44; 1.02 to 2.02 and HR=1.90; 1.10 to 3.28, respectively). Inflammatory markers marginally accounted for such associations.Conclusion For individuals with low SES in early life, an educational and material upward trajectory over the life course was associated with lower mortality risk. In the high SES childhood group, lack of a higher educational attainment appeared to be unfavourably associated with survival.","author":[{"dropping-particle":"","family":"Bonaccio","given":"Marialaura","non-dropping-particle":"","parse-names":false,"suffix":""},{"dropping-particle":"","family":"Castelnuovo","given":"Augusto","non-dropping-particle":"Di","parse-names":false,"suffix":""},{"dropping-particle":"","family":"Costanzo","given":"Simona","non-dropping-particle":"","parse-names":false,"suffix":""},{"dropping-particle":"","family":"Curtis","given":"Amalia","non-dropping-particle":"De","parse-names":false,"suffix":""},{"dropping-particle":"","family":"Persichillo","given":"Mariarosaria","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Journal of Epidemiology and Community Health","id":"ITEM-1","issue":"6","issued":{"date-parts":[["2019","6","1"]]},"page":"516 LP  - 528","title":"Socioeconomic trajectories across the life course and risk of total and cause-specific mortality: prospective findings from the Moli-sani Study","type":"article-journal","volume":"73"},"uris":["http://www.mendeley.com/documents/?uuid=ea52bd60-4a39-4363-bc1f-4ed28d3a17e3"]}],"mendeley":{"formattedCitation":"[12]","plainTextFormattedCitation":"[12]","previouslyFormattedCitation":"&lt;sup&gt;12&lt;/sup&gt;"},"properties":{"noteIndex":0},"schema":"https://github.com/citation-style-language/schema/raw/master/csl-citation.json"}</w:instrText>
      </w:r>
      <w:r w:rsidR="00333E2B">
        <w:rPr>
          <w:rFonts w:ascii="Times New Roman" w:hAnsi="Times New Roman"/>
          <w:sz w:val="24"/>
          <w:szCs w:val="24"/>
        </w:rPr>
        <w:fldChar w:fldCharType="separate"/>
      </w:r>
      <w:r w:rsidR="0091230F" w:rsidRPr="0091230F">
        <w:rPr>
          <w:rFonts w:ascii="Times New Roman" w:hAnsi="Times New Roman"/>
          <w:noProof/>
          <w:sz w:val="24"/>
          <w:szCs w:val="24"/>
        </w:rPr>
        <w:t>[12]</w:t>
      </w:r>
      <w:r w:rsidR="00333E2B">
        <w:rPr>
          <w:rFonts w:ascii="Times New Roman" w:hAnsi="Times New Roman"/>
          <w:sz w:val="24"/>
          <w:szCs w:val="24"/>
        </w:rPr>
        <w:fldChar w:fldCharType="end"/>
      </w:r>
      <w:r w:rsidR="00F8513B" w:rsidRPr="00FE21A1">
        <w:rPr>
          <w:rFonts w:ascii="Times New Roman" w:hAnsi="Times New Roman"/>
          <w:sz w:val="24"/>
          <w:szCs w:val="24"/>
        </w:rPr>
        <w:t xml:space="preserve">. </w:t>
      </w:r>
      <w:r w:rsidRPr="00FE21A1">
        <w:rPr>
          <w:rFonts w:ascii="Times New Roman" w:hAnsi="Times New Roman"/>
          <w:sz w:val="24"/>
          <w:szCs w:val="24"/>
        </w:rPr>
        <w:t>Each individual SES factor was coded as 0–1 to generate a</w:t>
      </w:r>
      <w:r w:rsidR="00F8513B" w:rsidRPr="00FE21A1">
        <w:rPr>
          <w:rFonts w:ascii="Times New Roman" w:hAnsi="Times New Roman"/>
          <w:sz w:val="24"/>
          <w:szCs w:val="24"/>
        </w:rPr>
        <w:t xml:space="preserve"> total childhood SES </w:t>
      </w:r>
      <w:r w:rsidRPr="00FE21A1">
        <w:rPr>
          <w:rFonts w:ascii="Times New Roman" w:hAnsi="Times New Roman"/>
          <w:sz w:val="24"/>
          <w:szCs w:val="24"/>
        </w:rPr>
        <w:t>score ranging from 0 to 3</w:t>
      </w:r>
      <w:bookmarkStart w:id="6" w:name="_Hlk36919407"/>
      <w:r w:rsidR="00F8513B" w:rsidRPr="00FE21A1">
        <w:rPr>
          <w:rFonts w:ascii="Times New Roman" w:hAnsi="Times New Roman"/>
          <w:sz w:val="24"/>
          <w:szCs w:val="24"/>
        </w:rPr>
        <w:t>, which was classified as high (3), intermediate (2) upper-low (1) and low (0; reference).</w:t>
      </w:r>
    </w:p>
    <w:p w14:paraId="6D8E6A53" w14:textId="14C066EB" w:rsidR="00C07A00" w:rsidRPr="00FE21A1" w:rsidRDefault="00C07A00" w:rsidP="008B28CE">
      <w:pPr>
        <w:spacing w:line="480" w:lineRule="auto"/>
        <w:jc w:val="both"/>
        <w:rPr>
          <w:rFonts w:ascii="Times New Roman" w:hAnsi="Times New Roman"/>
          <w:sz w:val="24"/>
          <w:szCs w:val="24"/>
        </w:rPr>
      </w:pPr>
      <w:r w:rsidRPr="00F849BA">
        <w:rPr>
          <w:rFonts w:ascii="Times New Roman" w:hAnsi="Times New Roman"/>
          <w:i/>
          <w:iCs/>
          <w:sz w:val="24"/>
          <w:szCs w:val="24"/>
        </w:rPr>
        <w:t>Housing tenure</w:t>
      </w:r>
      <w:r w:rsidRPr="00FE21A1">
        <w:rPr>
          <w:rFonts w:ascii="Times New Roman" w:hAnsi="Times New Roman"/>
          <w:sz w:val="24"/>
          <w:szCs w:val="24"/>
        </w:rPr>
        <w:t xml:space="preserve"> was defined as for childhood SES, and classified into three categories: 1 dwelling ownership, &gt;1 dwelling ownership and living in a rented flat, which was used as referent</w:t>
      </w:r>
      <w:r w:rsidRPr="00FE21A1">
        <w:rPr>
          <w:rFonts w:ascii="Times New Roman" w:eastAsia="Times New Roman" w:hAnsi="Times New Roman"/>
          <w:iCs/>
          <w:sz w:val="24"/>
          <w:szCs w:val="24"/>
          <w:lang w:eastAsia="en-GB"/>
        </w:rPr>
        <w:fldChar w:fldCharType="begin" w:fldLock="1"/>
      </w:r>
      <w:r w:rsidR="0091230F">
        <w:rPr>
          <w:rFonts w:ascii="Times New Roman" w:eastAsia="Times New Roman" w:hAnsi="Times New Roman"/>
          <w:iCs/>
          <w:sz w:val="24"/>
          <w:szCs w:val="24"/>
          <w:lang w:eastAsia="en-GB"/>
        </w:rPr>
        <w:instrText>ADDIN CSL_CITATION {"citationItems":[{"id":"ITEM-1","itemData":{"DOI":"10.1136/jech-2018-211582","ISSN":"1524-4539","abstract":"Introduction: A life course approach has been suggested as the most appropriated to establish the actual impact of socioeconomic status (SES) on health outcomes. Hypothesis: We assessed the hypothesis that SES trajectories from childhood to adulthood are useful to better evaluate the role of SES towards mortality risk in a large general population-based cohort. Methods: Longitudinal analysis on 22,194 subjects recruited in the general population of the Moli-sani study, Italy (2005-2010). Educational attainment (low/high) and SES in adulthood (measured by a score including occupational social class, housing and overcrowding, and dichotomized as low/high) were used to define four possible trajectories both in low and high SES in childhood (age of 8). Hazard ratios (HR) with 95% confidence intervals (95%CI) were calculated by multivariable Cox regression and competing risk models. Results: Over a median follow-up of 8.3 years (182,924 person-years), 1155 all-cause, of which 414 cardiovascular (CVD), deaths were ascertained. In the group with low SES in childhood, as opposed to those stably low (low education and low SES in adulthood), an upward in both educational attainment and material factors in adulthood was associated with lower risk of both all-cause (HR=0.64; 95%CI 0.52-0.79; Table) and CVD mortality (HR=0.62; 0.43-0.88), respectively. Subjects with high childhood SES experienced an increased risk of total and CVD death in absence of higher educational attainment despite a higher SES in adulthood (HR=1.47; 1.04-2.07 and HR=1.75;1.00-3.05, respectively) as compared to the group with both high education and high SES in adulthood. Conclusions: In conclusion, for individuals with low SES in childhood, an upward of both educational attainment and material factors over the life course is associated with lower risk of total and CVD death. In advantaged groups in childhood, lack of a higher educational attainment, rather than material factors, over the life course appears to be unfavourably associated with survival.","author":[{"dropping-particle":"","family":"Bonaccio","given":"Marialaura","non-dropping-particle":"","parse-names":false,"suffix":""},{"dropping-particle":"","family":"Castelnuovo","given":"Augusto","non-dropping-particle":"Di","parse-names":false,"suffix":""},{"dropping-particle":"","family":"Costanzo","given":"Simona","non-dropping-particle":"","parse-names":false,"suffix":""},{"dropping-particle":"","family":"Persichillo","given":"Mariarosaria","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Circulation","id":"ITEM-1","issue":"Supplement 1","issued":{"date-parts":[["2018"]]},"page":"1-13","title":"Socioeconomic trajectories across the life course and risk of all-cause and cardiovascular mortality: Prospective findings from the moli-sani study","type":"article-journal","volume":"137"},"uris":["http://www.mendeley.com/documents/?uuid=78a05950-4c1c-4cca-a487-84af33af10f9"]}],"mendeley":{"formattedCitation":"[13]","plainTextFormattedCitation":"[13]","previouslyFormattedCitation":"&lt;sup&gt;13&lt;/sup&gt;"},"properties":{"noteIndex":0},"schema":"https://github.com/citation-style-language/schema/raw/master/csl-citation.json"}</w:instrText>
      </w:r>
      <w:r w:rsidRPr="00FE21A1">
        <w:rPr>
          <w:rFonts w:ascii="Times New Roman" w:eastAsia="Times New Roman" w:hAnsi="Times New Roman"/>
          <w:iCs/>
          <w:sz w:val="24"/>
          <w:szCs w:val="24"/>
          <w:lang w:eastAsia="en-GB"/>
        </w:rPr>
        <w:fldChar w:fldCharType="separate"/>
      </w:r>
      <w:r w:rsidR="0091230F" w:rsidRPr="0091230F">
        <w:rPr>
          <w:rFonts w:ascii="Times New Roman" w:eastAsia="Times New Roman" w:hAnsi="Times New Roman"/>
          <w:iCs/>
          <w:noProof/>
          <w:sz w:val="24"/>
          <w:szCs w:val="24"/>
          <w:lang w:eastAsia="en-GB"/>
        </w:rPr>
        <w:t>[13]</w:t>
      </w:r>
      <w:r w:rsidRPr="00FE21A1">
        <w:rPr>
          <w:rFonts w:ascii="Times New Roman" w:eastAsia="Times New Roman" w:hAnsi="Times New Roman"/>
          <w:iCs/>
          <w:sz w:val="24"/>
          <w:szCs w:val="24"/>
          <w:lang w:eastAsia="en-GB"/>
        </w:rPr>
        <w:fldChar w:fldCharType="end"/>
      </w:r>
      <w:r w:rsidRPr="00FE21A1">
        <w:rPr>
          <w:rFonts w:ascii="Times New Roman" w:eastAsia="Times New Roman" w:hAnsi="Times New Roman"/>
          <w:iCs/>
          <w:sz w:val="24"/>
          <w:szCs w:val="24"/>
          <w:lang w:eastAsia="en-GB"/>
        </w:rPr>
        <w:t>.</w:t>
      </w:r>
    </w:p>
    <w:bookmarkEnd w:id="6"/>
    <w:p w14:paraId="62E5EBDE" w14:textId="77777777" w:rsidR="00E10874" w:rsidRPr="00FE21A1" w:rsidRDefault="00E10874" w:rsidP="008B28CE">
      <w:pPr>
        <w:autoSpaceDE w:val="0"/>
        <w:autoSpaceDN w:val="0"/>
        <w:adjustRightInd w:val="0"/>
        <w:spacing w:after="120" w:line="480" w:lineRule="auto"/>
        <w:jc w:val="both"/>
        <w:rPr>
          <w:rFonts w:ascii="Times New Roman" w:hAnsi="Times New Roman"/>
          <w:i/>
          <w:sz w:val="24"/>
          <w:szCs w:val="24"/>
        </w:rPr>
      </w:pPr>
    </w:p>
    <w:p w14:paraId="291E791E" w14:textId="25164871" w:rsidR="00E31613" w:rsidRPr="00904DBB" w:rsidRDefault="00E31613" w:rsidP="008B28CE">
      <w:pPr>
        <w:autoSpaceDE w:val="0"/>
        <w:autoSpaceDN w:val="0"/>
        <w:adjustRightInd w:val="0"/>
        <w:spacing w:after="120" w:line="480" w:lineRule="auto"/>
        <w:jc w:val="both"/>
        <w:rPr>
          <w:rFonts w:ascii="Times New Roman" w:hAnsi="Times New Roman"/>
          <w:b/>
          <w:bCs/>
          <w:i/>
          <w:sz w:val="24"/>
          <w:szCs w:val="24"/>
        </w:rPr>
      </w:pPr>
      <w:r w:rsidRPr="00904DBB">
        <w:rPr>
          <w:rFonts w:ascii="Times New Roman" w:hAnsi="Times New Roman"/>
          <w:b/>
          <w:bCs/>
          <w:i/>
          <w:sz w:val="24"/>
          <w:szCs w:val="24"/>
        </w:rPr>
        <w:t>Longitudinal data on hospitalizations and mortality</w:t>
      </w:r>
    </w:p>
    <w:p w14:paraId="0DE89576" w14:textId="7A367E2B" w:rsidR="00E31613" w:rsidRPr="00FE21A1" w:rsidRDefault="00E31613" w:rsidP="008B28CE">
      <w:pPr>
        <w:autoSpaceDE w:val="0"/>
        <w:autoSpaceDN w:val="0"/>
        <w:adjustRightInd w:val="0"/>
        <w:spacing w:after="120" w:line="480" w:lineRule="auto"/>
        <w:jc w:val="both"/>
        <w:rPr>
          <w:rFonts w:ascii="Times New Roman" w:hAnsi="Times New Roman"/>
          <w:sz w:val="24"/>
          <w:szCs w:val="24"/>
        </w:rPr>
      </w:pPr>
      <w:r w:rsidRPr="00FE21A1">
        <w:rPr>
          <w:rFonts w:ascii="Times New Roman" w:hAnsi="Times New Roman"/>
          <w:sz w:val="24"/>
          <w:szCs w:val="24"/>
        </w:rPr>
        <w:t>Overall and cause-specific mortality updated to December 31</w:t>
      </w:r>
      <w:r w:rsidRPr="00FE21A1">
        <w:rPr>
          <w:rFonts w:ascii="Times New Roman" w:hAnsi="Times New Roman"/>
          <w:sz w:val="24"/>
          <w:szCs w:val="24"/>
          <w:vertAlign w:val="superscript"/>
        </w:rPr>
        <w:t>st</w:t>
      </w:r>
      <w:r w:rsidRPr="00FE21A1">
        <w:rPr>
          <w:rFonts w:ascii="Times New Roman" w:hAnsi="Times New Roman"/>
          <w:sz w:val="24"/>
          <w:szCs w:val="24"/>
        </w:rPr>
        <w:t>, 2015 was assessed through interrogation of the Italian mortality (</w:t>
      </w:r>
      <w:proofErr w:type="spellStart"/>
      <w:r w:rsidRPr="00FE21A1">
        <w:rPr>
          <w:rFonts w:ascii="Times New Roman" w:hAnsi="Times New Roman"/>
          <w:sz w:val="24"/>
          <w:szCs w:val="24"/>
        </w:rPr>
        <w:t>ReNCaM</w:t>
      </w:r>
      <w:proofErr w:type="spellEnd"/>
      <w:r w:rsidRPr="00FE21A1">
        <w:rPr>
          <w:rFonts w:ascii="Times New Roman" w:hAnsi="Times New Roman"/>
          <w:sz w:val="24"/>
          <w:szCs w:val="24"/>
        </w:rPr>
        <w:t xml:space="preserve">) registry and linkage with the </w:t>
      </w:r>
      <w:proofErr w:type="spellStart"/>
      <w:r w:rsidRPr="00FE21A1">
        <w:rPr>
          <w:rFonts w:ascii="Times New Roman" w:hAnsi="Times New Roman"/>
          <w:sz w:val="24"/>
          <w:szCs w:val="24"/>
        </w:rPr>
        <w:t>Moli-sani</w:t>
      </w:r>
      <w:proofErr w:type="spellEnd"/>
      <w:r w:rsidRPr="00FE21A1">
        <w:rPr>
          <w:rFonts w:ascii="Times New Roman" w:hAnsi="Times New Roman"/>
          <w:sz w:val="24"/>
          <w:szCs w:val="24"/>
        </w:rPr>
        <w:t xml:space="preserve"> database through unique identifier codes for each participant. Death events were validated by Italian death certificates (ISTAT form) and coded according to the </w:t>
      </w:r>
      <w:r w:rsidR="00F913E5" w:rsidRPr="00FE21A1">
        <w:rPr>
          <w:rFonts w:ascii="Times New Roman" w:hAnsi="Times New Roman"/>
          <w:sz w:val="24"/>
          <w:szCs w:val="24"/>
        </w:rPr>
        <w:t>International Classification of Diseases, 9</w:t>
      </w:r>
      <w:r w:rsidR="00F913E5" w:rsidRPr="00FE21A1">
        <w:rPr>
          <w:rFonts w:ascii="Times New Roman" w:hAnsi="Times New Roman"/>
          <w:sz w:val="24"/>
          <w:szCs w:val="24"/>
          <w:vertAlign w:val="superscript"/>
        </w:rPr>
        <w:t>th</w:t>
      </w:r>
      <w:r w:rsidR="00F913E5" w:rsidRPr="00FE21A1">
        <w:rPr>
          <w:rFonts w:ascii="Times New Roman" w:hAnsi="Times New Roman"/>
          <w:sz w:val="24"/>
          <w:szCs w:val="24"/>
        </w:rPr>
        <w:t xml:space="preserve"> version (ICD-9; accessed on January 4, 2018)</w:t>
      </w:r>
      <w:r w:rsidRPr="00FE21A1">
        <w:rPr>
          <w:rFonts w:ascii="Times New Roman" w:hAnsi="Times New Roman"/>
          <w:sz w:val="24"/>
          <w:szCs w:val="24"/>
        </w:rPr>
        <w:t>. Cardiovascular and cancer mortality was defined when the underlying cause of death included ICD-9 codes 390-459 and 140-208, respectively</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{"citationItems":[{"id":"ITEM-1","itemData":{"DOI":"10.1016/j.jacc.2019.09.068","ISBN":"2201127891","ISSN":"15583597","abstract":"Background: Chili pepper is a usual part of a traditional Mediterranean diet. Yet epidemiological data on the association between chili pepper intake and mortality risk are scarce, with a lack of studies from Mediterranean populations. Objectives: This study sought to examine the association between chili pepper consumption and risk of death in a large sample of the adult Italian general population, and to account for biological mediators of the association. Methods: Longitudinal analysis was performed on 22,811 men and women enrolled in the Moli-sani Study cohort (2005 to 2010). Chili pepper intake was estimated by the EPIC (European Prospective Investigation Into Cancer) Food Frequency Questionnaire and categorized as none/rare consumption, up to 2 times/week, &gt;2 to ≤4 times/week, and &gt;4 times/week. Results: Over a median follow-up of 8.2 years, a total of 1,236 deaths were ascertained. Multivariable hazard ratios (HRs) for all-cause and cardiovascular disease (CVD) mortality among participants in the regular (&gt;4 times/week) relative to none/rare intake were 0.77 (95% confidence interval [CI]: 0.66 to 0.90) and 0.66 (95% CI: 0.50 to 0.86), respectively. Regular intake was also inversely associated with ischemic heart disease (HR: 0.56; 95% CI: 0.35 to 0.87) and cerebrovascular (HR: 0.39; 95% CI: 0.20 to 0.75) death risks. The association of chili pepper consumption with total mortality appeared to be stronger in hypertension-free individuals (p for interaction = 0.021). Among known biomarkers of CVD, only serum vitamin D marginally accounted for such associations. Conclusions: In a large adult Mediterranean population, regular consumption of chili pepper is associated with a lower risk of total and CVD death independent of CVD risk factors or adherence to a Mediterranean diet. Known biomarkers of CVD risk only marginally mediate the association of chili pepper intake with mortality.","author":[{"dropping-particle":"","family":"Bonaccio","given":"Marialaura","non-dropping-particle":"","parse-names":false,"suffix":""},{"dropping-particle":"","family":"Castelnuovo","given":"Augusto","non-dropping-particle":"Di","parse-names":false,"suffix":""},{"dropping-particle":"","family":"Costanzo","given":"Simona","non-dropping-particle":"","parse-names":false,"suffix":""},{"dropping-particle":"","family":"Ruggiero","given":"Emilia","non-dropping-particle":"","parse-names":false,"suffix":""},{"dropping-particle":"","family":"Curtis","given":"Amalia","non-dropping-particle":"De","parse-names":false,"suffix":""},{"dropping-particle":"","family":"Persichillo","given":"Mariarosaria","non-dropping-particle":"","parse-names":false,"suffix":""},{"dropping-particle":"","family":"Tabolacci","given":"Claudio","non-dropping-particle":"","parse-names":false,"suffix":""},{"dropping-particle":"","family":"Facchiano","given":"Francesco","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dropping-particle":"","family":"Bonanni","given":"Americo","non-dropping-particle":"","parse-names":false,"suffix":""},{"dropping-particle":"","family":"Gianfagna","given":"Francesco","non-dropping-particle":"","parse-names":false,"suffix":""},{"dropping-particle":"","family":"Prospero","given":"Teresa","non-dropping-particle":"Di","parse-names":false,"suffix":""},{"dropping-particle":"","family":"Vermylen","given":"Jos","non-dropping-particle":"","parse-names":false,"suffix":""},{"dropping-particle":"","family":"Paula Carrasco","given":"Ignacio","non-dropping-particle":"De","parse-names":false,"suffix":""},{"dropping-particle":"","family":"Costanzo","given":"Simona","non-dropping-particle":"","parse-names":false,"suffix":""},{"dropping-particle":"","family":"Spagnuolo","given":"Antonio","non-dropping-particle":"","parse-names":false,"suffix":""},{"dropping-particle":"","family":"Assanelli","given":"Deodato","non-dropping-particle":"","parse-names":false,"suffix":""},{"dropping-particle":"","family":"Centritto","given":"Vincenzo","non-dropping-particle":"","parse-names":false,"suffix":""},{"dropping-particle":"","family":"Olivieri","given":"Marco","non-dropping-particle":"","parse-names":false,"suffix":""},{"dropping-particle":"","family":"Gialluisi","given":"Alessandro","non-dropping-particle":"","parse-names":false,"suffix":""},{"dropping-particle":"","family":"Gianfagna°","given":"Francesco","non-dropping-particle":"","parse-names":false,"suffix":""},{"dropping-particle":"","family":"Magnacca","given":"Sara","non-dropping-particle":"","parse-names":false,"suffix":""},{"dropping-particle":"","family":"Izzi","given":"Benedetta","non-dropping-particle":"","parse-names":false,"suffix":""},{"dropping-particle":"","family":"Marotta","given":"Annalisa","non-dropping-particle":"","parse-names":false,"suffix":""},{"dropping-particle":"","family":"Noro","given":"Fabrizia","non-dropping-particle":"","parse-names":false,"suffix":""},{"dropping-particle":"","family":"Lucia","given":"Francesca","non-dropping-particle":"De","parse-names":false,"suffix":""},{"dropping-particle":"","family":"Bracone","given":"Francesca","non-dropping-particle":"","parse-names":false,"suffix":""},{"dropping-particle":"","family":"Dudiez","given":"Salvatore","non-dropping-particle":"","parse-names":false,"suffix":""},{"dropping-particle":"","family":"Rago","given":"Livia","non-dropping-particle":"","parse-names":false,"suffix":""},{"dropping-particle":"","family":"Panzera","given":"Teresa","non-dropping-particle":"","parse-names":false,"suffix":""}],"container-title":"Journal of the American College of Cardiology","id":"ITEM-1","issue":"25","issued":{"date-parts":[["2019"]]},"page":"3139-3149","title":"Chili Pepper Consumption and Mortality in Italian Adults","type":"article-journal","volume":"74"},"uris":["http://www.mendeley.com/documents/?uuid=4f6f3c3d-440e-4e8b-8fb4-3f99901f9cdb"]}],"mendeley":{"formattedCitation":"[14]","plainTextFormattedCitation":"[14]","previouslyFormattedCitation":"&lt;sup&gt;14&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[14]</w:t>
      </w:r>
      <w:r w:rsidRPr="00FE21A1">
        <w:rPr>
          <w:rFonts w:ascii="Times New Roman" w:hAnsi="Times New Roman"/>
          <w:sz w:val="24"/>
          <w:szCs w:val="24"/>
        </w:rPr>
        <w:fldChar w:fldCharType="end"/>
      </w:r>
      <w:r w:rsidRPr="00FE21A1">
        <w:rPr>
          <w:rFonts w:ascii="Times New Roman" w:hAnsi="Times New Roman"/>
          <w:sz w:val="24"/>
          <w:szCs w:val="24"/>
        </w:rPr>
        <w:t xml:space="preserve">. Within cardiovascular mortality, ICD-9 codes 430-438 were used to define deaths for cerebrovascular disease (i.e. both </w:t>
      </w:r>
      <w:r w:rsidR="00F913E5" w:rsidRPr="00FE21A1">
        <w:rPr>
          <w:rFonts w:ascii="Times New Roman" w:hAnsi="Times New Roman"/>
          <w:sz w:val="24"/>
          <w:szCs w:val="24"/>
        </w:rPr>
        <w:t>haemorrhagic</w:t>
      </w:r>
      <w:r w:rsidRPr="00FE21A1">
        <w:rPr>
          <w:rFonts w:ascii="Times New Roman" w:hAnsi="Times New Roman"/>
          <w:sz w:val="24"/>
          <w:szCs w:val="24"/>
        </w:rPr>
        <w:t xml:space="preserve"> and ischemic stroke), and codes 410-414 and 429 for ischemic heart disease</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{"citationItems":[{"id":"ITEM-1","itemData":{"DOI":"10.1016/j.jacc.2019.09.068","ISBN":"2201127891","ISSN":"15583597","abstract":"Background: Chili pepper is a usual part of a traditional Mediterranean diet. Yet epidemiological data on the association between chili pepper intake and mortality risk are scarce, with a lack of studies from Mediterranean populations. Objectives: This study sought to examine the association between chili pepper consumption and risk of death in a large sample of the adult Italian general population, and to account for biological mediators of the association. Methods: Longitudinal analysis was performed on 22,811 men and women enrolled in the Moli-sani Study cohort (2005 to 2010). Chili pepper intake was estimated by the EPIC (European Prospective Investigation Into Cancer) Food Frequency Questionnaire and categorized as none/rare consumption, up to 2 times/week, &gt;2 to ≤4 times/week, and &gt;4 times/week. Results: Over a median follow-up of 8.2 years, a total of 1,236 deaths were ascertained. Multivariable hazard ratios (HRs) for all-cause and cardiovascular disease (CVD) mortality among participants in the regular (&gt;4 times/week) relative to none/rare intake were 0.77 (95% confidence interval [CI]: 0.66 to 0.90) and 0.66 (95% CI: 0.50 to 0.86), respectively. Regular intake was also inversely associated with ischemic heart disease (HR: 0.56; 95% CI: 0.35 to 0.87) and cerebrovascular (HR: 0.39; 95% CI: 0.20 to 0.75) death risks. The association of chili pepper consumption with total mortality appeared to be stronger in hypertension-free individuals (p for interaction = 0.021). Among known biomarkers of CVD, only serum vitamin D marginally accounted for such associations. Conclusions: In a large adult Mediterranean population, regular consumption of chili pepper is associated with a lower risk of total and CVD death independent of CVD risk factors or adherence to a Mediterranean diet. Known biomarkers of CVD risk only marginally mediate the association of chili pepper intake with mortality.","author":[{"dropping-particle":"","family":"Bonaccio","given":"Marialaura","non-dropping-particle":"","parse-names":false,"suffix":""},{"dropping-particle":"","family":"Castelnuovo","given":"Augusto","non-dropping-particle":"Di","parse-names":false,"suffix":""},{"dropping-particle":"","family":"Costanzo","given":"Simona","non-dropping-particle":"","parse-names":false,"suffix":""},{"dropping-particle":"","family":"Ruggiero","given":"Emilia","non-dropping-particle":"","parse-names":false,"suffix":""},{"dropping-particle":"","family":"Curtis","given":"Amalia","non-dropping-particle":"De","parse-names":false,"suffix":""},{"dropping-particle":"","family":"Persichillo","given":"Mariarosaria","non-dropping-particle":"","parse-names":false,"suffix":""},{"dropping-particle":"","family":"Tabolacci","given":"Claudio","non-dropping-particle":"","parse-names":false,"suffix":""},{"dropping-particle":"","family":"Facchiano","given":"Francesco","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dropping-particle":"","family":"Bonanni","given":"Americo","non-dropping-particle":"","parse-names":false,"suffix":""},{"dropping-particle":"","family":"Gianfagna","given":"Francesco","non-dropping-particle":"","parse-names":false,"suffix":""},{"dropping-particle":"","family":"Prospero","given":"Teresa","non-dropping-particle":"Di","parse-names":false,"suffix":""},{"dropping-particle":"","family":"Vermylen","given":"Jos","non-dropping-particle":"","parse-names":false,"suffix":""},{"dropping-particle":"","family":"Paula Carrasco","given":"Ignacio","non-dropping-particle":"De","parse-names":false,"suffix":""},{"dropping-particle":"","family":"Costanzo","given":"Simona","non-dropping-particle":"","parse-names":false,"suffix":""},{"dropping-particle":"","family":"Spagnuolo","given":"Antonio","non-dropping-particle":"","parse-names":false,"suffix":""},{"dropping-particle":"","family":"Assanelli","given":"Deodato","non-dropping-particle":"","parse-names":false,"suffix":""},{"dropping-particle":"","family":"Centritto","given":"Vincenzo","non-dropping-particle":"","parse-names":false,"suffix":""},{"dropping-particle":"","family":"Olivieri","given":"Marco","non-dropping-particle":"","parse-names":false,"suffix":""},{"dropping-particle":"","family":"Gialluisi","given":"Alessandro","non-dropping-particle":"","parse-names":false,"suffix":""},{"dropping-particle":"","family":"Gianfagna°","given":"Francesco","non-dropping-particle":"","parse-names":false,"suffix":""},{"dropping-particle":"","family":"Magnacca","given":"Sara","non-dropping-particle":"","parse-names":false,"suffix":""},{"dropping-particle":"","family":"Izzi","given":"Benedetta","non-dropping-particle":"","parse-names":false,"suffix":""},{"dropping-particle":"","family":"Marotta","given":"Annalisa","non-dropping-particle":"","parse-names":false,"suffix":""},{"dropping-particle":"","family":"Noro","given":"Fabrizia","non-dropping-particle":"","parse-names":false,"suffix":""},{"dropping-particle":"","family":"Lucia","given":"Francesca","non-dropping-particle":"De","parse-names":false,"suffix":""},{"dropping-particle":"","family":"Bracone","given":"Francesca","non-dropping-particle":"","parse-names":false,"suffix":""},{"dropping-particle":"","family":"Dudiez","given":"Salvatore","non-dropping-particle":"","parse-names":false,"suffix":""},{"dropping-particle":"","family":"Rago","given":"Livia","non-dropping-particle":"","parse-names":false,"suffix":""},{"dropping-particle":"","family":"Panzera","given":"Teresa","non-dropping-particle":"","parse-names":false,"suffix":""}],"container-title":"Journal of the American College of Cardiology","id":"ITEM-1","issue":"25","issued":{"date-parts":[["2019"]]},"page":"3139-3149","title":"Chili Pepper Consumption and Mortality in Italian Adults","type":"article-journal","volume":"74"},"uris":["http://www.mendeley.com/documents/?uuid=4f6f3c3d-440e-4e8b-8fb4-3f99901f9cdb"]}],"mendeley":{"formattedCitation":"[14]","plainTextFormattedCitation":"[14]","previouslyFormattedCitation":"&lt;sup&gt;14&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[14]</w:t>
      </w:r>
      <w:r w:rsidRPr="00FE21A1">
        <w:rPr>
          <w:rFonts w:ascii="Times New Roman" w:hAnsi="Times New Roman"/>
          <w:sz w:val="24"/>
          <w:szCs w:val="24"/>
        </w:rPr>
        <w:fldChar w:fldCharType="end"/>
      </w:r>
      <w:r w:rsidRPr="00FE21A1">
        <w:rPr>
          <w:rFonts w:ascii="Times New Roman" w:hAnsi="Times New Roman"/>
          <w:sz w:val="24"/>
          <w:szCs w:val="24"/>
        </w:rPr>
        <w:t>, then these were collapsed into a single mortality cause due to the paucity of events within each class</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{"citationItems":[{"id":"ITEM-1","itemData":{"DOI":"10.1016/j.ijcard.2018.11.117","ISSN":"18741754","abstract":"Background: Statins are prescribed for patients with cardiovascular disease (CVD), along with the recommendation of adopting healthy diets. We evaluated the independent and the combined effect of statins and Mediterranean diet (MD) towards mortality risk in patients with previous CVD by using real-life data from a population-based prospective cohort. Methods: Longitudinal analysis on 1180 subjects (mean age 67.7 ± 10) with prior CVD at enrollment in the Moli-sani Study and followed up for 7.9 y (median). Adherence to MD was appraised by a Mediterranean diet score. Hazard ratios (HR) with 95% confidence intervals (95% CI) were calculated by multivariable Cox regression and competing risk models. Results: Multivariable risk estimates associated with a 2-point increase in MD score were 0.84 (95% CI 0.70–1.00), 0.77 (0.61–0.97) and 0.70 (0.52–0.93) for overall, cardiovascular and coronary artery disease (CAD)/cerebrovascular deaths, respectively. Statins were not associated with death risk. Subjects combining statins and average-high adherence to MD had much lower than expected risk of cardiovascular and CAD/cerebrovascular mortality (p for interaction = 0.045 and 0.0015, respectively) as compared to those neither using statins nor having average-high MD. The combination of average-high MD and statins was associated in a likely synergistic way with reduced low-grade inflammation, but not with blood cholesterol. Conclusions: MD lowered the risk of all-cause, cardiovascular and CAD/cerebrovascular mortality CVD patients, net of statins. In the same population, statins reduced CVD death risk only in combination with MD. Low-grade inflammation, rather than lipids, is likely to be on the pathway of the interaction between MD and statins towards mortality risk.","author":[{"dropping-particle":"","family":"Bonaccio","given":"Marialaura","non-dropping-particle":"","parse-names":false,"suffix":""},{"dropping-particle":"","family":"Castelnuovo","given":"Augusto","non-dropping-particle":"Di","parse-names":false,"suffix":""},{"dropping-particle":"","family":"Costanzo","given":"Simona","non-dropping-particle":"","parse-names":false,"suffix":""},{"dropping-particle":"","family":"Persichillo","given":"Mariarosaria","non-dropping-particle":"","parse-names":false,"suffix":""},{"dropping-particle":"","family":"Curtis","given":"Amalia","non-dropping-particle":"D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International Journal of Cardiology","id":"ITEM-1","issued":{"date-parts":[["2019"]]},"page":"248-254","publisher":"Elsevier B.V.","title":"Interaction between Mediterranean diet and statins on mortality risk in patients with cardiovascular disease: Findings from the Moli-sani Study","type":"article-journal","volume":"276"},"uris":["http://www.mendeley.com/documents/?uuid=ea74e247-a27e-482f-adf1-e9f76342011e"]}],"mendeley":{"formattedCitation":"[15]","plainTextFormattedCitation":"[15]","previouslyFormattedCitation":"&lt;sup&gt;15&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[15]</w:t>
      </w:r>
      <w:r w:rsidRPr="00FE21A1">
        <w:rPr>
          <w:rFonts w:ascii="Times New Roman" w:hAnsi="Times New Roman"/>
          <w:sz w:val="24"/>
          <w:szCs w:val="24"/>
        </w:rPr>
        <w:fldChar w:fldCharType="end"/>
      </w:r>
      <w:r w:rsidRPr="00FE21A1">
        <w:rPr>
          <w:rFonts w:ascii="Times New Roman" w:hAnsi="Times New Roman"/>
          <w:sz w:val="24"/>
          <w:szCs w:val="24"/>
        </w:rPr>
        <w:t>. Non-cardiovascular and non-cancer causes of death were included in death events for all causes</w:t>
      </w:r>
      <w:r w:rsidR="00E10874" w:rsidRPr="00FE21A1">
        <w:rPr>
          <w:rFonts w:ascii="Times New Roman" w:hAnsi="Times New Roman"/>
          <w:sz w:val="24"/>
          <w:szCs w:val="24"/>
        </w:rPr>
        <w:t xml:space="preserve">, including mortality </w:t>
      </w:r>
      <w:r w:rsidR="00F95798">
        <w:rPr>
          <w:rFonts w:ascii="Times New Roman" w:hAnsi="Times New Roman"/>
          <w:sz w:val="24"/>
          <w:szCs w:val="24"/>
        </w:rPr>
        <w:t>for</w:t>
      </w:r>
      <w:r w:rsidR="00E10874" w:rsidRPr="00FE21A1">
        <w:rPr>
          <w:rFonts w:ascii="Times New Roman" w:hAnsi="Times New Roman"/>
          <w:sz w:val="24"/>
          <w:szCs w:val="24"/>
        </w:rPr>
        <w:t xml:space="preserve"> type 2 diabetes (ICD-9 code 250), due to the paucity of events attributed to this cause in the analysed sub-cohort (6).</w:t>
      </w:r>
    </w:p>
    <w:p w14:paraId="48DDCADE" w14:textId="79465E22" w:rsidR="00F913E5" w:rsidRPr="00FE21A1" w:rsidRDefault="00F913E5" w:rsidP="00886DBC">
      <w:pPr>
        <w:autoSpaceDE w:val="0"/>
        <w:autoSpaceDN w:val="0"/>
        <w:adjustRightInd w:val="0"/>
        <w:spacing w:after="120" w:line="480" w:lineRule="auto"/>
        <w:jc w:val="both"/>
        <w:rPr>
          <w:rFonts w:ascii="Times New Roman" w:hAnsi="Times New Roman"/>
          <w:sz w:val="24"/>
          <w:szCs w:val="24"/>
        </w:rPr>
      </w:pPr>
      <w:r w:rsidRPr="00FE21A1">
        <w:rPr>
          <w:rFonts w:ascii="Times New Roman" w:hAnsi="Times New Roman"/>
          <w:sz w:val="24"/>
          <w:szCs w:val="24"/>
        </w:rPr>
        <w:t>First hospital admissions were recorded by direct linkage with the Molise regional registry of hospital discharge records (HDR), updated to December 31</w:t>
      </w:r>
      <w:r w:rsidRPr="00FE21A1">
        <w:rPr>
          <w:rFonts w:ascii="Times New Roman" w:hAnsi="Times New Roman"/>
          <w:sz w:val="24"/>
          <w:szCs w:val="24"/>
          <w:vertAlign w:val="superscript"/>
        </w:rPr>
        <w:t>st</w:t>
      </w:r>
      <w:r w:rsidRPr="00FE21A1">
        <w:rPr>
          <w:rFonts w:ascii="Times New Roman" w:hAnsi="Times New Roman"/>
          <w:sz w:val="24"/>
          <w:szCs w:val="24"/>
        </w:rPr>
        <w:t xml:space="preserve">, 2015, as </w:t>
      </w:r>
      <w:r w:rsidR="0092304E">
        <w:rPr>
          <w:rFonts w:ascii="Times New Roman" w:hAnsi="Times New Roman"/>
          <w:sz w:val="24"/>
          <w:szCs w:val="24"/>
        </w:rPr>
        <w:t>previously</w:t>
      </w:r>
      <w:r w:rsidR="0092304E" w:rsidRPr="00FE21A1">
        <w:rPr>
          <w:rFonts w:ascii="Times New Roman" w:hAnsi="Times New Roman"/>
          <w:sz w:val="24"/>
          <w:szCs w:val="24"/>
        </w:rPr>
        <w:t xml:space="preserve"> </w:t>
      </w:r>
      <w:r w:rsidRPr="00FE21A1">
        <w:rPr>
          <w:rFonts w:ascii="Times New Roman" w:hAnsi="Times New Roman"/>
          <w:sz w:val="24"/>
          <w:szCs w:val="24"/>
        </w:rPr>
        <w:t>described</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{"citationItems":[{"id":"ITEM-1","itemData":{"DOI":"10.1111/add.14490","ISSN":"13600443","abstract":"Background and aims Epidemiological evidence on the impact of different\nalcohol drinking patterns on health-care systems or hospitalizations is\nsparse. We investigated how the different average volumes of alcohol\nconsumed relate to all-cause and cause-specific hospitalizations. Design\nProspective cohort study (baseline 2005-10) linked to a registry of\nhospital discharge records to identify hospitalizations at follow-up\n(December 2013). Setting Molise region, Italy. Participants A total of\n20 682 individuals (48% men, age &gt;= 35 years) who participated in the\nMoli-sani Study and were free from cardiovascular disease or cancer at\nbaseline. Measurements The alcohol volume consumed in the year before\nenrolment was classified as: life-time abstainers, former drinkers,\noccasional drinkers and current drinkers who drank 1-12 (referent),\n12.1-24, 24.1-48 and &gt; 48 g/day of alcohol. Cause-specific\nhospitalizations were assigned by Italian Diagnosis Related Groups\nclassification or by ICD-9 code of main admission diagnoses. Incidence\nrate ratios (IRR) of hospitalization were estimated by Poisson\nregression, taking into account the total number of admissions that\noccurred during the follow-up per person. Findings During a median\nfollow-up of 6.3 years, 12 996 multiple hospital admissions occurred. In\nmultivariable analyses, life-time abstainers and former drinkers had\nhigher rates of all-cause {[}IRR = 1.11, 95% confidence interval (CI) =\n1.05-1.17 and IRR = 1.19, 95% CI = 1.02-1.31, respectively] and\nvascular (IRR = 1.14, 95% CI = 1.02-1.27 and IRR = 1.48, 95% CI =\n1.24-1.76, respectively) hospitalizations compared with light alcohol\nconsumers. Alcohol consumption &gt; 48 g/day was associated with a higher\nrate of hospitalization for both alcohol-related diseases (IRR = 1.74,\n95% CI = 1.32-2.29) and cancer (IRR = 1.36, 95% CI = 1.12-1.65). The\nmagnitude of the association between heavier alcohol intake and\nhospitalization tended to be greater in smokers than non-smokers. No\nassociations were observed with hospitalization for trauma or\nneurodegenerative diseases. Conclusions Moderate alcohol consumption\nappears to have a modest but complex impact on global hospitalization\nburden. Heavier drinkers have a higher rate of hospitalization for all\ncauses, including alcohol-related diseases and cancer, a risk that\nappears to be further magnified by concurrent smoking.","author":[{"dropping-particle":"","family":"Costanzo","given":"Simona","non-dropping-particle":"","parse-names":false,"suffix":""},{"dropping-particle":"","family":"Mukamal","given":"Kenneth J.","non-dropping-particle":"","parse-names":false,"suffix":""},{"dropping-particle":"","family":"Castelnuovo","given":"Augusto","non-dropping-particle":"Di","parse-names":false,"suffix":""},{"dropping-particle":"","family":"Bonaccio","given":"Marialaura","non-dropping-particle":"","parse-names":false,"suffix":""},{"dropping-particle":"","family":"Olivieri","given":"Marco","non-dropping-particle":"","parse-names":false,"suffix":""},{"dropping-particle":"","family":"Persichillo","given":"Mariarosaria","non-dropping-particle":"","parse-names":false,"suffix":""},{"dropping-particle":"","family":"Curtis","given":"Amalia","non-dropping-particle":"D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Addiction","id":"ITEM-1","issue":"4","issued":{"date-parts":[["2019"]]},"page":"636-650","title":"Alcohol consumption and hospitalization burden in an adult Italian population: prospective results from the Moli-sani study","type":"article-journal","volume":"114"},"uris":["http://www.mendeley.com/documents/?uuid=ba0f4bcd-e66f-449d-afc3-c45188f45542"]}],"mendeley":{"formattedCitation":"[9]","plainTextFormattedCitation":"[9]","previouslyFormattedCitation":"&lt;sup&gt;9&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[9]</w:t>
      </w:r>
      <w:r w:rsidRPr="00FE21A1">
        <w:rPr>
          <w:rFonts w:ascii="Times New Roman" w:hAnsi="Times New Roman"/>
          <w:sz w:val="24"/>
          <w:szCs w:val="24"/>
        </w:rPr>
        <w:fldChar w:fldCharType="end"/>
      </w:r>
      <w:r w:rsidRPr="00FE21A1">
        <w:rPr>
          <w:rFonts w:ascii="Times New Roman" w:hAnsi="Times New Roman"/>
          <w:sz w:val="24"/>
          <w:szCs w:val="24"/>
        </w:rPr>
        <w:t xml:space="preserve">. Regional HDRs include hospitalizations of all citizens </w:t>
      </w:r>
      <w:r w:rsidR="004544F1">
        <w:rPr>
          <w:rFonts w:ascii="Times New Roman" w:hAnsi="Times New Roman"/>
          <w:sz w:val="24"/>
          <w:szCs w:val="24"/>
        </w:rPr>
        <w:t>living</w:t>
      </w:r>
      <w:r w:rsidRPr="00FE21A1">
        <w:rPr>
          <w:rFonts w:ascii="Times New Roman" w:hAnsi="Times New Roman"/>
          <w:sz w:val="24"/>
          <w:szCs w:val="24"/>
        </w:rPr>
        <w:t xml:space="preserve"> in a given region, from both private and public </w:t>
      </w:r>
      <w:r w:rsidRPr="00FE21A1">
        <w:rPr>
          <w:rFonts w:ascii="Times New Roman" w:hAnsi="Times New Roman"/>
          <w:sz w:val="24"/>
          <w:szCs w:val="24"/>
        </w:rPr>
        <w:lastRenderedPageBreak/>
        <w:t>hospitals, and present summary records for each hospital stay including patient demographics, clinical and administrative/financial information about the hospitalization. A hospitalization was defined as any stay lasting ≥ 24 hours in any hospital, clinic, emergency room or similar, except for diabetes (see below). If a patient was transferred to another hospital or facility, a single hospitalization was counted</w:t>
      </w:r>
      <w:r w:rsidRPr="00FE21A1">
        <w:rPr>
          <w:rFonts w:ascii="Times New Roman" w:hAnsi="Times New Roman"/>
          <w:i/>
          <w:sz w:val="24"/>
          <w:szCs w:val="24"/>
        </w:rPr>
        <w:t>.</w:t>
      </w:r>
      <w:r w:rsidRPr="00FE21A1">
        <w:rPr>
          <w:rFonts w:ascii="Times New Roman" w:hAnsi="Times New Roman"/>
          <w:sz w:val="24"/>
          <w:szCs w:val="24"/>
        </w:rPr>
        <w:t xml:space="preserve"> Primary and secondary diagnoses for hospitalization were coded using ICD-9 and Major Diagnostic Categories (MDC) of the Italian Diagnosis Related Groups classification (version 24), and </w:t>
      </w:r>
      <w:r w:rsidR="00886DBC" w:rsidRPr="00FE21A1">
        <w:rPr>
          <w:rFonts w:ascii="Times New Roman" w:hAnsi="Times New Roman"/>
          <w:sz w:val="24"/>
          <w:szCs w:val="24"/>
        </w:rPr>
        <w:t xml:space="preserve">were </w:t>
      </w:r>
      <w:r w:rsidRPr="00FE21A1">
        <w:rPr>
          <w:rFonts w:ascii="Times New Roman" w:hAnsi="Times New Roman"/>
          <w:sz w:val="24"/>
          <w:szCs w:val="24"/>
        </w:rPr>
        <w:t>elected as cause of hospitalization accordingly</w:t>
      </w:r>
      <w:r w:rsidRPr="00FE21A1">
        <w:rPr>
          <w:rFonts w:ascii="Times New Roman" w:hAnsi="Times New Roman"/>
          <w:sz w:val="24"/>
          <w:szCs w:val="24"/>
        </w:rPr>
        <w:fldChar w:fldCharType="begin" w:fldLock="1"/>
      </w:r>
      <w:r w:rsidR="0091230F">
        <w:rPr>
          <w:rFonts w:ascii="Times New Roman" w:hAnsi="Times New Roman"/>
          <w:sz w:val="24"/>
          <w:szCs w:val="24"/>
        </w:rPr>
        <w:instrText>ADDIN CSL_CITATION {"citationItems":[{"id":"ITEM-1","itemData":{"DOI":"10.1111/add.14490","ISSN":"13600443","abstract":"Background and aims Epidemiological evidence on the impact of different\nalcohol drinking patterns on health-care systems or hospitalizations is\nsparse. We investigated how the different average volumes of alcohol\nconsumed relate to all-cause and cause-specific hospitalizations. Design\nProspective cohort study (baseline 2005-10) linked to a registry of\nhospital discharge records to identify hospitalizations at follow-up\n(December 2013). Setting Molise region, Italy. Participants A total of\n20 682 individuals (48% men, age &gt;= 35 years) who participated in the\nMoli-sani Study and were free from cardiovascular disease or cancer at\nbaseline. Measurements The alcohol volume consumed in the year before\nenrolment was classified as: life-time abstainers, former drinkers,\noccasional drinkers and current drinkers who drank 1-12 (referent),\n12.1-24, 24.1-48 and &gt; 48 g/day of alcohol. Cause-specific\nhospitalizations were assigned by Italian Diagnosis Related Groups\nclassification or by ICD-9 code of main admission diagnoses. Incidence\nrate ratios (IRR) of hospitalization were estimated by Poisson\nregression, taking into account the total number of admissions that\noccurred during the follow-up per person. Findings During a median\nfollow-up of 6.3 years, 12 996 multiple hospital admissions occurred. In\nmultivariable analyses, life-time abstainers and former drinkers had\nhigher rates of all-cause {[}IRR = 1.11, 95% confidence interval (CI) =\n1.05-1.17 and IRR = 1.19, 95% CI = 1.02-1.31, respectively] and\nvascular (IRR = 1.14, 95% CI = 1.02-1.27 and IRR = 1.48, 95% CI =\n1.24-1.76, respectively) hospitalizations compared with light alcohol\nconsumers. Alcohol consumption &gt; 48 g/day was associated with a higher\nrate of hospitalization for both alcohol-related diseases (IRR = 1.74,\n95% CI = 1.32-2.29) and cancer (IRR = 1.36, 95% CI = 1.12-1.65). The\nmagnitude of the association between heavier alcohol intake and\nhospitalization tended to be greater in smokers than non-smokers. No\nassociations were observed with hospitalization for trauma or\nneurodegenerative diseases. Conclusions Moderate alcohol consumption\nappears to have a modest but complex impact on global hospitalization\nburden. Heavier drinkers have a higher rate of hospitalization for all\ncauses, including alcohol-related diseases and cancer, a risk that\nappears to be further magnified by concurrent smoking.","author":[{"dropping-particle":"","family":"Costanzo","given":"Simona","non-dropping-particle":"","parse-names":false,"suffix":""},{"dropping-particle":"","family":"Mukamal","given":"Kenneth J.","non-dropping-particle":"","parse-names":false,"suffix":""},{"dropping-particle":"","family":"Castelnuovo","given":"Augusto","non-dropping-particle":"Di","parse-names":false,"suffix":""},{"dropping-particle":"","family":"Bonaccio","given":"Marialaura","non-dropping-particle":"","parse-names":false,"suffix":""},{"dropping-particle":"","family":"Olivieri","given":"Marco","non-dropping-particle":"","parse-names":false,"suffix":""},{"dropping-particle":"","family":"Persichillo","given":"Mariarosaria","non-dropping-particle":"","parse-names":false,"suffix":""},{"dropping-particle":"","family":"Curtis","given":"Amalia","non-dropping-particle":"D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Addiction","id":"ITEM-1","issue":"4","issued":{"date-parts":[["2019"]]},"page":"636-650","title":"Alcohol consumption and hospitalization burden in an adult Italian population: prospective results from the Moli-sani study","type":"article-journal","volume":"114"},"uris":["http://www.mendeley.com/documents/?uuid=ba0f4bcd-e66f-449d-afc3-c45188f45542"]}],"mendeley":{"formattedCitation":"[9]","plainTextFormattedCitation":"[9]","previouslyFormattedCitation":"&lt;sup&gt;9&lt;/sup&gt;"},"properties":{"noteIndex":0},"schema":"https://github.com/citation-style-language/schema/raw/master/csl-citation.json"}</w:instrText>
      </w:r>
      <w:r w:rsidRPr="00FE21A1">
        <w:rPr>
          <w:rFonts w:ascii="Times New Roman" w:hAnsi="Times New Roman"/>
          <w:sz w:val="24"/>
          <w:szCs w:val="24"/>
        </w:rPr>
        <w:fldChar w:fldCharType="separate"/>
      </w:r>
      <w:r w:rsidR="0091230F" w:rsidRPr="0091230F">
        <w:rPr>
          <w:rFonts w:ascii="Times New Roman" w:hAnsi="Times New Roman"/>
          <w:noProof/>
          <w:sz w:val="24"/>
          <w:szCs w:val="24"/>
        </w:rPr>
        <w:t>[9]</w:t>
      </w:r>
      <w:r w:rsidRPr="00FE21A1">
        <w:rPr>
          <w:rFonts w:ascii="Times New Roman" w:hAnsi="Times New Roman"/>
          <w:sz w:val="24"/>
          <w:szCs w:val="24"/>
        </w:rPr>
        <w:fldChar w:fldCharType="end"/>
      </w:r>
      <w:r w:rsidRPr="00FE21A1">
        <w:rPr>
          <w:rFonts w:ascii="Times New Roman" w:hAnsi="Times New Roman"/>
          <w:sz w:val="24"/>
          <w:szCs w:val="24"/>
        </w:rPr>
        <w:t>. In the present study, we focused on hospitalization events for all causes, excluding pregnancy complications, childbirth, rehabilitation, chemotherapy and/or radiotherapy. Also, we analysed hospitalizations for specific causes, namely cardiovascular disease (defined as primary diagnosis MDC: 05, or ICD-9: 390-459 and MDC: 01/05), ischemic heart disease (primary diagnosis ICD-9: 410-414, or surgical procedure with ICD-9: 36</w:t>
      </w:r>
      <w:r w:rsidR="00125E06">
        <w:rPr>
          <w:rFonts w:ascii="Times New Roman" w:hAnsi="Times New Roman"/>
          <w:sz w:val="24"/>
          <w:szCs w:val="24"/>
        </w:rPr>
        <w:t>.</w:t>
      </w:r>
      <w:r w:rsidRPr="00FE21A1">
        <w:rPr>
          <w:rFonts w:ascii="Times New Roman" w:hAnsi="Times New Roman"/>
          <w:sz w:val="24"/>
          <w:szCs w:val="24"/>
        </w:rPr>
        <w:t>0-36</w:t>
      </w:r>
      <w:r w:rsidR="00125E06">
        <w:rPr>
          <w:rFonts w:ascii="Times New Roman" w:hAnsi="Times New Roman"/>
          <w:sz w:val="24"/>
          <w:szCs w:val="24"/>
        </w:rPr>
        <w:t>.</w:t>
      </w:r>
      <w:r w:rsidRPr="00FE21A1">
        <w:rPr>
          <w:rFonts w:ascii="Times New Roman" w:hAnsi="Times New Roman"/>
          <w:sz w:val="24"/>
          <w:szCs w:val="24"/>
        </w:rPr>
        <w:t>1), cerebrovascular events (primary diagnosis ICD-9: 430-434,436-438, or surgical procedure with ICD-9: 38</w:t>
      </w:r>
      <w:r w:rsidR="00125E06">
        <w:rPr>
          <w:rFonts w:ascii="Times New Roman" w:hAnsi="Times New Roman"/>
          <w:sz w:val="24"/>
          <w:szCs w:val="24"/>
        </w:rPr>
        <w:t>.</w:t>
      </w:r>
      <w:r w:rsidRPr="00FE21A1">
        <w:rPr>
          <w:rFonts w:ascii="Times New Roman" w:hAnsi="Times New Roman"/>
          <w:sz w:val="24"/>
          <w:szCs w:val="24"/>
        </w:rPr>
        <w:t>12)</w:t>
      </w:r>
      <w:r w:rsidR="00886DBC" w:rsidRPr="00FE21A1">
        <w:rPr>
          <w:rFonts w:ascii="Times New Roman" w:hAnsi="Times New Roman"/>
          <w:sz w:val="24"/>
          <w:szCs w:val="24"/>
        </w:rPr>
        <w:t>, cancer (primary or first secondary diagnosis ICD-9: 140-172, 174-208; and MDC codes specific for malignant neoplasm procedures),</w:t>
      </w:r>
      <w:r w:rsidRPr="00FE21A1">
        <w:rPr>
          <w:rFonts w:ascii="Times New Roman" w:hAnsi="Times New Roman"/>
          <w:sz w:val="24"/>
          <w:szCs w:val="24"/>
        </w:rPr>
        <w:t xml:space="preserve"> and type 2 diabetes (primary diagnosis ICD-9: 250, which included day hospital).</w:t>
      </w:r>
      <w:r w:rsidR="00886DBC" w:rsidRPr="00FE21A1">
        <w:rPr>
          <w:rFonts w:ascii="Times New Roman" w:hAnsi="Times New Roman"/>
          <w:sz w:val="24"/>
          <w:szCs w:val="24"/>
        </w:rPr>
        <w:t xml:space="preserve"> In the case of hospitalizations, diabetes was analysed separately thanks to the availability of a sufficient number of events (80).</w:t>
      </w:r>
    </w:p>
    <w:p w14:paraId="7527D860" w14:textId="14A4D7EF" w:rsidR="00413430" w:rsidRPr="00FE21A1" w:rsidRDefault="00413430" w:rsidP="00413430">
      <w:pPr>
        <w:spacing w:after="120" w:line="360" w:lineRule="auto"/>
        <w:jc w:val="center"/>
        <w:rPr>
          <w:rFonts w:ascii="Times New Roman" w:hAnsi="Times New Roman"/>
          <w:b/>
          <w:sz w:val="24"/>
          <w:szCs w:val="24"/>
          <w:lang w:val="en-US"/>
        </w:rPr>
      </w:pPr>
    </w:p>
    <w:p w14:paraId="12FCA572" w14:textId="0163D40B" w:rsidR="00413430" w:rsidRPr="00FE21A1" w:rsidRDefault="00413430" w:rsidP="00413430">
      <w:pPr>
        <w:spacing w:after="120" w:line="360" w:lineRule="auto"/>
        <w:jc w:val="center"/>
        <w:rPr>
          <w:rFonts w:ascii="Times New Roman" w:hAnsi="Times New Roman"/>
          <w:b/>
          <w:sz w:val="24"/>
          <w:szCs w:val="24"/>
          <w:lang w:val="en-US"/>
        </w:rPr>
      </w:pPr>
    </w:p>
    <w:p w14:paraId="6DCA645D" w14:textId="176CCF95" w:rsidR="00413430" w:rsidRDefault="00413430" w:rsidP="00413430">
      <w:pPr>
        <w:spacing w:after="120" w:line="360" w:lineRule="auto"/>
        <w:jc w:val="center"/>
        <w:rPr>
          <w:rFonts w:ascii="Times New Roman" w:hAnsi="Times New Roman"/>
          <w:b/>
          <w:sz w:val="24"/>
          <w:szCs w:val="24"/>
          <w:lang w:val="en-US"/>
        </w:rPr>
      </w:pPr>
    </w:p>
    <w:p w14:paraId="44643369" w14:textId="53152A65" w:rsidR="004544F1" w:rsidRDefault="004544F1" w:rsidP="00413430">
      <w:pPr>
        <w:spacing w:after="120" w:line="360" w:lineRule="auto"/>
        <w:jc w:val="center"/>
        <w:rPr>
          <w:rFonts w:ascii="Times New Roman" w:hAnsi="Times New Roman"/>
          <w:b/>
          <w:sz w:val="24"/>
          <w:szCs w:val="24"/>
          <w:lang w:val="en-US"/>
        </w:rPr>
      </w:pPr>
    </w:p>
    <w:p w14:paraId="6E084A11" w14:textId="4F0E6529" w:rsidR="004544F1" w:rsidRDefault="004544F1" w:rsidP="00413430">
      <w:pPr>
        <w:spacing w:after="120" w:line="360" w:lineRule="auto"/>
        <w:jc w:val="center"/>
        <w:rPr>
          <w:rFonts w:ascii="Times New Roman" w:hAnsi="Times New Roman"/>
          <w:b/>
          <w:sz w:val="24"/>
          <w:szCs w:val="24"/>
          <w:lang w:val="en-US"/>
        </w:rPr>
      </w:pPr>
    </w:p>
    <w:p w14:paraId="764BC0D0" w14:textId="5330F37B" w:rsidR="004544F1" w:rsidRDefault="004544F1" w:rsidP="00413430">
      <w:pPr>
        <w:spacing w:after="120" w:line="360" w:lineRule="auto"/>
        <w:jc w:val="center"/>
        <w:rPr>
          <w:rFonts w:ascii="Times New Roman" w:hAnsi="Times New Roman"/>
          <w:b/>
          <w:sz w:val="24"/>
          <w:szCs w:val="24"/>
          <w:lang w:val="en-US"/>
        </w:rPr>
      </w:pPr>
    </w:p>
    <w:p w14:paraId="17F9A2B5" w14:textId="77777777" w:rsidR="004544F1" w:rsidRDefault="004544F1" w:rsidP="00413430">
      <w:pPr>
        <w:spacing w:after="120" w:line="360" w:lineRule="auto"/>
        <w:jc w:val="center"/>
        <w:rPr>
          <w:rFonts w:ascii="Times New Roman" w:hAnsi="Times New Roman"/>
          <w:b/>
          <w:sz w:val="24"/>
          <w:szCs w:val="24"/>
          <w:lang w:val="en-US"/>
        </w:rPr>
      </w:pPr>
    </w:p>
    <w:p w14:paraId="26DAB510" w14:textId="2F60E5FA" w:rsidR="00B274D5" w:rsidRDefault="00B274D5" w:rsidP="00413430">
      <w:pPr>
        <w:spacing w:after="120" w:line="360" w:lineRule="auto"/>
        <w:jc w:val="center"/>
        <w:rPr>
          <w:rFonts w:ascii="Times New Roman" w:hAnsi="Times New Roman"/>
          <w:b/>
          <w:sz w:val="24"/>
          <w:szCs w:val="24"/>
          <w:lang w:val="en-US"/>
        </w:rPr>
      </w:pPr>
    </w:p>
    <w:p w14:paraId="33638662" w14:textId="0C2719EC" w:rsidR="00B274D5" w:rsidRDefault="00B274D5" w:rsidP="00413430">
      <w:pPr>
        <w:spacing w:after="120" w:line="360" w:lineRule="auto"/>
        <w:jc w:val="center"/>
        <w:rPr>
          <w:rFonts w:ascii="Times New Roman" w:hAnsi="Times New Roman"/>
          <w:b/>
          <w:sz w:val="24"/>
          <w:szCs w:val="24"/>
          <w:lang w:val="en-US"/>
        </w:rPr>
      </w:pPr>
    </w:p>
    <w:p w14:paraId="531A2EAD" w14:textId="77777777" w:rsidR="00B274D5" w:rsidRPr="00FE21A1" w:rsidRDefault="00B274D5" w:rsidP="00413430">
      <w:pPr>
        <w:spacing w:after="120" w:line="360" w:lineRule="auto"/>
        <w:jc w:val="center"/>
        <w:rPr>
          <w:rFonts w:ascii="Times New Roman" w:hAnsi="Times New Roman"/>
          <w:b/>
          <w:sz w:val="24"/>
          <w:szCs w:val="24"/>
          <w:lang w:val="en-US"/>
        </w:rPr>
      </w:pPr>
    </w:p>
    <w:p w14:paraId="67D8160A" w14:textId="6B3DDD13" w:rsidR="00413430" w:rsidRDefault="007B5175" w:rsidP="00413430">
      <w:pPr>
        <w:spacing w:after="120"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F</w:t>
      </w:r>
      <w:r w:rsidR="00413430" w:rsidRPr="00FE21A1">
        <w:rPr>
          <w:rFonts w:ascii="Times New Roman" w:hAnsi="Times New Roman"/>
          <w:b/>
          <w:sz w:val="24"/>
          <w:szCs w:val="24"/>
          <w:lang w:val="en-US"/>
        </w:rPr>
        <w:t>igure S1. Correlation plot of the 36 blood markers tested and Chronological Age (CA) within the population of study (N=23,858).</w:t>
      </w:r>
    </w:p>
    <w:p w14:paraId="3F57155E" w14:textId="77777777" w:rsidR="007B5175" w:rsidRPr="00FE21A1" w:rsidRDefault="007B5175" w:rsidP="00413430">
      <w:pPr>
        <w:spacing w:after="120" w:line="360" w:lineRule="auto"/>
        <w:jc w:val="center"/>
        <w:rPr>
          <w:rFonts w:ascii="Times New Roman" w:hAnsi="Times New Roman"/>
          <w:b/>
          <w:sz w:val="24"/>
          <w:szCs w:val="24"/>
          <w:lang w:val="en-US"/>
        </w:rPr>
      </w:pPr>
    </w:p>
    <w:p w14:paraId="06698ADF" w14:textId="2BFDB389" w:rsidR="009D1179" w:rsidRPr="0086296D" w:rsidRDefault="00A57FA4" w:rsidP="0086296D">
      <w:pPr>
        <w:spacing w:after="120" w:line="360" w:lineRule="auto"/>
        <w:jc w:val="center"/>
        <w:rPr>
          <w:rFonts w:ascii="Times New Roman" w:hAnsi="Times New Roman"/>
          <w:b/>
          <w:sz w:val="24"/>
          <w:szCs w:val="24"/>
          <w:lang w:val="en-US"/>
        </w:rPr>
      </w:pPr>
      <w:r>
        <w:rPr>
          <w:noProof/>
          <w:lang w:val="it-IT" w:eastAsia="it-IT"/>
        </w:rPr>
        <w:drawing>
          <wp:inline distT="0" distB="0" distL="0" distR="0" wp14:anchorId="1B9DF0C9" wp14:editId="16498E1A">
            <wp:extent cx="5104800" cy="4694400"/>
            <wp:effectExtent l="19050" t="19050" r="1968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2760" t="23742" b="14285"/>
                    <a:stretch/>
                  </pic:blipFill>
                  <pic:spPr bwMode="auto">
                    <a:xfrm>
                      <a:off x="0" y="0"/>
                      <a:ext cx="5104800" cy="4694400"/>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E185944" w14:textId="77777777" w:rsidR="009F18FD" w:rsidRDefault="009F18FD" w:rsidP="00EF59F8">
      <w:pPr>
        <w:spacing w:line="360" w:lineRule="auto"/>
        <w:jc w:val="both"/>
        <w:rPr>
          <w:rFonts w:ascii="Times New Roman" w:hAnsi="Times New Roman"/>
          <w:bCs/>
          <w:sz w:val="24"/>
          <w:szCs w:val="24"/>
          <w:lang w:val="en-US"/>
        </w:rPr>
      </w:pPr>
    </w:p>
    <w:p w14:paraId="424743C3" w14:textId="337F84D9" w:rsidR="00EF59F8" w:rsidRPr="00FE21A1" w:rsidRDefault="00413430" w:rsidP="00EF59F8">
      <w:pPr>
        <w:spacing w:line="360" w:lineRule="auto"/>
        <w:jc w:val="both"/>
        <w:rPr>
          <w:rFonts w:ascii="Times New Roman" w:hAnsi="Times New Roman"/>
          <w:sz w:val="24"/>
          <w:szCs w:val="24"/>
          <w:lang w:val="en-US"/>
        </w:rPr>
      </w:pPr>
      <w:r w:rsidRPr="00FE21A1">
        <w:rPr>
          <w:rFonts w:ascii="Times New Roman" w:hAnsi="Times New Roman"/>
          <w:bCs/>
          <w:sz w:val="24"/>
          <w:szCs w:val="24"/>
          <w:lang w:val="en-US"/>
        </w:rPr>
        <w:t xml:space="preserve">Pairwise </w:t>
      </w:r>
      <w:proofErr w:type="spellStart"/>
      <w:r w:rsidRPr="00FE21A1">
        <w:rPr>
          <w:rFonts w:ascii="Times New Roman" w:hAnsi="Times New Roman"/>
          <w:bCs/>
          <w:sz w:val="24"/>
          <w:szCs w:val="24"/>
          <w:lang w:val="en-US"/>
        </w:rPr>
        <w:t>Pearsons’s</w:t>
      </w:r>
      <w:proofErr w:type="spellEnd"/>
      <w:r w:rsidRPr="00FE21A1">
        <w:rPr>
          <w:rFonts w:ascii="Times New Roman" w:hAnsi="Times New Roman"/>
          <w:bCs/>
          <w:sz w:val="24"/>
          <w:szCs w:val="24"/>
          <w:lang w:val="en-US"/>
        </w:rPr>
        <w:t xml:space="preserve"> r correlation coefficients are displayed through color intensities (blue for positive and red for negative correlations). </w:t>
      </w:r>
      <w:r w:rsidR="00EF59F8" w:rsidRPr="00FE21A1">
        <w:rPr>
          <w:rFonts w:ascii="Times New Roman" w:hAnsi="Times New Roman"/>
          <w:sz w:val="24"/>
          <w:szCs w:val="24"/>
          <w:lang w:val="en-US"/>
        </w:rPr>
        <w:t>Abbreviations: NT-</w:t>
      </w:r>
      <w:proofErr w:type="spellStart"/>
      <w:r w:rsidR="00EF59F8" w:rsidRPr="00FE21A1">
        <w:rPr>
          <w:rFonts w:ascii="Times New Roman" w:hAnsi="Times New Roman"/>
          <w:sz w:val="24"/>
          <w:szCs w:val="24"/>
          <w:lang w:val="en-US"/>
        </w:rPr>
        <w:t>proBNP</w:t>
      </w:r>
      <w:proofErr w:type="spellEnd"/>
      <w:r w:rsidR="00EF59F8" w:rsidRPr="00FE21A1">
        <w:rPr>
          <w:rFonts w:ascii="Times New Roman" w:hAnsi="Times New Roman"/>
          <w:sz w:val="24"/>
          <w:szCs w:val="24"/>
          <w:lang w:val="en-US"/>
        </w:rPr>
        <w:t xml:space="preserve"> = </w:t>
      </w:r>
      <w:r w:rsidR="0067700E">
        <w:rPr>
          <w:rFonts w:ascii="Times New Roman" w:hAnsi="Times New Roman"/>
          <w:sz w:val="24"/>
          <w:szCs w:val="24"/>
          <w:lang w:val="en-US"/>
        </w:rPr>
        <w:t>N-Terminal Pro-B-Type Natriuretic Peptide</w:t>
      </w:r>
      <w:r w:rsidR="00EF59F8" w:rsidRPr="00FE21A1">
        <w:rPr>
          <w:rFonts w:ascii="Times New Roman" w:hAnsi="Times New Roman"/>
          <w:sz w:val="24"/>
          <w:szCs w:val="24"/>
          <w:lang w:val="en-US"/>
        </w:rPr>
        <w:t xml:space="preserve">; ALT = alanine aminotransferase; AST = aspartate transaminase; HDL/LDL = high/low density lipoprotein; </w:t>
      </w:r>
      <w:proofErr w:type="spellStart"/>
      <w:r w:rsidR="00EF59F8" w:rsidRPr="00FE21A1">
        <w:rPr>
          <w:rFonts w:ascii="Times New Roman" w:hAnsi="Times New Roman"/>
          <w:sz w:val="24"/>
          <w:szCs w:val="24"/>
          <w:lang w:val="en-US"/>
        </w:rPr>
        <w:t>Lp</w:t>
      </w:r>
      <w:proofErr w:type="spellEnd"/>
      <w:r w:rsidR="00EF59F8" w:rsidRPr="00FE21A1">
        <w:rPr>
          <w:rFonts w:ascii="Times New Roman" w:hAnsi="Times New Roman"/>
          <w:sz w:val="24"/>
          <w:szCs w:val="24"/>
          <w:lang w:val="en-US"/>
        </w:rPr>
        <w:t>(a) = lipoprotein-a; Apo-A</w:t>
      </w:r>
      <w:r w:rsidR="009132FA">
        <w:rPr>
          <w:rFonts w:ascii="Times New Roman" w:hAnsi="Times New Roman"/>
          <w:sz w:val="24"/>
          <w:szCs w:val="24"/>
          <w:lang w:val="en-US"/>
        </w:rPr>
        <w:t>1</w:t>
      </w:r>
      <w:r w:rsidR="00EF59F8" w:rsidRPr="00FE21A1">
        <w:rPr>
          <w:rFonts w:ascii="Times New Roman" w:hAnsi="Times New Roman"/>
          <w:sz w:val="24"/>
          <w:szCs w:val="24"/>
          <w:lang w:val="en-US"/>
        </w:rPr>
        <w:t>/-B = apolipoprotein A</w:t>
      </w:r>
      <w:r w:rsidR="009132FA">
        <w:rPr>
          <w:rFonts w:ascii="Times New Roman" w:hAnsi="Times New Roman"/>
          <w:sz w:val="24"/>
          <w:szCs w:val="24"/>
          <w:lang w:val="en-US"/>
        </w:rPr>
        <w:t>1</w:t>
      </w:r>
      <w:r w:rsidR="00EF59F8" w:rsidRPr="00FE21A1">
        <w:rPr>
          <w:rFonts w:ascii="Times New Roman" w:hAnsi="Times New Roman"/>
          <w:sz w:val="24"/>
          <w:szCs w:val="24"/>
          <w:lang w:val="en-US"/>
        </w:rPr>
        <w:t xml:space="preserve">/B; </w:t>
      </w:r>
      <w:proofErr w:type="spellStart"/>
      <w:r w:rsidR="00EF59F8" w:rsidRPr="00FE21A1">
        <w:rPr>
          <w:rFonts w:ascii="Times New Roman" w:hAnsi="Times New Roman"/>
          <w:sz w:val="24"/>
          <w:szCs w:val="24"/>
          <w:lang w:val="en-US"/>
        </w:rPr>
        <w:t>VitD</w:t>
      </w:r>
      <w:proofErr w:type="spellEnd"/>
      <w:r w:rsidR="00EF59F8" w:rsidRPr="00FE21A1">
        <w:rPr>
          <w:rFonts w:ascii="Times New Roman" w:hAnsi="Times New Roman"/>
          <w:sz w:val="24"/>
          <w:szCs w:val="24"/>
          <w:lang w:val="en-US"/>
        </w:rPr>
        <w:t xml:space="preserve"> = vitamin D; CRP = high sensitivity C-reactive protein; RBC = red blood cell count; RDW = red cell distribution width; Hgb = hemoglobin; MCHC = mean corpuscular hemoglobin concentration; LY, MO, GR, NE, </w:t>
      </w:r>
      <w:r w:rsidR="00EF59F8" w:rsidRPr="001F65AB">
        <w:rPr>
          <w:rFonts w:ascii="Times New Roman" w:hAnsi="Times New Roman"/>
          <w:sz w:val="24"/>
          <w:szCs w:val="24"/>
          <w:lang w:val="en-US"/>
        </w:rPr>
        <w:t>BA</w:t>
      </w:r>
      <w:r w:rsidR="00F95798" w:rsidRPr="001F65AB">
        <w:rPr>
          <w:rFonts w:ascii="Times New Roman" w:hAnsi="Times New Roman"/>
          <w:sz w:val="24"/>
          <w:szCs w:val="24"/>
          <w:lang w:val="en-US"/>
        </w:rPr>
        <w:t>S</w:t>
      </w:r>
      <w:r w:rsidR="00F95798">
        <w:rPr>
          <w:rFonts w:ascii="Times New Roman" w:hAnsi="Times New Roman"/>
          <w:sz w:val="24"/>
          <w:szCs w:val="24"/>
          <w:lang w:val="en-US"/>
        </w:rPr>
        <w:t>,</w:t>
      </w:r>
      <w:r w:rsidR="00EF59F8" w:rsidRPr="00FE21A1">
        <w:rPr>
          <w:rFonts w:ascii="Times New Roman" w:hAnsi="Times New Roman"/>
          <w:sz w:val="24"/>
          <w:szCs w:val="24"/>
          <w:lang w:val="en-US"/>
        </w:rPr>
        <w:t xml:space="preserve"> EO, WBC = lymphocyte, monocyte, granulocyte, neutrophil, basophil, eosinophil and total white blood cell count; </w:t>
      </w:r>
      <w:proofErr w:type="spellStart"/>
      <w:r w:rsidR="00EF59F8" w:rsidRPr="00FE21A1">
        <w:rPr>
          <w:rFonts w:ascii="Times New Roman" w:hAnsi="Times New Roman"/>
          <w:sz w:val="24"/>
          <w:szCs w:val="24"/>
          <w:lang w:val="en-US"/>
        </w:rPr>
        <w:t>Plt</w:t>
      </w:r>
      <w:proofErr w:type="spellEnd"/>
      <w:r w:rsidR="00EF59F8" w:rsidRPr="00FE21A1">
        <w:rPr>
          <w:rFonts w:ascii="Times New Roman" w:hAnsi="Times New Roman"/>
          <w:sz w:val="24"/>
          <w:szCs w:val="24"/>
          <w:lang w:val="en-US"/>
        </w:rPr>
        <w:t xml:space="preserve"> = platelet count; MPV = mean platelet volume; PDW = platelet distribution width.</w:t>
      </w:r>
    </w:p>
    <w:p w14:paraId="6FB0F587" w14:textId="743E0309" w:rsidR="007B5175" w:rsidRDefault="007B5175" w:rsidP="00413430">
      <w:pPr>
        <w:spacing w:after="120" w:line="360" w:lineRule="auto"/>
        <w:jc w:val="center"/>
        <w:rPr>
          <w:rFonts w:ascii="Times New Roman" w:hAnsi="Times New Roman"/>
          <w:b/>
          <w:sz w:val="24"/>
          <w:szCs w:val="24"/>
          <w:lang w:val="en-US"/>
        </w:rPr>
      </w:pPr>
    </w:p>
    <w:p w14:paraId="5692F065" w14:textId="06D70D60" w:rsidR="00F1752B" w:rsidRPr="00091987" w:rsidRDefault="00F1752B" w:rsidP="00F1752B">
      <w:pPr>
        <w:spacing w:after="60" w:line="360" w:lineRule="auto"/>
        <w:jc w:val="center"/>
        <w:rPr>
          <w:rFonts w:ascii="Times New Roman" w:hAnsi="Times New Roman"/>
          <w:b/>
          <w:sz w:val="24"/>
          <w:szCs w:val="24"/>
          <w:lang w:val="en-US"/>
        </w:rPr>
      </w:pPr>
      <w:r w:rsidRPr="00091987">
        <w:rPr>
          <w:rFonts w:ascii="Times New Roman" w:eastAsia="Times New Roman" w:hAnsi="Times New Roman"/>
          <w:b/>
          <w:bCs/>
          <w:sz w:val="24"/>
          <w:szCs w:val="24"/>
          <w:lang w:val="en-US" w:eastAsia="en-GB"/>
        </w:rPr>
        <w:lastRenderedPageBreak/>
        <w:t xml:space="preserve">Table </w:t>
      </w:r>
      <w:r w:rsidR="000E10C1" w:rsidRPr="00091987">
        <w:rPr>
          <w:rFonts w:ascii="Times New Roman" w:eastAsia="Times New Roman" w:hAnsi="Times New Roman"/>
          <w:b/>
          <w:bCs/>
          <w:sz w:val="24"/>
          <w:szCs w:val="24"/>
          <w:lang w:val="en-US" w:eastAsia="en-GB"/>
        </w:rPr>
        <w:t>S</w:t>
      </w:r>
      <w:r w:rsidRPr="00091987">
        <w:rPr>
          <w:rFonts w:ascii="Times New Roman" w:eastAsia="Times New Roman" w:hAnsi="Times New Roman"/>
          <w:b/>
          <w:bCs/>
          <w:sz w:val="24"/>
          <w:szCs w:val="24"/>
          <w:lang w:val="en-US" w:eastAsia="en-GB"/>
        </w:rPr>
        <w:t xml:space="preserve">2. Comparison between test set </w:t>
      </w:r>
      <w:r w:rsidRPr="00091987">
        <w:rPr>
          <w:rFonts w:ascii="Times New Roman" w:hAnsi="Times New Roman"/>
          <w:b/>
          <w:bCs/>
          <w:sz w:val="24"/>
          <w:szCs w:val="24"/>
          <w:lang w:val="en-US"/>
        </w:rPr>
        <w:t xml:space="preserve">and </w:t>
      </w:r>
      <w:r w:rsidRPr="00091987">
        <w:rPr>
          <w:rFonts w:ascii="Times New Roman" w:eastAsia="Times New Roman" w:hAnsi="Times New Roman"/>
          <w:b/>
          <w:bCs/>
          <w:sz w:val="24"/>
          <w:szCs w:val="24"/>
          <w:lang w:val="en-US" w:eastAsia="en-GB"/>
        </w:rPr>
        <w:t xml:space="preserve">training set, and characteristics of </w:t>
      </w:r>
      <w:r w:rsidRPr="00091987">
        <w:rPr>
          <w:rFonts w:ascii="Times New Roman" w:hAnsi="Times New Roman"/>
          <w:b/>
          <w:sz w:val="24"/>
          <w:szCs w:val="24"/>
          <w:lang w:val="en-US"/>
        </w:rPr>
        <w:t xml:space="preserve">the whole </w:t>
      </w:r>
      <w:proofErr w:type="spellStart"/>
      <w:r w:rsidRPr="00091987">
        <w:rPr>
          <w:rFonts w:ascii="Times New Roman" w:hAnsi="Times New Roman"/>
          <w:b/>
          <w:sz w:val="24"/>
          <w:szCs w:val="24"/>
          <w:lang w:val="en-US"/>
        </w:rPr>
        <w:t>Moli-sani</w:t>
      </w:r>
      <w:proofErr w:type="spellEnd"/>
      <w:r w:rsidRPr="00091987">
        <w:rPr>
          <w:rFonts w:ascii="Times New Roman" w:hAnsi="Times New Roman"/>
          <w:b/>
          <w:sz w:val="24"/>
          <w:szCs w:val="24"/>
          <w:lang w:val="en-US"/>
        </w:rPr>
        <w:t xml:space="preserve"> cohort.</w:t>
      </w:r>
    </w:p>
    <w:p w14:paraId="5E1D3C57" w14:textId="77777777" w:rsidR="00F1752B" w:rsidRPr="00091987" w:rsidRDefault="00F1752B" w:rsidP="00F1752B">
      <w:pPr>
        <w:spacing w:after="60" w:line="360" w:lineRule="auto"/>
        <w:rPr>
          <w:rFonts w:ascii="Times New Roman" w:hAnsi="Times New Roman"/>
          <w:b/>
          <w:sz w:val="24"/>
          <w:szCs w:val="24"/>
          <w:lang w:val="en-US"/>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807"/>
        <w:gridCol w:w="1849"/>
        <w:gridCol w:w="2117"/>
        <w:gridCol w:w="1910"/>
      </w:tblGrid>
      <w:tr w:rsidR="00091987" w:rsidRPr="00091987" w14:paraId="1FF7C2A8" w14:textId="77777777" w:rsidTr="00F1752B">
        <w:trPr>
          <w:trHeight w:val="57"/>
          <w:jc w:val="center"/>
        </w:trPr>
        <w:tc>
          <w:tcPr>
            <w:tcW w:w="2847" w:type="dxa"/>
            <w:shd w:val="clear" w:color="auto" w:fill="auto"/>
            <w:vAlign w:val="center"/>
          </w:tcPr>
          <w:p w14:paraId="22A0B3CB" w14:textId="77777777" w:rsidR="00F1752B" w:rsidRPr="00091987" w:rsidRDefault="00F1752B" w:rsidP="00F1752B">
            <w:pPr>
              <w:spacing w:after="0"/>
              <w:jc w:val="center"/>
              <w:rPr>
                <w:rFonts w:ascii="Times New Roman" w:eastAsia="Times New Roman" w:hAnsi="Times New Roman"/>
                <w:sz w:val="24"/>
                <w:szCs w:val="24"/>
                <w:lang w:eastAsia="en-GB"/>
              </w:rPr>
            </w:pPr>
            <w:bookmarkStart w:id="7" w:name="_Hlk30610178"/>
            <w:r w:rsidRPr="00091987">
              <w:rPr>
                <w:rFonts w:ascii="Times New Roman" w:eastAsia="Times New Roman" w:hAnsi="Times New Roman"/>
                <w:sz w:val="24"/>
                <w:szCs w:val="24"/>
                <w:lang w:eastAsia="en-GB"/>
              </w:rPr>
              <w:t>Variable</w:t>
            </w:r>
          </w:p>
        </w:tc>
        <w:tc>
          <w:tcPr>
            <w:tcW w:w="1807" w:type="dxa"/>
            <w:shd w:val="clear" w:color="auto" w:fill="auto"/>
            <w:vAlign w:val="center"/>
          </w:tcPr>
          <w:p w14:paraId="0A1E329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Test Set</w:t>
            </w:r>
          </w:p>
          <w:p w14:paraId="4387750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(N=4,772)</w:t>
            </w:r>
          </w:p>
        </w:tc>
        <w:tc>
          <w:tcPr>
            <w:tcW w:w="1849" w:type="dxa"/>
            <w:vAlign w:val="center"/>
          </w:tcPr>
          <w:p w14:paraId="3EA1E496"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Training Set</w:t>
            </w:r>
          </w:p>
          <w:p w14:paraId="63CB342B"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(N=19,086)</w:t>
            </w:r>
          </w:p>
        </w:tc>
        <w:tc>
          <w:tcPr>
            <w:tcW w:w="2117" w:type="dxa"/>
            <w:vAlign w:val="center"/>
          </w:tcPr>
          <w:p w14:paraId="059D421F" w14:textId="77777777" w:rsidR="00F1752B" w:rsidRPr="00091987" w:rsidRDefault="00F1752B" w:rsidP="00F1752B">
            <w:pPr>
              <w:spacing w:after="0"/>
              <w:jc w:val="center"/>
              <w:rPr>
                <w:rFonts w:ascii="Times New Roman" w:eastAsia="Times New Roman" w:hAnsi="Times New Roman"/>
                <w:sz w:val="24"/>
                <w:szCs w:val="24"/>
                <w:lang w:eastAsia="en-GB"/>
              </w:rPr>
            </w:pPr>
            <w:proofErr w:type="spellStart"/>
            <w:r w:rsidRPr="00091987">
              <w:rPr>
                <w:rFonts w:ascii="Times New Roman" w:eastAsia="Times New Roman" w:hAnsi="Times New Roman"/>
                <w:sz w:val="24"/>
                <w:szCs w:val="24"/>
                <w:lang w:eastAsia="en-GB"/>
              </w:rPr>
              <w:t>Moli-sani</w:t>
            </w:r>
            <w:proofErr w:type="spellEnd"/>
            <w:r w:rsidRPr="00091987">
              <w:rPr>
                <w:rFonts w:ascii="Times New Roman" w:eastAsia="Times New Roman" w:hAnsi="Times New Roman"/>
                <w:sz w:val="24"/>
                <w:szCs w:val="24"/>
                <w:lang w:eastAsia="en-GB"/>
              </w:rPr>
              <w:t xml:space="preserve"> cohort</w:t>
            </w:r>
          </w:p>
          <w:p w14:paraId="7CFE5355"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(N=24,325)</w:t>
            </w:r>
          </w:p>
        </w:tc>
        <w:tc>
          <w:tcPr>
            <w:tcW w:w="1910" w:type="dxa"/>
            <w:vAlign w:val="center"/>
          </w:tcPr>
          <w:p w14:paraId="43CFED4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 xml:space="preserve">P-value </w:t>
            </w:r>
          </w:p>
          <w:p w14:paraId="1ACF5B8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(test vs training)</w:t>
            </w:r>
          </w:p>
        </w:tc>
      </w:tr>
      <w:tr w:rsidR="00091987" w:rsidRPr="00091987" w14:paraId="1D49C79E" w14:textId="77777777" w:rsidTr="00F1752B">
        <w:trPr>
          <w:trHeight w:val="57"/>
          <w:jc w:val="center"/>
        </w:trPr>
        <w:tc>
          <w:tcPr>
            <w:tcW w:w="2847" w:type="dxa"/>
            <w:shd w:val="clear" w:color="auto" w:fill="auto"/>
            <w:vAlign w:val="center"/>
          </w:tcPr>
          <w:p w14:paraId="7EF374B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Sex (males)</w:t>
            </w:r>
          </w:p>
        </w:tc>
        <w:tc>
          <w:tcPr>
            <w:tcW w:w="1807" w:type="dxa"/>
            <w:shd w:val="clear" w:color="auto" w:fill="auto"/>
            <w:vAlign w:val="center"/>
          </w:tcPr>
          <w:p w14:paraId="5CD211A2"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48.2 %</w:t>
            </w:r>
          </w:p>
        </w:tc>
        <w:tc>
          <w:tcPr>
            <w:tcW w:w="1849" w:type="dxa"/>
            <w:vAlign w:val="center"/>
          </w:tcPr>
          <w:p w14:paraId="01FB5CAE"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48.3 %</w:t>
            </w:r>
          </w:p>
        </w:tc>
        <w:tc>
          <w:tcPr>
            <w:tcW w:w="2117" w:type="dxa"/>
            <w:vAlign w:val="center"/>
          </w:tcPr>
          <w:p w14:paraId="231F371C"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48.1 %</w:t>
            </w:r>
          </w:p>
        </w:tc>
        <w:tc>
          <w:tcPr>
            <w:tcW w:w="1910" w:type="dxa"/>
            <w:vAlign w:val="center"/>
          </w:tcPr>
          <w:p w14:paraId="7F91F3F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0.91</w:t>
            </w:r>
          </w:p>
        </w:tc>
      </w:tr>
      <w:tr w:rsidR="00091987" w:rsidRPr="00091987" w14:paraId="464FD8F9" w14:textId="77777777" w:rsidTr="00F1752B">
        <w:trPr>
          <w:trHeight w:val="57"/>
          <w:jc w:val="center"/>
        </w:trPr>
        <w:tc>
          <w:tcPr>
            <w:tcW w:w="2847" w:type="dxa"/>
            <w:shd w:val="clear" w:color="auto" w:fill="auto"/>
            <w:vAlign w:val="center"/>
          </w:tcPr>
          <w:p w14:paraId="327BAD60"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 xml:space="preserve">Age (years; mean, </w:t>
            </w:r>
            <w:proofErr w:type="spellStart"/>
            <w:r w:rsidRPr="00091987">
              <w:rPr>
                <w:rFonts w:ascii="Times New Roman" w:eastAsia="Times New Roman" w:hAnsi="Times New Roman"/>
                <w:sz w:val="24"/>
                <w:szCs w:val="24"/>
                <w:lang w:eastAsia="en-GB"/>
              </w:rPr>
              <w:t>sd</w:t>
            </w:r>
            <w:proofErr w:type="spellEnd"/>
            <w:r w:rsidRPr="00091987">
              <w:rPr>
                <w:rFonts w:ascii="Times New Roman" w:eastAsia="Times New Roman" w:hAnsi="Times New Roman"/>
                <w:sz w:val="24"/>
                <w:szCs w:val="24"/>
                <w:lang w:eastAsia="en-GB"/>
              </w:rPr>
              <w:t>)</w:t>
            </w:r>
          </w:p>
        </w:tc>
        <w:tc>
          <w:tcPr>
            <w:tcW w:w="1807" w:type="dxa"/>
            <w:shd w:val="clear" w:color="auto" w:fill="auto"/>
            <w:vAlign w:val="center"/>
          </w:tcPr>
          <w:p w14:paraId="4DB6FF76"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55.9 (11.9)</w:t>
            </w:r>
          </w:p>
        </w:tc>
        <w:tc>
          <w:tcPr>
            <w:tcW w:w="1849" w:type="dxa"/>
            <w:vAlign w:val="center"/>
          </w:tcPr>
          <w:p w14:paraId="00732591"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55.9 (12.0)</w:t>
            </w:r>
          </w:p>
        </w:tc>
        <w:tc>
          <w:tcPr>
            <w:tcW w:w="2117" w:type="dxa"/>
            <w:vAlign w:val="center"/>
          </w:tcPr>
          <w:p w14:paraId="5C74DB0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55.8 (12.0)</w:t>
            </w:r>
          </w:p>
        </w:tc>
        <w:tc>
          <w:tcPr>
            <w:tcW w:w="1910" w:type="dxa"/>
            <w:vAlign w:val="center"/>
          </w:tcPr>
          <w:p w14:paraId="0A0393F5"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0.40</w:t>
            </w:r>
          </w:p>
        </w:tc>
      </w:tr>
      <w:tr w:rsidR="00091987" w:rsidRPr="00091987" w14:paraId="3E4D67A6" w14:textId="77777777" w:rsidTr="00F1752B">
        <w:trPr>
          <w:trHeight w:val="57"/>
          <w:jc w:val="center"/>
        </w:trPr>
        <w:tc>
          <w:tcPr>
            <w:tcW w:w="2847" w:type="dxa"/>
            <w:shd w:val="clear" w:color="auto" w:fill="auto"/>
            <w:vAlign w:val="center"/>
          </w:tcPr>
          <w:p w14:paraId="0043A06D" w14:textId="77777777" w:rsidR="00F1752B" w:rsidRPr="00091987" w:rsidRDefault="00F1752B" w:rsidP="00F1752B">
            <w:pPr>
              <w:spacing w:after="0"/>
              <w:jc w:val="center"/>
              <w:rPr>
                <w:rFonts w:ascii="Times New Roman" w:eastAsia="Times New Roman" w:hAnsi="Times New Roman"/>
                <w:i/>
                <w:sz w:val="24"/>
                <w:szCs w:val="24"/>
                <w:lang w:val="en-US" w:eastAsia="en-GB"/>
              </w:rPr>
            </w:pPr>
            <w:r w:rsidRPr="00091987">
              <w:rPr>
                <w:rFonts w:ascii="Times New Roman" w:eastAsia="Times New Roman" w:hAnsi="Times New Roman"/>
                <w:i/>
                <w:sz w:val="24"/>
                <w:szCs w:val="24"/>
                <w:lang w:val="en-US" w:eastAsia="en-GB"/>
              </w:rPr>
              <w:t>Education</w:t>
            </w:r>
          </w:p>
          <w:p w14:paraId="3D6E3284"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Primary</w:t>
            </w:r>
          </w:p>
          <w:p w14:paraId="4794BF48"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Lower secondary</w:t>
            </w:r>
          </w:p>
          <w:p w14:paraId="307B0067"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Upper secondary</w:t>
            </w:r>
          </w:p>
          <w:p w14:paraId="79CB41B0"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Post-secondary</w:t>
            </w:r>
          </w:p>
          <w:p w14:paraId="05A3E7B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Unknown</w:t>
            </w:r>
          </w:p>
        </w:tc>
        <w:tc>
          <w:tcPr>
            <w:tcW w:w="1807" w:type="dxa"/>
            <w:shd w:val="clear" w:color="auto" w:fill="auto"/>
            <w:vAlign w:val="center"/>
          </w:tcPr>
          <w:p w14:paraId="7BFD04CF" w14:textId="77777777" w:rsidR="00F1752B" w:rsidRPr="00091987" w:rsidRDefault="00F1752B" w:rsidP="00F1752B">
            <w:pPr>
              <w:spacing w:after="0"/>
              <w:jc w:val="center"/>
              <w:rPr>
                <w:rFonts w:ascii="Times New Roman" w:eastAsia="Times New Roman" w:hAnsi="Times New Roman"/>
                <w:sz w:val="24"/>
                <w:szCs w:val="24"/>
                <w:lang w:eastAsia="en-GB"/>
              </w:rPr>
            </w:pPr>
          </w:p>
          <w:p w14:paraId="34AE7548"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25.9 %</w:t>
            </w:r>
          </w:p>
          <w:p w14:paraId="23D61D34"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28.1 %</w:t>
            </w:r>
          </w:p>
          <w:p w14:paraId="682B29C2"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34.2 %</w:t>
            </w:r>
          </w:p>
          <w:p w14:paraId="5AEDD775"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11.6 %</w:t>
            </w:r>
          </w:p>
          <w:p w14:paraId="716F977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0.2 %</w:t>
            </w:r>
          </w:p>
        </w:tc>
        <w:tc>
          <w:tcPr>
            <w:tcW w:w="1849" w:type="dxa"/>
            <w:vAlign w:val="center"/>
          </w:tcPr>
          <w:p w14:paraId="61139D81" w14:textId="77777777" w:rsidR="00F1752B" w:rsidRPr="00091987" w:rsidRDefault="00F1752B" w:rsidP="00F1752B">
            <w:pPr>
              <w:spacing w:after="0"/>
              <w:jc w:val="center"/>
              <w:rPr>
                <w:rFonts w:ascii="Times New Roman" w:eastAsia="Times New Roman" w:hAnsi="Times New Roman"/>
                <w:sz w:val="24"/>
                <w:szCs w:val="24"/>
                <w:lang w:eastAsia="en-GB"/>
              </w:rPr>
            </w:pPr>
          </w:p>
          <w:p w14:paraId="488E4AE2"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26.0 %</w:t>
            </w:r>
          </w:p>
          <w:p w14:paraId="15DBA4F5"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27.5 %</w:t>
            </w:r>
          </w:p>
          <w:p w14:paraId="2654113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33.8 %</w:t>
            </w:r>
          </w:p>
          <w:p w14:paraId="0225260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12.5 %</w:t>
            </w:r>
          </w:p>
          <w:p w14:paraId="6630931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0.2 %</w:t>
            </w:r>
          </w:p>
        </w:tc>
        <w:tc>
          <w:tcPr>
            <w:tcW w:w="2117" w:type="dxa"/>
            <w:vAlign w:val="center"/>
          </w:tcPr>
          <w:p w14:paraId="70889EB2" w14:textId="77777777" w:rsidR="00F1752B" w:rsidRPr="00091987" w:rsidRDefault="00F1752B" w:rsidP="00F1752B">
            <w:pPr>
              <w:spacing w:after="0"/>
              <w:jc w:val="center"/>
              <w:rPr>
                <w:rFonts w:ascii="Times New Roman" w:eastAsia="Times New Roman" w:hAnsi="Times New Roman"/>
                <w:sz w:val="24"/>
                <w:szCs w:val="24"/>
                <w:lang w:eastAsia="en-GB"/>
              </w:rPr>
            </w:pPr>
          </w:p>
          <w:p w14:paraId="443CF75E"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25.8 %</w:t>
            </w:r>
          </w:p>
          <w:p w14:paraId="71EAAFC8"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27.7 %</w:t>
            </w:r>
          </w:p>
          <w:p w14:paraId="5366754E"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33.9 %</w:t>
            </w:r>
          </w:p>
          <w:p w14:paraId="1CAF0FAC"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12.4 %</w:t>
            </w:r>
          </w:p>
          <w:p w14:paraId="02F90744"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0.2 %</w:t>
            </w:r>
          </w:p>
        </w:tc>
        <w:tc>
          <w:tcPr>
            <w:tcW w:w="1910" w:type="dxa"/>
            <w:vAlign w:val="center"/>
          </w:tcPr>
          <w:p w14:paraId="26985DA6"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0.37</w:t>
            </w:r>
          </w:p>
        </w:tc>
      </w:tr>
      <w:tr w:rsidR="00091987" w:rsidRPr="00091987" w14:paraId="7E13009E" w14:textId="77777777" w:rsidTr="00F1752B">
        <w:trPr>
          <w:trHeight w:val="57"/>
          <w:jc w:val="center"/>
        </w:trPr>
        <w:tc>
          <w:tcPr>
            <w:tcW w:w="2847" w:type="dxa"/>
            <w:shd w:val="clear" w:color="auto" w:fill="auto"/>
            <w:vAlign w:val="center"/>
          </w:tcPr>
          <w:p w14:paraId="3A8E1A94" w14:textId="77777777" w:rsidR="00F1752B" w:rsidRPr="00091987" w:rsidRDefault="00F1752B" w:rsidP="00F1752B">
            <w:pPr>
              <w:spacing w:after="0"/>
              <w:jc w:val="center"/>
              <w:rPr>
                <w:rFonts w:ascii="Times New Roman" w:eastAsia="Times New Roman" w:hAnsi="Times New Roman"/>
                <w:i/>
                <w:sz w:val="24"/>
                <w:szCs w:val="24"/>
                <w:lang w:val="en-US" w:eastAsia="en-GB"/>
              </w:rPr>
            </w:pPr>
            <w:r w:rsidRPr="00091987">
              <w:rPr>
                <w:rFonts w:ascii="Times New Roman" w:eastAsia="Times New Roman" w:hAnsi="Times New Roman"/>
                <w:i/>
                <w:sz w:val="24"/>
                <w:szCs w:val="24"/>
                <w:lang w:val="en-US" w:eastAsia="en-GB"/>
              </w:rPr>
              <w:t>Health conditions</w:t>
            </w:r>
          </w:p>
          <w:p w14:paraId="789E8058"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CVD</w:t>
            </w:r>
          </w:p>
          <w:p w14:paraId="73AEB557"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Cancer</w:t>
            </w:r>
          </w:p>
          <w:p w14:paraId="106FB0BC" w14:textId="77777777" w:rsidR="00F1752B" w:rsidRPr="00091987" w:rsidRDefault="00F1752B" w:rsidP="00F1752B">
            <w:pPr>
              <w:spacing w:after="0"/>
              <w:jc w:val="center"/>
              <w:rPr>
                <w:rFonts w:ascii="Times New Roman" w:eastAsia="Times New Roman" w:hAnsi="Times New Roman"/>
                <w:i/>
                <w:iCs/>
                <w:sz w:val="24"/>
                <w:szCs w:val="24"/>
                <w:lang w:val="en-US" w:eastAsia="en-GB"/>
              </w:rPr>
            </w:pPr>
            <w:r w:rsidRPr="00091987">
              <w:rPr>
                <w:rFonts w:ascii="Times New Roman" w:eastAsia="Times New Roman" w:hAnsi="Times New Roman"/>
                <w:sz w:val="24"/>
                <w:szCs w:val="24"/>
                <w:lang w:val="en-US" w:eastAsia="en-GB"/>
              </w:rPr>
              <w:t>Diabetes</w:t>
            </w:r>
          </w:p>
        </w:tc>
        <w:tc>
          <w:tcPr>
            <w:tcW w:w="1807" w:type="dxa"/>
            <w:shd w:val="clear" w:color="auto" w:fill="auto"/>
            <w:vAlign w:val="center"/>
          </w:tcPr>
          <w:p w14:paraId="27DBE5F4" w14:textId="77777777" w:rsidR="00F1752B" w:rsidRPr="00091987" w:rsidRDefault="00F1752B" w:rsidP="00F1752B">
            <w:pPr>
              <w:spacing w:after="0"/>
              <w:jc w:val="center"/>
              <w:rPr>
                <w:rFonts w:ascii="Times New Roman" w:eastAsia="Times New Roman" w:hAnsi="Times New Roman"/>
                <w:sz w:val="24"/>
                <w:szCs w:val="24"/>
                <w:lang w:val="en-US" w:eastAsia="en-GB"/>
              </w:rPr>
            </w:pPr>
          </w:p>
          <w:p w14:paraId="3A118A52"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6.1 %</w:t>
            </w:r>
          </w:p>
          <w:p w14:paraId="4DF44CF8"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3.2 %</w:t>
            </w:r>
          </w:p>
          <w:p w14:paraId="3039B67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4.9 %</w:t>
            </w:r>
          </w:p>
        </w:tc>
        <w:tc>
          <w:tcPr>
            <w:tcW w:w="1849" w:type="dxa"/>
            <w:vAlign w:val="center"/>
          </w:tcPr>
          <w:p w14:paraId="311A9E92" w14:textId="77777777" w:rsidR="00F1752B" w:rsidRPr="00091987" w:rsidRDefault="00F1752B" w:rsidP="00F1752B">
            <w:pPr>
              <w:spacing w:after="0"/>
              <w:jc w:val="center"/>
              <w:rPr>
                <w:rFonts w:ascii="Times New Roman" w:eastAsia="Times New Roman" w:hAnsi="Times New Roman"/>
                <w:sz w:val="24"/>
                <w:szCs w:val="24"/>
                <w:lang w:eastAsia="en-GB"/>
              </w:rPr>
            </w:pPr>
          </w:p>
          <w:p w14:paraId="6542139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5.9 %</w:t>
            </w:r>
          </w:p>
          <w:p w14:paraId="32F7604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3.6 %</w:t>
            </w:r>
          </w:p>
          <w:p w14:paraId="573643E3"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5.1 %</w:t>
            </w:r>
          </w:p>
        </w:tc>
        <w:tc>
          <w:tcPr>
            <w:tcW w:w="2117" w:type="dxa"/>
            <w:vAlign w:val="center"/>
          </w:tcPr>
          <w:p w14:paraId="57D7341B" w14:textId="77777777" w:rsidR="00F1752B" w:rsidRPr="00091987" w:rsidRDefault="00F1752B" w:rsidP="00F1752B">
            <w:pPr>
              <w:spacing w:after="0"/>
              <w:jc w:val="center"/>
              <w:rPr>
                <w:rFonts w:ascii="Times New Roman" w:eastAsia="Times New Roman" w:hAnsi="Times New Roman"/>
                <w:sz w:val="24"/>
                <w:szCs w:val="24"/>
                <w:lang w:eastAsia="en-GB"/>
              </w:rPr>
            </w:pPr>
          </w:p>
          <w:p w14:paraId="75F6C513"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5.9 %</w:t>
            </w:r>
          </w:p>
          <w:p w14:paraId="16F35EDE"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w:t>
            </w:r>
          </w:p>
          <w:p w14:paraId="118B32F5"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5.0%</w:t>
            </w:r>
          </w:p>
        </w:tc>
        <w:tc>
          <w:tcPr>
            <w:tcW w:w="1910" w:type="dxa"/>
            <w:vAlign w:val="center"/>
          </w:tcPr>
          <w:p w14:paraId="242E9F59" w14:textId="77777777" w:rsidR="00F1752B" w:rsidRPr="00091987" w:rsidRDefault="00F1752B" w:rsidP="00F1752B">
            <w:pPr>
              <w:spacing w:after="0"/>
              <w:jc w:val="center"/>
              <w:rPr>
                <w:rFonts w:ascii="Times New Roman" w:eastAsia="Times New Roman" w:hAnsi="Times New Roman"/>
                <w:sz w:val="24"/>
                <w:szCs w:val="24"/>
                <w:lang w:eastAsia="en-GB"/>
              </w:rPr>
            </w:pPr>
          </w:p>
          <w:p w14:paraId="2BA3D19B"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0.24</w:t>
            </w:r>
          </w:p>
          <w:p w14:paraId="46ACEA98"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0.47</w:t>
            </w:r>
          </w:p>
          <w:p w14:paraId="72B0A76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0.96</w:t>
            </w:r>
          </w:p>
        </w:tc>
      </w:tr>
      <w:tr w:rsidR="00091987" w:rsidRPr="00091987" w14:paraId="01ECBE50" w14:textId="77777777" w:rsidTr="00F1752B">
        <w:trPr>
          <w:trHeight w:val="57"/>
          <w:jc w:val="center"/>
        </w:trPr>
        <w:tc>
          <w:tcPr>
            <w:tcW w:w="2847" w:type="dxa"/>
            <w:shd w:val="clear" w:color="auto" w:fill="auto"/>
            <w:vAlign w:val="center"/>
          </w:tcPr>
          <w:p w14:paraId="3A0BA44F"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i/>
                <w:sz w:val="24"/>
                <w:szCs w:val="24"/>
                <w:lang w:val="en-US" w:eastAsia="en-GB"/>
              </w:rPr>
              <w:t>Lifestyle factors</w:t>
            </w:r>
          </w:p>
          <w:p w14:paraId="6BAB4EBA"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Current Smokers</w:t>
            </w:r>
          </w:p>
          <w:p w14:paraId="25F82238"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Alcohol intake</w:t>
            </w:r>
          </w:p>
          <w:p w14:paraId="3B458082"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 xml:space="preserve">(g/day; mean, </w:t>
            </w:r>
            <w:proofErr w:type="spellStart"/>
            <w:r w:rsidRPr="00091987">
              <w:rPr>
                <w:rFonts w:ascii="Times New Roman" w:eastAsia="Times New Roman" w:hAnsi="Times New Roman"/>
                <w:sz w:val="24"/>
                <w:szCs w:val="24"/>
                <w:lang w:val="en-US" w:eastAsia="en-GB"/>
              </w:rPr>
              <w:t>sd</w:t>
            </w:r>
            <w:proofErr w:type="spellEnd"/>
            <w:r w:rsidRPr="00091987">
              <w:rPr>
                <w:rFonts w:ascii="Times New Roman" w:eastAsia="Times New Roman" w:hAnsi="Times New Roman"/>
                <w:sz w:val="24"/>
                <w:szCs w:val="24"/>
                <w:lang w:val="en-US" w:eastAsia="en-GB"/>
              </w:rPr>
              <w:t>)</w:t>
            </w:r>
          </w:p>
          <w:p w14:paraId="745FBD9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Energy intake</w:t>
            </w:r>
          </w:p>
          <w:p w14:paraId="17FA0754"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 xml:space="preserve">(Kcal/day; mean, </w:t>
            </w:r>
            <w:proofErr w:type="spellStart"/>
            <w:r w:rsidRPr="00091987">
              <w:rPr>
                <w:rFonts w:ascii="Times New Roman" w:eastAsia="Times New Roman" w:hAnsi="Times New Roman"/>
                <w:sz w:val="24"/>
                <w:szCs w:val="24"/>
                <w:lang w:val="en-US" w:eastAsia="en-GB"/>
              </w:rPr>
              <w:t>sd</w:t>
            </w:r>
            <w:proofErr w:type="spellEnd"/>
            <w:r w:rsidRPr="00091987">
              <w:rPr>
                <w:rFonts w:ascii="Times New Roman" w:eastAsia="Times New Roman" w:hAnsi="Times New Roman"/>
                <w:sz w:val="24"/>
                <w:szCs w:val="24"/>
                <w:lang w:val="en-US" w:eastAsia="en-GB"/>
              </w:rPr>
              <w:t>)</w:t>
            </w:r>
          </w:p>
          <w:p w14:paraId="6DF7EC84" w14:textId="77777777" w:rsidR="00F1752B" w:rsidRPr="00091987" w:rsidRDefault="00F1752B" w:rsidP="00F1752B">
            <w:pPr>
              <w:spacing w:after="0"/>
              <w:jc w:val="center"/>
              <w:rPr>
                <w:rFonts w:ascii="Times New Roman" w:eastAsia="Times New Roman" w:hAnsi="Times New Roman"/>
                <w:sz w:val="24"/>
                <w:szCs w:val="24"/>
                <w:lang w:val="en-US" w:eastAsia="en-GB"/>
              </w:rPr>
            </w:pPr>
            <w:proofErr w:type="spellStart"/>
            <w:r w:rsidRPr="00091987">
              <w:rPr>
                <w:rFonts w:ascii="Times New Roman" w:eastAsia="Times New Roman" w:hAnsi="Times New Roman"/>
                <w:sz w:val="24"/>
                <w:szCs w:val="24"/>
                <w:lang w:val="en-US" w:eastAsia="en-GB"/>
              </w:rPr>
              <w:t>MeDi</w:t>
            </w:r>
            <w:proofErr w:type="spellEnd"/>
            <w:r w:rsidRPr="00091987">
              <w:rPr>
                <w:rFonts w:ascii="Times New Roman" w:eastAsia="Times New Roman" w:hAnsi="Times New Roman"/>
                <w:sz w:val="24"/>
                <w:szCs w:val="24"/>
                <w:lang w:val="en-US" w:eastAsia="en-GB"/>
              </w:rPr>
              <w:t xml:space="preserve"> score (mean, </w:t>
            </w:r>
            <w:proofErr w:type="spellStart"/>
            <w:r w:rsidRPr="00091987">
              <w:rPr>
                <w:rFonts w:ascii="Times New Roman" w:eastAsia="Times New Roman" w:hAnsi="Times New Roman"/>
                <w:sz w:val="24"/>
                <w:szCs w:val="24"/>
                <w:lang w:val="en-US" w:eastAsia="en-GB"/>
              </w:rPr>
              <w:t>sd</w:t>
            </w:r>
            <w:proofErr w:type="spellEnd"/>
            <w:r w:rsidRPr="00091987">
              <w:rPr>
                <w:rFonts w:ascii="Times New Roman" w:eastAsia="Times New Roman" w:hAnsi="Times New Roman"/>
                <w:sz w:val="24"/>
                <w:szCs w:val="24"/>
                <w:lang w:val="en-US" w:eastAsia="en-GB"/>
              </w:rPr>
              <w:t>)</w:t>
            </w:r>
          </w:p>
          <w:p w14:paraId="5B397D56"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Physical activity</w:t>
            </w:r>
          </w:p>
          <w:p w14:paraId="478A2FF9"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 xml:space="preserve">(meth/day; mean, </w:t>
            </w:r>
            <w:proofErr w:type="spellStart"/>
            <w:r w:rsidRPr="00091987">
              <w:rPr>
                <w:rFonts w:ascii="Times New Roman" w:eastAsia="Times New Roman" w:hAnsi="Times New Roman"/>
                <w:sz w:val="24"/>
                <w:szCs w:val="24"/>
                <w:lang w:val="en-US" w:eastAsia="en-GB"/>
              </w:rPr>
              <w:t>sd</w:t>
            </w:r>
            <w:proofErr w:type="spellEnd"/>
            <w:r w:rsidRPr="00091987">
              <w:rPr>
                <w:rFonts w:ascii="Times New Roman" w:eastAsia="Times New Roman" w:hAnsi="Times New Roman"/>
                <w:sz w:val="24"/>
                <w:szCs w:val="24"/>
                <w:lang w:val="en-US" w:eastAsia="en-GB"/>
              </w:rPr>
              <w:t>)</w:t>
            </w:r>
          </w:p>
        </w:tc>
        <w:tc>
          <w:tcPr>
            <w:tcW w:w="1807" w:type="dxa"/>
            <w:shd w:val="clear" w:color="auto" w:fill="auto"/>
            <w:vAlign w:val="center"/>
          </w:tcPr>
          <w:p w14:paraId="1B5F343B"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22.3 %</w:t>
            </w:r>
          </w:p>
          <w:p w14:paraId="2E638DEE"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15.9 (22.8)</w:t>
            </w:r>
          </w:p>
          <w:p w14:paraId="3C48BCC7" w14:textId="77777777" w:rsidR="00F1752B" w:rsidRPr="00091987" w:rsidRDefault="00F1752B" w:rsidP="00F1752B">
            <w:pPr>
              <w:spacing w:after="0"/>
              <w:jc w:val="center"/>
              <w:rPr>
                <w:rFonts w:ascii="Times New Roman" w:eastAsia="Times New Roman" w:hAnsi="Times New Roman"/>
                <w:sz w:val="24"/>
                <w:szCs w:val="24"/>
                <w:lang w:eastAsia="en-GB"/>
              </w:rPr>
            </w:pPr>
          </w:p>
          <w:p w14:paraId="4D7EE58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2,082 (666)</w:t>
            </w:r>
          </w:p>
          <w:p w14:paraId="18392219" w14:textId="77777777" w:rsidR="00F1752B" w:rsidRPr="00091987" w:rsidRDefault="00F1752B" w:rsidP="00F1752B">
            <w:pPr>
              <w:spacing w:after="0"/>
              <w:jc w:val="center"/>
              <w:rPr>
                <w:rFonts w:ascii="Times New Roman" w:eastAsia="Times New Roman" w:hAnsi="Times New Roman"/>
                <w:sz w:val="24"/>
                <w:szCs w:val="24"/>
                <w:lang w:eastAsia="en-GB"/>
              </w:rPr>
            </w:pPr>
          </w:p>
          <w:p w14:paraId="62DDE4AF"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4.4 (1.6)</w:t>
            </w:r>
          </w:p>
          <w:p w14:paraId="759AF1F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 (4.0)</w:t>
            </w:r>
          </w:p>
        </w:tc>
        <w:tc>
          <w:tcPr>
            <w:tcW w:w="1849" w:type="dxa"/>
            <w:vAlign w:val="center"/>
          </w:tcPr>
          <w:p w14:paraId="5441ECF2"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22.9 %</w:t>
            </w:r>
          </w:p>
          <w:p w14:paraId="002BD3C3"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16.0 (22.6)</w:t>
            </w:r>
          </w:p>
          <w:p w14:paraId="2C679D22" w14:textId="77777777" w:rsidR="00F1752B" w:rsidRPr="00091987" w:rsidRDefault="00F1752B" w:rsidP="00F1752B">
            <w:pPr>
              <w:spacing w:after="0"/>
              <w:jc w:val="center"/>
              <w:rPr>
                <w:rFonts w:ascii="Times New Roman" w:eastAsia="Times New Roman" w:hAnsi="Times New Roman"/>
                <w:sz w:val="24"/>
                <w:szCs w:val="24"/>
                <w:lang w:eastAsia="en-GB"/>
              </w:rPr>
            </w:pPr>
          </w:p>
          <w:p w14:paraId="1E03EB29"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2,087 (669)</w:t>
            </w:r>
          </w:p>
          <w:p w14:paraId="1761428A" w14:textId="77777777" w:rsidR="00F1752B" w:rsidRPr="00091987" w:rsidRDefault="00F1752B" w:rsidP="00F1752B">
            <w:pPr>
              <w:spacing w:after="0"/>
              <w:jc w:val="center"/>
              <w:rPr>
                <w:rFonts w:ascii="Times New Roman" w:eastAsia="Times New Roman" w:hAnsi="Times New Roman"/>
                <w:sz w:val="24"/>
                <w:szCs w:val="24"/>
                <w:lang w:eastAsia="en-GB"/>
              </w:rPr>
            </w:pPr>
          </w:p>
          <w:p w14:paraId="094255EB"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4.4 (1.6)</w:t>
            </w:r>
          </w:p>
          <w:p w14:paraId="50E6CB2C"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 (4.0)</w:t>
            </w:r>
          </w:p>
        </w:tc>
        <w:tc>
          <w:tcPr>
            <w:tcW w:w="2117" w:type="dxa"/>
            <w:vAlign w:val="center"/>
          </w:tcPr>
          <w:p w14:paraId="410D36AB"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22.9 %</w:t>
            </w:r>
          </w:p>
          <w:p w14:paraId="32F7163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16.0 (22.6)</w:t>
            </w:r>
          </w:p>
          <w:p w14:paraId="4C1CED03" w14:textId="77777777" w:rsidR="00F1752B" w:rsidRPr="00091987" w:rsidRDefault="00F1752B" w:rsidP="00F1752B">
            <w:pPr>
              <w:spacing w:after="0"/>
              <w:jc w:val="center"/>
              <w:rPr>
                <w:rFonts w:ascii="Times New Roman" w:eastAsia="Times New Roman" w:hAnsi="Times New Roman"/>
                <w:sz w:val="24"/>
                <w:szCs w:val="24"/>
                <w:lang w:eastAsia="en-GB"/>
              </w:rPr>
            </w:pPr>
          </w:p>
          <w:p w14:paraId="0CBD778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2,079 (668)</w:t>
            </w:r>
          </w:p>
          <w:p w14:paraId="5B9FAEBD" w14:textId="77777777" w:rsidR="00F1752B" w:rsidRPr="00091987" w:rsidRDefault="00F1752B" w:rsidP="00F1752B">
            <w:pPr>
              <w:spacing w:after="0"/>
              <w:jc w:val="center"/>
              <w:rPr>
                <w:rFonts w:ascii="Times New Roman" w:eastAsia="Times New Roman" w:hAnsi="Times New Roman"/>
                <w:sz w:val="24"/>
                <w:szCs w:val="24"/>
                <w:lang w:eastAsia="en-GB"/>
              </w:rPr>
            </w:pPr>
          </w:p>
          <w:p w14:paraId="17FF7F0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4.3 (1.6)</w:t>
            </w:r>
          </w:p>
          <w:p w14:paraId="3FB9C8E6"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 (4.0)</w:t>
            </w:r>
          </w:p>
        </w:tc>
        <w:tc>
          <w:tcPr>
            <w:tcW w:w="1910" w:type="dxa"/>
            <w:vAlign w:val="center"/>
          </w:tcPr>
          <w:p w14:paraId="555CFBB7"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0.62</w:t>
            </w:r>
          </w:p>
          <w:p w14:paraId="6B31855A"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0.28</w:t>
            </w:r>
          </w:p>
          <w:p w14:paraId="65D5C0C8" w14:textId="77777777" w:rsidR="00F1752B" w:rsidRPr="00091987" w:rsidRDefault="00F1752B" w:rsidP="00F1752B">
            <w:pPr>
              <w:spacing w:after="0"/>
              <w:jc w:val="center"/>
              <w:rPr>
                <w:rFonts w:ascii="Times New Roman" w:eastAsia="Times New Roman" w:hAnsi="Times New Roman"/>
                <w:sz w:val="24"/>
                <w:szCs w:val="24"/>
                <w:lang w:val="en-US" w:eastAsia="en-GB"/>
              </w:rPr>
            </w:pPr>
          </w:p>
          <w:p w14:paraId="5451B8D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0.66</w:t>
            </w:r>
          </w:p>
          <w:p w14:paraId="5E2DA198" w14:textId="77777777" w:rsidR="00F1752B" w:rsidRPr="00091987" w:rsidRDefault="00F1752B" w:rsidP="00F1752B">
            <w:pPr>
              <w:spacing w:after="0"/>
              <w:jc w:val="center"/>
              <w:rPr>
                <w:rFonts w:ascii="Times New Roman" w:eastAsia="Times New Roman" w:hAnsi="Times New Roman"/>
                <w:sz w:val="24"/>
                <w:szCs w:val="24"/>
                <w:lang w:val="en-US" w:eastAsia="en-GB"/>
              </w:rPr>
            </w:pPr>
          </w:p>
          <w:p w14:paraId="179D1D9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0.76</w:t>
            </w:r>
          </w:p>
          <w:p w14:paraId="0185B7E7"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0.44</w:t>
            </w:r>
          </w:p>
        </w:tc>
      </w:tr>
      <w:tr w:rsidR="00091987" w:rsidRPr="00091987" w14:paraId="3C16C83F" w14:textId="77777777" w:rsidTr="00F1752B">
        <w:trPr>
          <w:trHeight w:val="57"/>
          <w:jc w:val="center"/>
        </w:trPr>
        <w:tc>
          <w:tcPr>
            <w:tcW w:w="2847" w:type="dxa"/>
            <w:shd w:val="clear" w:color="auto" w:fill="auto"/>
            <w:vAlign w:val="center"/>
          </w:tcPr>
          <w:p w14:paraId="724DA8AD" w14:textId="77777777" w:rsidR="00F1752B" w:rsidRPr="00091987" w:rsidRDefault="00F1752B" w:rsidP="00F1752B">
            <w:pPr>
              <w:spacing w:after="0"/>
              <w:jc w:val="center"/>
              <w:rPr>
                <w:rFonts w:ascii="Times New Roman" w:eastAsia="Times New Roman" w:hAnsi="Times New Roman"/>
                <w:i/>
                <w:sz w:val="24"/>
                <w:szCs w:val="24"/>
                <w:lang w:val="en-US" w:eastAsia="en-GB"/>
              </w:rPr>
            </w:pPr>
            <w:r w:rsidRPr="00091987">
              <w:rPr>
                <w:rFonts w:ascii="Times New Roman" w:eastAsia="Times New Roman" w:hAnsi="Times New Roman"/>
                <w:i/>
                <w:sz w:val="24"/>
                <w:szCs w:val="24"/>
                <w:lang w:val="en-US" w:eastAsia="en-GB"/>
              </w:rPr>
              <w:t>Obesity</w:t>
            </w:r>
          </w:p>
          <w:p w14:paraId="19B3D8FD" w14:textId="77777777" w:rsidR="00F1752B" w:rsidRPr="00091987" w:rsidRDefault="00F1752B" w:rsidP="00F1752B">
            <w:pPr>
              <w:spacing w:after="0"/>
              <w:jc w:val="center"/>
              <w:rPr>
                <w:rFonts w:ascii="Times New Roman" w:eastAsia="Times New Roman" w:hAnsi="Times New Roman"/>
                <w:iCs/>
                <w:sz w:val="24"/>
                <w:szCs w:val="24"/>
                <w:lang w:val="en-US" w:eastAsia="en-GB"/>
              </w:rPr>
            </w:pPr>
            <w:r w:rsidRPr="00091987">
              <w:rPr>
                <w:rFonts w:ascii="Times New Roman" w:eastAsia="Times New Roman" w:hAnsi="Times New Roman"/>
                <w:iCs/>
                <w:sz w:val="24"/>
                <w:szCs w:val="24"/>
                <w:lang w:val="en-US" w:eastAsia="en-GB"/>
              </w:rPr>
              <w:t xml:space="preserve">Obese participants </w:t>
            </w:r>
          </w:p>
          <w:p w14:paraId="284CE13B" w14:textId="14A85AE6" w:rsidR="00F1752B" w:rsidRPr="00091987" w:rsidRDefault="00F1752B" w:rsidP="00F1752B">
            <w:pPr>
              <w:spacing w:after="0"/>
              <w:jc w:val="center"/>
              <w:rPr>
                <w:rFonts w:ascii="Times New Roman" w:eastAsia="Times New Roman" w:hAnsi="Times New Roman"/>
                <w:iCs/>
                <w:sz w:val="24"/>
                <w:szCs w:val="24"/>
                <w:lang w:val="en-US" w:eastAsia="en-GB"/>
              </w:rPr>
            </w:pPr>
            <w:r w:rsidRPr="00091987">
              <w:rPr>
                <w:rFonts w:ascii="Times New Roman" w:eastAsia="Times New Roman" w:hAnsi="Times New Roman"/>
                <w:iCs/>
                <w:sz w:val="24"/>
                <w:szCs w:val="24"/>
                <w:lang w:val="en-US" w:eastAsia="en-GB"/>
              </w:rPr>
              <w:t xml:space="preserve">(BMI </w:t>
            </w:r>
            <w:r w:rsidRPr="00091987">
              <w:rPr>
                <w:rFonts w:ascii="Times New Roman" w:eastAsia="Times New Roman" w:hAnsi="Times New Roman"/>
                <w:sz w:val="24"/>
                <w:szCs w:val="24"/>
                <w:lang w:val="en-US" w:eastAsia="it-IT"/>
              </w:rPr>
              <w:t>≥ 30 Kg/m</w:t>
            </w:r>
            <w:r w:rsidRPr="00091987">
              <w:rPr>
                <w:rFonts w:ascii="Times New Roman" w:eastAsia="Times New Roman" w:hAnsi="Times New Roman"/>
                <w:sz w:val="24"/>
                <w:szCs w:val="24"/>
                <w:vertAlign w:val="superscript"/>
                <w:lang w:val="en-US" w:eastAsia="it-IT"/>
              </w:rPr>
              <w:t>2</w:t>
            </w:r>
            <w:r w:rsidRPr="00091987">
              <w:rPr>
                <w:rFonts w:ascii="Times New Roman" w:eastAsia="Times New Roman" w:hAnsi="Times New Roman"/>
                <w:iCs/>
                <w:sz w:val="24"/>
                <w:szCs w:val="24"/>
                <w:lang w:val="en-US" w:eastAsia="en-GB"/>
              </w:rPr>
              <w:t>)</w:t>
            </w:r>
          </w:p>
          <w:p w14:paraId="286960A3" w14:textId="77777777" w:rsidR="00F1752B" w:rsidRPr="00091987" w:rsidRDefault="00F1752B" w:rsidP="00F1752B">
            <w:pPr>
              <w:spacing w:after="0"/>
              <w:jc w:val="center"/>
              <w:rPr>
                <w:rFonts w:ascii="Times New Roman" w:eastAsia="Times New Roman" w:hAnsi="Times New Roman"/>
                <w:i/>
                <w:sz w:val="24"/>
                <w:szCs w:val="24"/>
                <w:lang w:val="en-US" w:eastAsia="en-GB"/>
              </w:rPr>
            </w:pPr>
            <w:r w:rsidRPr="00091987">
              <w:rPr>
                <w:rFonts w:ascii="Times New Roman" w:eastAsia="Times New Roman" w:hAnsi="Times New Roman"/>
                <w:iCs/>
                <w:sz w:val="24"/>
                <w:szCs w:val="24"/>
                <w:lang w:val="en-US" w:eastAsia="en-GB"/>
              </w:rPr>
              <w:t xml:space="preserve">RFM (mean, </w:t>
            </w:r>
            <w:proofErr w:type="spellStart"/>
            <w:r w:rsidRPr="00091987">
              <w:rPr>
                <w:rFonts w:ascii="Times New Roman" w:eastAsia="Times New Roman" w:hAnsi="Times New Roman"/>
                <w:iCs/>
                <w:sz w:val="24"/>
                <w:szCs w:val="24"/>
                <w:lang w:val="en-US" w:eastAsia="en-GB"/>
              </w:rPr>
              <w:t>sd</w:t>
            </w:r>
            <w:proofErr w:type="spellEnd"/>
            <w:r w:rsidRPr="00091987">
              <w:rPr>
                <w:rFonts w:ascii="Times New Roman" w:eastAsia="Times New Roman" w:hAnsi="Times New Roman"/>
                <w:iCs/>
                <w:sz w:val="24"/>
                <w:szCs w:val="24"/>
                <w:lang w:val="en-US" w:eastAsia="en-GB"/>
              </w:rPr>
              <w:t>)</w:t>
            </w:r>
          </w:p>
        </w:tc>
        <w:tc>
          <w:tcPr>
            <w:tcW w:w="1807" w:type="dxa"/>
            <w:shd w:val="clear" w:color="auto" w:fill="auto"/>
            <w:vAlign w:val="center"/>
          </w:tcPr>
          <w:p w14:paraId="6DAD1CA3" w14:textId="77777777" w:rsidR="00F1752B" w:rsidRPr="00091987" w:rsidRDefault="00F1752B" w:rsidP="00F1752B">
            <w:pPr>
              <w:spacing w:after="0"/>
              <w:jc w:val="center"/>
              <w:rPr>
                <w:rFonts w:ascii="Times New Roman" w:eastAsia="Times New Roman" w:hAnsi="Times New Roman"/>
                <w:sz w:val="24"/>
                <w:szCs w:val="24"/>
                <w:lang w:val="en-US" w:eastAsia="en-GB"/>
              </w:rPr>
            </w:pPr>
          </w:p>
          <w:p w14:paraId="253087BC" w14:textId="77777777" w:rsidR="00F1752B" w:rsidRPr="00091987" w:rsidRDefault="00F1752B" w:rsidP="00F1752B">
            <w:pPr>
              <w:spacing w:after="0"/>
              <w:jc w:val="center"/>
              <w:rPr>
                <w:rFonts w:ascii="Times New Roman" w:eastAsia="Times New Roman" w:hAnsi="Times New Roman"/>
                <w:sz w:val="24"/>
                <w:szCs w:val="24"/>
                <w:lang w:val="en-US" w:eastAsia="en-GB"/>
              </w:rPr>
            </w:pPr>
            <w:r w:rsidRPr="00091987">
              <w:rPr>
                <w:rFonts w:ascii="Times New Roman" w:eastAsia="Times New Roman" w:hAnsi="Times New Roman"/>
                <w:sz w:val="24"/>
                <w:szCs w:val="24"/>
                <w:lang w:val="en-US" w:eastAsia="en-GB"/>
              </w:rPr>
              <w:t>31.6 %</w:t>
            </w:r>
          </w:p>
          <w:p w14:paraId="51D40E23" w14:textId="77777777" w:rsidR="00F1752B" w:rsidRPr="00091987" w:rsidRDefault="00F1752B" w:rsidP="00F1752B">
            <w:pPr>
              <w:spacing w:after="0"/>
              <w:jc w:val="center"/>
              <w:rPr>
                <w:rFonts w:ascii="Times New Roman" w:eastAsia="Times New Roman" w:hAnsi="Times New Roman"/>
                <w:sz w:val="24"/>
                <w:szCs w:val="24"/>
                <w:lang w:val="en-US" w:eastAsia="en-GB"/>
              </w:rPr>
            </w:pPr>
          </w:p>
          <w:p w14:paraId="4F2F428F"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35.6 (7.9)</w:t>
            </w:r>
          </w:p>
        </w:tc>
        <w:tc>
          <w:tcPr>
            <w:tcW w:w="1849" w:type="dxa"/>
            <w:vAlign w:val="center"/>
          </w:tcPr>
          <w:p w14:paraId="63194CBA" w14:textId="77777777" w:rsidR="00F1752B" w:rsidRPr="00091987" w:rsidRDefault="00F1752B" w:rsidP="00F1752B">
            <w:pPr>
              <w:spacing w:after="0"/>
              <w:jc w:val="center"/>
              <w:rPr>
                <w:rFonts w:ascii="Times New Roman" w:eastAsia="Times New Roman" w:hAnsi="Times New Roman"/>
                <w:sz w:val="24"/>
                <w:szCs w:val="24"/>
                <w:lang w:eastAsia="en-GB"/>
              </w:rPr>
            </w:pPr>
          </w:p>
          <w:p w14:paraId="5CA1612C"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29.8 %</w:t>
            </w:r>
          </w:p>
          <w:p w14:paraId="3619BA83" w14:textId="77777777" w:rsidR="00F1752B" w:rsidRPr="00091987" w:rsidRDefault="00F1752B" w:rsidP="00F1752B">
            <w:pPr>
              <w:spacing w:after="0"/>
              <w:jc w:val="center"/>
              <w:rPr>
                <w:rFonts w:ascii="Times New Roman" w:eastAsia="Times New Roman" w:hAnsi="Times New Roman"/>
                <w:sz w:val="24"/>
                <w:szCs w:val="24"/>
                <w:lang w:eastAsia="en-GB"/>
              </w:rPr>
            </w:pPr>
          </w:p>
          <w:p w14:paraId="14151227"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35.5 (7.8)</w:t>
            </w:r>
          </w:p>
        </w:tc>
        <w:tc>
          <w:tcPr>
            <w:tcW w:w="2117" w:type="dxa"/>
            <w:vAlign w:val="center"/>
          </w:tcPr>
          <w:p w14:paraId="07661E7D" w14:textId="77777777" w:rsidR="00F1752B" w:rsidRPr="00091987" w:rsidRDefault="00F1752B" w:rsidP="00F1752B">
            <w:pPr>
              <w:spacing w:after="0"/>
              <w:jc w:val="center"/>
              <w:rPr>
                <w:rFonts w:ascii="Times New Roman" w:eastAsia="Times New Roman" w:hAnsi="Times New Roman"/>
                <w:sz w:val="24"/>
                <w:szCs w:val="24"/>
                <w:lang w:eastAsia="en-GB"/>
              </w:rPr>
            </w:pPr>
          </w:p>
          <w:p w14:paraId="73AC5D5A"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30.0 %</w:t>
            </w:r>
          </w:p>
          <w:p w14:paraId="36862B86" w14:textId="77777777" w:rsidR="00F1752B" w:rsidRPr="00091987" w:rsidRDefault="00F1752B" w:rsidP="00F1752B">
            <w:pPr>
              <w:spacing w:after="0"/>
              <w:jc w:val="center"/>
              <w:rPr>
                <w:rFonts w:ascii="Times New Roman" w:eastAsia="Times New Roman" w:hAnsi="Times New Roman"/>
                <w:sz w:val="24"/>
                <w:szCs w:val="24"/>
                <w:lang w:eastAsia="en-GB"/>
              </w:rPr>
            </w:pPr>
          </w:p>
          <w:p w14:paraId="544087D3"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35.5 (7.8)</w:t>
            </w:r>
          </w:p>
        </w:tc>
        <w:tc>
          <w:tcPr>
            <w:tcW w:w="1910" w:type="dxa"/>
            <w:vAlign w:val="center"/>
          </w:tcPr>
          <w:p w14:paraId="4AA782D1" w14:textId="77777777" w:rsidR="00F1752B" w:rsidRPr="00091987" w:rsidRDefault="00F1752B" w:rsidP="00F1752B">
            <w:pPr>
              <w:spacing w:after="0"/>
              <w:jc w:val="center"/>
              <w:rPr>
                <w:rFonts w:ascii="Times New Roman" w:eastAsia="Times New Roman" w:hAnsi="Times New Roman"/>
                <w:sz w:val="24"/>
                <w:szCs w:val="24"/>
                <w:lang w:eastAsia="en-GB"/>
              </w:rPr>
            </w:pPr>
          </w:p>
          <w:p w14:paraId="17526B9D"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0.08</w:t>
            </w:r>
          </w:p>
          <w:p w14:paraId="4FF717C9" w14:textId="77777777" w:rsidR="00F1752B" w:rsidRPr="00091987" w:rsidRDefault="00F1752B" w:rsidP="00F1752B">
            <w:pPr>
              <w:spacing w:after="0"/>
              <w:jc w:val="center"/>
              <w:rPr>
                <w:rFonts w:ascii="Times New Roman" w:eastAsia="Times New Roman" w:hAnsi="Times New Roman"/>
                <w:sz w:val="24"/>
                <w:szCs w:val="24"/>
                <w:lang w:eastAsia="en-GB"/>
              </w:rPr>
            </w:pPr>
          </w:p>
          <w:p w14:paraId="55586B3C" w14:textId="77777777" w:rsidR="00F1752B" w:rsidRPr="00091987" w:rsidRDefault="00F1752B" w:rsidP="00F1752B">
            <w:pPr>
              <w:spacing w:after="0"/>
              <w:jc w:val="center"/>
              <w:rPr>
                <w:rFonts w:ascii="Times New Roman" w:eastAsia="Times New Roman" w:hAnsi="Times New Roman"/>
                <w:sz w:val="24"/>
                <w:szCs w:val="24"/>
                <w:lang w:eastAsia="en-GB"/>
              </w:rPr>
            </w:pPr>
            <w:r w:rsidRPr="00091987">
              <w:rPr>
                <w:rFonts w:ascii="Times New Roman" w:eastAsia="Times New Roman" w:hAnsi="Times New Roman"/>
                <w:sz w:val="24"/>
                <w:szCs w:val="24"/>
                <w:lang w:eastAsia="en-GB"/>
              </w:rPr>
              <w:t>0.25</w:t>
            </w:r>
          </w:p>
        </w:tc>
      </w:tr>
    </w:tbl>
    <w:bookmarkEnd w:id="7"/>
    <w:p w14:paraId="510CDE7F" w14:textId="204CA071" w:rsidR="00F1752B" w:rsidRPr="00091987" w:rsidRDefault="00F1752B" w:rsidP="00F1752B">
      <w:pPr>
        <w:spacing w:before="120" w:after="0" w:line="360" w:lineRule="auto"/>
        <w:jc w:val="both"/>
        <w:rPr>
          <w:rFonts w:ascii="Times New Roman" w:hAnsi="Times New Roman"/>
          <w:sz w:val="24"/>
          <w:szCs w:val="24"/>
          <w:lang w:val="en-US"/>
        </w:rPr>
      </w:pPr>
      <w:r w:rsidRPr="00091987">
        <w:rPr>
          <w:rFonts w:ascii="Times New Roman" w:eastAsia="Times New Roman" w:hAnsi="Times New Roman"/>
          <w:sz w:val="24"/>
          <w:szCs w:val="24"/>
          <w:lang w:val="en-US" w:eastAsia="en-GB"/>
        </w:rPr>
        <w:t xml:space="preserve">Since the whole </w:t>
      </w:r>
      <w:proofErr w:type="spellStart"/>
      <w:r w:rsidRPr="00091987">
        <w:rPr>
          <w:rFonts w:ascii="Times New Roman" w:eastAsia="Times New Roman" w:hAnsi="Times New Roman"/>
          <w:sz w:val="24"/>
          <w:szCs w:val="24"/>
          <w:lang w:val="en-US" w:eastAsia="en-GB"/>
        </w:rPr>
        <w:t>Moli-sani</w:t>
      </w:r>
      <w:proofErr w:type="spellEnd"/>
      <w:r w:rsidRPr="00091987">
        <w:rPr>
          <w:rFonts w:ascii="Times New Roman" w:eastAsia="Times New Roman" w:hAnsi="Times New Roman"/>
          <w:sz w:val="24"/>
          <w:szCs w:val="24"/>
          <w:lang w:val="en-US" w:eastAsia="en-GB"/>
        </w:rPr>
        <w:t xml:space="preserve"> cohort includes both the test and the training set and is largely overlapping with the latter, only p-values resulting from statistical </w:t>
      </w:r>
      <w:bookmarkStart w:id="8" w:name="_Hlk31203883"/>
      <w:r w:rsidRPr="00091987">
        <w:rPr>
          <w:rFonts w:ascii="Times New Roman" w:eastAsia="Times New Roman" w:hAnsi="Times New Roman"/>
          <w:sz w:val="24"/>
          <w:szCs w:val="24"/>
          <w:lang w:val="en-US" w:eastAsia="en-GB"/>
        </w:rPr>
        <w:t>comparison between the two (independent) subsets are reported</w:t>
      </w:r>
      <w:bookmarkEnd w:id="8"/>
      <w:r w:rsidRPr="00091987">
        <w:rPr>
          <w:rFonts w:ascii="Times New Roman" w:eastAsia="Times New Roman" w:hAnsi="Times New Roman"/>
          <w:sz w:val="24"/>
          <w:szCs w:val="24"/>
          <w:lang w:val="en-US" w:eastAsia="en-GB"/>
        </w:rPr>
        <w:t xml:space="preserve">. Chi-squared test was applied to education levels, CVD, cancer, obesity (BMI) and smoking status; Fisher Exact Test to sex and diabetes, unpaired t-test to age, </w:t>
      </w:r>
      <w:proofErr w:type="spellStart"/>
      <w:r w:rsidRPr="00091987">
        <w:rPr>
          <w:rFonts w:ascii="Times New Roman" w:eastAsia="Times New Roman" w:hAnsi="Times New Roman"/>
          <w:sz w:val="24"/>
          <w:szCs w:val="24"/>
          <w:lang w:val="en-US" w:eastAsia="en-GB"/>
        </w:rPr>
        <w:t>MeDi</w:t>
      </w:r>
      <w:proofErr w:type="spellEnd"/>
      <w:r w:rsidRPr="00091987">
        <w:rPr>
          <w:rFonts w:ascii="Times New Roman" w:eastAsia="Times New Roman" w:hAnsi="Times New Roman"/>
          <w:sz w:val="24"/>
          <w:szCs w:val="24"/>
          <w:lang w:val="en-US" w:eastAsia="en-GB"/>
        </w:rPr>
        <w:t xml:space="preserve"> score and calory intake; and Wilcoxon signed rank test to RFM, alcohol intake and physical activity levels (see Appendix for further details on the definition of these covariates). Abbreviations: CVD = cardiovascular disease; </w:t>
      </w:r>
      <w:proofErr w:type="spellStart"/>
      <w:r w:rsidRPr="00091987">
        <w:rPr>
          <w:rFonts w:ascii="Times New Roman" w:eastAsia="Times New Roman" w:hAnsi="Times New Roman"/>
          <w:sz w:val="24"/>
          <w:szCs w:val="24"/>
          <w:lang w:val="en-US" w:eastAsia="en-GB"/>
        </w:rPr>
        <w:t>MeDi</w:t>
      </w:r>
      <w:proofErr w:type="spellEnd"/>
      <w:r w:rsidRPr="00091987">
        <w:rPr>
          <w:rFonts w:ascii="Times New Roman" w:eastAsia="Times New Roman" w:hAnsi="Times New Roman"/>
          <w:sz w:val="24"/>
          <w:szCs w:val="24"/>
          <w:lang w:val="en-US" w:eastAsia="en-GB"/>
        </w:rPr>
        <w:t xml:space="preserve"> = </w:t>
      </w:r>
      <w:r w:rsidRPr="00091987">
        <w:rPr>
          <w:rFonts w:ascii="Times New Roman" w:hAnsi="Times New Roman"/>
          <w:sz w:val="24"/>
          <w:szCs w:val="24"/>
          <w:lang w:val="en-US"/>
        </w:rPr>
        <w:t>adherence score to Mediterranean Diet (</w:t>
      </w:r>
      <w:proofErr w:type="spellStart"/>
      <w:r w:rsidRPr="00091987">
        <w:rPr>
          <w:rFonts w:ascii="Times New Roman" w:hAnsi="Times New Roman"/>
          <w:sz w:val="24"/>
          <w:szCs w:val="24"/>
          <w:lang w:val="en-US"/>
        </w:rPr>
        <w:t>MeDi</w:t>
      </w:r>
      <w:proofErr w:type="spellEnd"/>
      <w:r w:rsidRPr="00091987">
        <w:rPr>
          <w:rFonts w:ascii="Times New Roman" w:hAnsi="Times New Roman"/>
          <w:sz w:val="24"/>
          <w:szCs w:val="24"/>
          <w:lang w:val="en-US"/>
        </w:rPr>
        <w:t>)</w:t>
      </w:r>
      <w:r w:rsidRPr="00091987">
        <w:rPr>
          <w:rFonts w:ascii="Times New Roman" w:hAnsi="Times New Roman"/>
          <w:sz w:val="24"/>
          <w:szCs w:val="24"/>
        </w:rPr>
        <w:fldChar w:fldCharType="begin" w:fldLock="1"/>
      </w:r>
      <w:r w:rsidR="0091230F">
        <w:rPr>
          <w:rFonts w:ascii="Times New Roman" w:hAnsi="Times New Roman"/>
          <w:sz w:val="24"/>
          <w:szCs w:val="24"/>
          <w:lang w:val="en-US"/>
        </w:rPr>
        <w:instrText>ADDIN CSL_CITATION {"citationItems":[{"id":"ITEM-1","itemData":{"DOI":"10.1056/NEJMoa025039","ISSN":"0028-4793","PMID":"12826634","abstract":"BACKGROUND Adherence to a Mediterranean diet may improve longevity, but relevant data are limited. METHODS We conducted a population-based, prospective investigation involving 22,043 adults in Greece who completed an extensive, validated, food-frequency questionnaire at base line. Adherence to the traditional Mediterranean diet was assessed by a 10-point Mediterranean-diet scale that incorporated the salient characteristics of this diet (range of scores, 0 to 9, with higher scores indicating greater adherence). We used proportional-hazards regression to assess the relation between adherence to the Mediterranean diet and total mortality, as well as mortality due to coronary heart disease and mortality due to cancer, with adjustment for age, sex, body-mass index, physical-activity level, and other potential confounders. RESULTS During a median of 44 months of follow-up, there were 275 deaths. A higher degree of adherence to the Mediterranean diet was associated with a reduction in total mortality (adjusted hazard ratio for death associated with a two-point increment in the Mediterranean-diet score, 0.75 [95 percent confidence interval, 0.64 to 0.87]). An inverse association with greater adherence to this diet was evident for both death due to coronary heart disease (adjusted hazard ratio, 0.67 [95 percent confidence interval, 0.47 to 0.94]) and death due to cancer (adjusted hazard ratio, 0.76 [95 percent confidence interval, 0.59 to 0.98]). Associations between individual food groups contributing to the Mediterranean-diet score and total mortality were generally not significant. CONCLUSIONS Greater adherence to the traditional Mediterranean diet is associated with a significant reduction in total mortality.","author":[{"dropping-particle":"","family":"Trichopoulou","given":"Antonia","non-dropping-particle":"","parse-names":false,"suffix":""},{"dropping-particle":"","family":"Costacou","given":"Tina","non-dropping-particle":"","parse-names":false,"suffix":""},{"dropping-particle":"","family":"Bamia","given":"Christina","non-dropping-particle":"","parse-names":false,"suffix":""},{"dropping-particle":"","family":"Trichopoulos","given":"Dimitrios","non-dropping-particle":"","parse-names":false,"suffix":""}],"container-title":"New England Journal of Medicine","id":"ITEM-1","issue":"26","issued":{"date-parts":[["2003","6","26"]]},"page":"2599-2608","title":"Adherence to a Mediterranean Diet and Survival in a Greek Population","type":"article-journal","volume":"348"},"uris":["http://www.mendeley.com/documents/?uuid=ab3a0d5e-ab4e-3a9f-b402-8239d60628bb"]}],"mendeley":{"formattedCitation":"[8]","plainTextFormattedCitation":"[8]","previouslyFormattedCitation":"&lt;sup&gt;8&lt;/sup&gt;"},"properties":{"noteIndex":0},"schema":"https://github.com/citation-style-language/schema/raw/master/csl-citation.json"}</w:instrText>
      </w:r>
      <w:r w:rsidRPr="00091987">
        <w:rPr>
          <w:rFonts w:ascii="Times New Roman" w:hAnsi="Times New Roman"/>
          <w:sz w:val="24"/>
          <w:szCs w:val="24"/>
        </w:rPr>
        <w:fldChar w:fldCharType="separate"/>
      </w:r>
      <w:r w:rsidR="0091230F" w:rsidRPr="0091230F">
        <w:rPr>
          <w:rFonts w:ascii="Times New Roman" w:hAnsi="Times New Roman"/>
          <w:noProof/>
          <w:sz w:val="24"/>
          <w:szCs w:val="24"/>
          <w:lang w:val="en-US"/>
        </w:rPr>
        <w:t>[8]</w:t>
      </w:r>
      <w:r w:rsidRPr="00091987">
        <w:rPr>
          <w:rFonts w:ascii="Times New Roman" w:hAnsi="Times New Roman"/>
          <w:sz w:val="24"/>
          <w:szCs w:val="24"/>
        </w:rPr>
        <w:fldChar w:fldCharType="end"/>
      </w:r>
      <w:r w:rsidRPr="00091987">
        <w:rPr>
          <w:rFonts w:ascii="Times New Roman" w:hAnsi="Times New Roman"/>
          <w:sz w:val="24"/>
          <w:szCs w:val="24"/>
          <w:lang w:val="en-US"/>
        </w:rPr>
        <w:t xml:space="preserve">; </w:t>
      </w:r>
      <w:r w:rsidRPr="00091987">
        <w:rPr>
          <w:rFonts w:ascii="Times New Roman" w:hAnsi="Times New Roman"/>
          <w:bCs/>
          <w:sz w:val="24"/>
          <w:szCs w:val="24"/>
          <w:lang w:val="en-US"/>
        </w:rPr>
        <w:t xml:space="preserve">BMI = body mass index; </w:t>
      </w:r>
      <w:r w:rsidRPr="00091987">
        <w:rPr>
          <w:rFonts w:ascii="Times New Roman" w:hAnsi="Times New Roman"/>
          <w:sz w:val="24"/>
          <w:szCs w:val="24"/>
          <w:lang w:val="en-US"/>
        </w:rPr>
        <w:t>RFM = Relative Fat Mass</w:t>
      </w:r>
      <w:r w:rsidRPr="00091987">
        <w:rPr>
          <w:rFonts w:ascii="Times New Roman" w:hAnsi="Times New Roman"/>
          <w:sz w:val="24"/>
          <w:szCs w:val="24"/>
        </w:rPr>
        <w:fldChar w:fldCharType="begin" w:fldLock="1"/>
      </w:r>
      <w:r w:rsidR="0091230F">
        <w:rPr>
          <w:rFonts w:ascii="Times New Roman" w:hAnsi="Times New Roman"/>
          <w:sz w:val="24"/>
          <w:szCs w:val="24"/>
          <w:lang w:val="en-US"/>
        </w:rPr>
        <w:instrText>ADDIN CSL_CITATION {"citationItems":[{"id":"ITEM-1","itemData":{"DOI":"10.1038/s41598-018-29362-1","ISSN":"20452322","abstract":"High whole-body fat percentage is independently associated with increased mortality. We aimed to identify a simple anthropometric linear equation that is more accurate than the body mass index (BMI) to estimate whole-body fat percentage among adult individuals. National Health and Nutrition Examination Survey (NHANES) 1999–2004 data (n = 12,581) were used for model development and NHANES 2005–2006 data (n = 3,456) were used for model validation. From the 365 anthropometric indices generated, the final selected equation was as follows: 64 − (20 × height/waist circumference) + (12 × sex), named as the relative fat mass (RFM); sex = 0 for men and 1 for women. In the validation dataset, compared with BMI, RFM better predicted whole-body fat percentage, measured by dual energy X-ray absorptiometry (DXA), among women and men. RFM showed better accuracy than the BMI and had fewer false negative cases of body fat-defined obesity among women and men. RFM reduced total obesity misclassification among all women and all men and, overall, among Mexican-Americans, European-Americans and African-Americans. In the population studied, the suggested RFM was more accurate than BMI to estimate whole-body fat percentage among women and men and improved body fat-defined obesity misclassification among American adult individuals of Mexican, European or African ethnicity.","author":[{"dropping-particle":"","family":"Woolcott","given":"Orison O.","non-dropping-particle":"","parse-names":false,"suffix":""},{"dropping-particle":"","family":"Bergman","given":"Richard N.","non-dropping-particle":"","parse-names":false,"suffix":""}],"container-title":"Scientific Reports","id":"ITEM-1","issue":"1","issued":{"date-parts":[["2018"]]},"page":"1-11","title":"Relative fat mass (RFM) as a new estimator of whole-body fat percentage ─ A cross-sectional study in American adult individuals","type":"article-journal","volume":"8"},"uris":["http://www.mendeley.com/documents/?uuid=b11ca45c-acbf-48d0-b7f1-c749b1519bc8"]}],"mendeley":{"formattedCitation":"[10]","plainTextFormattedCitation":"[10]","previouslyFormattedCitation":"&lt;sup&gt;10&lt;/sup&gt;"},"properties":{"noteIndex":0},"schema":"https://github.com/citation-style-language/schema/raw/master/csl-citation.json"}</w:instrText>
      </w:r>
      <w:r w:rsidRPr="00091987">
        <w:rPr>
          <w:rFonts w:ascii="Times New Roman" w:hAnsi="Times New Roman"/>
          <w:sz w:val="24"/>
          <w:szCs w:val="24"/>
        </w:rPr>
        <w:fldChar w:fldCharType="separate"/>
      </w:r>
      <w:r w:rsidR="0091230F" w:rsidRPr="0091230F">
        <w:rPr>
          <w:rFonts w:ascii="Times New Roman" w:hAnsi="Times New Roman"/>
          <w:noProof/>
          <w:sz w:val="24"/>
          <w:szCs w:val="24"/>
          <w:lang w:val="en-US"/>
        </w:rPr>
        <w:t>[10]</w:t>
      </w:r>
      <w:r w:rsidRPr="00091987">
        <w:rPr>
          <w:rFonts w:ascii="Times New Roman" w:hAnsi="Times New Roman"/>
          <w:sz w:val="24"/>
          <w:szCs w:val="24"/>
        </w:rPr>
        <w:fldChar w:fldCharType="end"/>
      </w:r>
      <w:r w:rsidRPr="00091987">
        <w:rPr>
          <w:rFonts w:ascii="Times New Roman" w:hAnsi="Times New Roman"/>
          <w:sz w:val="24"/>
          <w:szCs w:val="24"/>
          <w:lang w:val="en-US"/>
        </w:rPr>
        <w:t xml:space="preserve">. Note: the </w:t>
      </w:r>
      <w:proofErr w:type="spellStart"/>
      <w:r w:rsidRPr="00091987">
        <w:rPr>
          <w:rFonts w:ascii="Times New Roman" w:hAnsi="Times New Roman"/>
          <w:sz w:val="24"/>
          <w:szCs w:val="24"/>
          <w:lang w:val="en-US"/>
        </w:rPr>
        <w:t>Moli-sani</w:t>
      </w:r>
      <w:proofErr w:type="spellEnd"/>
      <w:r w:rsidRPr="00091987">
        <w:rPr>
          <w:rFonts w:ascii="Times New Roman" w:hAnsi="Times New Roman"/>
          <w:sz w:val="24"/>
          <w:szCs w:val="24"/>
          <w:lang w:val="en-US"/>
        </w:rPr>
        <w:t xml:space="preserve"> cohort also includes 467 samples removed during QC (see </w:t>
      </w:r>
      <w:r w:rsidR="000E10C1" w:rsidRPr="00091987">
        <w:rPr>
          <w:rFonts w:ascii="Times New Roman" w:hAnsi="Times New Roman"/>
          <w:sz w:val="24"/>
          <w:szCs w:val="24"/>
          <w:lang w:val="en-US"/>
        </w:rPr>
        <w:t>main text</w:t>
      </w:r>
      <w:r w:rsidRPr="00091987">
        <w:rPr>
          <w:rFonts w:ascii="Times New Roman" w:hAnsi="Times New Roman"/>
          <w:sz w:val="24"/>
          <w:szCs w:val="24"/>
          <w:lang w:val="en-US"/>
        </w:rPr>
        <w:t>).</w:t>
      </w:r>
    </w:p>
    <w:p w14:paraId="1C59AA10" w14:textId="6D2E1A73" w:rsidR="00F1752B" w:rsidRPr="00091987" w:rsidRDefault="00F1752B" w:rsidP="00F1752B">
      <w:pPr>
        <w:spacing w:before="120" w:after="0" w:line="360" w:lineRule="auto"/>
        <w:jc w:val="both"/>
        <w:rPr>
          <w:rFonts w:ascii="Times New Roman" w:hAnsi="Times New Roman"/>
          <w:sz w:val="24"/>
          <w:szCs w:val="24"/>
          <w:lang w:val="en-US"/>
        </w:rPr>
      </w:pPr>
    </w:p>
    <w:p w14:paraId="69D1BF36" w14:textId="77777777" w:rsidR="00A77DA9" w:rsidRPr="00091987" w:rsidRDefault="00A77DA9" w:rsidP="00A77DA9">
      <w:pPr>
        <w:spacing w:after="60" w:line="480" w:lineRule="auto"/>
        <w:jc w:val="both"/>
        <w:rPr>
          <w:rFonts w:ascii="Times New Roman" w:hAnsi="Times New Roman"/>
          <w:b/>
          <w:bCs/>
          <w:i/>
          <w:iCs/>
          <w:sz w:val="24"/>
          <w:szCs w:val="24"/>
          <w:lang w:val="en-US"/>
        </w:rPr>
      </w:pPr>
      <w:r w:rsidRPr="00091987">
        <w:rPr>
          <w:rFonts w:ascii="Times New Roman" w:hAnsi="Times New Roman"/>
          <w:b/>
          <w:bCs/>
          <w:i/>
          <w:iCs/>
          <w:sz w:val="24"/>
          <w:szCs w:val="24"/>
          <w:lang w:val="en-US"/>
        </w:rPr>
        <w:lastRenderedPageBreak/>
        <w:t>Multivariable stepwise regressions</w:t>
      </w:r>
    </w:p>
    <w:p w14:paraId="1A122AD5" w14:textId="42CCE8D1" w:rsidR="00A77DA9" w:rsidRPr="00091987" w:rsidRDefault="00A77DA9" w:rsidP="00A77DA9">
      <w:pPr>
        <w:spacing w:after="60" w:line="480" w:lineRule="auto"/>
        <w:jc w:val="both"/>
        <w:rPr>
          <w:rFonts w:ascii="Times New Roman" w:hAnsi="Times New Roman"/>
          <w:sz w:val="24"/>
          <w:szCs w:val="24"/>
          <w:lang w:val="en-US"/>
        </w:rPr>
      </w:pPr>
      <w:r w:rsidRPr="00091987">
        <w:rPr>
          <w:rFonts w:ascii="Times New Roman" w:hAnsi="Times New Roman"/>
          <w:sz w:val="24"/>
          <w:szCs w:val="24"/>
          <w:lang w:val="en-US"/>
        </w:rPr>
        <w:t xml:space="preserve">We applied multivariable regressions to model </w:t>
      </w:r>
      <w:proofErr w:type="spellStart"/>
      <w:r w:rsidRPr="00091987">
        <w:rPr>
          <w:rFonts w:ascii="Times New Roman" w:hAnsi="Times New Roman"/>
          <w:sz w:val="24"/>
          <w:szCs w:val="24"/>
          <w:lang w:val="en-US"/>
        </w:rPr>
        <w:t>ΔAge</w:t>
      </w:r>
      <w:proofErr w:type="spellEnd"/>
      <w:r w:rsidRPr="00091987">
        <w:rPr>
          <w:rFonts w:ascii="Times New Roman" w:hAnsi="Times New Roman"/>
          <w:sz w:val="24"/>
          <w:szCs w:val="24"/>
          <w:lang w:val="en-US"/>
        </w:rPr>
        <w:t xml:space="preserve"> as a function of all lifestyles and SES factors together, including all variables showing an association p &lt; 0.1 with </w:t>
      </w:r>
      <w:proofErr w:type="spellStart"/>
      <w:r w:rsidRPr="00091987">
        <w:rPr>
          <w:rFonts w:ascii="Times New Roman" w:hAnsi="Times New Roman"/>
          <w:sz w:val="24"/>
          <w:szCs w:val="24"/>
          <w:lang w:val="en-US"/>
        </w:rPr>
        <w:t>ΔAge</w:t>
      </w:r>
      <w:proofErr w:type="spellEnd"/>
      <w:r w:rsidRPr="00091987">
        <w:rPr>
          <w:rFonts w:ascii="Times New Roman" w:hAnsi="Times New Roman"/>
          <w:sz w:val="24"/>
          <w:szCs w:val="24"/>
          <w:lang w:val="en-US"/>
        </w:rPr>
        <w:t xml:space="preserve"> in the baseline models (see </w:t>
      </w:r>
      <w:r w:rsidRPr="00091987">
        <w:rPr>
          <w:rFonts w:ascii="Times New Roman" w:hAnsi="Times New Roman"/>
          <w:i/>
          <w:iCs/>
          <w:sz w:val="24"/>
          <w:szCs w:val="24"/>
          <w:lang w:val="en-US"/>
        </w:rPr>
        <w:t>Results</w:t>
      </w:r>
      <w:r w:rsidRPr="00091987">
        <w:rPr>
          <w:rFonts w:ascii="Times New Roman" w:hAnsi="Times New Roman"/>
          <w:sz w:val="24"/>
          <w:szCs w:val="24"/>
          <w:lang w:val="en-US"/>
        </w:rPr>
        <w:t xml:space="preserve"> in the main text).  To avoid potential overfitting bias due to multicollinearity of exposures – which may lead to an inflation bias of Beta and R</w:t>
      </w:r>
      <w:r w:rsidRPr="00091987">
        <w:rPr>
          <w:rFonts w:ascii="Times New Roman" w:hAnsi="Times New Roman"/>
          <w:sz w:val="24"/>
          <w:szCs w:val="24"/>
          <w:vertAlign w:val="superscript"/>
          <w:lang w:val="en-US"/>
        </w:rPr>
        <w:t>2</w:t>
      </w:r>
      <w:r w:rsidRPr="00091987">
        <w:rPr>
          <w:rFonts w:ascii="Times New Roman" w:hAnsi="Times New Roman"/>
          <w:sz w:val="24"/>
          <w:szCs w:val="24"/>
          <w:lang w:val="en-US"/>
        </w:rPr>
        <w:t xml:space="preserve"> coefficients</w:t>
      </w:r>
      <w:r w:rsidRPr="00091987">
        <w:rPr>
          <w:rFonts w:ascii="Times New Roman" w:hAnsi="Times New Roman"/>
          <w:sz w:val="24"/>
          <w:szCs w:val="24"/>
          <w:lang w:val="en-US"/>
        </w:rPr>
        <w:fldChar w:fldCharType="begin" w:fldLock="1"/>
      </w:r>
      <w:r w:rsidR="0091230F">
        <w:rPr>
          <w:rFonts w:ascii="Times New Roman" w:hAnsi="Times New Roman"/>
          <w:sz w:val="24"/>
          <w:szCs w:val="24"/>
          <w:lang w:val="en-US"/>
        </w:rPr>
        <w:instrText>ADDIN CSL_CITATION {"citationItems":[{"id":"ITEM-1","itemData":{"DOI":"10.1093/ejcts/ezy403","ISSN":"1873734X","PMID":"30596979","abstract":"Multivariable regression models are used to establish the relationship between a dependent variable (i.e. an outcome of interest) and more than 1 independent variable. Multivariable regression can be used for a variety of different purposes in research studies. The 3 most common types of multivariable regression are linear regression, logistic regression and Cox proportional hazards regression. A detailed understanding of multivariable regression is essential for correct interpretation of studies that utilize these statistical tools. This statistical primer discusses some common considerations and pitfalls for researchers to be aware of when undertaking multivariable regression.","author":[{"dropping-particle":"","family":"Grant","given":"Stuart W.","non-dropping-particle":"","parse-names":false,"suffix":""},{"dropping-particle":"","family":"Hickey","given":"Graeme L.","non-dropping-particle":"","parse-names":false,"suffix":""},{"dropping-particle":"","family":"Head","given":"Stuart J.","non-dropping-particle":"","parse-names":false,"suffix":""}],"container-title":"European Journal of Cardio-thoracic Surgery","id":"ITEM-1","issue":"2","issued":{"date-parts":[["2019"]]},"page":"179-185","title":"Statistical primer: Multivariable regression considerations and pitfalls","type":"article-journal","volume":"55"},"uris":["http://www.mendeley.com/documents/?uuid=7e1169c9-01f6-4113-8a52-cc62b8192ddb"]}],"mendeley":{"formattedCitation":"[16]","plainTextFormattedCitation":"[16]","previouslyFormattedCitation":"&lt;sup&gt;16&lt;/sup&gt;"},"properties":{"noteIndex":0},"schema":"https://github.com/citation-style-language/schema/raw/master/csl-citation.json"}</w:instrText>
      </w:r>
      <w:r w:rsidRPr="00091987">
        <w:rPr>
          <w:rFonts w:ascii="Times New Roman" w:hAnsi="Times New Roman"/>
          <w:sz w:val="24"/>
          <w:szCs w:val="24"/>
          <w:lang w:val="en-US"/>
        </w:rPr>
        <w:fldChar w:fldCharType="separate"/>
      </w:r>
      <w:r w:rsidR="0091230F" w:rsidRPr="0091230F">
        <w:rPr>
          <w:rFonts w:ascii="Times New Roman" w:hAnsi="Times New Roman"/>
          <w:noProof/>
          <w:sz w:val="24"/>
          <w:szCs w:val="24"/>
          <w:lang w:val="en-US"/>
        </w:rPr>
        <w:t>[16]</w:t>
      </w:r>
      <w:r w:rsidRPr="00091987">
        <w:rPr>
          <w:rFonts w:ascii="Times New Roman" w:hAnsi="Times New Roman"/>
          <w:sz w:val="24"/>
          <w:szCs w:val="24"/>
          <w:lang w:val="en-US"/>
        </w:rPr>
        <w:fldChar w:fldCharType="end"/>
      </w:r>
      <w:r w:rsidRPr="00091987">
        <w:rPr>
          <w:rFonts w:ascii="Times New Roman" w:hAnsi="Times New Roman"/>
          <w:sz w:val="24"/>
          <w:szCs w:val="24"/>
          <w:lang w:val="en-US"/>
        </w:rPr>
        <w:t xml:space="preserve"> – we used a stepwise regression approach based on Akaike Information Criterion (AIC). This was implemented through the </w:t>
      </w:r>
      <w:proofErr w:type="spellStart"/>
      <w:r w:rsidRPr="00091987">
        <w:rPr>
          <w:rFonts w:ascii="Times New Roman" w:hAnsi="Times New Roman"/>
          <w:i/>
          <w:iCs/>
          <w:sz w:val="24"/>
          <w:szCs w:val="24"/>
          <w:lang w:val="en-US"/>
        </w:rPr>
        <w:t>stepAIC</w:t>
      </w:r>
      <w:proofErr w:type="spellEnd"/>
      <w:r w:rsidRPr="00091987">
        <w:rPr>
          <w:rFonts w:ascii="Times New Roman" w:hAnsi="Times New Roman"/>
          <w:i/>
          <w:iCs/>
          <w:sz w:val="24"/>
          <w:szCs w:val="24"/>
          <w:lang w:val="en-US"/>
        </w:rPr>
        <w:t>()</w:t>
      </w:r>
      <w:r w:rsidRPr="00091987">
        <w:rPr>
          <w:rFonts w:ascii="Times New Roman" w:hAnsi="Times New Roman"/>
          <w:sz w:val="24"/>
          <w:szCs w:val="24"/>
          <w:lang w:val="en-US"/>
        </w:rPr>
        <w:t xml:space="preserve"> function of the MASS package in R</w:t>
      </w:r>
      <w:r w:rsidRPr="00091987">
        <w:rPr>
          <w:rFonts w:ascii="Times New Roman" w:hAnsi="Times New Roman"/>
          <w:sz w:val="24"/>
          <w:szCs w:val="24"/>
          <w:lang w:val="en-US"/>
        </w:rPr>
        <w:fldChar w:fldCharType="begin" w:fldLock="1"/>
      </w:r>
      <w:r w:rsidR="0091230F">
        <w:rPr>
          <w:rFonts w:ascii="Times New Roman" w:hAnsi="Times New Roman"/>
          <w:sz w:val="24"/>
          <w:szCs w:val="24"/>
          <w:lang w:val="en-US"/>
        </w:rPr>
        <w:instrText>ADDIN CSL_CITATION {"citationItems":[{"id":"ITEM-1","itemData":{"ISBN":"0-387-95457-0","author":[{"dropping-particle":"","family":"Venables","given":"W.N.","non-dropping-particle":"","parse-names":false,"suffix":""},{"dropping-particle":"","family":"Ripley","given":"B.D.","non-dropping-particle":"","parse-names":false,"suffix":""}],"id":"ITEM-1","issued":{"date-parts":[["2002"]]},"publisher":"Elsevier","publisher-place":"New York","title":"Modern Applied Statistics with R","type":"book"},"uris":["http://www.mendeley.com/documents/?uuid=a38cafc6-64d3-3c2c-9fb7-db4e5bdf27b1"]}],"mendeley":{"formattedCitation":"[17]","plainTextFormattedCitation":"[17]","previouslyFormattedCitation":"&lt;sup&gt;17&lt;/sup&gt;"},"properties":{"noteIndex":0},"schema":"https://github.com/citation-style-language/schema/raw/master/csl-citation.json"}</w:instrText>
      </w:r>
      <w:r w:rsidRPr="00091987">
        <w:rPr>
          <w:rFonts w:ascii="Times New Roman" w:hAnsi="Times New Roman"/>
          <w:sz w:val="24"/>
          <w:szCs w:val="24"/>
          <w:lang w:val="en-US"/>
        </w:rPr>
        <w:fldChar w:fldCharType="separate"/>
      </w:r>
      <w:r w:rsidR="0091230F" w:rsidRPr="0091230F">
        <w:rPr>
          <w:rFonts w:ascii="Times New Roman" w:hAnsi="Times New Roman"/>
          <w:noProof/>
          <w:sz w:val="24"/>
          <w:szCs w:val="24"/>
          <w:lang w:val="en-US"/>
        </w:rPr>
        <w:t>[17]</w:t>
      </w:r>
      <w:r w:rsidRPr="00091987">
        <w:rPr>
          <w:rFonts w:ascii="Times New Roman" w:hAnsi="Times New Roman"/>
          <w:sz w:val="24"/>
          <w:szCs w:val="24"/>
          <w:lang w:val="en-US"/>
        </w:rPr>
        <w:fldChar w:fldCharType="end"/>
      </w:r>
      <w:r w:rsidRPr="00091987">
        <w:rPr>
          <w:rFonts w:ascii="Times New Roman" w:hAnsi="Times New Roman"/>
          <w:sz w:val="24"/>
          <w:szCs w:val="24"/>
          <w:lang w:val="en-US"/>
        </w:rPr>
        <w:t xml:space="preserve"> (see URLs), using </w:t>
      </w:r>
      <w:proofErr w:type="spellStart"/>
      <w:r w:rsidRPr="00091987">
        <w:rPr>
          <w:rFonts w:ascii="Times New Roman" w:hAnsi="Times New Roman"/>
          <w:sz w:val="24"/>
          <w:szCs w:val="24"/>
          <w:lang w:val="en-US"/>
        </w:rPr>
        <w:t>ΔAge</w:t>
      </w:r>
      <w:proofErr w:type="spellEnd"/>
      <w:r w:rsidRPr="00091987">
        <w:rPr>
          <w:rFonts w:ascii="Times New Roman" w:hAnsi="Times New Roman"/>
          <w:sz w:val="24"/>
          <w:szCs w:val="24"/>
          <w:lang w:val="en-US"/>
        </w:rPr>
        <w:t xml:space="preserve"> ⁓ sex + CA as baseline model and keeping in the final model only those variables determining a decrease in the AIC both in forward and in backward stepwise regressions (“both” option). </w:t>
      </w:r>
    </w:p>
    <w:p w14:paraId="4601F276" w14:textId="77777777" w:rsidR="00A77DA9" w:rsidRPr="00091987" w:rsidRDefault="00A77DA9" w:rsidP="00A77DA9">
      <w:pPr>
        <w:spacing w:after="60" w:line="480" w:lineRule="auto"/>
        <w:jc w:val="both"/>
        <w:rPr>
          <w:rFonts w:ascii="Times New Roman" w:hAnsi="Times New Roman"/>
          <w:sz w:val="24"/>
          <w:szCs w:val="24"/>
          <w:lang w:val="en-US"/>
        </w:rPr>
      </w:pPr>
      <w:r w:rsidRPr="00091987">
        <w:rPr>
          <w:rFonts w:ascii="Times New Roman" w:hAnsi="Times New Roman"/>
          <w:sz w:val="24"/>
          <w:szCs w:val="24"/>
          <w:lang w:val="en-US"/>
        </w:rPr>
        <w:t>AIC is defined as</w:t>
      </w:r>
    </w:p>
    <w:p w14:paraId="53BF84D7" w14:textId="77777777" w:rsidR="00A77DA9" w:rsidRPr="00091987" w:rsidRDefault="00A77DA9" w:rsidP="00A77DA9">
      <w:pPr>
        <w:spacing w:after="60" w:line="480" w:lineRule="auto"/>
        <w:jc w:val="center"/>
        <w:rPr>
          <w:rFonts w:ascii="Times New Roman" w:hAnsi="Times New Roman"/>
          <w:b/>
          <w:bCs/>
          <w:i/>
          <w:sz w:val="24"/>
          <w:szCs w:val="24"/>
          <w:shd w:val="clear" w:color="auto" w:fill="FFFFFF"/>
          <w:lang w:val="en-US"/>
        </w:rPr>
      </w:pPr>
      <w:r w:rsidRPr="00091987">
        <w:rPr>
          <w:rFonts w:ascii="Times New Roman" w:hAnsi="Times New Roman"/>
          <w:b/>
          <w:bCs/>
          <w:i/>
          <w:sz w:val="24"/>
          <w:szCs w:val="24"/>
          <w:shd w:val="clear" w:color="auto" w:fill="FFFFFF"/>
          <w:lang w:val="en-US"/>
        </w:rPr>
        <w:t xml:space="preserve">AIC = 2*k - 2 * </w:t>
      </w:r>
      <w:proofErr w:type="spellStart"/>
      <w:r w:rsidRPr="00091987">
        <w:rPr>
          <w:rFonts w:ascii="Times New Roman" w:hAnsi="Times New Roman"/>
          <w:b/>
          <w:bCs/>
          <w:i/>
          <w:sz w:val="24"/>
          <w:szCs w:val="24"/>
          <w:shd w:val="clear" w:color="auto" w:fill="FFFFFF"/>
          <w:lang w:val="en-US"/>
        </w:rPr>
        <w:t>LogLike</w:t>
      </w:r>
      <w:proofErr w:type="spellEnd"/>
      <w:r w:rsidRPr="00091987">
        <w:rPr>
          <w:rFonts w:ascii="Times New Roman" w:hAnsi="Times New Roman"/>
          <w:b/>
          <w:bCs/>
          <w:i/>
          <w:sz w:val="24"/>
          <w:szCs w:val="24"/>
          <w:shd w:val="clear" w:color="auto" w:fill="FFFFFF"/>
          <w:lang w:val="en-US"/>
        </w:rPr>
        <w:t xml:space="preserve"> (model),</w:t>
      </w:r>
    </w:p>
    <w:p w14:paraId="7557FC20" w14:textId="1927BCD6" w:rsidR="00A77DA9" w:rsidRPr="00091987" w:rsidRDefault="00A77DA9" w:rsidP="00A77DA9">
      <w:pPr>
        <w:spacing w:after="60" w:line="480" w:lineRule="auto"/>
        <w:jc w:val="both"/>
        <w:rPr>
          <w:rFonts w:ascii="Times New Roman" w:hAnsi="Times New Roman"/>
          <w:sz w:val="24"/>
          <w:szCs w:val="24"/>
          <w:lang w:val="en-US"/>
        </w:rPr>
      </w:pPr>
      <w:r w:rsidRPr="00091987">
        <w:rPr>
          <w:rFonts w:ascii="Times New Roman" w:hAnsi="Times New Roman"/>
          <w:sz w:val="24"/>
          <w:szCs w:val="24"/>
          <w:shd w:val="clear" w:color="auto" w:fill="FFFFFF"/>
          <w:lang w:val="en-US"/>
        </w:rPr>
        <w:t xml:space="preserve">Where </w:t>
      </w:r>
      <w:r w:rsidRPr="00091987">
        <w:rPr>
          <w:rFonts w:ascii="Times New Roman" w:hAnsi="Times New Roman"/>
          <w:i/>
          <w:sz w:val="24"/>
          <w:szCs w:val="24"/>
          <w:shd w:val="clear" w:color="auto" w:fill="FFFFFF"/>
          <w:lang w:val="en-US"/>
        </w:rPr>
        <w:t>k</w:t>
      </w:r>
      <w:r w:rsidRPr="00091987">
        <w:rPr>
          <w:rFonts w:ascii="Times New Roman" w:hAnsi="Times New Roman"/>
          <w:sz w:val="24"/>
          <w:szCs w:val="24"/>
          <w:shd w:val="clear" w:color="auto" w:fill="FFFFFF"/>
          <w:lang w:val="en-US"/>
        </w:rPr>
        <w:t xml:space="preserve"> is the number of parameters (independent variables) in the model and </w:t>
      </w:r>
      <w:proofErr w:type="spellStart"/>
      <w:r w:rsidRPr="00091987">
        <w:rPr>
          <w:rFonts w:ascii="Times New Roman" w:hAnsi="Times New Roman"/>
          <w:i/>
          <w:sz w:val="24"/>
          <w:szCs w:val="24"/>
          <w:shd w:val="clear" w:color="auto" w:fill="FFFFFF"/>
          <w:lang w:val="en-US"/>
        </w:rPr>
        <w:t>LogLike</w:t>
      </w:r>
      <w:proofErr w:type="spellEnd"/>
      <w:r w:rsidRPr="00091987">
        <w:rPr>
          <w:rFonts w:ascii="Times New Roman" w:hAnsi="Times New Roman"/>
          <w:i/>
          <w:sz w:val="24"/>
          <w:szCs w:val="24"/>
          <w:shd w:val="clear" w:color="auto" w:fill="FFFFFF"/>
          <w:lang w:val="en-US"/>
        </w:rPr>
        <w:t xml:space="preserve"> </w:t>
      </w:r>
      <w:r w:rsidRPr="00091987">
        <w:rPr>
          <w:rFonts w:ascii="Times New Roman" w:hAnsi="Times New Roman"/>
          <w:sz w:val="24"/>
          <w:szCs w:val="24"/>
          <w:shd w:val="clear" w:color="auto" w:fill="FFFFFF"/>
          <w:lang w:val="en-US"/>
        </w:rPr>
        <w:t xml:space="preserve">represents the natural logarithm of the likelihood of the model (the higher, the most predictive the model). </w:t>
      </w:r>
      <w:r w:rsidRPr="00091987">
        <w:rPr>
          <w:rFonts w:ascii="Times New Roman" w:hAnsi="Times New Roman"/>
          <w:sz w:val="24"/>
          <w:szCs w:val="24"/>
          <w:lang w:val="en-US"/>
        </w:rPr>
        <w:t>AIC represents a tradeoff between the goodness-of-fit of a given model and its parsimony, i.e. the number of parameters included, and models with the lowest AIC are usually preferred. In other words, in this analysis only those independent variables which significantly contributed to an increase in the total variance explained by the model - in spite of the addition of a parameter to the regression – were kept, allowing to “clean” the models for potential bias introduced by other non-necessary variables. Indeed, this has been suggested as the preferential approach when many variables are treated as simultaneous exposures in a multivariable model</w:t>
      </w:r>
      <w:r w:rsidRPr="00091987">
        <w:rPr>
          <w:rFonts w:ascii="Times New Roman" w:hAnsi="Times New Roman"/>
          <w:sz w:val="24"/>
          <w:szCs w:val="24"/>
          <w:lang w:val="en-US"/>
        </w:rPr>
        <w:fldChar w:fldCharType="begin" w:fldLock="1"/>
      </w:r>
      <w:r w:rsidR="0091230F">
        <w:rPr>
          <w:rFonts w:ascii="Times New Roman" w:hAnsi="Times New Roman"/>
          <w:sz w:val="24"/>
          <w:szCs w:val="24"/>
          <w:lang w:val="en-US"/>
        </w:rPr>
        <w:instrText>ADDIN CSL_CITATION {"citationItems":[{"id":"ITEM-1","itemData":{"DOI":"10.1093/ejcts/ezy403","ISSN":"1873734X","PMID":"30596979","abstract":"Multivariable regression models are used to establish the relationship between a dependent variable (i.e. an outcome of interest) and more than 1 independent variable. Multivariable regression can be used for a variety of different purposes in research studies. The 3 most common types of multivariable regression are linear regression, logistic regression and Cox proportional hazards regression. A detailed understanding of multivariable regression is essential for correct interpretation of studies that utilize these statistical tools. This statistical primer discusses some common considerations and pitfalls for researchers to be aware of when undertaking multivariable regression.","author":[{"dropping-particle":"","family":"Grant","given":"Stuart W.","non-dropping-particle":"","parse-names":false,"suffix":""},{"dropping-particle":"","family":"Hickey","given":"Graeme L.","non-dropping-particle":"","parse-names":false,"suffix":""},{"dropping-particle":"","family":"Head","given":"Stuart J.","non-dropping-particle":"","parse-names":false,"suffix":""}],"container-title":"European Journal of Cardio-thoracic Surgery","id":"ITEM-1","issue":"2","issued":{"date-parts":[["2019"]]},"page":"179-185","title":"Statistical primer: Multivariable regression considerations and pitfalls","type":"article-journal","volume":"55"},"uris":["http://www.mendeley.com/documents/?uuid=7e1169c9-01f6-4113-8a52-cc62b8192ddb"]}],"mendeley":{"formattedCitation":"[16]","plainTextFormattedCitation":"[16]","previouslyFormattedCitation":"&lt;sup&gt;16&lt;/sup&gt;"},"properties":{"noteIndex":0},"schema":"https://github.com/citation-style-language/schema/raw/master/csl-citation.json"}</w:instrText>
      </w:r>
      <w:r w:rsidRPr="00091987">
        <w:rPr>
          <w:rFonts w:ascii="Times New Roman" w:hAnsi="Times New Roman"/>
          <w:sz w:val="24"/>
          <w:szCs w:val="24"/>
          <w:lang w:val="en-US"/>
        </w:rPr>
        <w:fldChar w:fldCharType="separate"/>
      </w:r>
      <w:r w:rsidR="0091230F" w:rsidRPr="0091230F">
        <w:rPr>
          <w:rFonts w:ascii="Times New Roman" w:hAnsi="Times New Roman"/>
          <w:noProof/>
          <w:sz w:val="24"/>
          <w:szCs w:val="24"/>
          <w:lang w:val="en-US"/>
        </w:rPr>
        <w:t>[16]</w:t>
      </w:r>
      <w:r w:rsidRPr="00091987">
        <w:rPr>
          <w:rFonts w:ascii="Times New Roman" w:hAnsi="Times New Roman"/>
          <w:sz w:val="24"/>
          <w:szCs w:val="24"/>
          <w:lang w:val="en-US"/>
        </w:rPr>
        <w:fldChar w:fldCharType="end"/>
      </w:r>
      <w:r w:rsidRPr="00091987">
        <w:rPr>
          <w:rFonts w:ascii="Times New Roman" w:hAnsi="Times New Roman"/>
          <w:sz w:val="24"/>
          <w:szCs w:val="24"/>
          <w:lang w:val="en-US"/>
        </w:rPr>
        <w:t>.</w:t>
      </w:r>
    </w:p>
    <w:p w14:paraId="1CB9AC42" w14:textId="0862BFA2" w:rsidR="00A77DA9" w:rsidRPr="00091987" w:rsidRDefault="00A77DA9" w:rsidP="00F1752B">
      <w:pPr>
        <w:spacing w:before="120" w:after="0" w:line="360" w:lineRule="auto"/>
        <w:jc w:val="both"/>
        <w:rPr>
          <w:rFonts w:ascii="Times New Roman" w:hAnsi="Times New Roman"/>
          <w:sz w:val="24"/>
          <w:szCs w:val="24"/>
          <w:lang w:val="en-US"/>
        </w:rPr>
      </w:pPr>
    </w:p>
    <w:p w14:paraId="4F5E4C78" w14:textId="6FA86E48" w:rsidR="00A77DA9" w:rsidRPr="00091987" w:rsidRDefault="00A77DA9" w:rsidP="00F1752B">
      <w:pPr>
        <w:spacing w:before="120" w:after="0" w:line="360" w:lineRule="auto"/>
        <w:jc w:val="both"/>
        <w:rPr>
          <w:rFonts w:ascii="Times New Roman" w:hAnsi="Times New Roman"/>
          <w:sz w:val="24"/>
          <w:szCs w:val="24"/>
          <w:lang w:val="en-US"/>
        </w:rPr>
      </w:pPr>
    </w:p>
    <w:p w14:paraId="2B9BC66E" w14:textId="1218309F" w:rsidR="00A77DA9" w:rsidRPr="00091987" w:rsidRDefault="00A77DA9" w:rsidP="00F1752B">
      <w:pPr>
        <w:spacing w:before="120" w:after="0" w:line="360" w:lineRule="auto"/>
        <w:jc w:val="both"/>
        <w:rPr>
          <w:rFonts w:ascii="Times New Roman" w:hAnsi="Times New Roman"/>
          <w:sz w:val="24"/>
          <w:szCs w:val="24"/>
          <w:lang w:val="en-US"/>
        </w:rPr>
      </w:pPr>
    </w:p>
    <w:p w14:paraId="450E0240" w14:textId="45793DD2" w:rsidR="00A77DA9" w:rsidRPr="004722E0" w:rsidRDefault="00A77DA9" w:rsidP="00F1752B">
      <w:pPr>
        <w:spacing w:before="120" w:after="0" w:line="360" w:lineRule="auto"/>
        <w:jc w:val="both"/>
        <w:rPr>
          <w:rFonts w:ascii="Times New Roman" w:hAnsi="Times New Roman"/>
          <w:color w:val="7030A0"/>
          <w:sz w:val="24"/>
          <w:szCs w:val="24"/>
          <w:lang w:val="en-US"/>
        </w:rPr>
      </w:pPr>
    </w:p>
    <w:p w14:paraId="574582B2" w14:textId="20B3C59A" w:rsidR="00A77DA9" w:rsidRPr="00E74AD1" w:rsidRDefault="00A77DA9" w:rsidP="00F1752B">
      <w:pPr>
        <w:spacing w:before="120" w:after="0" w:line="360" w:lineRule="auto"/>
        <w:jc w:val="both"/>
        <w:rPr>
          <w:rFonts w:ascii="Times New Roman" w:hAnsi="Times New Roman"/>
          <w:sz w:val="24"/>
          <w:szCs w:val="24"/>
          <w:lang w:val="en-US"/>
        </w:rPr>
      </w:pPr>
    </w:p>
    <w:p w14:paraId="7EAD13E7" w14:textId="77777777" w:rsidR="00A77DA9" w:rsidRPr="00E74AD1" w:rsidRDefault="00A77DA9" w:rsidP="00525543">
      <w:pPr>
        <w:spacing w:after="120" w:line="360" w:lineRule="auto"/>
        <w:jc w:val="center"/>
        <w:rPr>
          <w:rFonts w:ascii="Times New Roman" w:hAnsi="Times New Roman"/>
          <w:b/>
          <w:sz w:val="24"/>
          <w:szCs w:val="24"/>
          <w:lang w:val="en-US"/>
        </w:rPr>
      </w:pPr>
    </w:p>
    <w:p w14:paraId="6D2E4608" w14:textId="28090FBA" w:rsidR="00525543" w:rsidRPr="00E74AD1" w:rsidRDefault="003F7649" w:rsidP="00525543">
      <w:pPr>
        <w:spacing w:after="120" w:line="360" w:lineRule="auto"/>
        <w:jc w:val="center"/>
        <w:rPr>
          <w:rFonts w:ascii="Times New Roman" w:hAnsi="Times New Roman"/>
          <w:b/>
          <w:sz w:val="24"/>
          <w:szCs w:val="24"/>
          <w:lang w:val="en-US"/>
        </w:rPr>
      </w:pPr>
      <w:r w:rsidRPr="00E74AD1">
        <w:rPr>
          <w:rFonts w:ascii="Times New Roman" w:hAnsi="Times New Roman"/>
          <w:b/>
          <w:sz w:val="24"/>
          <w:szCs w:val="24"/>
          <w:lang w:val="en-US"/>
        </w:rPr>
        <w:lastRenderedPageBreak/>
        <w:t>Supplementary Results</w:t>
      </w:r>
    </w:p>
    <w:p w14:paraId="7B947245" w14:textId="77777777" w:rsidR="00525543" w:rsidRPr="00E74AD1" w:rsidRDefault="00525543" w:rsidP="00525543">
      <w:pPr>
        <w:spacing w:after="120" w:line="360" w:lineRule="auto"/>
        <w:jc w:val="center"/>
        <w:rPr>
          <w:rFonts w:ascii="Times New Roman" w:hAnsi="Times New Roman"/>
          <w:b/>
          <w:sz w:val="8"/>
          <w:szCs w:val="8"/>
          <w:lang w:val="en-US"/>
        </w:rPr>
      </w:pPr>
    </w:p>
    <w:p w14:paraId="67B6264A" w14:textId="77777777" w:rsidR="00525543" w:rsidRPr="00E74AD1" w:rsidRDefault="00525543" w:rsidP="00525543">
      <w:pPr>
        <w:spacing w:after="120" w:line="360" w:lineRule="auto"/>
        <w:jc w:val="center"/>
        <w:rPr>
          <w:rFonts w:ascii="Times New Roman" w:hAnsi="Times New Roman"/>
          <w:b/>
          <w:sz w:val="24"/>
          <w:szCs w:val="24"/>
          <w:lang w:val="en-US"/>
        </w:rPr>
      </w:pPr>
      <w:r w:rsidRPr="00E74AD1">
        <w:rPr>
          <w:rFonts w:ascii="Times New Roman" w:hAnsi="Times New Roman"/>
          <w:b/>
          <w:sz w:val="24"/>
          <w:szCs w:val="24"/>
          <w:lang w:val="en-US"/>
        </w:rPr>
        <w:t>Figure S2. Scatter plot of Biological (BA) vs Chronological Age (CA) in the test set (N=4,772).</w:t>
      </w:r>
    </w:p>
    <w:p w14:paraId="4691A295" w14:textId="08F0BD9A" w:rsidR="00525543" w:rsidRPr="00E74AD1" w:rsidRDefault="00525543" w:rsidP="00525543">
      <w:pPr>
        <w:spacing w:after="120" w:line="360" w:lineRule="auto"/>
        <w:jc w:val="center"/>
        <w:rPr>
          <w:rFonts w:ascii="Times New Roman" w:hAnsi="Times New Roman"/>
          <w:b/>
          <w:sz w:val="24"/>
          <w:szCs w:val="24"/>
          <w:lang w:val="en-US"/>
        </w:rPr>
      </w:pPr>
      <w:r w:rsidRPr="00E74AD1">
        <w:rPr>
          <w:noProof/>
          <w:lang w:val="it-IT" w:eastAsia="it-IT"/>
        </w:rPr>
        <w:drawing>
          <wp:inline distT="0" distB="0" distL="0" distR="0" wp14:anchorId="5F3816B9" wp14:editId="648633B3">
            <wp:extent cx="5788800" cy="3592800"/>
            <wp:effectExtent l="19050" t="19050" r="2159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800" cy="3592800"/>
                    </a:xfrm>
                    <a:prstGeom prst="rect">
                      <a:avLst/>
                    </a:prstGeom>
                    <a:noFill/>
                    <a:ln>
                      <a:solidFill>
                        <a:schemeClr val="accent1"/>
                      </a:solidFill>
                    </a:ln>
                  </pic:spPr>
                </pic:pic>
              </a:graphicData>
            </a:graphic>
          </wp:inline>
        </w:drawing>
      </w:r>
    </w:p>
    <w:p w14:paraId="0992B827" w14:textId="77777777" w:rsidR="00525543" w:rsidRPr="00E74AD1" w:rsidRDefault="00525543" w:rsidP="00525543">
      <w:pPr>
        <w:spacing w:after="120" w:line="360" w:lineRule="auto"/>
        <w:jc w:val="center"/>
        <w:rPr>
          <w:rFonts w:ascii="Times New Roman" w:hAnsi="Times New Roman"/>
          <w:b/>
          <w:sz w:val="8"/>
          <w:szCs w:val="8"/>
          <w:lang w:val="en-US"/>
        </w:rPr>
      </w:pPr>
    </w:p>
    <w:p w14:paraId="5C16F5FC" w14:textId="16A66C3A" w:rsidR="00525543" w:rsidRPr="00E74AD1" w:rsidRDefault="00525543" w:rsidP="00525543">
      <w:pPr>
        <w:spacing w:after="120" w:line="360" w:lineRule="auto"/>
        <w:jc w:val="center"/>
        <w:rPr>
          <w:rFonts w:ascii="Times New Roman" w:hAnsi="Times New Roman"/>
          <w:b/>
          <w:sz w:val="24"/>
          <w:szCs w:val="24"/>
          <w:lang w:val="en-US"/>
        </w:rPr>
      </w:pPr>
      <w:r w:rsidRPr="00E74AD1">
        <w:rPr>
          <w:rFonts w:ascii="Times New Roman" w:hAnsi="Times New Roman"/>
          <w:b/>
          <w:sz w:val="24"/>
          <w:szCs w:val="24"/>
          <w:lang w:val="en-US"/>
        </w:rPr>
        <w:t xml:space="preserve">Figure S3. Histogram of </w:t>
      </w:r>
      <w:proofErr w:type="spellStart"/>
      <w:r w:rsidRPr="00E74AD1">
        <w:rPr>
          <w:rFonts w:ascii="Times New Roman" w:hAnsi="Times New Roman"/>
          <w:b/>
          <w:sz w:val="24"/>
          <w:szCs w:val="24"/>
          <w:lang w:val="en-US"/>
        </w:rPr>
        <w:t>Δage</w:t>
      </w:r>
      <w:proofErr w:type="spellEnd"/>
      <w:r w:rsidRPr="00E74AD1">
        <w:rPr>
          <w:rFonts w:ascii="Times New Roman" w:hAnsi="Times New Roman"/>
          <w:b/>
          <w:sz w:val="24"/>
          <w:szCs w:val="24"/>
          <w:lang w:val="en-US"/>
        </w:rPr>
        <w:t xml:space="preserve"> values in the test set (N=4,772).</w:t>
      </w:r>
    </w:p>
    <w:p w14:paraId="77E7A5CD" w14:textId="77777777" w:rsidR="00525543" w:rsidRPr="00E74AD1" w:rsidRDefault="00525543" w:rsidP="00525543">
      <w:pPr>
        <w:spacing w:after="120" w:line="360" w:lineRule="auto"/>
        <w:jc w:val="center"/>
        <w:rPr>
          <w:rFonts w:ascii="Times New Roman" w:hAnsi="Times New Roman"/>
          <w:b/>
          <w:sz w:val="24"/>
          <w:szCs w:val="24"/>
          <w:lang w:val="en-US"/>
        </w:rPr>
      </w:pPr>
      <w:r w:rsidRPr="00E74AD1">
        <w:rPr>
          <w:rFonts w:ascii="Times New Roman" w:hAnsi="Times New Roman"/>
          <w:b/>
          <w:noProof/>
          <w:sz w:val="24"/>
          <w:szCs w:val="24"/>
          <w:lang w:val="it-IT" w:eastAsia="it-IT"/>
        </w:rPr>
        <w:drawing>
          <wp:inline distT="0" distB="0" distL="0" distR="0" wp14:anchorId="15525A9C" wp14:editId="0B7A52AA">
            <wp:extent cx="5634000" cy="3787200"/>
            <wp:effectExtent l="19050" t="19050" r="2413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000" cy="3787200"/>
                    </a:xfrm>
                    <a:prstGeom prst="rect">
                      <a:avLst/>
                    </a:prstGeom>
                    <a:noFill/>
                    <a:ln>
                      <a:solidFill>
                        <a:schemeClr val="accent1"/>
                      </a:solidFill>
                    </a:ln>
                  </pic:spPr>
                </pic:pic>
              </a:graphicData>
            </a:graphic>
          </wp:inline>
        </w:drawing>
      </w:r>
    </w:p>
    <w:p w14:paraId="590FBB81" w14:textId="3DB0DABB" w:rsidR="00CD0033" w:rsidRPr="00091987" w:rsidRDefault="00525543" w:rsidP="00CD0033">
      <w:pPr>
        <w:spacing w:after="120" w:line="360" w:lineRule="auto"/>
        <w:jc w:val="center"/>
        <w:rPr>
          <w:rFonts w:ascii="Times New Roman" w:hAnsi="Times New Roman"/>
          <w:b/>
          <w:sz w:val="24"/>
          <w:szCs w:val="24"/>
          <w:lang w:val="en-US"/>
        </w:rPr>
      </w:pPr>
      <w:r w:rsidRPr="00091987">
        <w:rPr>
          <w:rFonts w:ascii="Times New Roman" w:hAnsi="Times New Roman"/>
          <w:b/>
          <w:sz w:val="24"/>
          <w:szCs w:val="24"/>
          <w:lang w:val="en-US"/>
        </w:rPr>
        <w:lastRenderedPageBreak/>
        <w:t xml:space="preserve">Figure S4. Scatter plot of </w:t>
      </w:r>
      <w:proofErr w:type="spellStart"/>
      <w:r w:rsidRPr="00091987">
        <w:rPr>
          <w:rFonts w:ascii="Times New Roman" w:hAnsi="Times New Roman"/>
          <w:b/>
          <w:sz w:val="24"/>
          <w:szCs w:val="24"/>
          <w:lang w:val="en-US"/>
        </w:rPr>
        <w:t>Δage</w:t>
      </w:r>
      <w:proofErr w:type="spellEnd"/>
      <w:r w:rsidRPr="00091987">
        <w:rPr>
          <w:rFonts w:ascii="Times New Roman" w:hAnsi="Times New Roman"/>
          <w:b/>
          <w:sz w:val="24"/>
          <w:szCs w:val="24"/>
          <w:lang w:val="en-US"/>
        </w:rPr>
        <w:t xml:space="preserve"> vs Chronological Age (CA) in the test set (N=4,772).</w:t>
      </w:r>
    </w:p>
    <w:p w14:paraId="178F8F7B" w14:textId="77777777" w:rsidR="00525543" w:rsidRPr="00091987" w:rsidRDefault="00525543" w:rsidP="00525543">
      <w:pPr>
        <w:spacing w:after="0" w:line="360" w:lineRule="auto"/>
        <w:jc w:val="center"/>
        <w:rPr>
          <w:rFonts w:ascii="Times New Roman" w:hAnsi="Times New Roman"/>
          <w:b/>
          <w:sz w:val="24"/>
          <w:szCs w:val="24"/>
          <w:lang w:val="en-US"/>
        </w:rPr>
      </w:pPr>
      <w:r w:rsidRPr="00091987">
        <w:rPr>
          <w:noProof/>
          <w:lang w:val="it-IT" w:eastAsia="it-IT"/>
        </w:rPr>
        <w:drawing>
          <wp:inline distT="0" distB="0" distL="0" distR="0" wp14:anchorId="043D3A97" wp14:editId="6EC2082A">
            <wp:extent cx="5788800" cy="3592800"/>
            <wp:effectExtent l="19050" t="19050" r="2159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800" cy="3592800"/>
                    </a:xfrm>
                    <a:prstGeom prst="rect">
                      <a:avLst/>
                    </a:prstGeom>
                    <a:noFill/>
                    <a:ln>
                      <a:solidFill>
                        <a:schemeClr val="accent1"/>
                      </a:solidFill>
                    </a:ln>
                  </pic:spPr>
                </pic:pic>
              </a:graphicData>
            </a:graphic>
          </wp:inline>
        </w:drawing>
      </w:r>
    </w:p>
    <w:p w14:paraId="2E94C581" w14:textId="44043095" w:rsidR="00CD0033" w:rsidRPr="00091987" w:rsidRDefault="00CD0033" w:rsidP="00525543">
      <w:pPr>
        <w:spacing w:after="0" w:line="360" w:lineRule="auto"/>
        <w:rPr>
          <w:rFonts w:ascii="Times New Roman" w:hAnsi="Times New Roman"/>
          <w:b/>
          <w:sz w:val="24"/>
          <w:szCs w:val="24"/>
          <w:lang w:val="en-US"/>
        </w:rPr>
      </w:pPr>
    </w:p>
    <w:p w14:paraId="6FC8A78E" w14:textId="77777777" w:rsidR="007A7C3F" w:rsidRPr="00091987" w:rsidRDefault="007A7C3F" w:rsidP="00525543">
      <w:pPr>
        <w:spacing w:after="0" w:line="360" w:lineRule="auto"/>
        <w:rPr>
          <w:rFonts w:ascii="Times New Roman" w:hAnsi="Times New Roman"/>
          <w:b/>
          <w:sz w:val="24"/>
          <w:szCs w:val="24"/>
          <w:lang w:val="en-US"/>
        </w:rPr>
      </w:pPr>
    </w:p>
    <w:p w14:paraId="7DF1B208" w14:textId="0A7135F9" w:rsidR="006418F0" w:rsidRPr="00091987" w:rsidRDefault="006418F0" w:rsidP="007B5175">
      <w:pPr>
        <w:jc w:val="center"/>
        <w:rPr>
          <w:rFonts w:ascii="Times New Roman" w:hAnsi="Times New Roman"/>
          <w:b/>
          <w:bCs/>
          <w:sz w:val="24"/>
          <w:szCs w:val="24"/>
          <w:lang w:val="en-US"/>
        </w:rPr>
      </w:pPr>
      <w:r w:rsidRPr="00091987">
        <w:rPr>
          <w:rFonts w:ascii="Times New Roman" w:hAnsi="Times New Roman"/>
          <w:b/>
          <w:bCs/>
          <w:sz w:val="24"/>
          <w:szCs w:val="24"/>
          <w:lang w:val="en-US"/>
        </w:rPr>
        <w:t>Table S</w:t>
      </w:r>
      <w:r w:rsidR="006253E8" w:rsidRPr="00091987">
        <w:rPr>
          <w:rFonts w:ascii="Times New Roman" w:hAnsi="Times New Roman"/>
          <w:b/>
          <w:bCs/>
          <w:sz w:val="24"/>
          <w:szCs w:val="24"/>
          <w:lang w:val="en-US"/>
        </w:rPr>
        <w:t>3</w:t>
      </w:r>
      <w:r w:rsidRPr="00091987">
        <w:rPr>
          <w:rFonts w:ascii="Times New Roman" w:hAnsi="Times New Roman"/>
          <w:b/>
          <w:bCs/>
          <w:sz w:val="24"/>
          <w:szCs w:val="24"/>
          <w:lang w:val="en-US"/>
        </w:rPr>
        <w:t xml:space="preserve">. Association of </w:t>
      </w:r>
      <w:proofErr w:type="spellStart"/>
      <w:r w:rsidRPr="00091987">
        <w:rPr>
          <w:rFonts w:ascii="Times New Roman" w:hAnsi="Times New Roman"/>
          <w:b/>
          <w:bCs/>
          <w:sz w:val="24"/>
          <w:szCs w:val="24"/>
          <w:lang w:val="en-US"/>
        </w:rPr>
        <w:t>Δage</w:t>
      </w:r>
      <w:proofErr w:type="spellEnd"/>
      <w:r w:rsidRPr="00091987">
        <w:rPr>
          <w:rFonts w:ascii="Times New Roman" w:hAnsi="Times New Roman"/>
          <w:b/>
          <w:bCs/>
          <w:sz w:val="24"/>
          <w:szCs w:val="24"/>
          <w:lang w:val="en-US"/>
        </w:rPr>
        <w:t xml:space="preserve"> (BA-CA) with physical and mental wellbeing.</w:t>
      </w:r>
    </w:p>
    <w:tbl>
      <w:tblPr>
        <w:tblStyle w:val="Grigliatabella"/>
        <w:tblW w:w="9128" w:type="dxa"/>
        <w:tblLook w:val="04A0" w:firstRow="1" w:lastRow="0" w:firstColumn="1" w:lastColumn="0" w:noHBand="0" w:noVBand="1"/>
      </w:tblPr>
      <w:tblGrid>
        <w:gridCol w:w="3213"/>
        <w:gridCol w:w="1520"/>
        <w:gridCol w:w="1465"/>
        <w:gridCol w:w="1465"/>
        <w:gridCol w:w="1465"/>
      </w:tblGrid>
      <w:tr w:rsidR="00091987" w:rsidRPr="00091987" w14:paraId="63A02D33" w14:textId="749C4267" w:rsidTr="00942B27">
        <w:trPr>
          <w:trHeight w:val="340"/>
        </w:trPr>
        <w:tc>
          <w:tcPr>
            <w:tcW w:w="3213" w:type="dxa"/>
            <w:hideMark/>
          </w:tcPr>
          <w:p w14:paraId="13E1CAA9" w14:textId="77777777" w:rsidR="00103720" w:rsidRPr="00091987" w:rsidRDefault="00103720" w:rsidP="00103720">
            <w:pPr>
              <w:spacing w:after="0"/>
              <w:jc w:val="center"/>
              <w:rPr>
                <w:rFonts w:ascii="Times New Roman" w:hAnsi="Times New Roman"/>
                <w:sz w:val="24"/>
                <w:szCs w:val="24"/>
                <w:lang w:val="it-IT"/>
              </w:rPr>
            </w:pPr>
            <w:proofErr w:type="spellStart"/>
            <w:r w:rsidRPr="00091987">
              <w:rPr>
                <w:rFonts w:ascii="Times New Roman" w:hAnsi="Times New Roman"/>
                <w:sz w:val="24"/>
                <w:szCs w:val="24"/>
                <w:lang w:val="it-IT"/>
              </w:rPr>
              <w:t>Wellbeing</w:t>
            </w:r>
            <w:proofErr w:type="spellEnd"/>
            <w:r w:rsidRPr="00091987">
              <w:rPr>
                <w:rFonts w:ascii="Times New Roman" w:hAnsi="Times New Roman"/>
                <w:sz w:val="24"/>
                <w:szCs w:val="24"/>
                <w:lang w:val="it-IT"/>
              </w:rPr>
              <w:t xml:space="preserve"> scale</w:t>
            </w:r>
          </w:p>
        </w:tc>
        <w:tc>
          <w:tcPr>
            <w:tcW w:w="1520" w:type="dxa"/>
            <w:hideMark/>
          </w:tcPr>
          <w:p w14:paraId="582866EC"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Model 1</w:t>
            </w:r>
          </w:p>
          <w:p w14:paraId="2101480C"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Beta (SE)</w:t>
            </w:r>
          </w:p>
          <w:p w14:paraId="4935C5CE"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(p-</w:t>
            </w:r>
            <w:proofErr w:type="spellStart"/>
            <w:r w:rsidRPr="00091987">
              <w:rPr>
                <w:rFonts w:ascii="Times New Roman" w:hAnsi="Times New Roman"/>
                <w:sz w:val="24"/>
                <w:szCs w:val="24"/>
                <w:lang w:val="it-IT"/>
              </w:rPr>
              <w:t>value</w:t>
            </w:r>
            <w:proofErr w:type="spellEnd"/>
            <w:r w:rsidRPr="00091987">
              <w:rPr>
                <w:rFonts w:ascii="Times New Roman" w:hAnsi="Times New Roman"/>
                <w:sz w:val="24"/>
                <w:szCs w:val="24"/>
                <w:lang w:val="it-IT"/>
              </w:rPr>
              <w:t>)</w:t>
            </w:r>
          </w:p>
        </w:tc>
        <w:tc>
          <w:tcPr>
            <w:tcW w:w="1465" w:type="dxa"/>
            <w:hideMark/>
          </w:tcPr>
          <w:p w14:paraId="2EF25AAF"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Model 2</w:t>
            </w:r>
          </w:p>
          <w:p w14:paraId="228DC62A"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Beta (SE)</w:t>
            </w:r>
          </w:p>
          <w:p w14:paraId="33F803E3"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(p-</w:t>
            </w:r>
            <w:proofErr w:type="spellStart"/>
            <w:r w:rsidRPr="00091987">
              <w:rPr>
                <w:rFonts w:ascii="Times New Roman" w:hAnsi="Times New Roman"/>
                <w:sz w:val="24"/>
                <w:szCs w:val="24"/>
                <w:lang w:val="it-IT"/>
              </w:rPr>
              <w:t>value</w:t>
            </w:r>
            <w:proofErr w:type="spellEnd"/>
            <w:r w:rsidRPr="00091987">
              <w:rPr>
                <w:rFonts w:ascii="Times New Roman" w:hAnsi="Times New Roman"/>
                <w:sz w:val="24"/>
                <w:szCs w:val="24"/>
                <w:lang w:val="it-IT"/>
              </w:rPr>
              <w:t>)</w:t>
            </w:r>
          </w:p>
        </w:tc>
        <w:tc>
          <w:tcPr>
            <w:tcW w:w="1465" w:type="dxa"/>
            <w:hideMark/>
          </w:tcPr>
          <w:p w14:paraId="4CB9F202"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Model 3</w:t>
            </w:r>
          </w:p>
          <w:p w14:paraId="148608B3"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Beta (SE)</w:t>
            </w:r>
          </w:p>
          <w:p w14:paraId="750889ED"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(p-</w:t>
            </w:r>
            <w:proofErr w:type="spellStart"/>
            <w:r w:rsidRPr="00091987">
              <w:rPr>
                <w:rFonts w:ascii="Times New Roman" w:hAnsi="Times New Roman"/>
                <w:sz w:val="24"/>
                <w:szCs w:val="24"/>
                <w:lang w:val="it-IT"/>
              </w:rPr>
              <w:t>value</w:t>
            </w:r>
            <w:proofErr w:type="spellEnd"/>
            <w:r w:rsidRPr="00091987">
              <w:rPr>
                <w:rFonts w:ascii="Times New Roman" w:hAnsi="Times New Roman"/>
                <w:sz w:val="24"/>
                <w:szCs w:val="24"/>
                <w:lang w:val="it-IT"/>
              </w:rPr>
              <w:t>)</w:t>
            </w:r>
          </w:p>
        </w:tc>
        <w:tc>
          <w:tcPr>
            <w:tcW w:w="1465" w:type="dxa"/>
            <w:vAlign w:val="center"/>
          </w:tcPr>
          <w:p w14:paraId="29AC6520" w14:textId="4F44A863" w:rsidR="00103720" w:rsidRPr="00091987" w:rsidRDefault="00103720" w:rsidP="00103720">
            <w:pPr>
              <w:spacing w:after="0"/>
              <w:jc w:val="center"/>
              <w:rPr>
                <w:rFonts w:ascii="Times New Roman" w:hAnsi="Times New Roman"/>
                <w:sz w:val="24"/>
                <w:szCs w:val="24"/>
                <w:lang w:val="it-IT"/>
              </w:rPr>
            </w:pPr>
            <w:r w:rsidRPr="00091987">
              <w:rPr>
                <w:rFonts w:ascii="Times New Roman" w:eastAsia="Times New Roman" w:hAnsi="Times New Roman"/>
                <w:sz w:val="24"/>
                <w:szCs w:val="24"/>
                <w:lang w:eastAsia="it-IT"/>
              </w:rPr>
              <w:t>Mean (SD)</w:t>
            </w:r>
          </w:p>
        </w:tc>
      </w:tr>
      <w:tr w:rsidR="00091987" w:rsidRPr="00091987" w14:paraId="726237A9" w14:textId="55B05244" w:rsidTr="00942B27">
        <w:trPr>
          <w:trHeight w:val="340"/>
        </w:trPr>
        <w:tc>
          <w:tcPr>
            <w:tcW w:w="3213" w:type="dxa"/>
            <w:hideMark/>
          </w:tcPr>
          <w:p w14:paraId="12F2F125"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 xml:space="preserve">SF-36 </w:t>
            </w:r>
            <w:proofErr w:type="spellStart"/>
            <w:r w:rsidRPr="00091987">
              <w:rPr>
                <w:rFonts w:ascii="Times New Roman" w:hAnsi="Times New Roman"/>
                <w:sz w:val="24"/>
                <w:szCs w:val="24"/>
                <w:lang w:val="it-IT"/>
              </w:rPr>
              <w:t>mental</w:t>
            </w:r>
            <w:proofErr w:type="spellEnd"/>
          </w:p>
        </w:tc>
        <w:tc>
          <w:tcPr>
            <w:tcW w:w="1520" w:type="dxa"/>
            <w:hideMark/>
          </w:tcPr>
          <w:p w14:paraId="0D19D656"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-0.30 (0.09)</w:t>
            </w:r>
          </w:p>
          <w:p w14:paraId="33405611"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(1.6×10</w:t>
            </w:r>
            <w:r w:rsidRPr="00091987">
              <w:rPr>
                <w:rFonts w:ascii="Times New Roman" w:hAnsi="Times New Roman"/>
                <w:b/>
                <w:bCs/>
                <w:sz w:val="24"/>
                <w:szCs w:val="24"/>
                <w:vertAlign w:val="superscript"/>
                <w:lang w:val="it-IT"/>
              </w:rPr>
              <w:t>-3</w:t>
            </w:r>
            <w:r w:rsidRPr="00091987">
              <w:rPr>
                <w:rFonts w:ascii="Times New Roman" w:hAnsi="Times New Roman"/>
                <w:b/>
                <w:bCs/>
                <w:sz w:val="24"/>
                <w:szCs w:val="24"/>
                <w:lang w:val="it-IT"/>
              </w:rPr>
              <w:t>)</w:t>
            </w:r>
          </w:p>
        </w:tc>
        <w:tc>
          <w:tcPr>
            <w:tcW w:w="1465" w:type="dxa"/>
            <w:hideMark/>
          </w:tcPr>
          <w:p w14:paraId="4632A630"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-0.23 (0.09)</w:t>
            </w:r>
          </w:p>
          <w:p w14:paraId="201E5B60"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(0.01)</w:t>
            </w:r>
          </w:p>
        </w:tc>
        <w:tc>
          <w:tcPr>
            <w:tcW w:w="1465" w:type="dxa"/>
            <w:hideMark/>
          </w:tcPr>
          <w:p w14:paraId="47A446D8"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-0.12 (0.09)</w:t>
            </w:r>
          </w:p>
          <w:p w14:paraId="043EA590"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(0.22)</w:t>
            </w:r>
          </w:p>
        </w:tc>
        <w:tc>
          <w:tcPr>
            <w:tcW w:w="1465" w:type="dxa"/>
            <w:vAlign w:val="center"/>
          </w:tcPr>
          <w:p w14:paraId="6850EC24" w14:textId="5BA44859" w:rsidR="00103720" w:rsidRPr="00091987" w:rsidRDefault="00103720" w:rsidP="00103720">
            <w:pPr>
              <w:spacing w:after="0"/>
              <w:jc w:val="center"/>
              <w:rPr>
                <w:rFonts w:ascii="Times New Roman" w:hAnsi="Times New Roman"/>
                <w:sz w:val="24"/>
                <w:szCs w:val="24"/>
                <w:lang w:val="it-IT"/>
              </w:rPr>
            </w:pPr>
            <w:r w:rsidRPr="00091987">
              <w:rPr>
                <w:rFonts w:ascii="Times New Roman" w:eastAsia="Times New Roman" w:hAnsi="Times New Roman"/>
                <w:sz w:val="24"/>
                <w:szCs w:val="24"/>
                <w:lang w:eastAsia="it-IT"/>
              </w:rPr>
              <w:t>46.93 (10.1)</w:t>
            </w:r>
          </w:p>
        </w:tc>
      </w:tr>
      <w:tr w:rsidR="001544F8" w:rsidRPr="00091987" w14:paraId="015170D7" w14:textId="0380216F" w:rsidTr="00942B27">
        <w:trPr>
          <w:trHeight w:val="340"/>
        </w:trPr>
        <w:tc>
          <w:tcPr>
            <w:tcW w:w="3213" w:type="dxa"/>
            <w:hideMark/>
          </w:tcPr>
          <w:p w14:paraId="3CFE50FF" w14:textId="77777777" w:rsidR="00103720" w:rsidRPr="00091987" w:rsidRDefault="00103720" w:rsidP="00103720">
            <w:pPr>
              <w:spacing w:after="0"/>
              <w:jc w:val="center"/>
              <w:rPr>
                <w:rFonts w:ascii="Times New Roman" w:hAnsi="Times New Roman"/>
                <w:sz w:val="24"/>
                <w:szCs w:val="24"/>
                <w:lang w:val="it-IT"/>
              </w:rPr>
            </w:pPr>
            <w:r w:rsidRPr="00091987">
              <w:rPr>
                <w:rFonts w:ascii="Times New Roman" w:hAnsi="Times New Roman"/>
                <w:sz w:val="24"/>
                <w:szCs w:val="24"/>
                <w:lang w:val="it-IT"/>
              </w:rPr>
              <w:t xml:space="preserve">SF-36 </w:t>
            </w:r>
            <w:proofErr w:type="spellStart"/>
            <w:r w:rsidRPr="00091987">
              <w:rPr>
                <w:rFonts w:ascii="Times New Roman" w:hAnsi="Times New Roman"/>
                <w:sz w:val="24"/>
                <w:szCs w:val="24"/>
                <w:lang w:val="it-IT"/>
              </w:rPr>
              <w:t>physical</w:t>
            </w:r>
            <w:proofErr w:type="spellEnd"/>
          </w:p>
        </w:tc>
        <w:tc>
          <w:tcPr>
            <w:tcW w:w="1520" w:type="dxa"/>
            <w:hideMark/>
          </w:tcPr>
          <w:p w14:paraId="03761132"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-0.81 (0.10)</w:t>
            </w:r>
          </w:p>
          <w:p w14:paraId="637E545F"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(&lt;2.0×10</w:t>
            </w:r>
            <w:r w:rsidRPr="00091987">
              <w:rPr>
                <w:rFonts w:ascii="Times New Roman" w:hAnsi="Times New Roman"/>
                <w:b/>
                <w:bCs/>
                <w:sz w:val="24"/>
                <w:szCs w:val="24"/>
                <w:vertAlign w:val="superscript"/>
                <w:lang w:val="it-IT"/>
              </w:rPr>
              <w:t>-16</w:t>
            </w:r>
            <w:r w:rsidRPr="00091987">
              <w:rPr>
                <w:rFonts w:ascii="Times New Roman" w:hAnsi="Times New Roman"/>
                <w:b/>
                <w:bCs/>
                <w:sz w:val="24"/>
                <w:szCs w:val="24"/>
                <w:lang w:val="it-IT"/>
              </w:rPr>
              <w:t>)</w:t>
            </w:r>
          </w:p>
        </w:tc>
        <w:tc>
          <w:tcPr>
            <w:tcW w:w="1465" w:type="dxa"/>
            <w:hideMark/>
          </w:tcPr>
          <w:p w14:paraId="0077BCF9"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-0.67 (0.10)</w:t>
            </w:r>
          </w:p>
          <w:p w14:paraId="0C99449F"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(9.8×10</w:t>
            </w:r>
            <w:r w:rsidRPr="00091987">
              <w:rPr>
                <w:rFonts w:ascii="Times New Roman" w:hAnsi="Times New Roman"/>
                <w:b/>
                <w:bCs/>
                <w:sz w:val="24"/>
                <w:szCs w:val="24"/>
                <w:vertAlign w:val="superscript"/>
                <w:lang w:val="it-IT"/>
              </w:rPr>
              <w:t>-12</w:t>
            </w:r>
            <w:r w:rsidRPr="00091987">
              <w:rPr>
                <w:rFonts w:ascii="Times New Roman" w:hAnsi="Times New Roman"/>
                <w:b/>
                <w:bCs/>
                <w:sz w:val="24"/>
                <w:szCs w:val="24"/>
                <w:lang w:val="it-IT"/>
              </w:rPr>
              <w:t>)</w:t>
            </w:r>
          </w:p>
        </w:tc>
        <w:tc>
          <w:tcPr>
            <w:tcW w:w="1465" w:type="dxa"/>
            <w:hideMark/>
          </w:tcPr>
          <w:p w14:paraId="6EEA4906"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-0.44 (0.10)</w:t>
            </w:r>
          </w:p>
          <w:p w14:paraId="2D00588A" w14:textId="77777777" w:rsidR="00103720" w:rsidRPr="00091987" w:rsidRDefault="00103720" w:rsidP="00103720">
            <w:pPr>
              <w:spacing w:after="0"/>
              <w:jc w:val="center"/>
              <w:rPr>
                <w:rFonts w:ascii="Times New Roman" w:hAnsi="Times New Roman"/>
                <w:b/>
                <w:bCs/>
                <w:sz w:val="24"/>
                <w:szCs w:val="24"/>
                <w:lang w:val="it-IT"/>
              </w:rPr>
            </w:pPr>
            <w:r w:rsidRPr="00091987">
              <w:rPr>
                <w:rFonts w:ascii="Times New Roman" w:hAnsi="Times New Roman"/>
                <w:b/>
                <w:bCs/>
                <w:sz w:val="24"/>
                <w:szCs w:val="24"/>
                <w:lang w:val="it-IT"/>
              </w:rPr>
              <w:t>(1.8×10</w:t>
            </w:r>
            <w:r w:rsidRPr="00091987">
              <w:rPr>
                <w:rFonts w:ascii="Times New Roman" w:hAnsi="Times New Roman"/>
                <w:b/>
                <w:bCs/>
                <w:sz w:val="24"/>
                <w:szCs w:val="24"/>
                <w:vertAlign w:val="superscript"/>
                <w:lang w:val="it-IT"/>
              </w:rPr>
              <w:t>-5</w:t>
            </w:r>
            <w:r w:rsidRPr="00091987">
              <w:rPr>
                <w:rFonts w:ascii="Times New Roman" w:hAnsi="Times New Roman"/>
                <w:b/>
                <w:bCs/>
                <w:sz w:val="24"/>
                <w:szCs w:val="24"/>
                <w:lang w:val="it-IT"/>
              </w:rPr>
              <w:t>)</w:t>
            </w:r>
          </w:p>
        </w:tc>
        <w:tc>
          <w:tcPr>
            <w:tcW w:w="1465" w:type="dxa"/>
            <w:vAlign w:val="center"/>
          </w:tcPr>
          <w:p w14:paraId="658F5891" w14:textId="73B9DC68" w:rsidR="00103720" w:rsidRPr="00091987" w:rsidRDefault="00103720" w:rsidP="00103720">
            <w:pPr>
              <w:spacing w:after="0"/>
              <w:jc w:val="center"/>
              <w:rPr>
                <w:rFonts w:ascii="Times New Roman" w:hAnsi="Times New Roman"/>
                <w:sz w:val="24"/>
                <w:szCs w:val="24"/>
                <w:lang w:val="it-IT"/>
              </w:rPr>
            </w:pPr>
            <w:r w:rsidRPr="00091987">
              <w:rPr>
                <w:rFonts w:ascii="Times New Roman" w:eastAsia="Times New Roman" w:hAnsi="Times New Roman"/>
                <w:sz w:val="24"/>
                <w:szCs w:val="24"/>
                <w:lang w:eastAsia="it-IT"/>
              </w:rPr>
              <w:t>46.63 (6.4)</w:t>
            </w:r>
          </w:p>
        </w:tc>
      </w:tr>
    </w:tbl>
    <w:p w14:paraId="3C47DDA2" w14:textId="77777777" w:rsidR="006418F0" w:rsidRPr="00091987" w:rsidRDefault="006418F0" w:rsidP="006418F0">
      <w:pPr>
        <w:rPr>
          <w:rFonts w:ascii="Times New Roman" w:hAnsi="Times New Roman"/>
          <w:b/>
          <w:bCs/>
          <w:sz w:val="24"/>
          <w:szCs w:val="24"/>
          <w:lang w:val="en-US"/>
        </w:rPr>
      </w:pPr>
    </w:p>
    <w:p w14:paraId="4A80364D" w14:textId="0292FBBB" w:rsidR="006418F0" w:rsidRPr="00091987" w:rsidRDefault="006418F0" w:rsidP="006418F0">
      <w:pPr>
        <w:spacing w:line="360" w:lineRule="auto"/>
        <w:jc w:val="both"/>
        <w:rPr>
          <w:rFonts w:ascii="Times New Roman" w:hAnsi="Times New Roman"/>
          <w:sz w:val="24"/>
          <w:szCs w:val="24"/>
          <w:lang w:val="en-US"/>
        </w:rPr>
      </w:pPr>
      <w:r w:rsidRPr="00091987">
        <w:rPr>
          <w:rFonts w:ascii="Times New Roman" w:hAnsi="Times New Roman"/>
          <w:sz w:val="24"/>
          <w:szCs w:val="24"/>
          <w:lang w:val="en-US"/>
        </w:rPr>
        <w:t xml:space="preserve">All associations were </w:t>
      </w:r>
      <w:r w:rsidR="00103720" w:rsidRPr="00091987">
        <w:rPr>
          <w:rFonts w:ascii="Times New Roman" w:hAnsi="Times New Roman"/>
          <w:sz w:val="24"/>
          <w:szCs w:val="24"/>
          <w:lang w:val="en-US"/>
        </w:rPr>
        <w:t xml:space="preserve">incrementally </w:t>
      </w:r>
      <w:r w:rsidRPr="00091987">
        <w:rPr>
          <w:rFonts w:ascii="Times New Roman" w:hAnsi="Times New Roman"/>
          <w:sz w:val="24"/>
          <w:szCs w:val="24"/>
          <w:lang w:val="en-US"/>
        </w:rPr>
        <w:t xml:space="preserve">adjusted for </w:t>
      </w:r>
      <w:proofErr w:type="spellStart"/>
      <w:r w:rsidR="00103720" w:rsidRPr="00091987">
        <w:rPr>
          <w:rFonts w:ascii="Times New Roman" w:hAnsi="Times New Roman"/>
          <w:sz w:val="24"/>
          <w:szCs w:val="24"/>
          <w:lang w:val="en-US"/>
        </w:rPr>
        <w:t>i</w:t>
      </w:r>
      <w:proofErr w:type="spellEnd"/>
      <w:r w:rsidR="00103720" w:rsidRPr="00091987">
        <w:rPr>
          <w:rFonts w:ascii="Times New Roman" w:hAnsi="Times New Roman"/>
          <w:sz w:val="24"/>
          <w:szCs w:val="24"/>
          <w:lang w:val="en-US"/>
        </w:rPr>
        <w:t xml:space="preserve">) </w:t>
      </w:r>
      <w:r w:rsidR="00A77DA9" w:rsidRPr="00091987">
        <w:rPr>
          <w:rFonts w:ascii="Times New Roman" w:hAnsi="Times New Roman"/>
          <w:sz w:val="24"/>
          <w:szCs w:val="24"/>
          <w:lang w:val="en-US"/>
        </w:rPr>
        <w:t xml:space="preserve">Model 1: </w:t>
      </w:r>
      <w:r w:rsidRPr="00091987">
        <w:rPr>
          <w:rFonts w:ascii="Times New Roman" w:hAnsi="Times New Roman"/>
          <w:sz w:val="24"/>
          <w:szCs w:val="24"/>
          <w:lang w:val="en-US"/>
        </w:rPr>
        <w:t xml:space="preserve">sex and </w:t>
      </w:r>
      <w:r w:rsidR="00A77DA9" w:rsidRPr="00091987">
        <w:rPr>
          <w:rFonts w:ascii="Times New Roman" w:hAnsi="Times New Roman"/>
          <w:sz w:val="24"/>
          <w:szCs w:val="24"/>
          <w:lang w:val="en-US"/>
        </w:rPr>
        <w:t>CA</w:t>
      </w:r>
      <w:r w:rsidR="00103720" w:rsidRPr="00091987">
        <w:rPr>
          <w:rFonts w:ascii="Times New Roman" w:hAnsi="Times New Roman"/>
          <w:sz w:val="24"/>
          <w:szCs w:val="24"/>
          <w:lang w:val="en-US"/>
        </w:rPr>
        <w:t xml:space="preserve">; ii) </w:t>
      </w:r>
      <w:r w:rsidR="00A77DA9" w:rsidRPr="00091987">
        <w:rPr>
          <w:rFonts w:ascii="Times New Roman" w:hAnsi="Times New Roman"/>
          <w:sz w:val="24"/>
          <w:szCs w:val="24"/>
          <w:lang w:val="en-US"/>
        </w:rPr>
        <w:t xml:space="preserve">Model 2: </w:t>
      </w:r>
      <w:r w:rsidR="00103720" w:rsidRPr="00091987">
        <w:rPr>
          <w:rFonts w:ascii="Times New Roman" w:hAnsi="Times New Roman"/>
          <w:sz w:val="24"/>
          <w:szCs w:val="24"/>
          <w:lang w:val="en-US"/>
        </w:rPr>
        <w:t>Model 1 + prevalent health conditions (cardiovascular disease, diabetes, cancer)</w:t>
      </w:r>
      <w:r w:rsidR="004544F1" w:rsidRPr="00091987">
        <w:rPr>
          <w:rFonts w:ascii="Times New Roman" w:hAnsi="Times New Roman"/>
          <w:sz w:val="24"/>
          <w:szCs w:val="24"/>
          <w:lang w:val="en-US"/>
        </w:rPr>
        <w:t xml:space="preserve">; </w:t>
      </w:r>
      <w:r w:rsidR="00103720" w:rsidRPr="00091987">
        <w:rPr>
          <w:rFonts w:ascii="Times New Roman" w:hAnsi="Times New Roman"/>
          <w:sz w:val="24"/>
          <w:szCs w:val="24"/>
          <w:lang w:val="en-US"/>
        </w:rPr>
        <w:t xml:space="preserve">iii) </w:t>
      </w:r>
      <w:r w:rsidR="00A77DA9" w:rsidRPr="00091987">
        <w:rPr>
          <w:rFonts w:ascii="Times New Roman" w:hAnsi="Times New Roman"/>
          <w:sz w:val="24"/>
          <w:szCs w:val="24"/>
          <w:lang w:val="en-US"/>
        </w:rPr>
        <w:t xml:space="preserve">Model 3: </w:t>
      </w:r>
      <w:r w:rsidR="00103720" w:rsidRPr="00091987">
        <w:rPr>
          <w:rFonts w:ascii="Times New Roman" w:hAnsi="Times New Roman"/>
          <w:sz w:val="24"/>
          <w:szCs w:val="24"/>
          <w:lang w:val="en-US"/>
        </w:rPr>
        <w:t>Model 2 + lifestyles</w:t>
      </w:r>
      <w:r w:rsidR="001415EB" w:rsidRPr="00091987">
        <w:rPr>
          <w:rFonts w:ascii="Times New Roman" w:hAnsi="Times New Roman"/>
          <w:sz w:val="24"/>
          <w:szCs w:val="24"/>
          <w:lang w:val="en-US"/>
        </w:rPr>
        <w:t>/</w:t>
      </w:r>
      <w:r w:rsidR="00734F3F" w:rsidRPr="00091987">
        <w:rPr>
          <w:rFonts w:ascii="Times New Roman" w:hAnsi="Times New Roman"/>
          <w:sz w:val="24"/>
          <w:szCs w:val="24"/>
          <w:lang w:val="en-US"/>
        </w:rPr>
        <w:t>socioeconomic</w:t>
      </w:r>
      <w:r w:rsidR="001415EB" w:rsidRPr="00091987">
        <w:rPr>
          <w:rFonts w:ascii="Times New Roman" w:hAnsi="Times New Roman"/>
          <w:sz w:val="24"/>
          <w:szCs w:val="24"/>
          <w:lang w:val="en-US"/>
        </w:rPr>
        <w:t xml:space="preserve"> factors</w:t>
      </w:r>
      <w:r w:rsidR="00103720" w:rsidRPr="00091987">
        <w:rPr>
          <w:rFonts w:ascii="Times New Roman" w:hAnsi="Times New Roman"/>
          <w:sz w:val="24"/>
          <w:szCs w:val="24"/>
          <w:lang w:val="en-US"/>
        </w:rPr>
        <w:t>.</w:t>
      </w:r>
      <w:r w:rsidRPr="00091987">
        <w:rPr>
          <w:rFonts w:ascii="Times New Roman" w:hAnsi="Times New Roman"/>
          <w:sz w:val="24"/>
          <w:szCs w:val="24"/>
          <w:lang w:val="en-US"/>
        </w:rPr>
        <w:t xml:space="preserve"> Since these scales were computed from the same test (SF-36)</w:t>
      </w:r>
      <w:r w:rsidRPr="00091987">
        <w:rPr>
          <w:rFonts w:ascii="Times New Roman" w:eastAsia="Times New Roman" w:hAnsi="Times New Roman"/>
          <w:sz w:val="24"/>
          <w:szCs w:val="24"/>
          <w:lang w:eastAsia="en-GB"/>
        </w:rPr>
        <w:fldChar w:fldCharType="begin" w:fldLock="1"/>
      </w:r>
      <w:r w:rsidR="0091230F">
        <w:rPr>
          <w:rFonts w:ascii="Times New Roman" w:eastAsia="Times New Roman" w:hAnsi="Times New Roman"/>
          <w:sz w:val="24"/>
          <w:szCs w:val="24"/>
          <w:lang w:eastAsia="en-GB"/>
        </w:rPr>
        <w:instrText>ADDIN CSL_CITATION {"citationItems":[{"id":"ITEM-1","itemData":{"ISSN":"0895-4356 (Print)","PMID":"9817107","abstract":"This article presents information about the development and evaluation of the SF-36 Health Survey, a 36-item generic measure of health status. It summarizes studies of reliability and validity and provides administrative and interpretation guidelines for the SF-36. A brief history of the International Quality of Life Assessment (IQOLA) Project is also included.","author":[{"dropping-particle":"","family":"Ware","given":"J E Jr","non-dropping-particle":"","parse-names":false,"suffix":""},{"dropping-particle":"","family":"Gandek","given":"B","non-dropping-particle":"","parse-names":false,"suffix":""}],"container-title":"Journal of clinical epidemiology","id":"ITEM-1","issue":"11","issued":{"date-parts":[["1998","11"]]},"language":"eng","page":"903-912","publisher-place":"United States","title":"Overview of the SF-36 Health Survey and the International Quality of Life Assessment (IQOLA) Project.","type":"article-journal","volume":"51"},"uris":["http://www.mendeley.com/documents/?uuid=6ac4ec23-eacb-4f5c-9ee3-e04b3236adff"]}],"mendeley":{"formattedCitation":"[4]","plainTextFormattedCitation":"[4]","previouslyFormattedCitation":"&lt;sup&gt;4&lt;/sup&gt;"},"properties":{"noteIndex":0},"schema":"https://github.com/citation-style-language/schema/raw/master/csl-citation.json"}</w:instrText>
      </w:r>
      <w:r w:rsidRPr="00091987">
        <w:rPr>
          <w:rFonts w:ascii="Times New Roman" w:eastAsia="Times New Roman" w:hAnsi="Times New Roman"/>
          <w:sz w:val="24"/>
          <w:szCs w:val="24"/>
          <w:lang w:eastAsia="en-GB"/>
        </w:rPr>
        <w:fldChar w:fldCharType="separate"/>
      </w:r>
      <w:r w:rsidR="0091230F" w:rsidRPr="0091230F">
        <w:rPr>
          <w:rFonts w:ascii="Times New Roman" w:eastAsia="Times New Roman" w:hAnsi="Times New Roman"/>
          <w:noProof/>
          <w:sz w:val="24"/>
          <w:szCs w:val="24"/>
          <w:lang w:eastAsia="en-GB"/>
        </w:rPr>
        <w:t>[4]</w:t>
      </w:r>
      <w:r w:rsidRPr="00091987">
        <w:rPr>
          <w:rFonts w:ascii="Times New Roman" w:eastAsia="Times New Roman" w:hAnsi="Times New Roman"/>
          <w:sz w:val="24"/>
          <w:szCs w:val="24"/>
          <w:lang w:eastAsia="en-GB"/>
        </w:rPr>
        <w:fldChar w:fldCharType="end"/>
      </w:r>
      <w:r w:rsidRPr="00091987">
        <w:rPr>
          <w:rFonts w:ascii="Times New Roman" w:eastAsia="Times New Roman" w:hAnsi="Times New Roman"/>
          <w:sz w:val="24"/>
          <w:szCs w:val="24"/>
          <w:lang w:eastAsia="en-GB"/>
        </w:rPr>
        <w:t>,</w:t>
      </w:r>
      <w:r w:rsidRPr="00091987">
        <w:rPr>
          <w:rFonts w:ascii="Times New Roman" w:hAnsi="Times New Roman"/>
          <w:sz w:val="24"/>
          <w:szCs w:val="24"/>
          <w:lang w:val="en-US"/>
        </w:rPr>
        <w:t xml:space="preserve"> they were modelled together in a multivariable regression model, when available in the test set (N=3,728). Beta values indicate the variation in </w:t>
      </w:r>
      <w:proofErr w:type="spellStart"/>
      <w:r w:rsidRPr="00091987">
        <w:rPr>
          <w:rFonts w:ascii="Times New Roman" w:hAnsi="Times New Roman"/>
          <w:sz w:val="24"/>
          <w:szCs w:val="24"/>
          <w:lang w:val="en-US"/>
        </w:rPr>
        <w:t>Δage</w:t>
      </w:r>
      <w:proofErr w:type="spellEnd"/>
      <w:r w:rsidRPr="00091987">
        <w:rPr>
          <w:rFonts w:ascii="Times New Roman" w:hAnsi="Times New Roman"/>
          <w:sz w:val="24"/>
          <w:szCs w:val="24"/>
          <w:lang w:val="en-US"/>
        </w:rPr>
        <w:t xml:space="preserve"> (years) per Standard Deviation (SD) increase in the scale.</w:t>
      </w:r>
      <w:r w:rsidR="001415EB" w:rsidRPr="00091987">
        <w:rPr>
          <w:rFonts w:ascii="Times New Roman" w:hAnsi="Times New Roman"/>
          <w:sz w:val="24"/>
          <w:szCs w:val="24"/>
          <w:lang w:val="en-US"/>
        </w:rPr>
        <w:t xml:space="preserve"> Significant associations</w:t>
      </w:r>
      <w:r w:rsidR="00866920" w:rsidRPr="00091987">
        <w:rPr>
          <w:rFonts w:ascii="Times New Roman" w:hAnsi="Times New Roman"/>
          <w:sz w:val="24"/>
          <w:szCs w:val="24"/>
          <w:lang w:val="en-US"/>
        </w:rPr>
        <w:t xml:space="preserve"> surviving correction for multiple testing</w:t>
      </w:r>
      <w:r w:rsidR="001415EB" w:rsidRPr="00091987">
        <w:rPr>
          <w:rFonts w:ascii="Times New Roman" w:hAnsi="Times New Roman"/>
          <w:sz w:val="24"/>
          <w:szCs w:val="24"/>
          <w:lang w:val="en-US"/>
        </w:rPr>
        <w:t xml:space="preserve"> (p &lt; 0.0</w:t>
      </w:r>
      <w:r w:rsidR="00866920" w:rsidRPr="00091987">
        <w:rPr>
          <w:rFonts w:ascii="Times New Roman" w:hAnsi="Times New Roman"/>
          <w:sz w:val="24"/>
          <w:szCs w:val="24"/>
          <w:lang w:val="en-US"/>
        </w:rPr>
        <w:t>25</w:t>
      </w:r>
      <w:r w:rsidR="001415EB" w:rsidRPr="00091987">
        <w:rPr>
          <w:rFonts w:ascii="Times New Roman" w:hAnsi="Times New Roman"/>
          <w:sz w:val="24"/>
          <w:szCs w:val="24"/>
          <w:lang w:val="en-US"/>
        </w:rPr>
        <w:t>) are highlighted in bold.</w:t>
      </w:r>
    </w:p>
    <w:p w14:paraId="600DF874" w14:textId="1C44AE1D" w:rsidR="003F7649" w:rsidRPr="00091987" w:rsidRDefault="003F7649" w:rsidP="00525543">
      <w:pPr>
        <w:spacing w:after="0" w:line="360" w:lineRule="auto"/>
        <w:jc w:val="both"/>
        <w:rPr>
          <w:rFonts w:ascii="Times New Roman" w:hAnsi="Times New Roman"/>
          <w:b/>
          <w:sz w:val="24"/>
          <w:szCs w:val="24"/>
          <w:lang w:val="en-US"/>
        </w:rPr>
      </w:pPr>
    </w:p>
    <w:p w14:paraId="11D84037" w14:textId="0A38E276" w:rsidR="00E4138B" w:rsidRPr="00091987" w:rsidRDefault="00E4138B" w:rsidP="00525543">
      <w:pPr>
        <w:spacing w:after="0" w:line="360" w:lineRule="auto"/>
        <w:jc w:val="both"/>
        <w:rPr>
          <w:rFonts w:ascii="Times New Roman" w:hAnsi="Times New Roman"/>
          <w:b/>
          <w:sz w:val="24"/>
          <w:szCs w:val="24"/>
          <w:lang w:val="en-US"/>
        </w:rPr>
      </w:pPr>
    </w:p>
    <w:p w14:paraId="1C74FF29" w14:textId="1CD369BF" w:rsidR="001742A6" w:rsidRPr="00091987" w:rsidRDefault="001742A6" w:rsidP="001742A6">
      <w:pPr>
        <w:spacing w:after="60" w:line="360" w:lineRule="auto"/>
        <w:jc w:val="center"/>
        <w:rPr>
          <w:rFonts w:ascii="Times New Roman" w:hAnsi="Times New Roman"/>
          <w:b/>
          <w:bCs/>
          <w:sz w:val="24"/>
          <w:szCs w:val="24"/>
          <w:lang w:val="en-US"/>
        </w:rPr>
      </w:pPr>
      <w:r w:rsidRPr="00091987">
        <w:rPr>
          <w:rFonts w:ascii="Times New Roman" w:hAnsi="Times New Roman"/>
          <w:b/>
          <w:bCs/>
          <w:sz w:val="24"/>
          <w:szCs w:val="24"/>
          <w:lang w:val="en-US"/>
        </w:rPr>
        <w:t xml:space="preserve">Table </w:t>
      </w:r>
      <w:r w:rsidR="004722E0" w:rsidRPr="00091987">
        <w:rPr>
          <w:rFonts w:ascii="Times New Roman" w:hAnsi="Times New Roman"/>
          <w:b/>
          <w:bCs/>
          <w:sz w:val="24"/>
          <w:szCs w:val="24"/>
          <w:lang w:val="en-US"/>
        </w:rPr>
        <w:t>S4</w:t>
      </w:r>
      <w:r w:rsidRPr="00091987">
        <w:rPr>
          <w:rFonts w:ascii="Times New Roman" w:hAnsi="Times New Roman"/>
          <w:b/>
          <w:bCs/>
          <w:sz w:val="24"/>
          <w:szCs w:val="24"/>
          <w:lang w:val="en-US"/>
        </w:rPr>
        <w:t xml:space="preserve">. Associations of </w:t>
      </w:r>
      <w:proofErr w:type="spellStart"/>
      <w:r w:rsidRPr="00091987">
        <w:rPr>
          <w:rFonts w:ascii="Times New Roman" w:hAnsi="Times New Roman"/>
          <w:b/>
          <w:bCs/>
          <w:sz w:val="24"/>
          <w:szCs w:val="24"/>
          <w:lang w:val="en-US"/>
        </w:rPr>
        <w:t>Δage</w:t>
      </w:r>
      <w:proofErr w:type="spellEnd"/>
      <w:r w:rsidRPr="00091987">
        <w:rPr>
          <w:rFonts w:ascii="Times New Roman" w:hAnsi="Times New Roman"/>
          <w:b/>
          <w:bCs/>
          <w:sz w:val="24"/>
          <w:szCs w:val="24"/>
          <w:lang w:val="en-US"/>
        </w:rPr>
        <w:t xml:space="preserve"> (BA-CA) with main lifestyles and socioeconomic factors in a stepwise multivariable regression model.</w:t>
      </w:r>
    </w:p>
    <w:p w14:paraId="4F6D79B9" w14:textId="77777777" w:rsidR="001742A6" w:rsidRPr="00091987" w:rsidRDefault="001742A6" w:rsidP="001742A6">
      <w:pPr>
        <w:spacing w:after="60" w:line="360" w:lineRule="auto"/>
        <w:jc w:val="center"/>
        <w:rPr>
          <w:rFonts w:ascii="Times New Roman" w:hAnsi="Times New Roman"/>
          <w:sz w:val="24"/>
          <w:szCs w:val="24"/>
          <w:lang w:val="en-US"/>
        </w:rPr>
      </w:pPr>
    </w:p>
    <w:tbl>
      <w:tblPr>
        <w:tblW w:w="11345" w:type="dxa"/>
        <w:jc w:val="center"/>
        <w:tblCellMar>
          <w:left w:w="70" w:type="dxa"/>
          <w:right w:w="70" w:type="dxa"/>
        </w:tblCellMar>
        <w:tblLook w:val="04A0" w:firstRow="1" w:lastRow="0" w:firstColumn="1" w:lastColumn="0" w:noHBand="0" w:noVBand="1"/>
      </w:tblPr>
      <w:tblGrid>
        <w:gridCol w:w="3074"/>
        <w:gridCol w:w="3768"/>
        <w:gridCol w:w="960"/>
        <w:gridCol w:w="960"/>
        <w:gridCol w:w="1137"/>
        <w:gridCol w:w="1446"/>
      </w:tblGrid>
      <w:tr w:rsidR="00091987" w:rsidRPr="00091987" w14:paraId="20C3210A" w14:textId="77777777" w:rsidTr="007D7F14">
        <w:trPr>
          <w:trHeight w:val="57"/>
          <w:jc w:val="center"/>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800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Lifestyle variable</w:t>
            </w: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73B373D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Levels/Variables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70F7F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Beta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E6BE4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SE</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0D1EEFC2"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p</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6E0950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Class of exposures</w:t>
            </w:r>
          </w:p>
        </w:tc>
      </w:tr>
      <w:tr w:rsidR="00091987" w:rsidRPr="00091987" w14:paraId="7F05A7A3" w14:textId="77777777" w:rsidTr="007D7F14">
        <w:trPr>
          <w:trHeight w:val="57"/>
          <w:jc w:val="center"/>
        </w:trPr>
        <w:tc>
          <w:tcPr>
            <w:tcW w:w="3074" w:type="dxa"/>
            <w:vMerge w:val="restart"/>
            <w:tcBorders>
              <w:top w:val="single" w:sz="4" w:space="0" w:color="auto"/>
              <w:left w:val="single" w:sz="4" w:space="0" w:color="auto"/>
              <w:right w:val="single" w:sz="4" w:space="0" w:color="auto"/>
            </w:tcBorders>
            <w:shd w:val="clear" w:color="auto" w:fill="auto"/>
            <w:noWrap/>
            <w:vAlign w:val="center"/>
            <w:hideMark/>
          </w:tcPr>
          <w:p w14:paraId="78D74649"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Smoking status</w:t>
            </w: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75B04D8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Never smokers (reference)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9C6EA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4D87F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1466926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446" w:type="dxa"/>
            <w:vMerge w:val="restart"/>
            <w:tcBorders>
              <w:top w:val="single" w:sz="4" w:space="0" w:color="auto"/>
              <w:left w:val="nil"/>
              <w:right w:val="single" w:sz="4" w:space="0" w:color="auto"/>
            </w:tcBorders>
            <w:shd w:val="clear" w:color="auto" w:fill="auto"/>
            <w:noWrap/>
            <w:vAlign w:val="center"/>
            <w:hideMark/>
          </w:tcPr>
          <w:p w14:paraId="6C47F8F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xml:space="preserve">Lifestyles </w:t>
            </w:r>
          </w:p>
          <w:p w14:paraId="3E0C7588" w14:textId="1F25129E"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(or proxies)</w:t>
            </w:r>
          </w:p>
        </w:tc>
      </w:tr>
      <w:tr w:rsidR="00091987" w:rsidRPr="00091987" w14:paraId="678F9C17"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16FD122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05AD1D7C"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Current smokers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50D8F0"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1.62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9F668D"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0.22</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B2DF042"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1.8×10</w:t>
            </w:r>
            <w:r w:rsidRPr="00091987">
              <w:rPr>
                <w:rFonts w:ascii="Times New Roman" w:eastAsia="Times New Roman" w:hAnsi="Times New Roman"/>
                <w:b/>
                <w:bCs/>
                <w:sz w:val="24"/>
                <w:szCs w:val="24"/>
                <w:vertAlign w:val="superscript"/>
                <w:lang w:eastAsia="it-IT"/>
              </w:rPr>
              <w:t>-13</w:t>
            </w:r>
          </w:p>
        </w:tc>
        <w:tc>
          <w:tcPr>
            <w:tcW w:w="1446" w:type="dxa"/>
            <w:vMerge/>
            <w:tcBorders>
              <w:left w:val="nil"/>
              <w:right w:val="single" w:sz="4" w:space="0" w:color="auto"/>
            </w:tcBorders>
            <w:shd w:val="clear" w:color="auto" w:fill="auto"/>
            <w:noWrap/>
            <w:vAlign w:val="center"/>
            <w:hideMark/>
          </w:tcPr>
          <w:p w14:paraId="0C67074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47D7395D"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0B64020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16ADF6E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Previous smokers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E585C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4B2F2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0.21</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95C42D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6.6×10</w:t>
            </w:r>
            <w:r w:rsidRPr="00091987">
              <w:rPr>
                <w:rFonts w:ascii="Times New Roman" w:eastAsia="Times New Roman" w:hAnsi="Times New Roman"/>
                <w:sz w:val="24"/>
                <w:szCs w:val="24"/>
                <w:vertAlign w:val="superscript"/>
                <w:lang w:eastAsia="it-IT"/>
              </w:rPr>
              <w:t>-3</w:t>
            </w:r>
          </w:p>
        </w:tc>
        <w:tc>
          <w:tcPr>
            <w:tcW w:w="1446" w:type="dxa"/>
            <w:vMerge/>
            <w:tcBorders>
              <w:left w:val="nil"/>
              <w:right w:val="single" w:sz="4" w:space="0" w:color="auto"/>
            </w:tcBorders>
            <w:shd w:val="clear" w:color="auto" w:fill="auto"/>
            <w:noWrap/>
            <w:vAlign w:val="center"/>
            <w:hideMark/>
          </w:tcPr>
          <w:p w14:paraId="437DB00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7E7A12FC" w14:textId="77777777" w:rsidTr="007D7F14">
        <w:trPr>
          <w:trHeight w:val="57"/>
          <w:jc w:val="center"/>
        </w:trPr>
        <w:tc>
          <w:tcPr>
            <w:tcW w:w="3074" w:type="dxa"/>
            <w:vMerge w:val="restart"/>
            <w:tcBorders>
              <w:top w:val="single" w:sz="4" w:space="0" w:color="auto"/>
              <w:left w:val="single" w:sz="4" w:space="0" w:color="auto"/>
              <w:right w:val="single" w:sz="4" w:space="0" w:color="auto"/>
            </w:tcBorders>
            <w:shd w:val="clear" w:color="auto" w:fill="auto"/>
            <w:noWrap/>
            <w:vAlign w:val="center"/>
            <w:hideMark/>
          </w:tcPr>
          <w:p w14:paraId="26C07470"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Obesity (BMI)</w:t>
            </w:r>
          </w:p>
          <w:p w14:paraId="403FA36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646BD75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&lt;25 Kg/m2 (reference)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32192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FBA52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4FB23D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446" w:type="dxa"/>
            <w:vMerge/>
            <w:tcBorders>
              <w:left w:val="nil"/>
              <w:right w:val="single" w:sz="4" w:space="0" w:color="auto"/>
            </w:tcBorders>
            <w:shd w:val="clear" w:color="auto" w:fill="auto"/>
            <w:noWrap/>
            <w:vAlign w:val="center"/>
            <w:hideMark/>
          </w:tcPr>
          <w:p w14:paraId="419B50D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5EBBECC9"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2C37528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6166883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[25-30[ Kg/m2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584B17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9A373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0.21</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D45304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0.50</w:t>
            </w:r>
          </w:p>
        </w:tc>
        <w:tc>
          <w:tcPr>
            <w:tcW w:w="1446" w:type="dxa"/>
            <w:vMerge/>
            <w:tcBorders>
              <w:left w:val="nil"/>
              <w:right w:val="single" w:sz="4" w:space="0" w:color="auto"/>
            </w:tcBorders>
            <w:shd w:val="clear" w:color="auto" w:fill="auto"/>
            <w:noWrap/>
            <w:vAlign w:val="center"/>
            <w:hideMark/>
          </w:tcPr>
          <w:p w14:paraId="2259812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56F81C0D"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6A77C96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1075CA29"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 30 Kg/m2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D94FA7"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1.67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D17B74"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0.23</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7779FD69"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1.8×10</w:t>
            </w:r>
            <w:r w:rsidRPr="00091987">
              <w:rPr>
                <w:rFonts w:ascii="Times New Roman" w:eastAsia="Times New Roman" w:hAnsi="Times New Roman"/>
                <w:b/>
                <w:bCs/>
                <w:sz w:val="24"/>
                <w:szCs w:val="24"/>
                <w:vertAlign w:val="superscript"/>
                <w:lang w:eastAsia="it-IT"/>
              </w:rPr>
              <w:t>-13</w:t>
            </w:r>
          </w:p>
        </w:tc>
        <w:tc>
          <w:tcPr>
            <w:tcW w:w="1446" w:type="dxa"/>
            <w:vMerge/>
            <w:tcBorders>
              <w:left w:val="nil"/>
              <w:right w:val="single" w:sz="4" w:space="0" w:color="auto"/>
            </w:tcBorders>
            <w:shd w:val="clear" w:color="auto" w:fill="auto"/>
            <w:noWrap/>
            <w:vAlign w:val="center"/>
            <w:hideMark/>
          </w:tcPr>
          <w:p w14:paraId="1DFB910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3510744C" w14:textId="77777777" w:rsidTr="007D7F14">
        <w:trPr>
          <w:trHeight w:val="57"/>
          <w:jc w:val="center"/>
        </w:trPr>
        <w:tc>
          <w:tcPr>
            <w:tcW w:w="3074" w:type="dxa"/>
            <w:vMerge w:val="restart"/>
            <w:tcBorders>
              <w:top w:val="single" w:sz="4" w:space="0" w:color="auto"/>
              <w:left w:val="single" w:sz="4" w:space="0" w:color="auto"/>
              <w:right w:val="single" w:sz="4" w:space="0" w:color="auto"/>
            </w:tcBorders>
            <w:shd w:val="clear" w:color="auto" w:fill="auto"/>
            <w:noWrap/>
            <w:vAlign w:val="center"/>
            <w:hideMark/>
          </w:tcPr>
          <w:p w14:paraId="0758FC6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Adherence Score</w:t>
            </w:r>
          </w:p>
          <w:p w14:paraId="7BD71763" w14:textId="5B1444BD"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xml:space="preserve">to Mediterranean Diet </w:t>
            </w:r>
            <w:r w:rsidRPr="00091987">
              <w:rPr>
                <w:rFonts w:ascii="Times New Roman" w:eastAsia="Times New Roman" w:hAnsi="Times New Roman"/>
                <w:sz w:val="24"/>
                <w:szCs w:val="24"/>
                <w:lang w:eastAsia="it-IT"/>
              </w:rPr>
              <w:fldChar w:fldCharType="begin" w:fldLock="1"/>
            </w:r>
            <w:r w:rsidR="0091230F">
              <w:rPr>
                <w:rFonts w:ascii="Times New Roman" w:eastAsia="Times New Roman" w:hAnsi="Times New Roman"/>
                <w:sz w:val="24"/>
                <w:szCs w:val="24"/>
                <w:lang w:eastAsia="it-IT"/>
              </w:rPr>
              <w:instrText>ADDIN CSL_CITATION {"citationItems":[{"id":"ITEM-1","itemData":{"DOI":"10.1056/NEJMoa025039","ISSN":"0028-4793","PMID":"12826634","abstract":"BACKGROUND Adherence to a Mediterranean diet may improve longevity, but relevant data are limited. METHODS We conducted a population-based, prospective investigation involving 22,043 adults in Greece who completed an extensive, validated, food-frequency questionnaire at base line. Adherence to the traditional Mediterranean diet was assessed by a 10-point Mediterranean-diet scale that incorporated the salient characteristics of this diet (range of scores, 0 to 9, with higher scores indicating greater adherence). We used proportional-hazards regression to assess the relation between adherence to the Mediterranean diet and total mortality, as well as mortality due to coronary heart disease and mortality due to cancer, with adjustment for age, sex, body-mass index, physical-activity level, and other potential confounders. RESULTS During a median of 44 months of follow-up, there were 275 deaths. A higher degree of adherence to the Mediterranean diet was associated with a reduction in total mortality (adjusted hazard ratio for death associated with a two-point increment in the Mediterranean-diet score, 0.75 [95 percent confidence interval, 0.64 to 0.87]). An inverse association with greater adherence to this diet was evident for both death due to coronary heart disease (adjusted hazard ratio, 0.67 [95 percent confidence interval, 0.47 to 0.94]) and death due to cancer (adjusted hazard ratio, 0.76 [95 percent confidence interval, 0.59 to 0.98]). Associations between individual food groups contributing to the Mediterranean-diet score and total mortality were generally not significant. CONCLUSIONS Greater adherence to the traditional Mediterranean diet is associated with a significant reduction in total mortality.","author":[{"dropping-particle":"","family":"Trichopoulou","given":"Antonia","non-dropping-particle":"","parse-names":false,"suffix":""},{"dropping-particle":"","family":"Costacou","given":"Tina","non-dropping-particle":"","parse-names":false,"suffix":""},{"dropping-particle":"","family":"Bamia","given":"Christina","non-dropping-particle":"","parse-names":false,"suffix":""},{"dropping-particle":"","family":"Trichopoulos","given":"Dimitrios","non-dropping-particle":"","parse-names":false,"suffix":""}],"container-title":"New England Journal of Medicine","id":"ITEM-1","issue":"26","issued":{"date-parts":[["2003","6","26"]]},"page":"2599-2608","title":"Adherence to a Mediterranean Diet and Survival in a Greek Population","type":"article-journal","volume":"348"},"uris":["http://www.mendeley.com/documents/?uuid=ab3a0d5e-ab4e-3a9f-b402-8239d60628bb"]}],"mendeley":{"formattedCitation":"[8]","plainTextFormattedCitation":"[8]","previouslyFormattedCitation":"&lt;sup&gt;8&lt;/sup&gt;"},"properties":{"noteIndex":0},"schema":"https://github.com/citation-style-language/schema/raw/master/csl-citation.json"}</w:instrText>
            </w:r>
            <w:r w:rsidRPr="00091987">
              <w:rPr>
                <w:rFonts w:ascii="Times New Roman" w:eastAsia="Times New Roman" w:hAnsi="Times New Roman"/>
                <w:sz w:val="24"/>
                <w:szCs w:val="24"/>
                <w:lang w:eastAsia="it-IT"/>
              </w:rPr>
              <w:fldChar w:fldCharType="separate"/>
            </w:r>
            <w:r w:rsidR="0091230F" w:rsidRPr="0091230F">
              <w:rPr>
                <w:rFonts w:ascii="Times New Roman" w:eastAsia="Times New Roman" w:hAnsi="Times New Roman"/>
                <w:noProof/>
                <w:sz w:val="24"/>
                <w:szCs w:val="24"/>
                <w:lang w:eastAsia="it-IT"/>
              </w:rPr>
              <w:t>[8]</w:t>
            </w:r>
            <w:r w:rsidRPr="00091987">
              <w:rPr>
                <w:rFonts w:ascii="Times New Roman" w:eastAsia="Times New Roman" w:hAnsi="Times New Roman"/>
                <w:sz w:val="24"/>
                <w:szCs w:val="24"/>
                <w:lang w:eastAsia="it-IT"/>
              </w:rPr>
              <w:fldChar w:fldCharType="end"/>
            </w: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05A91E5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Low (0-3)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FE90C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4141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6F83268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446" w:type="dxa"/>
            <w:vMerge/>
            <w:tcBorders>
              <w:left w:val="nil"/>
              <w:right w:val="single" w:sz="4" w:space="0" w:color="auto"/>
            </w:tcBorders>
            <w:shd w:val="clear" w:color="auto" w:fill="auto"/>
            <w:noWrap/>
            <w:vAlign w:val="center"/>
            <w:hideMark/>
          </w:tcPr>
          <w:p w14:paraId="156A963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380336C3"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534A5EA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671EEF3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Moderate (4-6)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CCA93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84635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0.19</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47E401E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0.13</w:t>
            </w:r>
          </w:p>
        </w:tc>
        <w:tc>
          <w:tcPr>
            <w:tcW w:w="1446" w:type="dxa"/>
            <w:vMerge/>
            <w:tcBorders>
              <w:left w:val="nil"/>
              <w:right w:val="single" w:sz="4" w:space="0" w:color="auto"/>
            </w:tcBorders>
            <w:shd w:val="clear" w:color="auto" w:fill="auto"/>
            <w:noWrap/>
            <w:vAlign w:val="center"/>
            <w:hideMark/>
          </w:tcPr>
          <w:p w14:paraId="112AF4E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0B354B9F"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6E58AAA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5A98DF3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High (7-9)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5B8A46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874E8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0.31</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6CDC150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0.06</w:t>
            </w:r>
          </w:p>
        </w:tc>
        <w:tc>
          <w:tcPr>
            <w:tcW w:w="1446" w:type="dxa"/>
            <w:vMerge/>
            <w:tcBorders>
              <w:left w:val="nil"/>
              <w:right w:val="single" w:sz="4" w:space="0" w:color="auto"/>
            </w:tcBorders>
            <w:shd w:val="clear" w:color="auto" w:fill="auto"/>
            <w:noWrap/>
            <w:vAlign w:val="center"/>
            <w:hideMark/>
          </w:tcPr>
          <w:p w14:paraId="521F05F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4407C5EC" w14:textId="77777777" w:rsidTr="007D7F14">
        <w:trPr>
          <w:trHeight w:val="57"/>
          <w:jc w:val="center"/>
        </w:trPr>
        <w:tc>
          <w:tcPr>
            <w:tcW w:w="3074" w:type="dxa"/>
            <w:vMerge w:val="restart"/>
            <w:tcBorders>
              <w:top w:val="single" w:sz="4" w:space="0" w:color="auto"/>
              <w:left w:val="single" w:sz="4" w:space="0" w:color="auto"/>
              <w:right w:val="single" w:sz="4" w:space="0" w:color="auto"/>
            </w:tcBorders>
            <w:shd w:val="clear" w:color="auto" w:fill="auto"/>
            <w:noWrap/>
            <w:vAlign w:val="center"/>
            <w:hideMark/>
          </w:tcPr>
          <w:p w14:paraId="16A2D9A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Alcohol consumption</w:t>
            </w: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00846257" w14:textId="77777777" w:rsidR="001742A6" w:rsidRPr="00091987" w:rsidRDefault="001742A6" w:rsidP="007D7F14">
            <w:pPr>
              <w:spacing w:after="0" w:line="240" w:lineRule="auto"/>
              <w:jc w:val="center"/>
              <w:rPr>
                <w:rFonts w:ascii="Times New Roman" w:eastAsia="Times New Roman" w:hAnsi="Times New Roman"/>
                <w:sz w:val="24"/>
                <w:szCs w:val="24"/>
                <w:lang w:val="en-US" w:eastAsia="it-IT"/>
              </w:rPr>
            </w:pPr>
            <w:r w:rsidRPr="00091987">
              <w:rPr>
                <w:rFonts w:ascii="Times New Roman" w:eastAsia="Times New Roman" w:hAnsi="Times New Roman"/>
                <w:sz w:val="24"/>
                <w:szCs w:val="24"/>
                <w:lang w:val="en-US" w:eastAsia="it-IT"/>
              </w:rPr>
              <w:t>Occasional/current drinkers</w:t>
            </w:r>
          </w:p>
          <w:p w14:paraId="71BD5D73" w14:textId="77777777" w:rsidR="001742A6" w:rsidRPr="00091987" w:rsidRDefault="001742A6" w:rsidP="007D7F14">
            <w:pPr>
              <w:spacing w:after="0" w:line="240" w:lineRule="auto"/>
              <w:jc w:val="center"/>
              <w:rPr>
                <w:rFonts w:ascii="Times New Roman" w:eastAsia="Times New Roman" w:hAnsi="Times New Roman"/>
                <w:sz w:val="24"/>
                <w:szCs w:val="24"/>
                <w:lang w:val="en-US" w:eastAsia="it-IT"/>
              </w:rPr>
            </w:pPr>
            <w:r w:rsidRPr="00091987">
              <w:rPr>
                <w:rFonts w:ascii="Times New Roman" w:eastAsia="Times New Roman" w:hAnsi="Times New Roman"/>
                <w:sz w:val="24"/>
                <w:szCs w:val="24"/>
                <w:lang w:val="en-US" w:eastAsia="it-IT"/>
              </w:rPr>
              <w:t>(1–12 g/day) (reference)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B6E75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D4A1A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74B843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w:t>
            </w:r>
          </w:p>
        </w:tc>
        <w:tc>
          <w:tcPr>
            <w:tcW w:w="1446" w:type="dxa"/>
            <w:vMerge/>
            <w:tcBorders>
              <w:left w:val="nil"/>
              <w:right w:val="single" w:sz="4" w:space="0" w:color="auto"/>
            </w:tcBorders>
            <w:shd w:val="clear" w:color="auto" w:fill="auto"/>
            <w:noWrap/>
            <w:vAlign w:val="center"/>
            <w:hideMark/>
          </w:tcPr>
          <w:p w14:paraId="071B794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74DD96F0"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7940CC9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45F6BA1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Life-time abstainers</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54DE56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865E96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0.23</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38B8A1A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6.1×10</w:t>
            </w:r>
            <w:r w:rsidRPr="00091987">
              <w:rPr>
                <w:rFonts w:ascii="Times New Roman" w:eastAsia="Times New Roman" w:hAnsi="Times New Roman"/>
                <w:sz w:val="24"/>
                <w:szCs w:val="24"/>
                <w:vertAlign w:val="superscript"/>
                <w:lang w:eastAsia="it-IT"/>
              </w:rPr>
              <w:t>-3</w:t>
            </w:r>
          </w:p>
        </w:tc>
        <w:tc>
          <w:tcPr>
            <w:tcW w:w="1446" w:type="dxa"/>
            <w:vMerge/>
            <w:tcBorders>
              <w:left w:val="nil"/>
              <w:right w:val="single" w:sz="4" w:space="0" w:color="auto"/>
            </w:tcBorders>
            <w:shd w:val="clear" w:color="auto" w:fill="auto"/>
            <w:noWrap/>
            <w:vAlign w:val="center"/>
            <w:hideMark/>
          </w:tcPr>
          <w:p w14:paraId="1E1DB60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229E6238"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73F4784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04B86A1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Former drinkers</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CB6DF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45921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0.42</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5C033B0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0.81</w:t>
            </w:r>
          </w:p>
        </w:tc>
        <w:tc>
          <w:tcPr>
            <w:tcW w:w="1446" w:type="dxa"/>
            <w:vMerge/>
            <w:tcBorders>
              <w:left w:val="nil"/>
              <w:right w:val="single" w:sz="4" w:space="0" w:color="auto"/>
            </w:tcBorders>
            <w:shd w:val="clear" w:color="auto" w:fill="auto"/>
            <w:noWrap/>
            <w:vAlign w:val="center"/>
            <w:hideMark/>
          </w:tcPr>
          <w:p w14:paraId="02FC42E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14D9AB46"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312AC5D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50F42B6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Current drinkers (24.1-48 g/day)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331DD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0D674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0.27</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233FC6E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0.79</w:t>
            </w:r>
          </w:p>
        </w:tc>
        <w:tc>
          <w:tcPr>
            <w:tcW w:w="1446" w:type="dxa"/>
            <w:vMerge/>
            <w:tcBorders>
              <w:left w:val="nil"/>
              <w:right w:val="single" w:sz="4" w:space="0" w:color="auto"/>
            </w:tcBorders>
            <w:shd w:val="clear" w:color="auto" w:fill="auto"/>
            <w:noWrap/>
            <w:vAlign w:val="center"/>
            <w:hideMark/>
          </w:tcPr>
          <w:p w14:paraId="60BEDAB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5F2C8536"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7D8C5B8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0C9FD4E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Current drinkers (12.1-24 g/day)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B7AF2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C77A6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0.27</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6B0B33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0.42</w:t>
            </w:r>
          </w:p>
        </w:tc>
        <w:tc>
          <w:tcPr>
            <w:tcW w:w="1446" w:type="dxa"/>
            <w:vMerge/>
            <w:tcBorders>
              <w:left w:val="nil"/>
              <w:right w:val="single" w:sz="4" w:space="0" w:color="auto"/>
            </w:tcBorders>
            <w:shd w:val="clear" w:color="auto" w:fill="auto"/>
            <w:noWrap/>
            <w:vAlign w:val="center"/>
            <w:hideMark/>
          </w:tcPr>
          <w:p w14:paraId="33D7217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45126409"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49FF496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single" w:sz="4" w:space="0" w:color="auto"/>
              <w:left w:val="nil"/>
              <w:bottom w:val="single" w:sz="4" w:space="0" w:color="auto"/>
              <w:right w:val="single" w:sz="4" w:space="0" w:color="auto"/>
            </w:tcBorders>
            <w:shd w:val="clear" w:color="auto" w:fill="auto"/>
            <w:noWrap/>
            <w:vAlign w:val="center"/>
            <w:hideMark/>
          </w:tcPr>
          <w:p w14:paraId="61B0A82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Current drinkers (&gt;48 g/day)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2F939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-0.54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3D12B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0.33</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2704E08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0.10</w:t>
            </w:r>
          </w:p>
        </w:tc>
        <w:tc>
          <w:tcPr>
            <w:tcW w:w="1446" w:type="dxa"/>
            <w:vMerge/>
            <w:tcBorders>
              <w:left w:val="nil"/>
              <w:bottom w:val="single" w:sz="4" w:space="0" w:color="auto"/>
              <w:right w:val="single" w:sz="4" w:space="0" w:color="auto"/>
            </w:tcBorders>
            <w:shd w:val="clear" w:color="auto" w:fill="auto"/>
            <w:noWrap/>
            <w:vAlign w:val="center"/>
            <w:hideMark/>
          </w:tcPr>
          <w:p w14:paraId="0126B5A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78C1A3B0" w14:textId="77777777" w:rsidTr="007D7F14">
        <w:trPr>
          <w:trHeight w:val="57"/>
          <w:jc w:val="center"/>
        </w:trPr>
        <w:tc>
          <w:tcPr>
            <w:tcW w:w="3074" w:type="dxa"/>
            <w:vMerge w:val="restart"/>
            <w:tcBorders>
              <w:top w:val="nil"/>
              <w:left w:val="single" w:sz="4" w:space="0" w:color="auto"/>
              <w:right w:val="single" w:sz="4" w:space="0" w:color="auto"/>
            </w:tcBorders>
            <w:shd w:val="clear" w:color="auto" w:fill="auto"/>
            <w:noWrap/>
            <w:vAlign w:val="center"/>
            <w:hideMark/>
          </w:tcPr>
          <w:p w14:paraId="6D948DDA"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Occupational class</w:t>
            </w:r>
          </w:p>
          <w:p w14:paraId="7712CEAA"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 </w:t>
            </w:r>
          </w:p>
        </w:tc>
        <w:tc>
          <w:tcPr>
            <w:tcW w:w="3768" w:type="dxa"/>
            <w:tcBorders>
              <w:top w:val="nil"/>
              <w:left w:val="nil"/>
              <w:bottom w:val="single" w:sz="4" w:space="0" w:color="auto"/>
              <w:right w:val="single" w:sz="4" w:space="0" w:color="auto"/>
            </w:tcBorders>
            <w:shd w:val="clear" w:color="auto" w:fill="auto"/>
            <w:noWrap/>
            <w:vAlign w:val="center"/>
            <w:hideMark/>
          </w:tcPr>
          <w:p w14:paraId="278F544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Professional and managerial (reference)</w:t>
            </w:r>
          </w:p>
        </w:tc>
        <w:tc>
          <w:tcPr>
            <w:tcW w:w="960" w:type="dxa"/>
            <w:tcBorders>
              <w:top w:val="nil"/>
              <w:left w:val="nil"/>
              <w:bottom w:val="single" w:sz="4" w:space="0" w:color="auto"/>
              <w:right w:val="single" w:sz="4" w:space="0" w:color="auto"/>
            </w:tcBorders>
            <w:shd w:val="clear" w:color="auto" w:fill="auto"/>
            <w:noWrap/>
            <w:vAlign w:val="center"/>
            <w:hideMark/>
          </w:tcPr>
          <w:p w14:paraId="40A21A9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960" w:type="dxa"/>
            <w:tcBorders>
              <w:top w:val="nil"/>
              <w:left w:val="nil"/>
              <w:bottom w:val="single" w:sz="4" w:space="0" w:color="auto"/>
              <w:right w:val="single" w:sz="4" w:space="0" w:color="auto"/>
            </w:tcBorders>
            <w:shd w:val="clear" w:color="auto" w:fill="auto"/>
            <w:noWrap/>
            <w:vAlign w:val="center"/>
            <w:hideMark/>
          </w:tcPr>
          <w:p w14:paraId="25E3D08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137" w:type="dxa"/>
            <w:tcBorders>
              <w:top w:val="nil"/>
              <w:left w:val="nil"/>
              <w:bottom w:val="single" w:sz="4" w:space="0" w:color="auto"/>
              <w:right w:val="single" w:sz="4" w:space="0" w:color="auto"/>
            </w:tcBorders>
            <w:shd w:val="clear" w:color="auto" w:fill="auto"/>
            <w:noWrap/>
            <w:vAlign w:val="center"/>
            <w:hideMark/>
          </w:tcPr>
          <w:p w14:paraId="2FC4910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446" w:type="dxa"/>
            <w:vMerge w:val="restart"/>
            <w:tcBorders>
              <w:top w:val="nil"/>
              <w:left w:val="nil"/>
              <w:right w:val="single" w:sz="4" w:space="0" w:color="auto"/>
            </w:tcBorders>
            <w:shd w:val="clear" w:color="auto" w:fill="auto"/>
            <w:noWrap/>
            <w:vAlign w:val="center"/>
            <w:hideMark/>
          </w:tcPr>
          <w:p w14:paraId="22FDAC24"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sz w:val="24"/>
                <w:szCs w:val="24"/>
                <w:lang w:eastAsia="it-IT"/>
              </w:rPr>
              <w:t>SES</w:t>
            </w:r>
          </w:p>
        </w:tc>
      </w:tr>
      <w:tr w:rsidR="00091987" w:rsidRPr="00091987" w14:paraId="3E07A199"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37B1832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3000944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Non-manual skilled</w:t>
            </w:r>
          </w:p>
        </w:tc>
        <w:tc>
          <w:tcPr>
            <w:tcW w:w="960" w:type="dxa"/>
            <w:tcBorders>
              <w:top w:val="nil"/>
              <w:left w:val="nil"/>
              <w:bottom w:val="single" w:sz="4" w:space="0" w:color="auto"/>
              <w:right w:val="single" w:sz="4" w:space="0" w:color="auto"/>
            </w:tcBorders>
            <w:shd w:val="clear" w:color="auto" w:fill="auto"/>
            <w:noWrap/>
            <w:vAlign w:val="center"/>
            <w:hideMark/>
          </w:tcPr>
          <w:p w14:paraId="21455B5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0.08</w:t>
            </w:r>
          </w:p>
        </w:tc>
        <w:tc>
          <w:tcPr>
            <w:tcW w:w="960" w:type="dxa"/>
            <w:tcBorders>
              <w:top w:val="nil"/>
              <w:left w:val="nil"/>
              <w:bottom w:val="single" w:sz="4" w:space="0" w:color="auto"/>
              <w:right w:val="single" w:sz="4" w:space="0" w:color="auto"/>
            </w:tcBorders>
            <w:shd w:val="clear" w:color="auto" w:fill="auto"/>
            <w:noWrap/>
            <w:vAlign w:val="center"/>
            <w:hideMark/>
          </w:tcPr>
          <w:p w14:paraId="7CCDA92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0.23</w:t>
            </w:r>
          </w:p>
        </w:tc>
        <w:tc>
          <w:tcPr>
            <w:tcW w:w="1137" w:type="dxa"/>
            <w:tcBorders>
              <w:top w:val="nil"/>
              <w:left w:val="nil"/>
              <w:bottom w:val="single" w:sz="4" w:space="0" w:color="auto"/>
              <w:right w:val="single" w:sz="4" w:space="0" w:color="auto"/>
            </w:tcBorders>
            <w:shd w:val="clear" w:color="auto" w:fill="auto"/>
            <w:noWrap/>
            <w:vAlign w:val="center"/>
            <w:hideMark/>
          </w:tcPr>
          <w:p w14:paraId="78DF8F9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0.72</w:t>
            </w:r>
          </w:p>
        </w:tc>
        <w:tc>
          <w:tcPr>
            <w:tcW w:w="1446" w:type="dxa"/>
            <w:vMerge/>
            <w:tcBorders>
              <w:left w:val="nil"/>
              <w:right w:val="single" w:sz="4" w:space="0" w:color="auto"/>
            </w:tcBorders>
            <w:shd w:val="clear" w:color="auto" w:fill="auto"/>
            <w:noWrap/>
            <w:vAlign w:val="center"/>
            <w:hideMark/>
          </w:tcPr>
          <w:p w14:paraId="3393895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04D39697"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45CF34C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3927EFF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Manual unskilled</w:t>
            </w:r>
          </w:p>
        </w:tc>
        <w:tc>
          <w:tcPr>
            <w:tcW w:w="960" w:type="dxa"/>
            <w:tcBorders>
              <w:top w:val="nil"/>
              <w:left w:val="nil"/>
              <w:bottom w:val="single" w:sz="4" w:space="0" w:color="auto"/>
              <w:right w:val="single" w:sz="4" w:space="0" w:color="auto"/>
            </w:tcBorders>
            <w:shd w:val="clear" w:color="auto" w:fill="auto"/>
            <w:noWrap/>
            <w:vAlign w:val="center"/>
            <w:hideMark/>
          </w:tcPr>
          <w:p w14:paraId="4C2C8E86"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0.37</w:t>
            </w:r>
          </w:p>
        </w:tc>
        <w:tc>
          <w:tcPr>
            <w:tcW w:w="960" w:type="dxa"/>
            <w:tcBorders>
              <w:top w:val="nil"/>
              <w:left w:val="nil"/>
              <w:bottom w:val="single" w:sz="4" w:space="0" w:color="auto"/>
              <w:right w:val="single" w:sz="4" w:space="0" w:color="auto"/>
            </w:tcBorders>
            <w:shd w:val="clear" w:color="auto" w:fill="auto"/>
            <w:noWrap/>
            <w:vAlign w:val="center"/>
            <w:hideMark/>
          </w:tcPr>
          <w:p w14:paraId="6464775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0.28</w:t>
            </w:r>
          </w:p>
        </w:tc>
        <w:tc>
          <w:tcPr>
            <w:tcW w:w="1137" w:type="dxa"/>
            <w:tcBorders>
              <w:top w:val="nil"/>
              <w:left w:val="nil"/>
              <w:bottom w:val="single" w:sz="4" w:space="0" w:color="auto"/>
              <w:right w:val="single" w:sz="4" w:space="0" w:color="auto"/>
            </w:tcBorders>
            <w:shd w:val="clear" w:color="auto" w:fill="auto"/>
            <w:noWrap/>
            <w:vAlign w:val="center"/>
            <w:hideMark/>
          </w:tcPr>
          <w:p w14:paraId="7D42CAB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0.20</w:t>
            </w:r>
          </w:p>
        </w:tc>
        <w:tc>
          <w:tcPr>
            <w:tcW w:w="1446" w:type="dxa"/>
            <w:vMerge/>
            <w:tcBorders>
              <w:left w:val="nil"/>
              <w:right w:val="single" w:sz="4" w:space="0" w:color="auto"/>
            </w:tcBorders>
            <w:shd w:val="clear" w:color="auto" w:fill="auto"/>
            <w:noWrap/>
            <w:vAlign w:val="center"/>
            <w:hideMark/>
          </w:tcPr>
          <w:p w14:paraId="0668FD8C"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0D62603C"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4444D13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1F1ABA7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Manual skilled</w:t>
            </w:r>
          </w:p>
        </w:tc>
        <w:tc>
          <w:tcPr>
            <w:tcW w:w="960" w:type="dxa"/>
            <w:tcBorders>
              <w:top w:val="nil"/>
              <w:left w:val="nil"/>
              <w:bottom w:val="single" w:sz="4" w:space="0" w:color="auto"/>
              <w:right w:val="single" w:sz="4" w:space="0" w:color="auto"/>
            </w:tcBorders>
            <w:shd w:val="clear" w:color="auto" w:fill="auto"/>
            <w:noWrap/>
            <w:vAlign w:val="center"/>
            <w:hideMark/>
          </w:tcPr>
          <w:p w14:paraId="5F713E4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0.68</w:t>
            </w:r>
          </w:p>
        </w:tc>
        <w:tc>
          <w:tcPr>
            <w:tcW w:w="960" w:type="dxa"/>
            <w:tcBorders>
              <w:top w:val="nil"/>
              <w:left w:val="nil"/>
              <w:bottom w:val="single" w:sz="4" w:space="0" w:color="auto"/>
              <w:right w:val="single" w:sz="4" w:space="0" w:color="auto"/>
            </w:tcBorders>
            <w:shd w:val="clear" w:color="auto" w:fill="auto"/>
            <w:noWrap/>
            <w:vAlign w:val="center"/>
            <w:hideMark/>
          </w:tcPr>
          <w:p w14:paraId="166E0C3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0.28</w:t>
            </w:r>
          </w:p>
        </w:tc>
        <w:tc>
          <w:tcPr>
            <w:tcW w:w="1137" w:type="dxa"/>
            <w:tcBorders>
              <w:top w:val="nil"/>
              <w:left w:val="nil"/>
              <w:bottom w:val="single" w:sz="4" w:space="0" w:color="auto"/>
              <w:right w:val="single" w:sz="4" w:space="0" w:color="auto"/>
            </w:tcBorders>
            <w:shd w:val="clear" w:color="auto" w:fill="auto"/>
            <w:noWrap/>
            <w:vAlign w:val="center"/>
            <w:hideMark/>
          </w:tcPr>
          <w:p w14:paraId="16D79A8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0.02</w:t>
            </w:r>
          </w:p>
        </w:tc>
        <w:tc>
          <w:tcPr>
            <w:tcW w:w="1446" w:type="dxa"/>
            <w:vMerge/>
            <w:tcBorders>
              <w:left w:val="nil"/>
              <w:right w:val="single" w:sz="4" w:space="0" w:color="auto"/>
            </w:tcBorders>
            <w:shd w:val="clear" w:color="auto" w:fill="auto"/>
            <w:noWrap/>
            <w:vAlign w:val="center"/>
            <w:hideMark/>
          </w:tcPr>
          <w:p w14:paraId="68512E19"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38133E19"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1212878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6BE64CE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Retired/housewife</w:t>
            </w:r>
          </w:p>
        </w:tc>
        <w:tc>
          <w:tcPr>
            <w:tcW w:w="960" w:type="dxa"/>
            <w:tcBorders>
              <w:top w:val="nil"/>
              <w:left w:val="nil"/>
              <w:bottom w:val="single" w:sz="4" w:space="0" w:color="auto"/>
              <w:right w:val="single" w:sz="4" w:space="0" w:color="auto"/>
            </w:tcBorders>
            <w:shd w:val="clear" w:color="auto" w:fill="auto"/>
            <w:noWrap/>
            <w:vAlign w:val="center"/>
            <w:hideMark/>
          </w:tcPr>
          <w:p w14:paraId="7D21850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1.18</w:t>
            </w:r>
          </w:p>
        </w:tc>
        <w:tc>
          <w:tcPr>
            <w:tcW w:w="960" w:type="dxa"/>
            <w:tcBorders>
              <w:top w:val="nil"/>
              <w:left w:val="nil"/>
              <w:bottom w:val="single" w:sz="4" w:space="0" w:color="auto"/>
              <w:right w:val="single" w:sz="4" w:space="0" w:color="auto"/>
            </w:tcBorders>
            <w:shd w:val="clear" w:color="auto" w:fill="auto"/>
            <w:noWrap/>
            <w:vAlign w:val="center"/>
            <w:hideMark/>
          </w:tcPr>
          <w:p w14:paraId="09FA07B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0.44</w:t>
            </w:r>
          </w:p>
        </w:tc>
        <w:tc>
          <w:tcPr>
            <w:tcW w:w="1137" w:type="dxa"/>
            <w:tcBorders>
              <w:top w:val="nil"/>
              <w:left w:val="nil"/>
              <w:bottom w:val="single" w:sz="4" w:space="0" w:color="auto"/>
              <w:right w:val="single" w:sz="4" w:space="0" w:color="auto"/>
            </w:tcBorders>
            <w:shd w:val="clear" w:color="auto" w:fill="auto"/>
            <w:noWrap/>
            <w:vAlign w:val="center"/>
            <w:hideMark/>
          </w:tcPr>
          <w:p w14:paraId="580594D2"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8.1×10</w:t>
            </w:r>
            <w:r w:rsidRPr="00091987">
              <w:rPr>
                <w:rFonts w:ascii="Times New Roman" w:eastAsia="Times New Roman" w:hAnsi="Times New Roman"/>
                <w:sz w:val="24"/>
                <w:szCs w:val="24"/>
                <w:vertAlign w:val="superscript"/>
                <w:lang w:eastAsia="it-IT"/>
              </w:rPr>
              <w:t>-3</w:t>
            </w:r>
          </w:p>
        </w:tc>
        <w:tc>
          <w:tcPr>
            <w:tcW w:w="1446" w:type="dxa"/>
            <w:vMerge/>
            <w:tcBorders>
              <w:left w:val="nil"/>
              <w:right w:val="single" w:sz="4" w:space="0" w:color="auto"/>
            </w:tcBorders>
            <w:shd w:val="clear" w:color="auto" w:fill="auto"/>
            <w:noWrap/>
            <w:vAlign w:val="center"/>
            <w:hideMark/>
          </w:tcPr>
          <w:p w14:paraId="692B2ABB"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491361A8"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554209B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617B9A01"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Unemployed/unclassified</w:t>
            </w:r>
          </w:p>
        </w:tc>
        <w:tc>
          <w:tcPr>
            <w:tcW w:w="960" w:type="dxa"/>
            <w:tcBorders>
              <w:top w:val="nil"/>
              <w:left w:val="nil"/>
              <w:bottom w:val="single" w:sz="4" w:space="0" w:color="auto"/>
              <w:right w:val="single" w:sz="4" w:space="0" w:color="auto"/>
            </w:tcBorders>
            <w:shd w:val="clear" w:color="auto" w:fill="auto"/>
            <w:noWrap/>
            <w:vAlign w:val="center"/>
            <w:hideMark/>
          </w:tcPr>
          <w:p w14:paraId="5DD0011D"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2.23</w:t>
            </w:r>
          </w:p>
        </w:tc>
        <w:tc>
          <w:tcPr>
            <w:tcW w:w="960" w:type="dxa"/>
            <w:tcBorders>
              <w:top w:val="nil"/>
              <w:left w:val="nil"/>
              <w:bottom w:val="single" w:sz="4" w:space="0" w:color="auto"/>
              <w:right w:val="single" w:sz="4" w:space="0" w:color="auto"/>
            </w:tcBorders>
            <w:shd w:val="clear" w:color="auto" w:fill="auto"/>
            <w:noWrap/>
            <w:vAlign w:val="center"/>
            <w:hideMark/>
          </w:tcPr>
          <w:p w14:paraId="0FC78CD4"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0.76</w:t>
            </w:r>
          </w:p>
        </w:tc>
        <w:tc>
          <w:tcPr>
            <w:tcW w:w="1137" w:type="dxa"/>
            <w:tcBorders>
              <w:top w:val="nil"/>
              <w:left w:val="nil"/>
              <w:bottom w:val="single" w:sz="4" w:space="0" w:color="auto"/>
              <w:right w:val="single" w:sz="4" w:space="0" w:color="auto"/>
            </w:tcBorders>
            <w:shd w:val="clear" w:color="auto" w:fill="auto"/>
            <w:noWrap/>
            <w:vAlign w:val="center"/>
            <w:hideMark/>
          </w:tcPr>
          <w:p w14:paraId="75726BF1"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r w:rsidRPr="00091987">
              <w:rPr>
                <w:rFonts w:ascii="Times New Roman" w:eastAsia="Times New Roman" w:hAnsi="Times New Roman"/>
                <w:b/>
                <w:bCs/>
                <w:sz w:val="24"/>
                <w:szCs w:val="24"/>
                <w:lang w:eastAsia="it-IT"/>
              </w:rPr>
              <w:t>3.5×10</w:t>
            </w:r>
            <w:r w:rsidRPr="00091987">
              <w:rPr>
                <w:rFonts w:ascii="Times New Roman" w:eastAsia="Times New Roman" w:hAnsi="Times New Roman"/>
                <w:b/>
                <w:bCs/>
                <w:sz w:val="24"/>
                <w:szCs w:val="24"/>
                <w:vertAlign w:val="superscript"/>
                <w:lang w:eastAsia="it-IT"/>
              </w:rPr>
              <w:t>-3</w:t>
            </w:r>
          </w:p>
        </w:tc>
        <w:tc>
          <w:tcPr>
            <w:tcW w:w="1446" w:type="dxa"/>
            <w:vMerge/>
            <w:tcBorders>
              <w:left w:val="nil"/>
              <w:right w:val="single" w:sz="4" w:space="0" w:color="auto"/>
            </w:tcBorders>
            <w:shd w:val="clear" w:color="auto" w:fill="auto"/>
            <w:noWrap/>
            <w:vAlign w:val="center"/>
            <w:hideMark/>
          </w:tcPr>
          <w:p w14:paraId="41A3EEF7"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66E12A97" w14:textId="77777777" w:rsidTr="007D7F14">
        <w:trPr>
          <w:trHeight w:val="57"/>
          <w:jc w:val="center"/>
        </w:trPr>
        <w:tc>
          <w:tcPr>
            <w:tcW w:w="3074" w:type="dxa"/>
            <w:vMerge w:val="restart"/>
            <w:tcBorders>
              <w:top w:val="nil"/>
              <w:left w:val="single" w:sz="4" w:space="0" w:color="auto"/>
              <w:right w:val="single" w:sz="4" w:space="0" w:color="auto"/>
            </w:tcBorders>
            <w:shd w:val="clear" w:color="auto" w:fill="auto"/>
            <w:noWrap/>
            <w:vAlign w:val="center"/>
            <w:hideMark/>
          </w:tcPr>
          <w:p w14:paraId="07964167" w14:textId="77777777" w:rsidR="001742A6" w:rsidRPr="00091987" w:rsidRDefault="001742A6" w:rsidP="007D7F14">
            <w:pPr>
              <w:spacing w:after="0" w:line="240" w:lineRule="auto"/>
              <w:jc w:val="center"/>
              <w:rPr>
                <w:rFonts w:ascii="Times New Roman" w:eastAsia="Times New Roman" w:hAnsi="Times New Roman"/>
                <w:sz w:val="24"/>
                <w:szCs w:val="24"/>
                <w:lang w:val="en-US" w:eastAsia="it-IT"/>
              </w:rPr>
            </w:pPr>
            <w:r w:rsidRPr="00091987">
              <w:rPr>
                <w:rFonts w:ascii="Times New Roman" w:eastAsia="Times New Roman" w:hAnsi="Times New Roman"/>
                <w:sz w:val="24"/>
                <w:szCs w:val="24"/>
                <w:lang w:val="en-US" w:eastAsia="it-IT"/>
              </w:rPr>
              <w:t>Yearly household income</w:t>
            </w:r>
          </w:p>
          <w:p w14:paraId="2A57B7F4" w14:textId="77777777" w:rsidR="001742A6" w:rsidRPr="00091987" w:rsidRDefault="001742A6" w:rsidP="007D7F14">
            <w:pPr>
              <w:spacing w:after="0" w:line="240" w:lineRule="auto"/>
              <w:jc w:val="center"/>
              <w:rPr>
                <w:rFonts w:ascii="Times New Roman" w:eastAsia="Times New Roman" w:hAnsi="Times New Roman"/>
                <w:sz w:val="24"/>
                <w:szCs w:val="24"/>
                <w:lang w:val="en-US" w:eastAsia="it-IT"/>
              </w:rPr>
            </w:pPr>
            <w:r w:rsidRPr="00091987">
              <w:rPr>
                <w:rFonts w:ascii="Times New Roman" w:eastAsia="Times New Roman" w:hAnsi="Times New Roman"/>
                <w:sz w:val="24"/>
                <w:szCs w:val="24"/>
                <w:lang w:val="en-US" w:eastAsia="it-IT"/>
              </w:rPr>
              <w:t>(Euros) </w:t>
            </w:r>
          </w:p>
        </w:tc>
        <w:tc>
          <w:tcPr>
            <w:tcW w:w="3768" w:type="dxa"/>
            <w:tcBorders>
              <w:top w:val="nil"/>
              <w:left w:val="nil"/>
              <w:bottom w:val="single" w:sz="4" w:space="0" w:color="auto"/>
              <w:right w:val="single" w:sz="4" w:space="0" w:color="auto"/>
            </w:tcBorders>
            <w:shd w:val="clear" w:color="auto" w:fill="auto"/>
            <w:noWrap/>
            <w:vAlign w:val="center"/>
            <w:hideMark/>
          </w:tcPr>
          <w:p w14:paraId="0238D39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&lt;10.000</w:t>
            </w:r>
          </w:p>
          <w:p w14:paraId="5919704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(reference)</w:t>
            </w:r>
          </w:p>
        </w:tc>
        <w:tc>
          <w:tcPr>
            <w:tcW w:w="960" w:type="dxa"/>
            <w:tcBorders>
              <w:top w:val="nil"/>
              <w:left w:val="nil"/>
              <w:bottom w:val="single" w:sz="4" w:space="0" w:color="auto"/>
              <w:right w:val="single" w:sz="4" w:space="0" w:color="auto"/>
            </w:tcBorders>
            <w:shd w:val="clear" w:color="auto" w:fill="auto"/>
            <w:noWrap/>
            <w:vAlign w:val="center"/>
            <w:hideMark/>
          </w:tcPr>
          <w:p w14:paraId="3FF4AD9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960" w:type="dxa"/>
            <w:tcBorders>
              <w:top w:val="nil"/>
              <w:left w:val="nil"/>
              <w:bottom w:val="single" w:sz="4" w:space="0" w:color="auto"/>
              <w:right w:val="single" w:sz="4" w:space="0" w:color="auto"/>
            </w:tcBorders>
            <w:shd w:val="clear" w:color="auto" w:fill="auto"/>
            <w:noWrap/>
            <w:vAlign w:val="center"/>
            <w:hideMark/>
          </w:tcPr>
          <w:p w14:paraId="28B4058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137" w:type="dxa"/>
            <w:tcBorders>
              <w:top w:val="nil"/>
              <w:left w:val="nil"/>
              <w:bottom w:val="single" w:sz="4" w:space="0" w:color="auto"/>
              <w:right w:val="single" w:sz="4" w:space="0" w:color="auto"/>
            </w:tcBorders>
            <w:shd w:val="clear" w:color="auto" w:fill="auto"/>
            <w:noWrap/>
            <w:vAlign w:val="center"/>
            <w:hideMark/>
          </w:tcPr>
          <w:p w14:paraId="1D458C3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446" w:type="dxa"/>
            <w:vMerge/>
            <w:tcBorders>
              <w:left w:val="nil"/>
              <w:right w:val="single" w:sz="4" w:space="0" w:color="auto"/>
            </w:tcBorders>
            <w:shd w:val="clear" w:color="auto" w:fill="auto"/>
            <w:noWrap/>
            <w:vAlign w:val="center"/>
            <w:hideMark/>
          </w:tcPr>
          <w:p w14:paraId="102141AC"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7387F370"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672BCB2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161D916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[10.000-25.000]</w:t>
            </w:r>
          </w:p>
        </w:tc>
        <w:tc>
          <w:tcPr>
            <w:tcW w:w="960" w:type="dxa"/>
            <w:tcBorders>
              <w:top w:val="nil"/>
              <w:left w:val="nil"/>
              <w:bottom w:val="single" w:sz="4" w:space="0" w:color="auto"/>
              <w:right w:val="single" w:sz="4" w:space="0" w:color="auto"/>
            </w:tcBorders>
            <w:shd w:val="clear" w:color="auto" w:fill="auto"/>
            <w:noWrap/>
            <w:vAlign w:val="center"/>
            <w:hideMark/>
          </w:tcPr>
          <w:p w14:paraId="075EF38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0.38</w:t>
            </w:r>
          </w:p>
        </w:tc>
        <w:tc>
          <w:tcPr>
            <w:tcW w:w="960" w:type="dxa"/>
            <w:tcBorders>
              <w:top w:val="nil"/>
              <w:left w:val="nil"/>
              <w:bottom w:val="single" w:sz="4" w:space="0" w:color="auto"/>
              <w:right w:val="single" w:sz="4" w:space="0" w:color="auto"/>
            </w:tcBorders>
            <w:shd w:val="clear" w:color="auto" w:fill="auto"/>
            <w:noWrap/>
            <w:vAlign w:val="center"/>
            <w:hideMark/>
          </w:tcPr>
          <w:p w14:paraId="60B1723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0.37</w:t>
            </w:r>
          </w:p>
        </w:tc>
        <w:tc>
          <w:tcPr>
            <w:tcW w:w="1137" w:type="dxa"/>
            <w:tcBorders>
              <w:top w:val="nil"/>
              <w:left w:val="nil"/>
              <w:bottom w:val="single" w:sz="4" w:space="0" w:color="auto"/>
              <w:right w:val="single" w:sz="4" w:space="0" w:color="auto"/>
            </w:tcBorders>
            <w:shd w:val="clear" w:color="auto" w:fill="auto"/>
            <w:noWrap/>
            <w:vAlign w:val="center"/>
            <w:hideMark/>
          </w:tcPr>
          <w:p w14:paraId="1277583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0.30</w:t>
            </w:r>
          </w:p>
        </w:tc>
        <w:tc>
          <w:tcPr>
            <w:tcW w:w="1446" w:type="dxa"/>
            <w:vMerge/>
            <w:tcBorders>
              <w:left w:val="nil"/>
              <w:right w:val="single" w:sz="4" w:space="0" w:color="auto"/>
            </w:tcBorders>
            <w:shd w:val="clear" w:color="auto" w:fill="auto"/>
            <w:noWrap/>
            <w:vAlign w:val="center"/>
            <w:hideMark/>
          </w:tcPr>
          <w:p w14:paraId="0780CEB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65FB1F02"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4192F42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3DADDF6D"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]25.000-40.000]</w:t>
            </w:r>
          </w:p>
        </w:tc>
        <w:tc>
          <w:tcPr>
            <w:tcW w:w="960" w:type="dxa"/>
            <w:tcBorders>
              <w:top w:val="nil"/>
              <w:left w:val="nil"/>
              <w:bottom w:val="single" w:sz="4" w:space="0" w:color="auto"/>
              <w:right w:val="single" w:sz="4" w:space="0" w:color="auto"/>
            </w:tcBorders>
            <w:shd w:val="clear" w:color="auto" w:fill="auto"/>
            <w:noWrap/>
            <w:vAlign w:val="center"/>
            <w:hideMark/>
          </w:tcPr>
          <w:p w14:paraId="52612F3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-0.47</w:t>
            </w:r>
          </w:p>
        </w:tc>
        <w:tc>
          <w:tcPr>
            <w:tcW w:w="960" w:type="dxa"/>
            <w:tcBorders>
              <w:top w:val="nil"/>
              <w:left w:val="nil"/>
              <w:bottom w:val="single" w:sz="4" w:space="0" w:color="auto"/>
              <w:right w:val="single" w:sz="4" w:space="0" w:color="auto"/>
            </w:tcBorders>
            <w:shd w:val="clear" w:color="auto" w:fill="auto"/>
            <w:noWrap/>
            <w:vAlign w:val="center"/>
            <w:hideMark/>
          </w:tcPr>
          <w:p w14:paraId="755D29E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0.40</w:t>
            </w:r>
          </w:p>
        </w:tc>
        <w:tc>
          <w:tcPr>
            <w:tcW w:w="1137" w:type="dxa"/>
            <w:tcBorders>
              <w:top w:val="nil"/>
              <w:left w:val="nil"/>
              <w:bottom w:val="single" w:sz="4" w:space="0" w:color="auto"/>
              <w:right w:val="single" w:sz="4" w:space="0" w:color="auto"/>
            </w:tcBorders>
            <w:shd w:val="clear" w:color="auto" w:fill="auto"/>
            <w:noWrap/>
            <w:vAlign w:val="center"/>
            <w:hideMark/>
          </w:tcPr>
          <w:p w14:paraId="121E0D8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0.24</w:t>
            </w:r>
          </w:p>
        </w:tc>
        <w:tc>
          <w:tcPr>
            <w:tcW w:w="1446" w:type="dxa"/>
            <w:vMerge/>
            <w:tcBorders>
              <w:left w:val="nil"/>
              <w:right w:val="single" w:sz="4" w:space="0" w:color="auto"/>
            </w:tcBorders>
            <w:shd w:val="clear" w:color="auto" w:fill="auto"/>
            <w:noWrap/>
            <w:vAlign w:val="center"/>
            <w:hideMark/>
          </w:tcPr>
          <w:p w14:paraId="25F93F38"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57CD20C5"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6DE17D7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7E984EF2"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&gt;40.000</w:t>
            </w:r>
          </w:p>
        </w:tc>
        <w:tc>
          <w:tcPr>
            <w:tcW w:w="960" w:type="dxa"/>
            <w:tcBorders>
              <w:top w:val="nil"/>
              <w:left w:val="nil"/>
              <w:bottom w:val="single" w:sz="4" w:space="0" w:color="auto"/>
              <w:right w:val="single" w:sz="4" w:space="0" w:color="auto"/>
            </w:tcBorders>
            <w:shd w:val="clear" w:color="auto" w:fill="auto"/>
            <w:noWrap/>
            <w:vAlign w:val="center"/>
            <w:hideMark/>
          </w:tcPr>
          <w:p w14:paraId="341983A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-1.02</w:t>
            </w:r>
          </w:p>
        </w:tc>
        <w:tc>
          <w:tcPr>
            <w:tcW w:w="960" w:type="dxa"/>
            <w:tcBorders>
              <w:top w:val="nil"/>
              <w:left w:val="nil"/>
              <w:bottom w:val="single" w:sz="4" w:space="0" w:color="auto"/>
              <w:right w:val="single" w:sz="4" w:space="0" w:color="auto"/>
            </w:tcBorders>
            <w:shd w:val="clear" w:color="auto" w:fill="auto"/>
            <w:noWrap/>
            <w:vAlign w:val="center"/>
            <w:hideMark/>
          </w:tcPr>
          <w:p w14:paraId="51DBE97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0.44</w:t>
            </w:r>
          </w:p>
        </w:tc>
        <w:tc>
          <w:tcPr>
            <w:tcW w:w="1137" w:type="dxa"/>
            <w:tcBorders>
              <w:top w:val="nil"/>
              <w:left w:val="nil"/>
              <w:bottom w:val="single" w:sz="4" w:space="0" w:color="auto"/>
              <w:right w:val="single" w:sz="4" w:space="0" w:color="auto"/>
            </w:tcBorders>
            <w:shd w:val="clear" w:color="auto" w:fill="auto"/>
            <w:noWrap/>
            <w:vAlign w:val="center"/>
            <w:hideMark/>
          </w:tcPr>
          <w:p w14:paraId="7C977D1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0.02</w:t>
            </w:r>
          </w:p>
        </w:tc>
        <w:tc>
          <w:tcPr>
            <w:tcW w:w="1446" w:type="dxa"/>
            <w:vMerge/>
            <w:tcBorders>
              <w:left w:val="nil"/>
              <w:right w:val="single" w:sz="4" w:space="0" w:color="auto"/>
            </w:tcBorders>
            <w:shd w:val="clear" w:color="auto" w:fill="auto"/>
            <w:noWrap/>
            <w:vAlign w:val="center"/>
            <w:hideMark/>
          </w:tcPr>
          <w:p w14:paraId="5AA71B3F"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r w:rsidR="00091987" w:rsidRPr="00091987" w14:paraId="72A2D9BC"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736EFA1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037CF3A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Not declared</w:t>
            </w:r>
          </w:p>
        </w:tc>
        <w:tc>
          <w:tcPr>
            <w:tcW w:w="960" w:type="dxa"/>
            <w:tcBorders>
              <w:top w:val="nil"/>
              <w:left w:val="nil"/>
              <w:bottom w:val="single" w:sz="4" w:space="0" w:color="auto"/>
              <w:right w:val="single" w:sz="4" w:space="0" w:color="auto"/>
            </w:tcBorders>
            <w:shd w:val="clear" w:color="auto" w:fill="auto"/>
            <w:noWrap/>
            <w:vAlign w:val="center"/>
            <w:hideMark/>
          </w:tcPr>
          <w:p w14:paraId="6B9B7F5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-0.19</w:t>
            </w:r>
          </w:p>
        </w:tc>
        <w:tc>
          <w:tcPr>
            <w:tcW w:w="960" w:type="dxa"/>
            <w:tcBorders>
              <w:top w:val="nil"/>
              <w:left w:val="nil"/>
              <w:bottom w:val="single" w:sz="4" w:space="0" w:color="auto"/>
              <w:right w:val="single" w:sz="4" w:space="0" w:color="auto"/>
            </w:tcBorders>
            <w:shd w:val="clear" w:color="auto" w:fill="auto"/>
            <w:noWrap/>
            <w:vAlign w:val="center"/>
            <w:hideMark/>
          </w:tcPr>
          <w:p w14:paraId="47721A1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0.37</w:t>
            </w:r>
          </w:p>
        </w:tc>
        <w:tc>
          <w:tcPr>
            <w:tcW w:w="1137" w:type="dxa"/>
            <w:tcBorders>
              <w:top w:val="nil"/>
              <w:left w:val="nil"/>
              <w:bottom w:val="single" w:sz="4" w:space="0" w:color="auto"/>
              <w:right w:val="single" w:sz="4" w:space="0" w:color="auto"/>
            </w:tcBorders>
            <w:shd w:val="clear" w:color="auto" w:fill="auto"/>
            <w:noWrap/>
            <w:vAlign w:val="center"/>
            <w:hideMark/>
          </w:tcPr>
          <w:p w14:paraId="7F60597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0.61</w:t>
            </w:r>
          </w:p>
        </w:tc>
        <w:tc>
          <w:tcPr>
            <w:tcW w:w="1446" w:type="dxa"/>
            <w:vMerge/>
            <w:tcBorders>
              <w:left w:val="nil"/>
              <w:right w:val="single" w:sz="4" w:space="0" w:color="auto"/>
            </w:tcBorders>
            <w:shd w:val="clear" w:color="auto" w:fill="auto"/>
            <w:noWrap/>
            <w:vAlign w:val="center"/>
            <w:hideMark/>
          </w:tcPr>
          <w:p w14:paraId="2E5449E0"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14FD932C" w14:textId="77777777" w:rsidTr="007D7F14">
        <w:trPr>
          <w:trHeight w:val="57"/>
          <w:jc w:val="center"/>
        </w:trPr>
        <w:tc>
          <w:tcPr>
            <w:tcW w:w="3074" w:type="dxa"/>
            <w:vMerge w:val="restart"/>
            <w:tcBorders>
              <w:top w:val="nil"/>
              <w:left w:val="single" w:sz="4" w:space="0" w:color="auto"/>
              <w:right w:val="single" w:sz="4" w:space="0" w:color="auto"/>
            </w:tcBorders>
            <w:shd w:val="clear" w:color="auto" w:fill="auto"/>
            <w:noWrap/>
            <w:vAlign w:val="center"/>
            <w:hideMark/>
          </w:tcPr>
          <w:p w14:paraId="6C87E673"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Housing</w:t>
            </w:r>
          </w:p>
        </w:tc>
        <w:tc>
          <w:tcPr>
            <w:tcW w:w="3768" w:type="dxa"/>
            <w:tcBorders>
              <w:top w:val="nil"/>
              <w:left w:val="nil"/>
              <w:bottom w:val="single" w:sz="4" w:space="0" w:color="auto"/>
              <w:right w:val="single" w:sz="4" w:space="0" w:color="auto"/>
            </w:tcBorders>
            <w:shd w:val="clear" w:color="auto" w:fill="auto"/>
            <w:noWrap/>
            <w:vAlign w:val="center"/>
            <w:hideMark/>
          </w:tcPr>
          <w:p w14:paraId="34A0AC02"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Rented flat (reference)</w:t>
            </w:r>
          </w:p>
        </w:tc>
        <w:tc>
          <w:tcPr>
            <w:tcW w:w="960" w:type="dxa"/>
            <w:tcBorders>
              <w:top w:val="nil"/>
              <w:left w:val="nil"/>
              <w:bottom w:val="single" w:sz="4" w:space="0" w:color="auto"/>
              <w:right w:val="single" w:sz="4" w:space="0" w:color="auto"/>
            </w:tcBorders>
            <w:shd w:val="clear" w:color="auto" w:fill="auto"/>
            <w:noWrap/>
            <w:vAlign w:val="center"/>
            <w:hideMark/>
          </w:tcPr>
          <w:p w14:paraId="12F3A7A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960" w:type="dxa"/>
            <w:tcBorders>
              <w:top w:val="nil"/>
              <w:left w:val="nil"/>
              <w:bottom w:val="single" w:sz="4" w:space="0" w:color="auto"/>
              <w:right w:val="single" w:sz="4" w:space="0" w:color="auto"/>
            </w:tcBorders>
            <w:shd w:val="clear" w:color="auto" w:fill="auto"/>
            <w:noWrap/>
            <w:vAlign w:val="center"/>
            <w:hideMark/>
          </w:tcPr>
          <w:p w14:paraId="2873DD8E"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137" w:type="dxa"/>
            <w:tcBorders>
              <w:top w:val="nil"/>
              <w:left w:val="nil"/>
              <w:bottom w:val="single" w:sz="4" w:space="0" w:color="auto"/>
              <w:right w:val="single" w:sz="4" w:space="0" w:color="auto"/>
            </w:tcBorders>
            <w:shd w:val="clear" w:color="auto" w:fill="auto"/>
            <w:noWrap/>
            <w:vAlign w:val="center"/>
            <w:hideMark/>
          </w:tcPr>
          <w:p w14:paraId="00075E4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 -</w:t>
            </w:r>
          </w:p>
        </w:tc>
        <w:tc>
          <w:tcPr>
            <w:tcW w:w="1446" w:type="dxa"/>
            <w:vMerge/>
            <w:tcBorders>
              <w:left w:val="nil"/>
              <w:right w:val="single" w:sz="4" w:space="0" w:color="auto"/>
            </w:tcBorders>
            <w:shd w:val="clear" w:color="auto" w:fill="auto"/>
            <w:noWrap/>
            <w:vAlign w:val="center"/>
            <w:hideMark/>
          </w:tcPr>
          <w:p w14:paraId="35B8FE3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091987" w:rsidRPr="00091987" w14:paraId="004CA4E3" w14:textId="77777777" w:rsidTr="007D7F14">
        <w:trPr>
          <w:trHeight w:val="57"/>
          <w:jc w:val="center"/>
        </w:trPr>
        <w:tc>
          <w:tcPr>
            <w:tcW w:w="3074" w:type="dxa"/>
            <w:vMerge/>
            <w:tcBorders>
              <w:left w:val="single" w:sz="4" w:space="0" w:color="auto"/>
              <w:right w:val="single" w:sz="4" w:space="0" w:color="auto"/>
            </w:tcBorders>
            <w:shd w:val="clear" w:color="auto" w:fill="auto"/>
            <w:noWrap/>
            <w:vAlign w:val="center"/>
            <w:hideMark/>
          </w:tcPr>
          <w:p w14:paraId="5F03C484"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2E96EB5F"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Dwelling ownership</w:t>
            </w:r>
          </w:p>
        </w:tc>
        <w:tc>
          <w:tcPr>
            <w:tcW w:w="960" w:type="dxa"/>
            <w:tcBorders>
              <w:top w:val="nil"/>
              <w:left w:val="nil"/>
              <w:bottom w:val="single" w:sz="4" w:space="0" w:color="auto"/>
              <w:right w:val="single" w:sz="4" w:space="0" w:color="auto"/>
            </w:tcBorders>
            <w:shd w:val="clear" w:color="auto" w:fill="auto"/>
            <w:noWrap/>
            <w:vAlign w:val="center"/>
            <w:hideMark/>
          </w:tcPr>
          <w:p w14:paraId="6ED0792B"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0.52</w:t>
            </w:r>
          </w:p>
        </w:tc>
        <w:tc>
          <w:tcPr>
            <w:tcW w:w="960" w:type="dxa"/>
            <w:tcBorders>
              <w:top w:val="nil"/>
              <w:left w:val="nil"/>
              <w:bottom w:val="single" w:sz="4" w:space="0" w:color="auto"/>
              <w:right w:val="single" w:sz="4" w:space="0" w:color="auto"/>
            </w:tcBorders>
            <w:shd w:val="clear" w:color="auto" w:fill="auto"/>
            <w:noWrap/>
            <w:vAlign w:val="center"/>
            <w:hideMark/>
          </w:tcPr>
          <w:p w14:paraId="4EC568C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0.29</w:t>
            </w:r>
          </w:p>
        </w:tc>
        <w:tc>
          <w:tcPr>
            <w:tcW w:w="1137" w:type="dxa"/>
            <w:tcBorders>
              <w:top w:val="nil"/>
              <w:left w:val="nil"/>
              <w:bottom w:val="single" w:sz="4" w:space="0" w:color="auto"/>
              <w:right w:val="single" w:sz="4" w:space="0" w:color="auto"/>
            </w:tcBorders>
            <w:shd w:val="clear" w:color="auto" w:fill="auto"/>
            <w:noWrap/>
            <w:vAlign w:val="center"/>
            <w:hideMark/>
          </w:tcPr>
          <w:p w14:paraId="06513B0A"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0.07</w:t>
            </w:r>
          </w:p>
        </w:tc>
        <w:tc>
          <w:tcPr>
            <w:tcW w:w="1446" w:type="dxa"/>
            <w:vMerge/>
            <w:tcBorders>
              <w:left w:val="nil"/>
              <w:right w:val="single" w:sz="4" w:space="0" w:color="auto"/>
            </w:tcBorders>
            <w:shd w:val="clear" w:color="auto" w:fill="auto"/>
            <w:noWrap/>
            <w:vAlign w:val="center"/>
            <w:hideMark/>
          </w:tcPr>
          <w:p w14:paraId="7552B091"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r>
      <w:tr w:rsidR="001742A6" w:rsidRPr="00091987" w14:paraId="3F9DA831" w14:textId="77777777" w:rsidTr="007D7F14">
        <w:trPr>
          <w:trHeight w:val="57"/>
          <w:jc w:val="center"/>
        </w:trPr>
        <w:tc>
          <w:tcPr>
            <w:tcW w:w="3074" w:type="dxa"/>
            <w:vMerge/>
            <w:tcBorders>
              <w:left w:val="single" w:sz="4" w:space="0" w:color="auto"/>
              <w:bottom w:val="single" w:sz="4" w:space="0" w:color="auto"/>
              <w:right w:val="single" w:sz="4" w:space="0" w:color="auto"/>
            </w:tcBorders>
            <w:shd w:val="clear" w:color="auto" w:fill="auto"/>
            <w:noWrap/>
            <w:vAlign w:val="center"/>
            <w:hideMark/>
          </w:tcPr>
          <w:p w14:paraId="175E55D5"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p>
        </w:tc>
        <w:tc>
          <w:tcPr>
            <w:tcW w:w="3768" w:type="dxa"/>
            <w:tcBorders>
              <w:top w:val="nil"/>
              <w:left w:val="nil"/>
              <w:bottom w:val="single" w:sz="4" w:space="0" w:color="auto"/>
              <w:right w:val="single" w:sz="4" w:space="0" w:color="auto"/>
            </w:tcBorders>
            <w:shd w:val="clear" w:color="auto" w:fill="auto"/>
            <w:noWrap/>
            <w:vAlign w:val="center"/>
            <w:hideMark/>
          </w:tcPr>
          <w:p w14:paraId="190F9D28"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&gt;1 dwelling ownership</w:t>
            </w:r>
          </w:p>
        </w:tc>
        <w:tc>
          <w:tcPr>
            <w:tcW w:w="960" w:type="dxa"/>
            <w:tcBorders>
              <w:top w:val="nil"/>
              <w:left w:val="nil"/>
              <w:bottom w:val="single" w:sz="4" w:space="0" w:color="auto"/>
              <w:right w:val="single" w:sz="4" w:space="0" w:color="auto"/>
            </w:tcBorders>
            <w:shd w:val="clear" w:color="auto" w:fill="auto"/>
            <w:noWrap/>
            <w:vAlign w:val="center"/>
            <w:hideMark/>
          </w:tcPr>
          <w:p w14:paraId="070CC209"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0.08</w:t>
            </w:r>
          </w:p>
        </w:tc>
        <w:tc>
          <w:tcPr>
            <w:tcW w:w="960" w:type="dxa"/>
            <w:tcBorders>
              <w:top w:val="nil"/>
              <w:left w:val="nil"/>
              <w:bottom w:val="single" w:sz="4" w:space="0" w:color="auto"/>
              <w:right w:val="single" w:sz="4" w:space="0" w:color="auto"/>
            </w:tcBorders>
            <w:shd w:val="clear" w:color="auto" w:fill="auto"/>
            <w:noWrap/>
            <w:vAlign w:val="center"/>
            <w:hideMark/>
          </w:tcPr>
          <w:p w14:paraId="0F7C8947"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0.40</w:t>
            </w:r>
          </w:p>
        </w:tc>
        <w:tc>
          <w:tcPr>
            <w:tcW w:w="1137" w:type="dxa"/>
            <w:tcBorders>
              <w:top w:val="nil"/>
              <w:left w:val="nil"/>
              <w:bottom w:val="single" w:sz="4" w:space="0" w:color="auto"/>
              <w:right w:val="single" w:sz="4" w:space="0" w:color="auto"/>
            </w:tcBorders>
            <w:shd w:val="clear" w:color="auto" w:fill="auto"/>
            <w:noWrap/>
            <w:vAlign w:val="center"/>
            <w:hideMark/>
          </w:tcPr>
          <w:p w14:paraId="37AB22B2" w14:textId="77777777" w:rsidR="001742A6" w:rsidRPr="00091987" w:rsidRDefault="001742A6" w:rsidP="007D7F14">
            <w:pPr>
              <w:spacing w:after="0" w:line="240" w:lineRule="auto"/>
              <w:jc w:val="center"/>
              <w:rPr>
                <w:rFonts w:ascii="Times New Roman" w:eastAsia="Times New Roman" w:hAnsi="Times New Roman"/>
                <w:sz w:val="24"/>
                <w:szCs w:val="24"/>
                <w:lang w:eastAsia="it-IT"/>
              </w:rPr>
            </w:pPr>
            <w:r w:rsidRPr="00091987">
              <w:rPr>
                <w:rFonts w:ascii="Times New Roman" w:eastAsia="Times New Roman" w:hAnsi="Times New Roman"/>
                <w:sz w:val="24"/>
                <w:szCs w:val="24"/>
                <w:lang w:eastAsia="it-IT"/>
              </w:rPr>
              <w:t>0.84</w:t>
            </w:r>
          </w:p>
        </w:tc>
        <w:tc>
          <w:tcPr>
            <w:tcW w:w="1446" w:type="dxa"/>
            <w:vMerge/>
            <w:tcBorders>
              <w:left w:val="nil"/>
              <w:bottom w:val="single" w:sz="4" w:space="0" w:color="auto"/>
              <w:right w:val="single" w:sz="4" w:space="0" w:color="auto"/>
            </w:tcBorders>
            <w:shd w:val="clear" w:color="auto" w:fill="auto"/>
            <w:noWrap/>
            <w:vAlign w:val="center"/>
            <w:hideMark/>
          </w:tcPr>
          <w:p w14:paraId="3B5ED1A6" w14:textId="77777777" w:rsidR="001742A6" w:rsidRPr="00091987" w:rsidRDefault="001742A6" w:rsidP="007D7F14">
            <w:pPr>
              <w:spacing w:after="0" w:line="240" w:lineRule="auto"/>
              <w:jc w:val="center"/>
              <w:rPr>
                <w:rFonts w:ascii="Times New Roman" w:eastAsia="Times New Roman" w:hAnsi="Times New Roman"/>
                <w:b/>
                <w:bCs/>
                <w:sz w:val="24"/>
                <w:szCs w:val="24"/>
                <w:lang w:eastAsia="it-IT"/>
              </w:rPr>
            </w:pPr>
          </w:p>
        </w:tc>
      </w:tr>
    </w:tbl>
    <w:p w14:paraId="1E4A464E" w14:textId="77777777" w:rsidR="001742A6" w:rsidRPr="00091987" w:rsidRDefault="001742A6" w:rsidP="001742A6">
      <w:pPr>
        <w:spacing w:after="60" w:line="240" w:lineRule="auto"/>
        <w:jc w:val="center"/>
        <w:rPr>
          <w:rFonts w:ascii="Times New Roman" w:hAnsi="Times New Roman"/>
          <w:sz w:val="24"/>
          <w:szCs w:val="24"/>
          <w:lang w:val="en-US"/>
        </w:rPr>
      </w:pPr>
    </w:p>
    <w:p w14:paraId="2277E465" w14:textId="1D60481A" w:rsidR="001742A6" w:rsidRPr="00091987" w:rsidRDefault="00156229" w:rsidP="00156229">
      <w:pPr>
        <w:spacing w:line="360" w:lineRule="auto"/>
        <w:jc w:val="both"/>
        <w:rPr>
          <w:rFonts w:ascii="Times New Roman" w:hAnsi="Times New Roman"/>
          <w:sz w:val="24"/>
          <w:szCs w:val="24"/>
          <w:lang w:val="en-US"/>
        </w:rPr>
      </w:pPr>
      <w:r w:rsidRPr="00091987">
        <w:rPr>
          <w:rFonts w:ascii="Times New Roman" w:hAnsi="Times New Roman"/>
          <w:sz w:val="24"/>
          <w:szCs w:val="24"/>
          <w:lang w:val="en-US"/>
        </w:rPr>
        <w:t>Significant associations surviving correction for multiple testing (p &lt; 5×10</w:t>
      </w:r>
      <w:r w:rsidRPr="00091987">
        <w:rPr>
          <w:rFonts w:ascii="Times New Roman" w:hAnsi="Times New Roman"/>
          <w:sz w:val="24"/>
          <w:szCs w:val="24"/>
          <w:vertAlign w:val="superscript"/>
          <w:lang w:val="en-US"/>
        </w:rPr>
        <w:t>-3</w:t>
      </w:r>
      <w:r w:rsidRPr="00091987">
        <w:rPr>
          <w:rFonts w:ascii="Times New Roman" w:hAnsi="Times New Roman"/>
          <w:sz w:val="24"/>
          <w:szCs w:val="24"/>
          <w:lang w:val="en-US"/>
        </w:rPr>
        <w:t xml:space="preserve">) are highlighted in bold. </w:t>
      </w:r>
      <w:r w:rsidR="001742A6" w:rsidRPr="00091987">
        <w:rPr>
          <w:rFonts w:ascii="Times New Roman" w:hAnsi="Times New Roman"/>
          <w:sz w:val="24"/>
          <w:szCs w:val="24"/>
          <w:lang w:val="en-US"/>
        </w:rPr>
        <w:t>All lifestyles and socioeconomic (SES) variables not shown here were associated with an AIC increase and were therefore excluded by the stepwise regression procedure.</w:t>
      </w:r>
    </w:p>
    <w:p w14:paraId="2F5AC2B5" w14:textId="47EC711F" w:rsidR="001742A6" w:rsidRPr="00091987" w:rsidRDefault="001742A6" w:rsidP="00156229">
      <w:pPr>
        <w:spacing w:after="60" w:line="360" w:lineRule="auto"/>
        <w:jc w:val="both"/>
        <w:rPr>
          <w:rFonts w:ascii="Times New Roman" w:hAnsi="Times New Roman"/>
          <w:sz w:val="24"/>
          <w:szCs w:val="24"/>
          <w:lang w:val="en-US"/>
        </w:rPr>
      </w:pPr>
    </w:p>
    <w:p w14:paraId="54BC8428" w14:textId="51D21026" w:rsidR="001742A6" w:rsidRPr="00091987" w:rsidRDefault="001742A6" w:rsidP="001742A6">
      <w:pPr>
        <w:spacing w:after="60" w:line="480" w:lineRule="auto"/>
        <w:jc w:val="both"/>
        <w:rPr>
          <w:rFonts w:ascii="Times New Roman" w:hAnsi="Times New Roman"/>
          <w:sz w:val="24"/>
          <w:szCs w:val="24"/>
          <w:lang w:val="en-US"/>
        </w:rPr>
      </w:pPr>
    </w:p>
    <w:p w14:paraId="487DB827" w14:textId="3F74A676" w:rsidR="00413430" w:rsidRPr="00FE21A1" w:rsidRDefault="00E77306" w:rsidP="00BA5CCB">
      <w:pPr>
        <w:spacing w:after="0" w:line="480" w:lineRule="auto"/>
        <w:jc w:val="both"/>
        <w:rPr>
          <w:rFonts w:ascii="Times New Roman" w:hAnsi="Times New Roman"/>
          <w:b/>
          <w:sz w:val="24"/>
          <w:szCs w:val="24"/>
          <w:lang w:val="en-US"/>
        </w:rPr>
      </w:pPr>
      <w:r w:rsidRPr="00FE21A1">
        <w:rPr>
          <w:rFonts w:ascii="Times New Roman" w:hAnsi="Times New Roman"/>
          <w:b/>
          <w:sz w:val="24"/>
          <w:szCs w:val="24"/>
          <w:lang w:val="en-US"/>
        </w:rPr>
        <w:lastRenderedPageBreak/>
        <w:t>References</w:t>
      </w:r>
    </w:p>
    <w:p w14:paraId="089B2BE3" w14:textId="665C018A" w:rsidR="0091230F" w:rsidRPr="0091230F" w:rsidRDefault="0015087B"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FE21A1">
        <w:rPr>
          <w:rFonts w:ascii="Times New Roman" w:hAnsi="Times New Roman"/>
          <w:b/>
          <w:sz w:val="24"/>
          <w:szCs w:val="24"/>
          <w:lang w:val="en-US"/>
        </w:rPr>
        <w:fldChar w:fldCharType="begin" w:fldLock="1"/>
      </w:r>
      <w:r w:rsidRPr="00FE21A1">
        <w:rPr>
          <w:rFonts w:ascii="Times New Roman" w:hAnsi="Times New Roman"/>
          <w:b/>
          <w:sz w:val="24"/>
          <w:szCs w:val="24"/>
          <w:lang w:val="en-US"/>
        </w:rPr>
        <w:instrText xml:space="preserve">ADDIN Mendeley Bibliography CSL_BIBLIOGRAPHY </w:instrText>
      </w:r>
      <w:r w:rsidRPr="00FE21A1">
        <w:rPr>
          <w:rFonts w:ascii="Times New Roman" w:hAnsi="Times New Roman"/>
          <w:b/>
          <w:sz w:val="24"/>
          <w:szCs w:val="24"/>
          <w:lang w:val="en-US"/>
        </w:rPr>
        <w:fldChar w:fldCharType="separate"/>
      </w:r>
      <w:r w:rsidR="0091230F" w:rsidRPr="0091230F">
        <w:rPr>
          <w:rFonts w:ascii="Times New Roman" w:hAnsi="Times New Roman"/>
          <w:noProof/>
          <w:sz w:val="24"/>
          <w:szCs w:val="24"/>
        </w:rPr>
        <w:t xml:space="preserve">1. </w:t>
      </w:r>
      <w:r w:rsidR="0091230F" w:rsidRPr="0091230F">
        <w:rPr>
          <w:rFonts w:ascii="Times New Roman" w:hAnsi="Times New Roman"/>
          <w:noProof/>
          <w:sz w:val="24"/>
          <w:szCs w:val="24"/>
        </w:rPr>
        <w:tab/>
        <w:t>Santimone I, Di Castelnuovo A, De Curtis A, Spinelli M, Cugino D, Gianfagna F, et al. White blood cell count, sex and age are major determinants of heterogeneity of platelet indices in an adult general population: results from the MOLI-SANI project. Haematologica. 2011;96:1180–1188.</w:t>
      </w:r>
    </w:p>
    <w:p w14:paraId="43EF5CC9"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2. </w:t>
      </w:r>
      <w:r w:rsidRPr="0091230F">
        <w:rPr>
          <w:rFonts w:ascii="Times New Roman" w:hAnsi="Times New Roman"/>
          <w:noProof/>
          <w:sz w:val="24"/>
          <w:szCs w:val="24"/>
        </w:rPr>
        <w:tab/>
        <w:t>Zeller T, Hughes M, Tuovinen T, Schillert A, Conrads-Frank A, Ruijter H den, et al. BiomarCaRE: rationale and design of the European BiomarCaRE project including 300,000 participants from 13 European countries. Eur J Epidemiol. 2014;29:777–790.</w:t>
      </w:r>
    </w:p>
    <w:p w14:paraId="50C76322"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3. </w:t>
      </w:r>
      <w:r w:rsidRPr="0091230F">
        <w:rPr>
          <w:rFonts w:ascii="Times New Roman" w:hAnsi="Times New Roman"/>
          <w:noProof/>
          <w:sz w:val="24"/>
          <w:szCs w:val="24"/>
        </w:rPr>
        <w:tab/>
        <w:t>Apolone G, Mosconi P. The Italian SF-36 Health Survey: translation, validation and norming. J Clin Epidemiol. 1998;51:1025–1036.</w:t>
      </w:r>
    </w:p>
    <w:p w14:paraId="0C330092"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4. </w:t>
      </w:r>
      <w:r w:rsidRPr="0091230F">
        <w:rPr>
          <w:rFonts w:ascii="Times New Roman" w:hAnsi="Times New Roman"/>
          <w:noProof/>
          <w:sz w:val="24"/>
          <w:szCs w:val="24"/>
        </w:rPr>
        <w:tab/>
        <w:t>Ware JEJ, Gandek B. Overview of the SF-36 Health Survey and the International Quality of Life Assessment (IQOLA) Project. J Clin Epidemiol. 1998;51:903–912.</w:t>
      </w:r>
    </w:p>
    <w:p w14:paraId="1BA9A620"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5. </w:t>
      </w:r>
      <w:r w:rsidRPr="0091230F">
        <w:rPr>
          <w:rFonts w:ascii="Times New Roman" w:hAnsi="Times New Roman"/>
          <w:noProof/>
          <w:sz w:val="24"/>
          <w:szCs w:val="24"/>
        </w:rPr>
        <w:tab/>
        <w:t>Ware JEJ, Sherbourne CD. The MOS 36-item short-form health survey (SF-36). I. Conceptual framework and item selection. Med Care. 1992;30:473–483.</w:t>
      </w:r>
    </w:p>
    <w:p w14:paraId="5656DF3B"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6. </w:t>
      </w:r>
      <w:r w:rsidRPr="0091230F">
        <w:rPr>
          <w:rFonts w:ascii="Times New Roman" w:hAnsi="Times New Roman"/>
          <w:noProof/>
          <w:sz w:val="24"/>
          <w:szCs w:val="24"/>
        </w:rPr>
        <w:tab/>
        <w:t>Ainsworth BE, Haskell WL, Whitt MC, Irwin ML, Swartz AM, Strath SJ, et al. Compendium of physical activities: an update of activity codes and MET intensities. Med Sci Sports Exerc. 2000;32:S498-504.</w:t>
      </w:r>
    </w:p>
    <w:p w14:paraId="5DBED0D2"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7. </w:t>
      </w:r>
      <w:r w:rsidRPr="0091230F">
        <w:rPr>
          <w:rFonts w:ascii="Times New Roman" w:hAnsi="Times New Roman"/>
          <w:noProof/>
          <w:sz w:val="24"/>
          <w:szCs w:val="24"/>
        </w:rPr>
        <w:tab/>
        <w:t>Pisani P, Faggiano F, Krogh V, Palli D, Vineis P, Berrino F. Relative validity and reproducibility of a food frequency dietary questionnaire for use in the Italian EPIC centres. Int J Epidemiol. 1997;26 Suppl 1:S152-60.</w:t>
      </w:r>
    </w:p>
    <w:p w14:paraId="7C5DE1D3"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8. </w:t>
      </w:r>
      <w:r w:rsidRPr="0091230F">
        <w:rPr>
          <w:rFonts w:ascii="Times New Roman" w:hAnsi="Times New Roman"/>
          <w:noProof/>
          <w:sz w:val="24"/>
          <w:szCs w:val="24"/>
        </w:rPr>
        <w:tab/>
        <w:t>Trichopoulou A, Costacou T, Bamia C, Trichopoulos D. Adherence to a Mediterranean Diet and Survival in a Greek Population. N Engl J Med. 2003;348:2599–2608.</w:t>
      </w:r>
    </w:p>
    <w:p w14:paraId="38AD5E2E"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9. </w:t>
      </w:r>
      <w:r w:rsidRPr="0091230F">
        <w:rPr>
          <w:rFonts w:ascii="Times New Roman" w:hAnsi="Times New Roman"/>
          <w:noProof/>
          <w:sz w:val="24"/>
          <w:szCs w:val="24"/>
        </w:rPr>
        <w:tab/>
        <w:t>Costanzo S, Mukamal KJ, Di Castelnuovo A, Bonaccio M, Olivieri M, Persichillo M, et al. Alcohol consumption and hospitalization burden in an adult Italian population: prospective results from the Moli-sani study. Addiction. 2019;114:636–650.</w:t>
      </w:r>
    </w:p>
    <w:p w14:paraId="6E02CE5E"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lastRenderedPageBreak/>
        <w:t xml:space="preserve">10. </w:t>
      </w:r>
      <w:r w:rsidRPr="0091230F">
        <w:rPr>
          <w:rFonts w:ascii="Times New Roman" w:hAnsi="Times New Roman"/>
          <w:noProof/>
          <w:sz w:val="24"/>
          <w:szCs w:val="24"/>
        </w:rPr>
        <w:tab/>
        <w:t>Woolcott OO, Bergman RN. Relative fat mass (RFM) as a new estimator of whole-body fat percentage ─ A cross-sectional study in American adult individuals. Sci Rep. 2018;8:1–11.</w:t>
      </w:r>
    </w:p>
    <w:p w14:paraId="7CB3ED2C"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11. </w:t>
      </w:r>
      <w:r w:rsidRPr="0091230F">
        <w:rPr>
          <w:rFonts w:ascii="Times New Roman" w:hAnsi="Times New Roman"/>
          <w:noProof/>
          <w:sz w:val="24"/>
          <w:szCs w:val="24"/>
        </w:rPr>
        <w:tab/>
        <w:t>Bonaccio M, Di Castelnuovo A, Pounis G, De Curtis A, Costanzo S, Persichillo M, et al. Relative contribution of health-related behaviours and chronic diseases to the socioeconomic patterning of low-grade inflammation. Int J Public Health. 2017;62:551–562.</w:t>
      </w:r>
    </w:p>
    <w:p w14:paraId="1D9EA919"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12. </w:t>
      </w:r>
      <w:r w:rsidRPr="0091230F">
        <w:rPr>
          <w:rFonts w:ascii="Times New Roman" w:hAnsi="Times New Roman"/>
          <w:noProof/>
          <w:sz w:val="24"/>
          <w:szCs w:val="24"/>
        </w:rPr>
        <w:tab/>
        <w:t>Bonaccio M, Di Castelnuovo A, Costanzo S, De Curtis A, Persichillo M, Cerletti C, et al. Socioeconomic trajectories across the life course and risk of total and cause-specific mortality: prospective findings from the Moli-sani Study. J Epidemiol Community Health. 2019;73:516 LP – 528.</w:t>
      </w:r>
    </w:p>
    <w:p w14:paraId="6AC9DE26"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13. </w:t>
      </w:r>
      <w:r w:rsidRPr="0091230F">
        <w:rPr>
          <w:rFonts w:ascii="Times New Roman" w:hAnsi="Times New Roman"/>
          <w:noProof/>
          <w:sz w:val="24"/>
          <w:szCs w:val="24"/>
        </w:rPr>
        <w:tab/>
        <w:t>Bonaccio M, Di Castelnuovo A, Costanzo S, Persichillo M, Cerletti C, Donati MB, et al. Socioeconomic trajectories across the life course and risk of all-cause and cardiovascular mortality: Prospective findings from the moli-sani study. Circulation. 2018;137:1–13.</w:t>
      </w:r>
    </w:p>
    <w:p w14:paraId="5D5C4F3D"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14. </w:t>
      </w:r>
      <w:r w:rsidRPr="0091230F">
        <w:rPr>
          <w:rFonts w:ascii="Times New Roman" w:hAnsi="Times New Roman"/>
          <w:noProof/>
          <w:sz w:val="24"/>
          <w:szCs w:val="24"/>
        </w:rPr>
        <w:tab/>
        <w:t>Bonaccio M, Di Castelnuovo A, Costanzo S, Ruggiero E, De Curtis A, Persichillo M, et al. Chili Pepper Consumption and Mortality in Italian Adults. J Am Coll Cardiol. 2019;74:3139–3149.</w:t>
      </w:r>
    </w:p>
    <w:p w14:paraId="3958C5AE"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15. </w:t>
      </w:r>
      <w:r w:rsidRPr="0091230F">
        <w:rPr>
          <w:rFonts w:ascii="Times New Roman" w:hAnsi="Times New Roman"/>
          <w:noProof/>
          <w:sz w:val="24"/>
          <w:szCs w:val="24"/>
        </w:rPr>
        <w:tab/>
        <w:t>Bonaccio M, Di Castelnuovo A, Costanzo S, Persichillo M, De Curtis A, Cerletti C, et al. Interaction between Mediterranean diet and statins on mortality risk in patients with cardiovascular disease: Findings from the Moli-sani Study. Int J Cardiol. 2019;276:248–254.</w:t>
      </w:r>
    </w:p>
    <w:p w14:paraId="1DA47AFB"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szCs w:val="24"/>
        </w:rPr>
      </w:pPr>
      <w:r w:rsidRPr="0091230F">
        <w:rPr>
          <w:rFonts w:ascii="Times New Roman" w:hAnsi="Times New Roman"/>
          <w:noProof/>
          <w:sz w:val="24"/>
          <w:szCs w:val="24"/>
        </w:rPr>
        <w:t xml:space="preserve">16. </w:t>
      </w:r>
      <w:r w:rsidRPr="0091230F">
        <w:rPr>
          <w:rFonts w:ascii="Times New Roman" w:hAnsi="Times New Roman"/>
          <w:noProof/>
          <w:sz w:val="24"/>
          <w:szCs w:val="24"/>
        </w:rPr>
        <w:tab/>
        <w:t>Grant SW, Hickey GL, Head SJ. Statistical primer: Multivariable regression considerations and pitfalls. Eur J Cardio-Thoracic Surg. 2019;55:179–185.</w:t>
      </w:r>
    </w:p>
    <w:p w14:paraId="4A0EAFB2" w14:textId="77777777" w:rsidR="0091230F" w:rsidRPr="0091230F" w:rsidRDefault="0091230F" w:rsidP="0091230F">
      <w:pPr>
        <w:widowControl w:val="0"/>
        <w:autoSpaceDE w:val="0"/>
        <w:autoSpaceDN w:val="0"/>
        <w:adjustRightInd w:val="0"/>
        <w:spacing w:after="0" w:line="480" w:lineRule="auto"/>
        <w:ind w:left="640" w:hanging="640"/>
        <w:rPr>
          <w:rFonts w:ascii="Times New Roman" w:hAnsi="Times New Roman"/>
          <w:noProof/>
          <w:sz w:val="24"/>
        </w:rPr>
      </w:pPr>
      <w:r w:rsidRPr="0091230F">
        <w:rPr>
          <w:rFonts w:ascii="Times New Roman" w:hAnsi="Times New Roman"/>
          <w:noProof/>
          <w:sz w:val="24"/>
          <w:szCs w:val="24"/>
        </w:rPr>
        <w:t xml:space="preserve">17. </w:t>
      </w:r>
      <w:r w:rsidRPr="0091230F">
        <w:rPr>
          <w:rFonts w:ascii="Times New Roman" w:hAnsi="Times New Roman"/>
          <w:noProof/>
          <w:sz w:val="24"/>
          <w:szCs w:val="24"/>
        </w:rPr>
        <w:tab/>
        <w:t>Venables WN, Ripley BD. Modern Applied Statistics with R. New York: Elsevier; 2002.</w:t>
      </w:r>
    </w:p>
    <w:p w14:paraId="7922D53E" w14:textId="1A11C4DB" w:rsidR="00E77306" w:rsidRPr="00FE21A1" w:rsidRDefault="0015087B" w:rsidP="00BA5CCB">
      <w:pPr>
        <w:spacing w:after="0" w:line="480" w:lineRule="auto"/>
        <w:jc w:val="both"/>
        <w:rPr>
          <w:rFonts w:ascii="Times New Roman" w:hAnsi="Times New Roman"/>
          <w:b/>
          <w:sz w:val="24"/>
          <w:szCs w:val="24"/>
          <w:lang w:val="en-US"/>
        </w:rPr>
      </w:pPr>
      <w:r w:rsidRPr="00FE21A1">
        <w:rPr>
          <w:rFonts w:ascii="Times New Roman" w:hAnsi="Times New Roman"/>
          <w:b/>
          <w:sz w:val="24"/>
          <w:szCs w:val="24"/>
          <w:lang w:val="en-US"/>
        </w:rPr>
        <w:fldChar w:fldCharType="end"/>
      </w:r>
    </w:p>
    <w:p w14:paraId="78893F83" w14:textId="77777777" w:rsidR="00BA5CCB" w:rsidRDefault="00BA5CCB" w:rsidP="00E4138B">
      <w:pPr>
        <w:spacing w:after="0" w:line="480" w:lineRule="auto"/>
        <w:jc w:val="both"/>
        <w:rPr>
          <w:rFonts w:ascii="Times New Roman" w:hAnsi="Times New Roman"/>
          <w:b/>
          <w:sz w:val="24"/>
          <w:szCs w:val="24"/>
          <w:lang w:val="en-US"/>
        </w:rPr>
      </w:pPr>
    </w:p>
    <w:p w14:paraId="46DDA9BC" w14:textId="3CCA1AD8" w:rsidR="00BA5CCB" w:rsidRDefault="00BA5CCB" w:rsidP="00E4138B">
      <w:pPr>
        <w:spacing w:after="0" w:line="480" w:lineRule="auto"/>
        <w:jc w:val="both"/>
        <w:rPr>
          <w:rFonts w:ascii="Times New Roman" w:hAnsi="Times New Roman"/>
          <w:b/>
          <w:sz w:val="24"/>
          <w:szCs w:val="24"/>
          <w:lang w:val="en-US"/>
        </w:rPr>
      </w:pPr>
    </w:p>
    <w:p w14:paraId="307498B3" w14:textId="0412E8C4" w:rsidR="00A17D84" w:rsidRDefault="00A17D84" w:rsidP="00E4138B">
      <w:pPr>
        <w:spacing w:after="0" w:line="480" w:lineRule="auto"/>
        <w:jc w:val="both"/>
        <w:rPr>
          <w:rFonts w:ascii="Times New Roman" w:hAnsi="Times New Roman"/>
          <w:b/>
          <w:sz w:val="24"/>
          <w:szCs w:val="24"/>
          <w:lang w:val="en-US"/>
        </w:rPr>
      </w:pPr>
    </w:p>
    <w:p w14:paraId="64786398" w14:textId="7991A77D" w:rsidR="00A17D84" w:rsidRDefault="00A17D84" w:rsidP="00E4138B">
      <w:pPr>
        <w:spacing w:after="0" w:line="480" w:lineRule="auto"/>
        <w:jc w:val="both"/>
        <w:rPr>
          <w:rFonts w:ascii="Times New Roman" w:hAnsi="Times New Roman"/>
          <w:b/>
          <w:sz w:val="24"/>
          <w:szCs w:val="24"/>
          <w:lang w:val="en-US"/>
        </w:rPr>
      </w:pPr>
    </w:p>
    <w:p w14:paraId="63D36E7A" w14:textId="41423921" w:rsidR="00A17D84" w:rsidRDefault="00A17D84" w:rsidP="00E4138B">
      <w:pPr>
        <w:spacing w:after="0" w:line="480" w:lineRule="auto"/>
        <w:jc w:val="both"/>
        <w:rPr>
          <w:rFonts w:ascii="Times New Roman" w:hAnsi="Times New Roman"/>
          <w:b/>
          <w:sz w:val="24"/>
          <w:szCs w:val="24"/>
          <w:lang w:val="en-US"/>
        </w:rPr>
      </w:pPr>
    </w:p>
    <w:p w14:paraId="23C81BC9" w14:textId="5EAF5909" w:rsidR="00E4138B" w:rsidRPr="00186EF2" w:rsidRDefault="00E4138B" w:rsidP="00E4138B">
      <w:pPr>
        <w:spacing w:after="0" w:line="480" w:lineRule="auto"/>
        <w:jc w:val="both"/>
        <w:rPr>
          <w:rFonts w:ascii="Times New Roman" w:hAnsi="Times New Roman"/>
          <w:b/>
          <w:sz w:val="24"/>
          <w:szCs w:val="24"/>
        </w:rPr>
      </w:pPr>
      <w:proofErr w:type="spellStart"/>
      <w:r w:rsidRPr="009A123C">
        <w:rPr>
          <w:rFonts w:ascii="Times New Roman" w:hAnsi="Times New Roman"/>
          <w:b/>
          <w:sz w:val="24"/>
          <w:szCs w:val="24"/>
        </w:rPr>
        <w:t>Moli-sani</w:t>
      </w:r>
      <w:proofErr w:type="spellEnd"/>
      <w:r w:rsidRPr="009A123C">
        <w:rPr>
          <w:rFonts w:ascii="Times New Roman" w:hAnsi="Times New Roman"/>
          <w:b/>
          <w:sz w:val="24"/>
          <w:szCs w:val="24"/>
        </w:rPr>
        <w:t xml:space="preserve"> Study Investigators</w:t>
      </w:r>
      <w:r w:rsidRPr="00186EF2">
        <w:rPr>
          <w:rFonts w:ascii="Times New Roman" w:hAnsi="Times New Roman"/>
          <w:b/>
          <w:sz w:val="24"/>
          <w:szCs w:val="24"/>
        </w:rPr>
        <w:t xml:space="preserve"> </w:t>
      </w:r>
    </w:p>
    <w:p w14:paraId="53279A49" w14:textId="77777777" w:rsidR="00E4138B" w:rsidRPr="00186EF2" w:rsidRDefault="00E4138B" w:rsidP="00E4138B">
      <w:pPr>
        <w:spacing w:after="0" w:line="480" w:lineRule="auto"/>
        <w:jc w:val="both"/>
        <w:rPr>
          <w:rFonts w:ascii="Times New Roman" w:hAnsi="Times New Roman"/>
          <w:sz w:val="24"/>
          <w:szCs w:val="24"/>
        </w:rPr>
      </w:pPr>
      <w:r w:rsidRPr="00186EF2">
        <w:rPr>
          <w:rFonts w:ascii="Times New Roman" w:hAnsi="Times New Roman"/>
          <w:sz w:val="24"/>
          <w:szCs w:val="24"/>
        </w:rPr>
        <w:t xml:space="preserve">The enrolment phase of the </w:t>
      </w:r>
      <w:proofErr w:type="spellStart"/>
      <w:r w:rsidRPr="00186EF2">
        <w:rPr>
          <w:rFonts w:ascii="Times New Roman" w:hAnsi="Times New Roman"/>
          <w:sz w:val="24"/>
          <w:szCs w:val="24"/>
        </w:rPr>
        <w:t>Moli-sani</w:t>
      </w:r>
      <w:proofErr w:type="spellEnd"/>
      <w:r w:rsidRPr="00186EF2">
        <w:rPr>
          <w:rFonts w:ascii="Times New Roman" w:hAnsi="Times New Roman"/>
          <w:sz w:val="24"/>
          <w:szCs w:val="24"/>
        </w:rPr>
        <w:t xml:space="preserve"> Study was conducted at the Research Laboratories of the Catholic University in Campobasso (Italy), the follow up of the </w:t>
      </w:r>
      <w:proofErr w:type="spellStart"/>
      <w:r w:rsidRPr="00186EF2">
        <w:rPr>
          <w:rFonts w:ascii="Times New Roman" w:hAnsi="Times New Roman"/>
          <w:sz w:val="24"/>
          <w:szCs w:val="24"/>
        </w:rPr>
        <w:t>Moli-sani</w:t>
      </w:r>
      <w:proofErr w:type="spellEnd"/>
      <w:r w:rsidRPr="00186EF2">
        <w:rPr>
          <w:rFonts w:ascii="Times New Roman" w:hAnsi="Times New Roman"/>
          <w:sz w:val="24"/>
          <w:szCs w:val="24"/>
        </w:rPr>
        <w:t xml:space="preserve"> cohort is being conducted at the Department of Epidemiology and Prevention of the IRCCS </w:t>
      </w:r>
      <w:proofErr w:type="spellStart"/>
      <w:r w:rsidRPr="00186EF2">
        <w:rPr>
          <w:rFonts w:ascii="Times New Roman" w:hAnsi="Times New Roman"/>
          <w:sz w:val="24"/>
          <w:szCs w:val="24"/>
        </w:rPr>
        <w:t>Neuromed</w:t>
      </w:r>
      <w:proofErr w:type="spellEnd"/>
      <w:r w:rsidRPr="00186EF2">
        <w:rPr>
          <w:rFonts w:ascii="Times New Roman" w:hAnsi="Times New Roman"/>
          <w:sz w:val="24"/>
          <w:szCs w:val="24"/>
        </w:rPr>
        <w:t xml:space="preserve">, </w:t>
      </w:r>
      <w:proofErr w:type="spellStart"/>
      <w:r w:rsidRPr="00186EF2">
        <w:rPr>
          <w:rFonts w:ascii="Times New Roman" w:hAnsi="Times New Roman"/>
          <w:sz w:val="24"/>
          <w:szCs w:val="24"/>
        </w:rPr>
        <w:t>Pozzilli</w:t>
      </w:r>
      <w:proofErr w:type="spellEnd"/>
      <w:r w:rsidRPr="00186EF2">
        <w:rPr>
          <w:rFonts w:ascii="Times New Roman" w:hAnsi="Times New Roman"/>
          <w:sz w:val="24"/>
          <w:szCs w:val="24"/>
        </w:rPr>
        <w:t>, Italy.</w:t>
      </w:r>
    </w:p>
    <w:p w14:paraId="3156B16C" w14:textId="77777777" w:rsidR="00E4138B" w:rsidRPr="00186EF2" w:rsidRDefault="00E4138B" w:rsidP="00E4138B">
      <w:pPr>
        <w:spacing w:after="0" w:line="480" w:lineRule="auto"/>
        <w:jc w:val="both"/>
        <w:rPr>
          <w:rFonts w:ascii="Times New Roman" w:hAnsi="Times New Roman"/>
          <w:b/>
          <w:sz w:val="24"/>
          <w:szCs w:val="24"/>
        </w:rPr>
      </w:pPr>
    </w:p>
    <w:p w14:paraId="65E139F9" w14:textId="77777777" w:rsidR="00E4138B" w:rsidRPr="00186EF2" w:rsidRDefault="00E4138B" w:rsidP="00E4138B">
      <w:pPr>
        <w:spacing w:after="0" w:line="480" w:lineRule="auto"/>
        <w:jc w:val="both"/>
        <w:rPr>
          <w:rFonts w:ascii="Times New Roman" w:hAnsi="Times New Roman"/>
          <w:sz w:val="24"/>
          <w:szCs w:val="24"/>
          <w:lang w:val="it-IT"/>
        </w:rPr>
      </w:pPr>
      <w:r w:rsidRPr="00186EF2">
        <w:rPr>
          <w:rFonts w:ascii="Times New Roman" w:hAnsi="Times New Roman"/>
          <w:b/>
          <w:sz w:val="24"/>
          <w:szCs w:val="24"/>
          <w:lang w:val="it-IT"/>
        </w:rPr>
        <w:t xml:space="preserve">Steering Committee: </w:t>
      </w:r>
      <w:r w:rsidRPr="00186EF2">
        <w:rPr>
          <w:rFonts w:ascii="Times New Roman" w:hAnsi="Times New Roman"/>
          <w:sz w:val="24"/>
          <w:szCs w:val="24"/>
          <w:lang w:val="it-IT"/>
        </w:rPr>
        <w:t>Licia Iacoviello*°(</w:t>
      </w:r>
      <w:proofErr w:type="spellStart"/>
      <w:r w:rsidRPr="00186EF2">
        <w:rPr>
          <w:rFonts w:ascii="Times New Roman" w:hAnsi="Times New Roman"/>
          <w:sz w:val="24"/>
          <w:szCs w:val="24"/>
          <w:lang w:val="it-IT"/>
        </w:rPr>
        <w:t>Chairperson</w:t>
      </w:r>
      <w:proofErr w:type="spellEnd"/>
      <w:r w:rsidRPr="00186EF2">
        <w:rPr>
          <w:rFonts w:ascii="Times New Roman" w:hAnsi="Times New Roman"/>
          <w:sz w:val="24"/>
          <w:szCs w:val="24"/>
          <w:lang w:val="it-IT"/>
        </w:rPr>
        <w:t>), Giovanni de Gaetano* and Maria Benedetta Donati*.</w:t>
      </w:r>
    </w:p>
    <w:p w14:paraId="0C79F913" w14:textId="77777777" w:rsidR="00E4138B" w:rsidRPr="00186EF2" w:rsidRDefault="00E4138B" w:rsidP="00E4138B">
      <w:pPr>
        <w:spacing w:after="0" w:line="480" w:lineRule="auto"/>
        <w:jc w:val="both"/>
        <w:rPr>
          <w:rFonts w:ascii="Times New Roman" w:hAnsi="Times New Roman"/>
          <w:sz w:val="24"/>
          <w:szCs w:val="24"/>
          <w:lang w:val="it-IT"/>
        </w:rPr>
      </w:pPr>
      <w:r w:rsidRPr="00186EF2">
        <w:rPr>
          <w:rFonts w:ascii="Times New Roman" w:hAnsi="Times New Roman"/>
          <w:b/>
          <w:bCs/>
          <w:sz w:val="24"/>
          <w:szCs w:val="24"/>
          <w:lang w:val="it-IT"/>
        </w:rPr>
        <w:t xml:space="preserve">Scientific </w:t>
      </w:r>
      <w:proofErr w:type="spellStart"/>
      <w:r w:rsidRPr="00186EF2">
        <w:rPr>
          <w:rFonts w:ascii="Times New Roman" w:hAnsi="Times New Roman"/>
          <w:b/>
          <w:bCs/>
          <w:sz w:val="24"/>
          <w:szCs w:val="24"/>
          <w:lang w:val="it-IT"/>
        </w:rPr>
        <w:t>secretariat</w:t>
      </w:r>
      <w:proofErr w:type="spellEnd"/>
      <w:r w:rsidRPr="00186EF2">
        <w:rPr>
          <w:rFonts w:ascii="Times New Roman" w:hAnsi="Times New Roman"/>
          <w:b/>
          <w:bCs/>
          <w:sz w:val="24"/>
          <w:szCs w:val="24"/>
          <w:lang w:val="it-IT"/>
        </w:rPr>
        <w:t xml:space="preserve">: </w:t>
      </w:r>
      <w:r w:rsidRPr="00186EF2">
        <w:rPr>
          <w:rFonts w:ascii="Times New Roman" w:hAnsi="Times New Roman"/>
          <w:sz w:val="24"/>
          <w:szCs w:val="24"/>
          <w:lang w:val="it-IT"/>
        </w:rPr>
        <w:t>Licia Iacoviello*°</w:t>
      </w:r>
      <w:r w:rsidRPr="00186EF2">
        <w:rPr>
          <w:rFonts w:ascii="Times New Roman" w:hAnsi="Times New Roman"/>
          <w:b/>
          <w:sz w:val="24"/>
          <w:szCs w:val="24"/>
          <w:lang w:val="it-IT"/>
        </w:rPr>
        <w:t xml:space="preserve"> </w:t>
      </w:r>
      <w:r w:rsidRPr="00186EF2">
        <w:rPr>
          <w:rFonts w:ascii="Times New Roman" w:hAnsi="Times New Roman"/>
          <w:sz w:val="24"/>
          <w:szCs w:val="24"/>
          <w:lang w:val="it-IT"/>
        </w:rPr>
        <w:t>(</w:t>
      </w:r>
      <w:r w:rsidRPr="00186EF2">
        <w:rPr>
          <w:rFonts w:ascii="Times New Roman" w:hAnsi="Times New Roman"/>
          <w:bCs/>
          <w:sz w:val="24"/>
          <w:szCs w:val="24"/>
          <w:lang w:val="it-IT"/>
        </w:rPr>
        <w:t xml:space="preserve">Coordinator), Marialaura Bonaccio*, </w:t>
      </w:r>
      <w:r w:rsidRPr="00186EF2">
        <w:rPr>
          <w:rFonts w:ascii="Times New Roman" w:hAnsi="Times New Roman"/>
          <w:sz w:val="24"/>
          <w:szCs w:val="24"/>
          <w:lang w:val="it-IT"/>
        </w:rPr>
        <w:t>Americo Bonanni*, Chiara Cerletti*, Simona Costanzo*, Amalia De Curtis*, Giovanni de Gaetano*, Augusto Di Castelnuovo</w:t>
      </w:r>
      <w:r w:rsidRPr="00186EF2">
        <w:rPr>
          <w:rFonts w:ascii="Times New Roman" w:hAnsi="Times New Roman"/>
          <w:sz w:val="24"/>
          <w:szCs w:val="24"/>
          <w:vertAlign w:val="superscript"/>
          <w:lang w:val="it-IT"/>
        </w:rPr>
        <w:t>§</w:t>
      </w:r>
      <w:r w:rsidRPr="00186EF2">
        <w:rPr>
          <w:rFonts w:ascii="Times New Roman" w:hAnsi="Times New Roman"/>
          <w:sz w:val="24"/>
          <w:szCs w:val="24"/>
          <w:lang w:val="it-IT"/>
        </w:rPr>
        <w:t>, Maria Benedetta Donati*, Francesco Gianfagna°</w:t>
      </w:r>
      <w:r w:rsidRPr="00186EF2">
        <w:rPr>
          <w:rFonts w:ascii="Times New Roman" w:hAnsi="Times New Roman"/>
          <w:sz w:val="24"/>
          <w:szCs w:val="24"/>
          <w:vertAlign w:val="superscript"/>
          <w:lang w:val="it-IT"/>
        </w:rPr>
        <w:t>§</w:t>
      </w:r>
      <w:r w:rsidRPr="00186EF2">
        <w:rPr>
          <w:rFonts w:ascii="Times New Roman" w:hAnsi="Times New Roman"/>
          <w:sz w:val="24"/>
          <w:szCs w:val="24"/>
          <w:lang w:val="it-IT"/>
        </w:rPr>
        <w:t>, Mariarosaria Persichillo*, Teresa Di Prospero* (</w:t>
      </w:r>
      <w:proofErr w:type="spellStart"/>
      <w:r w:rsidRPr="00186EF2">
        <w:rPr>
          <w:rFonts w:ascii="Times New Roman" w:hAnsi="Times New Roman"/>
          <w:sz w:val="24"/>
          <w:szCs w:val="24"/>
          <w:lang w:val="it-IT"/>
        </w:rPr>
        <w:t>Secretary</w:t>
      </w:r>
      <w:proofErr w:type="spellEnd"/>
      <w:r w:rsidRPr="00186EF2">
        <w:rPr>
          <w:rFonts w:ascii="Times New Roman" w:hAnsi="Times New Roman"/>
          <w:sz w:val="24"/>
          <w:szCs w:val="24"/>
          <w:lang w:val="it-IT"/>
        </w:rPr>
        <w:t xml:space="preserve">). </w:t>
      </w:r>
    </w:p>
    <w:p w14:paraId="3E550BCB" w14:textId="77777777" w:rsidR="00E4138B" w:rsidRPr="00186EF2" w:rsidRDefault="00E4138B" w:rsidP="00E4138B">
      <w:pPr>
        <w:spacing w:after="0" w:line="480" w:lineRule="auto"/>
        <w:jc w:val="both"/>
        <w:rPr>
          <w:rFonts w:ascii="Times New Roman" w:hAnsi="Times New Roman"/>
          <w:b/>
          <w:bCs/>
          <w:sz w:val="24"/>
          <w:szCs w:val="24"/>
          <w:lang w:val="it-IT"/>
        </w:rPr>
      </w:pPr>
      <w:proofErr w:type="spellStart"/>
      <w:r w:rsidRPr="00186EF2">
        <w:rPr>
          <w:rFonts w:ascii="Times New Roman" w:hAnsi="Times New Roman"/>
          <w:b/>
          <w:bCs/>
          <w:sz w:val="24"/>
          <w:szCs w:val="24"/>
          <w:lang w:val="it-IT"/>
        </w:rPr>
        <w:t>Safety</w:t>
      </w:r>
      <w:proofErr w:type="spellEnd"/>
      <w:r w:rsidRPr="00186EF2">
        <w:rPr>
          <w:rFonts w:ascii="Times New Roman" w:hAnsi="Times New Roman"/>
          <w:b/>
          <w:bCs/>
          <w:sz w:val="24"/>
          <w:szCs w:val="24"/>
          <w:lang w:val="it-IT"/>
        </w:rPr>
        <w:t xml:space="preserve"> and </w:t>
      </w:r>
      <w:proofErr w:type="spellStart"/>
      <w:r w:rsidRPr="00186EF2">
        <w:rPr>
          <w:rFonts w:ascii="Times New Roman" w:hAnsi="Times New Roman"/>
          <w:b/>
          <w:bCs/>
          <w:sz w:val="24"/>
          <w:szCs w:val="24"/>
          <w:lang w:val="it-IT"/>
        </w:rPr>
        <w:t>Ethycal</w:t>
      </w:r>
      <w:proofErr w:type="spellEnd"/>
      <w:r w:rsidRPr="00186EF2">
        <w:rPr>
          <w:rFonts w:ascii="Times New Roman" w:hAnsi="Times New Roman"/>
          <w:b/>
          <w:bCs/>
          <w:sz w:val="24"/>
          <w:szCs w:val="24"/>
          <w:lang w:val="it-IT"/>
        </w:rPr>
        <w:t xml:space="preserve"> Committee: </w:t>
      </w:r>
      <w:proofErr w:type="spellStart"/>
      <w:r w:rsidRPr="00186EF2">
        <w:rPr>
          <w:rFonts w:ascii="Times New Roman" w:hAnsi="Times New Roman"/>
          <w:sz w:val="24"/>
          <w:szCs w:val="24"/>
          <w:lang w:val="it-IT"/>
        </w:rPr>
        <w:t>Jos</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Vermylen</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Catholic</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Univesity</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Leuven</w:t>
      </w:r>
      <w:proofErr w:type="spellEnd"/>
      <w:r w:rsidRPr="00186EF2">
        <w:rPr>
          <w:rFonts w:ascii="Times New Roman" w:hAnsi="Times New Roman"/>
          <w:sz w:val="24"/>
          <w:szCs w:val="24"/>
          <w:lang w:val="it-IT"/>
        </w:rPr>
        <w:t>, Belgio) (</w:t>
      </w:r>
      <w:proofErr w:type="spellStart"/>
      <w:r w:rsidRPr="00186EF2">
        <w:rPr>
          <w:rFonts w:ascii="Times New Roman" w:hAnsi="Times New Roman"/>
          <w:sz w:val="24"/>
          <w:szCs w:val="24"/>
          <w:lang w:val="it-IT"/>
        </w:rPr>
        <w:t>Chairperson</w:t>
      </w:r>
      <w:proofErr w:type="spellEnd"/>
      <w:r w:rsidRPr="00186EF2">
        <w:rPr>
          <w:rFonts w:ascii="Times New Roman" w:hAnsi="Times New Roman"/>
          <w:sz w:val="24"/>
          <w:szCs w:val="24"/>
          <w:lang w:val="it-IT"/>
        </w:rPr>
        <w:t>), Ignacio De Paula Carrasco</w:t>
      </w:r>
      <w:r w:rsidRPr="00186EF2">
        <w:rPr>
          <w:rFonts w:ascii="Times New Roman" w:hAnsi="Times New Roman"/>
          <w:b/>
          <w:bCs/>
          <w:sz w:val="24"/>
          <w:szCs w:val="24"/>
          <w:lang w:val="it-IT"/>
        </w:rPr>
        <w:t xml:space="preserve"> </w:t>
      </w:r>
      <w:r w:rsidRPr="00186EF2">
        <w:rPr>
          <w:rFonts w:ascii="Times New Roman" w:hAnsi="Times New Roman"/>
          <w:sz w:val="24"/>
          <w:szCs w:val="24"/>
          <w:lang w:val="it-IT"/>
        </w:rPr>
        <w:t xml:space="preserve">(Accademia Pontificia Pro Vita, Roma,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Antonio Spagnuolo (</w:t>
      </w:r>
      <w:proofErr w:type="spellStart"/>
      <w:r w:rsidRPr="00186EF2">
        <w:rPr>
          <w:rFonts w:ascii="Times New Roman" w:hAnsi="Times New Roman"/>
          <w:sz w:val="24"/>
          <w:szCs w:val="24"/>
          <w:lang w:val="it-IT"/>
        </w:rPr>
        <w:t>Catholic</w:t>
      </w:r>
      <w:proofErr w:type="spellEnd"/>
      <w:r w:rsidRPr="00186EF2">
        <w:rPr>
          <w:rFonts w:ascii="Times New Roman" w:hAnsi="Times New Roman"/>
          <w:sz w:val="24"/>
          <w:szCs w:val="24"/>
          <w:lang w:val="it-IT"/>
        </w:rPr>
        <w:t xml:space="preserve"> University, Roma,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xml:space="preserve">). </w:t>
      </w:r>
    </w:p>
    <w:p w14:paraId="5FB245EF" w14:textId="77777777" w:rsidR="00E4138B" w:rsidRPr="00186EF2" w:rsidRDefault="00E4138B" w:rsidP="00E4138B">
      <w:pPr>
        <w:spacing w:after="0" w:line="480" w:lineRule="auto"/>
        <w:jc w:val="both"/>
        <w:rPr>
          <w:rFonts w:ascii="Times New Roman" w:hAnsi="Times New Roman"/>
          <w:sz w:val="24"/>
          <w:szCs w:val="24"/>
          <w:lang w:val="it-IT"/>
        </w:rPr>
      </w:pPr>
      <w:proofErr w:type="spellStart"/>
      <w:r w:rsidRPr="00186EF2">
        <w:rPr>
          <w:rFonts w:ascii="Times New Roman" w:hAnsi="Times New Roman"/>
          <w:b/>
          <w:bCs/>
          <w:sz w:val="24"/>
          <w:szCs w:val="24"/>
          <w:lang w:val="it-IT"/>
        </w:rPr>
        <w:t>External</w:t>
      </w:r>
      <w:proofErr w:type="spellEnd"/>
      <w:r w:rsidRPr="00186EF2">
        <w:rPr>
          <w:rFonts w:ascii="Times New Roman" w:hAnsi="Times New Roman"/>
          <w:b/>
          <w:bCs/>
          <w:sz w:val="24"/>
          <w:szCs w:val="24"/>
          <w:lang w:val="it-IT"/>
        </w:rPr>
        <w:t xml:space="preserve"> Event </w:t>
      </w:r>
      <w:proofErr w:type="spellStart"/>
      <w:r w:rsidRPr="00186EF2">
        <w:rPr>
          <w:rFonts w:ascii="Times New Roman" w:hAnsi="Times New Roman"/>
          <w:b/>
          <w:bCs/>
          <w:sz w:val="24"/>
          <w:szCs w:val="24"/>
          <w:lang w:val="it-IT"/>
        </w:rPr>
        <w:t>adjudicating</w:t>
      </w:r>
      <w:proofErr w:type="spellEnd"/>
      <w:r w:rsidRPr="00186EF2">
        <w:rPr>
          <w:rFonts w:ascii="Times New Roman" w:hAnsi="Times New Roman"/>
          <w:b/>
          <w:bCs/>
          <w:sz w:val="24"/>
          <w:szCs w:val="24"/>
          <w:lang w:val="it-IT"/>
        </w:rPr>
        <w:t xml:space="preserve"> Committee</w:t>
      </w:r>
      <w:r w:rsidRPr="00186EF2">
        <w:rPr>
          <w:rFonts w:ascii="Times New Roman" w:hAnsi="Times New Roman"/>
          <w:bCs/>
          <w:sz w:val="24"/>
          <w:szCs w:val="24"/>
          <w:lang w:val="it-IT"/>
        </w:rPr>
        <w:t xml:space="preserve">: Deodato </w:t>
      </w:r>
      <w:proofErr w:type="spellStart"/>
      <w:r w:rsidRPr="00186EF2">
        <w:rPr>
          <w:rFonts w:ascii="Times New Roman" w:hAnsi="Times New Roman"/>
          <w:bCs/>
          <w:sz w:val="24"/>
          <w:szCs w:val="24"/>
          <w:lang w:val="it-IT"/>
        </w:rPr>
        <w:t>Assanelli</w:t>
      </w:r>
      <w:proofErr w:type="spellEnd"/>
      <w:r w:rsidRPr="00186EF2">
        <w:rPr>
          <w:rFonts w:ascii="Times New Roman" w:hAnsi="Times New Roman"/>
          <w:bCs/>
          <w:sz w:val="24"/>
          <w:szCs w:val="24"/>
          <w:lang w:val="it-IT"/>
        </w:rPr>
        <w:t xml:space="preserve"> (Brescia, </w:t>
      </w:r>
      <w:proofErr w:type="spellStart"/>
      <w:r w:rsidRPr="00186EF2">
        <w:rPr>
          <w:rFonts w:ascii="Times New Roman" w:hAnsi="Times New Roman"/>
          <w:bCs/>
          <w:sz w:val="24"/>
          <w:szCs w:val="24"/>
          <w:lang w:val="it-IT"/>
        </w:rPr>
        <w:t>Italy</w:t>
      </w:r>
      <w:proofErr w:type="spellEnd"/>
      <w:r w:rsidRPr="00186EF2">
        <w:rPr>
          <w:rFonts w:ascii="Times New Roman" w:hAnsi="Times New Roman"/>
          <w:bCs/>
          <w:sz w:val="24"/>
          <w:szCs w:val="24"/>
          <w:lang w:val="it-IT"/>
        </w:rPr>
        <w:t xml:space="preserve">), Vincenzo </w:t>
      </w:r>
      <w:proofErr w:type="spellStart"/>
      <w:r w:rsidRPr="00186EF2">
        <w:rPr>
          <w:rFonts w:ascii="Times New Roman" w:hAnsi="Times New Roman"/>
          <w:bCs/>
          <w:sz w:val="24"/>
          <w:szCs w:val="24"/>
          <w:lang w:val="it-IT"/>
        </w:rPr>
        <w:t>Centritto</w:t>
      </w:r>
      <w:proofErr w:type="spellEnd"/>
      <w:r w:rsidRPr="00186EF2">
        <w:rPr>
          <w:rFonts w:ascii="Times New Roman" w:hAnsi="Times New Roman"/>
          <w:bCs/>
          <w:sz w:val="24"/>
          <w:szCs w:val="24"/>
          <w:lang w:val="it-IT"/>
        </w:rPr>
        <w:t xml:space="preserve"> (Campobasso, </w:t>
      </w:r>
      <w:proofErr w:type="spellStart"/>
      <w:r w:rsidRPr="00186EF2">
        <w:rPr>
          <w:rFonts w:ascii="Times New Roman" w:hAnsi="Times New Roman"/>
          <w:bCs/>
          <w:sz w:val="24"/>
          <w:szCs w:val="24"/>
          <w:lang w:val="it-IT"/>
        </w:rPr>
        <w:t>Italy</w:t>
      </w:r>
      <w:proofErr w:type="spellEnd"/>
      <w:r w:rsidRPr="00186EF2">
        <w:rPr>
          <w:rFonts w:ascii="Times New Roman" w:hAnsi="Times New Roman"/>
          <w:bCs/>
          <w:sz w:val="24"/>
          <w:szCs w:val="24"/>
          <w:lang w:val="it-IT"/>
        </w:rPr>
        <w:t xml:space="preserve">). </w:t>
      </w:r>
    </w:p>
    <w:p w14:paraId="5531BDD6" w14:textId="77777777" w:rsidR="00E4138B" w:rsidRPr="00186EF2" w:rsidRDefault="00E4138B" w:rsidP="00E4138B">
      <w:pPr>
        <w:spacing w:after="0" w:line="480" w:lineRule="auto"/>
        <w:jc w:val="both"/>
        <w:rPr>
          <w:rFonts w:ascii="Times New Roman" w:hAnsi="Times New Roman"/>
          <w:bCs/>
          <w:sz w:val="24"/>
          <w:szCs w:val="24"/>
          <w:lang w:val="it-IT"/>
        </w:rPr>
      </w:pPr>
      <w:r w:rsidRPr="00186EF2">
        <w:rPr>
          <w:rFonts w:ascii="Times New Roman" w:hAnsi="Times New Roman"/>
          <w:b/>
          <w:bCs/>
          <w:sz w:val="24"/>
          <w:szCs w:val="24"/>
          <w:lang w:val="it-IT"/>
        </w:rPr>
        <w:t xml:space="preserve">Baseline and Follow-up data management: </w:t>
      </w:r>
      <w:r w:rsidRPr="00186EF2">
        <w:rPr>
          <w:rFonts w:ascii="Times New Roman" w:hAnsi="Times New Roman"/>
          <w:bCs/>
          <w:sz w:val="24"/>
          <w:szCs w:val="24"/>
          <w:lang w:val="it-IT"/>
        </w:rPr>
        <w:t xml:space="preserve">Simona Costanzo* (Coordinator), Marco Olivieri (Università del Molise, Campobasso, </w:t>
      </w:r>
      <w:proofErr w:type="spellStart"/>
      <w:r w:rsidRPr="00186EF2">
        <w:rPr>
          <w:rFonts w:ascii="Times New Roman" w:hAnsi="Times New Roman"/>
          <w:bCs/>
          <w:sz w:val="24"/>
          <w:szCs w:val="24"/>
          <w:lang w:val="it-IT"/>
        </w:rPr>
        <w:t>Italy</w:t>
      </w:r>
      <w:proofErr w:type="spellEnd"/>
      <w:r w:rsidRPr="00186EF2">
        <w:rPr>
          <w:rFonts w:ascii="Times New Roman" w:hAnsi="Times New Roman"/>
          <w:bCs/>
          <w:sz w:val="24"/>
          <w:szCs w:val="24"/>
          <w:lang w:val="it-IT"/>
        </w:rPr>
        <w:t xml:space="preserve">). </w:t>
      </w:r>
    </w:p>
    <w:p w14:paraId="704C96AD" w14:textId="77777777" w:rsidR="00E4138B" w:rsidRPr="00186EF2" w:rsidRDefault="00E4138B" w:rsidP="00E4138B">
      <w:pPr>
        <w:spacing w:after="0" w:line="480" w:lineRule="auto"/>
        <w:jc w:val="both"/>
        <w:rPr>
          <w:rFonts w:ascii="Times New Roman" w:hAnsi="Times New Roman"/>
          <w:bCs/>
          <w:sz w:val="24"/>
          <w:szCs w:val="24"/>
          <w:lang w:val="it-IT"/>
        </w:rPr>
      </w:pPr>
      <w:proofErr w:type="spellStart"/>
      <w:r w:rsidRPr="00186EF2">
        <w:rPr>
          <w:rFonts w:ascii="Times New Roman" w:hAnsi="Times New Roman"/>
          <w:b/>
          <w:bCs/>
          <w:sz w:val="24"/>
          <w:szCs w:val="24"/>
          <w:lang w:val="it-IT"/>
        </w:rPr>
        <w:t>Informatics</w:t>
      </w:r>
      <w:proofErr w:type="spellEnd"/>
      <w:r w:rsidRPr="00186EF2">
        <w:rPr>
          <w:rFonts w:ascii="Times New Roman" w:hAnsi="Times New Roman"/>
          <w:b/>
          <w:bCs/>
          <w:sz w:val="24"/>
          <w:szCs w:val="24"/>
          <w:lang w:val="it-IT"/>
        </w:rPr>
        <w:t>:</w:t>
      </w:r>
      <w:r w:rsidRPr="00186EF2">
        <w:rPr>
          <w:rFonts w:ascii="Times New Roman" w:hAnsi="Times New Roman"/>
          <w:bCs/>
          <w:sz w:val="24"/>
          <w:szCs w:val="24"/>
          <w:lang w:val="it-IT"/>
        </w:rPr>
        <w:t xml:space="preserve"> Marco Olivieri (Università del Molise, Campobasso, </w:t>
      </w:r>
      <w:proofErr w:type="spellStart"/>
      <w:r w:rsidRPr="00186EF2">
        <w:rPr>
          <w:rFonts w:ascii="Times New Roman" w:hAnsi="Times New Roman"/>
          <w:bCs/>
          <w:sz w:val="24"/>
          <w:szCs w:val="24"/>
          <w:lang w:val="it-IT"/>
        </w:rPr>
        <w:t>Italy</w:t>
      </w:r>
      <w:proofErr w:type="spellEnd"/>
      <w:r w:rsidRPr="00186EF2">
        <w:rPr>
          <w:rFonts w:ascii="Times New Roman" w:hAnsi="Times New Roman"/>
          <w:bCs/>
          <w:sz w:val="24"/>
          <w:szCs w:val="24"/>
          <w:lang w:val="it-IT"/>
        </w:rPr>
        <w:t>).</w:t>
      </w:r>
    </w:p>
    <w:p w14:paraId="453D662E" w14:textId="77777777" w:rsidR="00E4138B" w:rsidRPr="00186EF2" w:rsidRDefault="00E4138B" w:rsidP="00E4138B">
      <w:pPr>
        <w:spacing w:after="0" w:line="480" w:lineRule="auto"/>
        <w:jc w:val="both"/>
        <w:rPr>
          <w:rFonts w:ascii="Times New Roman" w:hAnsi="Times New Roman"/>
          <w:b/>
          <w:sz w:val="24"/>
          <w:szCs w:val="24"/>
          <w:lang w:val="it-IT"/>
        </w:rPr>
      </w:pPr>
      <w:r w:rsidRPr="00186EF2">
        <w:rPr>
          <w:rFonts w:ascii="Times New Roman" w:hAnsi="Times New Roman"/>
          <w:b/>
          <w:sz w:val="24"/>
          <w:szCs w:val="24"/>
          <w:lang w:val="it-IT"/>
        </w:rPr>
        <w:t>Data Analysis:</w:t>
      </w:r>
      <w:r w:rsidRPr="00186EF2">
        <w:rPr>
          <w:rFonts w:ascii="Times New Roman" w:hAnsi="Times New Roman"/>
          <w:bCs/>
          <w:sz w:val="24"/>
          <w:szCs w:val="24"/>
          <w:lang w:val="it-IT"/>
        </w:rPr>
        <w:t xml:space="preserve"> Augusto Di Castelnuovo</w:t>
      </w:r>
      <w:r w:rsidRPr="00186EF2">
        <w:rPr>
          <w:rFonts w:ascii="Times New Roman" w:hAnsi="Times New Roman"/>
          <w:sz w:val="24"/>
          <w:szCs w:val="24"/>
          <w:vertAlign w:val="superscript"/>
          <w:lang w:val="it-IT"/>
        </w:rPr>
        <w:t>§</w:t>
      </w:r>
      <w:r w:rsidRPr="00186EF2">
        <w:rPr>
          <w:rFonts w:ascii="Times New Roman" w:hAnsi="Times New Roman"/>
          <w:bCs/>
          <w:sz w:val="24"/>
          <w:szCs w:val="24"/>
          <w:lang w:val="it-IT"/>
        </w:rPr>
        <w:t xml:space="preserve"> (Coordinator), Marialaura Bonaccio*</w:t>
      </w:r>
      <w:r w:rsidRPr="00186EF2">
        <w:rPr>
          <w:rFonts w:ascii="Times New Roman" w:hAnsi="Times New Roman"/>
          <w:sz w:val="24"/>
          <w:szCs w:val="24"/>
          <w:lang w:val="it-IT"/>
        </w:rPr>
        <w:t xml:space="preserve">, </w:t>
      </w:r>
      <w:r w:rsidRPr="00186EF2">
        <w:rPr>
          <w:rFonts w:ascii="Times New Roman" w:hAnsi="Times New Roman"/>
          <w:bCs/>
          <w:sz w:val="24"/>
          <w:szCs w:val="24"/>
          <w:lang w:val="it-IT"/>
        </w:rPr>
        <w:t>Simona Costanzo*, Alessandro Gialluisi*, Francesco Gianfagna*</w:t>
      </w:r>
      <w:r w:rsidRPr="00186EF2">
        <w:rPr>
          <w:rFonts w:ascii="Times New Roman" w:hAnsi="Times New Roman"/>
          <w:sz w:val="24"/>
          <w:szCs w:val="24"/>
          <w:vertAlign w:val="superscript"/>
          <w:lang w:val="it-IT"/>
        </w:rPr>
        <w:t>§</w:t>
      </w:r>
      <w:r w:rsidRPr="00186EF2">
        <w:rPr>
          <w:rFonts w:ascii="Times New Roman" w:hAnsi="Times New Roman"/>
          <w:bCs/>
          <w:sz w:val="24"/>
          <w:szCs w:val="24"/>
          <w:lang w:val="it-IT"/>
        </w:rPr>
        <w:t>, Emilia Ruggiero*.</w:t>
      </w:r>
    </w:p>
    <w:p w14:paraId="5F85CBF3" w14:textId="77777777" w:rsidR="00E4138B" w:rsidRPr="00186EF2" w:rsidRDefault="00E4138B" w:rsidP="00E4138B">
      <w:pPr>
        <w:spacing w:after="0" w:line="480" w:lineRule="auto"/>
        <w:jc w:val="both"/>
        <w:rPr>
          <w:rFonts w:ascii="Times New Roman" w:hAnsi="Times New Roman"/>
          <w:sz w:val="24"/>
          <w:szCs w:val="24"/>
        </w:rPr>
      </w:pPr>
      <w:r w:rsidRPr="00186EF2">
        <w:rPr>
          <w:rFonts w:ascii="Times New Roman" w:hAnsi="Times New Roman"/>
          <w:b/>
          <w:sz w:val="24"/>
          <w:szCs w:val="24"/>
        </w:rPr>
        <w:lastRenderedPageBreak/>
        <w:t xml:space="preserve">Biobank and biomedical analyses: </w:t>
      </w:r>
      <w:r w:rsidRPr="00186EF2">
        <w:rPr>
          <w:rFonts w:ascii="Times New Roman" w:hAnsi="Times New Roman"/>
          <w:sz w:val="24"/>
          <w:szCs w:val="24"/>
        </w:rPr>
        <w:t>Amalia De Curtis* (Coordinator), Sara Magnacca</w:t>
      </w:r>
      <w:r w:rsidRPr="00186EF2">
        <w:rPr>
          <w:rFonts w:ascii="Times New Roman" w:hAnsi="Times New Roman"/>
          <w:sz w:val="24"/>
          <w:szCs w:val="24"/>
          <w:vertAlign w:val="superscript"/>
        </w:rPr>
        <w:t>§</w:t>
      </w:r>
      <w:r w:rsidRPr="00186EF2">
        <w:rPr>
          <w:rFonts w:ascii="Times New Roman" w:hAnsi="Times New Roman"/>
          <w:sz w:val="24"/>
          <w:szCs w:val="24"/>
        </w:rPr>
        <w:t xml:space="preserve">. </w:t>
      </w:r>
    </w:p>
    <w:p w14:paraId="2AEE0FEE" w14:textId="77777777" w:rsidR="00E4138B" w:rsidRPr="00186EF2" w:rsidRDefault="00E4138B" w:rsidP="00E4138B">
      <w:pPr>
        <w:spacing w:after="0" w:line="480" w:lineRule="auto"/>
        <w:jc w:val="both"/>
        <w:rPr>
          <w:rFonts w:ascii="Times New Roman" w:hAnsi="Times New Roman"/>
          <w:sz w:val="24"/>
          <w:szCs w:val="24"/>
          <w:lang w:val="it-IT"/>
        </w:rPr>
      </w:pPr>
      <w:proofErr w:type="spellStart"/>
      <w:r w:rsidRPr="00186EF2">
        <w:rPr>
          <w:rFonts w:ascii="Times New Roman" w:hAnsi="Times New Roman"/>
          <w:b/>
          <w:sz w:val="24"/>
          <w:szCs w:val="24"/>
          <w:lang w:val="it-IT"/>
        </w:rPr>
        <w:t>Genetic</w:t>
      </w:r>
      <w:proofErr w:type="spellEnd"/>
      <w:r w:rsidRPr="00186EF2">
        <w:rPr>
          <w:rFonts w:ascii="Times New Roman" w:hAnsi="Times New Roman"/>
          <w:b/>
          <w:sz w:val="24"/>
          <w:szCs w:val="24"/>
          <w:lang w:val="it-IT"/>
        </w:rPr>
        <w:t xml:space="preserve"> </w:t>
      </w:r>
      <w:proofErr w:type="spellStart"/>
      <w:r w:rsidRPr="00186EF2">
        <w:rPr>
          <w:rFonts w:ascii="Times New Roman" w:hAnsi="Times New Roman"/>
          <w:b/>
          <w:sz w:val="24"/>
          <w:szCs w:val="24"/>
          <w:lang w:val="it-IT"/>
        </w:rPr>
        <w:t>analyses</w:t>
      </w:r>
      <w:proofErr w:type="spellEnd"/>
      <w:r w:rsidRPr="00186EF2">
        <w:rPr>
          <w:rFonts w:ascii="Times New Roman" w:hAnsi="Times New Roman"/>
          <w:b/>
          <w:sz w:val="24"/>
          <w:szCs w:val="24"/>
          <w:lang w:val="it-IT"/>
        </w:rPr>
        <w:t>:</w:t>
      </w:r>
      <w:r w:rsidRPr="00186EF2">
        <w:rPr>
          <w:rFonts w:ascii="Times New Roman" w:hAnsi="Times New Roman"/>
          <w:sz w:val="24"/>
          <w:szCs w:val="24"/>
          <w:lang w:val="it-IT"/>
        </w:rPr>
        <w:t xml:space="preserve"> Benedetta Izzi* (Coordinator), Francesco Gianfagna°</w:t>
      </w:r>
      <w:r w:rsidRPr="00186EF2">
        <w:rPr>
          <w:rFonts w:ascii="Times New Roman" w:hAnsi="Times New Roman"/>
          <w:sz w:val="24"/>
          <w:szCs w:val="24"/>
          <w:vertAlign w:val="superscript"/>
          <w:lang w:val="it-IT"/>
        </w:rPr>
        <w:t>§</w:t>
      </w:r>
      <w:r w:rsidRPr="00186EF2">
        <w:rPr>
          <w:rFonts w:ascii="Times New Roman" w:hAnsi="Times New Roman"/>
          <w:sz w:val="24"/>
          <w:szCs w:val="24"/>
          <w:lang w:val="it-IT"/>
        </w:rPr>
        <w:t xml:space="preserve">, Annalisa Marotta*, Fabrizia </w:t>
      </w:r>
      <w:proofErr w:type="spellStart"/>
      <w:r w:rsidRPr="00186EF2">
        <w:rPr>
          <w:rFonts w:ascii="Times New Roman" w:hAnsi="Times New Roman"/>
          <w:sz w:val="24"/>
          <w:szCs w:val="24"/>
          <w:lang w:val="it-IT"/>
        </w:rPr>
        <w:t>Noro</w:t>
      </w:r>
      <w:proofErr w:type="spellEnd"/>
      <w:r w:rsidRPr="00186EF2">
        <w:rPr>
          <w:rFonts w:ascii="Times New Roman" w:hAnsi="Times New Roman"/>
          <w:sz w:val="24"/>
          <w:szCs w:val="24"/>
          <w:lang w:val="it-IT"/>
        </w:rPr>
        <w:t>*.</w:t>
      </w:r>
    </w:p>
    <w:p w14:paraId="09E5F176" w14:textId="77777777" w:rsidR="00E4138B" w:rsidRPr="00186EF2" w:rsidRDefault="00E4138B" w:rsidP="00E4138B">
      <w:pPr>
        <w:spacing w:after="0" w:line="480" w:lineRule="auto"/>
        <w:jc w:val="both"/>
        <w:rPr>
          <w:rFonts w:ascii="Times New Roman" w:hAnsi="Times New Roman"/>
          <w:sz w:val="24"/>
          <w:szCs w:val="24"/>
          <w:lang w:val="it-IT"/>
        </w:rPr>
      </w:pPr>
      <w:proofErr w:type="spellStart"/>
      <w:r w:rsidRPr="00186EF2">
        <w:rPr>
          <w:rFonts w:ascii="Times New Roman" w:hAnsi="Times New Roman"/>
          <w:b/>
          <w:bCs/>
          <w:sz w:val="24"/>
          <w:szCs w:val="24"/>
          <w:lang w:val="it-IT"/>
        </w:rPr>
        <w:t>Communication</w:t>
      </w:r>
      <w:proofErr w:type="spellEnd"/>
      <w:r w:rsidRPr="00186EF2">
        <w:rPr>
          <w:rFonts w:ascii="Times New Roman" w:hAnsi="Times New Roman"/>
          <w:b/>
          <w:bCs/>
          <w:sz w:val="24"/>
          <w:szCs w:val="24"/>
          <w:lang w:val="it-IT"/>
        </w:rPr>
        <w:t xml:space="preserve"> and Press Office:</w:t>
      </w:r>
      <w:r w:rsidRPr="00186EF2">
        <w:rPr>
          <w:rFonts w:ascii="Times New Roman" w:hAnsi="Times New Roman"/>
          <w:sz w:val="24"/>
          <w:szCs w:val="24"/>
          <w:lang w:val="it-IT"/>
        </w:rPr>
        <w:t xml:space="preserve"> Americo Bonanni* (Coordinator), Francesca De Lucia (Associazione Cuore Sano, Campobasso,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xml:space="preserve">). </w:t>
      </w:r>
    </w:p>
    <w:p w14:paraId="556CE0BB" w14:textId="77777777" w:rsidR="00E4138B" w:rsidRPr="00186EF2" w:rsidRDefault="00E4138B" w:rsidP="00E4138B">
      <w:pPr>
        <w:spacing w:after="0" w:line="480" w:lineRule="auto"/>
        <w:jc w:val="both"/>
        <w:rPr>
          <w:rFonts w:ascii="Times New Roman" w:hAnsi="Times New Roman"/>
          <w:sz w:val="24"/>
          <w:szCs w:val="24"/>
          <w:lang w:val="it-IT"/>
        </w:rPr>
      </w:pPr>
      <w:r w:rsidRPr="00186EF2">
        <w:rPr>
          <w:rFonts w:ascii="Times New Roman" w:hAnsi="Times New Roman"/>
          <w:b/>
          <w:bCs/>
          <w:sz w:val="24"/>
          <w:szCs w:val="24"/>
          <w:lang w:val="it-IT"/>
        </w:rPr>
        <w:t xml:space="preserve">Recruitment staff: </w:t>
      </w:r>
      <w:r w:rsidRPr="00186EF2">
        <w:rPr>
          <w:rFonts w:ascii="Times New Roman" w:hAnsi="Times New Roman"/>
          <w:sz w:val="24"/>
          <w:szCs w:val="24"/>
          <w:lang w:val="it-IT"/>
        </w:rPr>
        <w:t xml:space="preserve">Mariarosaria Persichillo* (Coordinator), Francesca Bracone*, Francesca De Lucia (Associazione Cuore Sano, Campobasso,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xml:space="preserve">), Simona Esposito*, Cristiana Mignogna*, Teresa Panzera*, Livia Rago*, Emilia Ruggiero*. </w:t>
      </w:r>
    </w:p>
    <w:p w14:paraId="4CF64DDC" w14:textId="77777777" w:rsidR="00E4138B" w:rsidRPr="00186EF2" w:rsidRDefault="00E4138B" w:rsidP="00E4138B">
      <w:pPr>
        <w:spacing w:after="0" w:line="480" w:lineRule="auto"/>
        <w:jc w:val="both"/>
        <w:rPr>
          <w:rFonts w:ascii="Times New Roman" w:hAnsi="Times New Roman"/>
          <w:sz w:val="24"/>
          <w:szCs w:val="24"/>
          <w:lang w:val="it-IT"/>
        </w:rPr>
      </w:pPr>
      <w:r w:rsidRPr="00186EF2">
        <w:rPr>
          <w:rFonts w:ascii="Times New Roman" w:hAnsi="Times New Roman"/>
          <w:b/>
          <w:sz w:val="24"/>
          <w:szCs w:val="24"/>
          <w:lang w:val="it-IT"/>
        </w:rPr>
        <w:t xml:space="preserve">Follow-up Event </w:t>
      </w:r>
      <w:proofErr w:type="spellStart"/>
      <w:r w:rsidRPr="00186EF2">
        <w:rPr>
          <w:rFonts w:ascii="Times New Roman" w:hAnsi="Times New Roman"/>
          <w:b/>
          <w:sz w:val="24"/>
          <w:szCs w:val="24"/>
          <w:lang w:val="it-IT"/>
        </w:rPr>
        <w:t>adjudication</w:t>
      </w:r>
      <w:proofErr w:type="spellEnd"/>
      <w:r w:rsidRPr="00186EF2">
        <w:rPr>
          <w:rFonts w:ascii="Times New Roman" w:hAnsi="Times New Roman"/>
          <w:b/>
          <w:sz w:val="24"/>
          <w:szCs w:val="24"/>
          <w:lang w:val="it-IT"/>
        </w:rPr>
        <w:t>:</w:t>
      </w:r>
      <w:r w:rsidRPr="00186EF2">
        <w:rPr>
          <w:rFonts w:ascii="Times New Roman" w:hAnsi="Times New Roman"/>
          <w:sz w:val="24"/>
          <w:szCs w:val="24"/>
          <w:lang w:val="it-IT"/>
        </w:rPr>
        <w:t xml:space="preserve"> Livia Rago* (Coordinator), Simona Costanzo*, Amalia De Curtis*, Licia Iacoviello*°, Teresa Panzera*, Mariarosaria Persichillo*. </w:t>
      </w:r>
    </w:p>
    <w:p w14:paraId="2015C84A" w14:textId="77777777" w:rsidR="00E4138B" w:rsidRPr="00186EF2" w:rsidRDefault="00E4138B" w:rsidP="00E4138B">
      <w:pPr>
        <w:spacing w:after="0" w:line="480" w:lineRule="auto"/>
        <w:jc w:val="both"/>
        <w:rPr>
          <w:rFonts w:ascii="Times New Roman" w:hAnsi="Times New Roman"/>
          <w:sz w:val="24"/>
          <w:szCs w:val="24"/>
          <w:lang w:val="it-IT"/>
        </w:rPr>
      </w:pPr>
      <w:proofErr w:type="spellStart"/>
      <w:r w:rsidRPr="00186EF2">
        <w:rPr>
          <w:rFonts w:ascii="Times New Roman" w:hAnsi="Times New Roman"/>
          <w:b/>
          <w:sz w:val="24"/>
          <w:szCs w:val="24"/>
          <w:lang w:val="it-IT"/>
        </w:rPr>
        <w:t>Regional</w:t>
      </w:r>
      <w:proofErr w:type="spellEnd"/>
      <w:r w:rsidRPr="00186EF2">
        <w:rPr>
          <w:rFonts w:ascii="Times New Roman" w:hAnsi="Times New Roman"/>
          <w:b/>
          <w:sz w:val="24"/>
          <w:szCs w:val="24"/>
          <w:lang w:val="it-IT"/>
        </w:rPr>
        <w:t xml:space="preserve"> </w:t>
      </w:r>
      <w:proofErr w:type="spellStart"/>
      <w:r w:rsidRPr="00186EF2">
        <w:rPr>
          <w:rFonts w:ascii="Times New Roman" w:hAnsi="Times New Roman"/>
          <w:b/>
          <w:sz w:val="24"/>
          <w:szCs w:val="24"/>
          <w:lang w:val="it-IT"/>
        </w:rPr>
        <w:t>Health</w:t>
      </w:r>
      <w:proofErr w:type="spellEnd"/>
      <w:r w:rsidRPr="00186EF2">
        <w:rPr>
          <w:rFonts w:ascii="Times New Roman" w:hAnsi="Times New Roman"/>
          <w:b/>
          <w:sz w:val="24"/>
          <w:szCs w:val="24"/>
          <w:lang w:val="it-IT"/>
        </w:rPr>
        <w:t xml:space="preserve"> Institutions:</w:t>
      </w:r>
      <w:r w:rsidRPr="00186EF2">
        <w:rPr>
          <w:rFonts w:ascii="Times New Roman" w:hAnsi="Times New Roman"/>
          <w:sz w:val="24"/>
          <w:szCs w:val="24"/>
          <w:lang w:val="it-IT"/>
        </w:rPr>
        <w:t xml:space="preserve"> Direzione Generale per la Salute - Regione Molise; Azienda Sanitaria Regionale del Molise (</w:t>
      </w:r>
      <w:proofErr w:type="spellStart"/>
      <w:r w:rsidRPr="00186EF2">
        <w:rPr>
          <w:rFonts w:ascii="Times New Roman" w:hAnsi="Times New Roman"/>
          <w:sz w:val="24"/>
          <w:szCs w:val="24"/>
          <w:lang w:val="it-IT"/>
        </w:rPr>
        <w:t>ASReM</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xml:space="preserve">); Molise Dati Spa (Campobasso, </w:t>
      </w:r>
      <w:proofErr w:type="spellStart"/>
      <w:r w:rsidRPr="00186EF2">
        <w:rPr>
          <w:rFonts w:ascii="Times New Roman" w:hAnsi="Times New Roman"/>
          <w:sz w:val="24"/>
          <w:szCs w:val="24"/>
          <w:lang w:val="it-IT"/>
        </w:rPr>
        <w:t>Italy</w:t>
      </w:r>
      <w:proofErr w:type="spellEnd"/>
      <w:r w:rsidRPr="00186EF2">
        <w:rPr>
          <w:rFonts w:ascii="Times New Roman" w:hAnsi="Times New Roman"/>
          <w:sz w:val="24"/>
          <w:szCs w:val="24"/>
          <w:lang w:val="it-IT"/>
        </w:rPr>
        <w:t xml:space="preserve">); Offices of </w:t>
      </w:r>
      <w:proofErr w:type="spellStart"/>
      <w:r w:rsidRPr="00186EF2">
        <w:rPr>
          <w:rFonts w:ascii="Times New Roman" w:hAnsi="Times New Roman"/>
          <w:sz w:val="24"/>
          <w:szCs w:val="24"/>
          <w:lang w:val="it-IT"/>
        </w:rPr>
        <w:t>vital</w:t>
      </w:r>
      <w:proofErr w:type="spellEnd"/>
      <w:r w:rsidRPr="00186EF2">
        <w:rPr>
          <w:rFonts w:ascii="Times New Roman" w:hAnsi="Times New Roman"/>
          <w:sz w:val="24"/>
          <w:szCs w:val="24"/>
          <w:lang w:val="it-IT"/>
        </w:rPr>
        <w:t xml:space="preserve"> </w:t>
      </w:r>
      <w:proofErr w:type="spellStart"/>
      <w:r w:rsidRPr="00186EF2">
        <w:rPr>
          <w:rFonts w:ascii="Times New Roman" w:hAnsi="Times New Roman"/>
          <w:sz w:val="24"/>
          <w:szCs w:val="24"/>
          <w:lang w:val="it-IT"/>
        </w:rPr>
        <w:t>statistics</w:t>
      </w:r>
      <w:proofErr w:type="spellEnd"/>
      <w:r w:rsidRPr="00186EF2">
        <w:rPr>
          <w:rFonts w:ascii="Times New Roman" w:hAnsi="Times New Roman"/>
          <w:sz w:val="24"/>
          <w:szCs w:val="24"/>
          <w:lang w:val="it-IT"/>
        </w:rPr>
        <w:t xml:space="preserve"> of the Molise </w:t>
      </w:r>
      <w:proofErr w:type="spellStart"/>
      <w:r w:rsidRPr="00186EF2">
        <w:rPr>
          <w:rFonts w:ascii="Times New Roman" w:hAnsi="Times New Roman"/>
          <w:sz w:val="24"/>
          <w:szCs w:val="24"/>
          <w:lang w:val="it-IT"/>
        </w:rPr>
        <w:t>region</w:t>
      </w:r>
      <w:proofErr w:type="spellEnd"/>
      <w:r w:rsidRPr="00186EF2">
        <w:rPr>
          <w:rFonts w:ascii="Times New Roman" w:hAnsi="Times New Roman"/>
          <w:sz w:val="24"/>
          <w:szCs w:val="24"/>
          <w:lang w:val="it-IT"/>
        </w:rPr>
        <w:t xml:space="preserve">. </w:t>
      </w:r>
    </w:p>
    <w:p w14:paraId="7EB190C7" w14:textId="77777777" w:rsidR="00E4138B" w:rsidRPr="00186EF2" w:rsidRDefault="00E4138B" w:rsidP="00E4138B">
      <w:pPr>
        <w:spacing w:after="0" w:line="480" w:lineRule="auto"/>
        <w:jc w:val="both"/>
        <w:rPr>
          <w:rFonts w:ascii="Times New Roman" w:hAnsi="Times New Roman"/>
          <w:sz w:val="24"/>
          <w:szCs w:val="24"/>
          <w:lang w:val="it-IT"/>
        </w:rPr>
      </w:pPr>
      <w:r w:rsidRPr="00186EF2">
        <w:rPr>
          <w:rFonts w:ascii="Times New Roman" w:hAnsi="Times New Roman"/>
          <w:b/>
          <w:sz w:val="24"/>
          <w:szCs w:val="24"/>
          <w:lang w:val="it-IT"/>
        </w:rPr>
        <w:t>Hospitals:</w:t>
      </w:r>
      <w:r w:rsidRPr="00186EF2">
        <w:rPr>
          <w:rFonts w:ascii="Times New Roman" w:hAnsi="Times New Roman"/>
          <w:sz w:val="24"/>
          <w:szCs w:val="24"/>
          <w:lang w:val="it-IT"/>
        </w:rPr>
        <w:t xml:space="preserve"> Presidi Ospedalieri </w:t>
      </w:r>
      <w:proofErr w:type="spellStart"/>
      <w:r w:rsidRPr="00186EF2">
        <w:rPr>
          <w:rFonts w:ascii="Times New Roman" w:hAnsi="Times New Roman"/>
          <w:sz w:val="24"/>
          <w:szCs w:val="24"/>
          <w:lang w:val="it-IT"/>
        </w:rPr>
        <w:t>ASReM</w:t>
      </w:r>
      <w:proofErr w:type="spellEnd"/>
      <w:r w:rsidRPr="00186EF2">
        <w:rPr>
          <w:rFonts w:ascii="Times New Roman" w:hAnsi="Times New Roman"/>
          <w:sz w:val="24"/>
          <w:szCs w:val="24"/>
          <w:lang w:val="it-IT"/>
        </w:rPr>
        <w:t xml:space="preserve">: Ospedale A. Cardarelli – Campobasso, Ospedale F. </w:t>
      </w:r>
      <w:proofErr w:type="spellStart"/>
      <w:r w:rsidRPr="00186EF2">
        <w:rPr>
          <w:rFonts w:ascii="Times New Roman" w:hAnsi="Times New Roman"/>
          <w:sz w:val="24"/>
          <w:szCs w:val="24"/>
          <w:lang w:val="it-IT"/>
        </w:rPr>
        <w:t>Veneziale</w:t>
      </w:r>
      <w:proofErr w:type="spellEnd"/>
      <w:r w:rsidRPr="00186EF2">
        <w:rPr>
          <w:rFonts w:ascii="Times New Roman" w:hAnsi="Times New Roman"/>
          <w:sz w:val="24"/>
          <w:szCs w:val="24"/>
          <w:lang w:val="it-IT"/>
        </w:rPr>
        <w:t xml:space="preserve"> – Isernia, Ospedale San Timoteo - Termoli (CB), Ospedale Ss. Rosario - Venafro (IS), Ospedale Vietri – Larino (CB), Ospedale San Francesco Caracciolo - Agnone (IS); Casa di Cura Villa Maria</w:t>
      </w:r>
      <w:r w:rsidRPr="00186EF2" w:rsidDel="00696194">
        <w:rPr>
          <w:rFonts w:ascii="Times New Roman" w:hAnsi="Times New Roman"/>
          <w:sz w:val="24"/>
          <w:szCs w:val="24"/>
          <w:lang w:val="it-IT"/>
        </w:rPr>
        <w:t xml:space="preserve"> </w:t>
      </w:r>
      <w:r w:rsidRPr="00186EF2">
        <w:rPr>
          <w:rFonts w:ascii="Times New Roman" w:hAnsi="Times New Roman"/>
          <w:sz w:val="24"/>
          <w:szCs w:val="24"/>
          <w:lang w:val="it-IT"/>
        </w:rPr>
        <w:t xml:space="preserve">- Campobasso; Fondazione di Ricerca e Cura Giovanni Paolo II - Campobasso; IRCCS </w:t>
      </w:r>
      <w:proofErr w:type="spellStart"/>
      <w:r w:rsidRPr="00186EF2">
        <w:rPr>
          <w:rFonts w:ascii="Times New Roman" w:hAnsi="Times New Roman"/>
          <w:sz w:val="24"/>
          <w:szCs w:val="24"/>
          <w:lang w:val="it-IT"/>
        </w:rPr>
        <w:t>Neuromed</w:t>
      </w:r>
      <w:proofErr w:type="spellEnd"/>
      <w:r w:rsidRPr="00186EF2">
        <w:rPr>
          <w:rFonts w:ascii="Times New Roman" w:hAnsi="Times New Roman"/>
          <w:sz w:val="24"/>
          <w:szCs w:val="24"/>
          <w:lang w:val="it-IT"/>
        </w:rPr>
        <w:t xml:space="preserve"> - Pozzilli (IS).</w:t>
      </w:r>
    </w:p>
    <w:p w14:paraId="7D0C1096" w14:textId="77777777" w:rsidR="00E4138B" w:rsidRPr="00186EF2" w:rsidRDefault="00E4138B" w:rsidP="00E4138B">
      <w:pPr>
        <w:tabs>
          <w:tab w:val="left" w:pos="2450"/>
        </w:tabs>
        <w:spacing w:after="0" w:line="480" w:lineRule="auto"/>
        <w:jc w:val="both"/>
        <w:rPr>
          <w:rFonts w:ascii="Times New Roman" w:hAnsi="Times New Roman"/>
          <w:i/>
          <w:sz w:val="24"/>
          <w:szCs w:val="24"/>
          <w:lang w:val="it-IT"/>
        </w:rPr>
      </w:pPr>
    </w:p>
    <w:p w14:paraId="52E532B7" w14:textId="77777777" w:rsidR="00E4138B" w:rsidRPr="00186EF2" w:rsidRDefault="00E4138B" w:rsidP="00E4138B">
      <w:pPr>
        <w:tabs>
          <w:tab w:val="left" w:pos="2450"/>
        </w:tabs>
        <w:spacing w:after="0" w:line="480" w:lineRule="auto"/>
        <w:jc w:val="both"/>
        <w:rPr>
          <w:rFonts w:ascii="Times New Roman" w:hAnsi="Times New Roman"/>
          <w:sz w:val="24"/>
          <w:szCs w:val="24"/>
        </w:rPr>
      </w:pPr>
      <w:r w:rsidRPr="00186EF2">
        <w:rPr>
          <w:rFonts w:ascii="Times New Roman" w:hAnsi="Times New Roman"/>
          <w:i/>
          <w:sz w:val="24"/>
          <w:szCs w:val="24"/>
        </w:rPr>
        <w:t>*</w:t>
      </w:r>
      <w:r w:rsidRPr="00186EF2">
        <w:rPr>
          <w:rFonts w:ascii="Times New Roman" w:hAnsi="Times New Roman"/>
          <w:sz w:val="24"/>
          <w:szCs w:val="24"/>
        </w:rPr>
        <w:t xml:space="preserve">Department of Epidemiology and Prevention, IRCCS </w:t>
      </w:r>
      <w:proofErr w:type="spellStart"/>
      <w:r w:rsidRPr="00186EF2">
        <w:rPr>
          <w:rFonts w:ascii="Times New Roman" w:hAnsi="Times New Roman"/>
          <w:sz w:val="24"/>
          <w:szCs w:val="24"/>
        </w:rPr>
        <w:t>Neuromed</w:t>
      </w:r>
      <w:proofErr w:type="spellEnd"/>
      <w:r w:rsidRPr="00186EF2">
        <w:rPr>
          <w:rFonts w:ascii="Times New Roman" w:hAnsi="Times New Roman"/>
          <w:sz w:val="24"/>
          <w:szCs w:val="24"/>
        </w:rPr>
        <w:t xml:space="preserve">, </w:t>
      </w:r>
      <w:proofErr w:type="spellStart"/>
      <w:r w:rsidRPr="00186EF2">
        <w:rPr>
          <w:rFonts w:ascii="Times New Roman" w:hAnsi="Times New Roman"/>
          <w:sz w:val="24"/>
          <w:szCs w:val="24"/>
        </w:rPr>
        <w:t>Pozzilli</w:t>
      </w:r>
      <w:proofErr w:type="spellEnd"/>
      <w:r w:rsidRPr="00186EF2">
        <w:rPr>
          <w:rFonts w:ascii="Times New Roman" w:hAnsi="Times New Roman"/>
          <w:sz w:val="24"/>
          <w:szCs w:val="24"/>
        </w:rPr>
        <w:t>, Italy</w:t>
      </w:r>
    </w:p>
    <w:p w14:paraId="3DD789CC" w14:textId="77777777" w:rsidR="00E4138B" w:rsidRPr="00186EF2" w:rsidRDefault="00E4138B" w:rsidP="00E4138B">
      <w:pPr>
        <w:tabs>
          <w:tab w:val="left" w:pos="2450"/>
        </w:tabs>
        <w:spacing w:after="0" w:line="480" w:lineRule="auto"/>
        <w:jc w:val="both"/>
        <w:rPr>
          <w:rFonts w:ascii="Times New Roman" w:hAnsi="Times New Roman"/>
          <w:sz w:val="24"/>
          <w:szCs w:val="24"/>
        </w:rPr>
      </w:pPr>
      <w:r w:rsidRPr="00186EF2">
        <w:rPr>
          <w:rFonts w:ascii="Times New Roman" w:hAnsi="Times New Roman"/>
          <w:sz w:val="24"/>
          <w:szCs w:val="24"/>
        </w:rPr>
        <w:t xml:space="preserve">°Department of Medicine and Surgery, University of </w:t>
      </w:r>
      <w:proofErr w:type="spellStart"/>
      <w:r w:rsidRPr="00186EF2">
        <w:rPr>
          <w:rFonts w:ascii="Times New Roman" w:hAnsi="Times New Roman"/>
          <w:sz w:val="24"/>
          <w:szCs w:val="24"/>
        </w:rPr>
        <w:t>Insubria</w:t>
      </w:r>
      <w:proofErr w:type="spellEnd"/>
      <w:r w:rsidRPr="00186EF2">
        <w:rPr>
          <w:rFonts w:ascii="Times New Roman" w:hAnsi="Times New Roman"/>
          <w:sz w:val="24"/>
          <w:szCs w:val="24"/>
        </w:rPr>
        <w:t>, Varese, Italy</w:t>
      </w:r>
    </w:p>
    <w:p w14:paraId="10CE1F7E" w14:textId="77777777" w:rsidR="00E4138B" w:rsidRPr="00186EF2" w:rsidRDefault="00E4138B" w:rsidP="00E4138B">
      <w:pPr>
        <w:tabs>
          <w:tab w:val="left" w:pos="2450"/>
        </w:tabs>
        <w:spacing w:after="0" w:line="480" w:lineRule="auto"/>
        <w:jc w:val="both"/>
        <w:rPr>
          <w:rFonts w:ascii="Times New Roman" w:hAnsi="Times New Roman"/>
          <w:i/>
          <w:sz w:val="24"/>
          <w:szCs w:val="24"/>
        </w:rPr>
      </w:pPr>
      <w:r w:rsidRPr="00186EF2">
        <w:rPr>
          <w:rFonts w:ascii="Times New Roman" w:hAnsi="Times New Roman"/>
          <w:sz w:val="24"/>
          <w:szCs w:val="24"/>
          <w:vertAlign w:val="superscript"/>
        </w:rPr>
        <w:t>§</w:t>
      </w:r>
      <w:proofErr w:type="spellStart"/>
      <w:r w:rsidRPr="00186EF2">
        <w:rPr>
          <w:rFonts w:ascii="Times New Roman" w:hAnsi="Times New Roman"/>
          <w:sz w:val="24"/>
          <w:szCs w:val="24"/>
        </w:rPr>
        <w:t>Mediterranea</w:t>
      </w:r>
      <w:proofErr w:type="spellEnd"/>
      <w:r w:rsidRPr="00186EF2">
        <w:rPr>
          <w:rFonts w:ascii="Times New Roman" w:hAnsi="Times New Roman"/>
          <w:sz w:val="24"/>
          <w:szCs w:val="24"/>
        </w:rPr>
        <w:t xml:space="preserve">, </w:t>
      </w:r>
      <w:proofErr w:type="spellStart"/>
      <w:r w:rsidRPr="00186EF2">
        <w:rPr>
          <w:rFonts w:ascii="Times New Roman" w:hAnsi="Times New Roman"/>
          <w:sz w:val="24"/>
          <w:szCs w:val="24"/>
        </w:rPr>
        <w:t>Cardiocentro</w:t>
      </w:r>
      <w:proofErr w:type="spellEnd"/>
      <w:r w:rsidRPr="00186EF2">
        <w:rPr>
          <w:rFonts w:ascii="Times New Roman" w:hAnsi="Times New Roman"/>
          <w:sz w:val="24"/>
          <w:szCs w:val="24"/>
        </w:rPr>
        <w:t>, Napoli, Italy</w:t>
      </w:r>
    </w:p>
    <w:p w14:paraId="4E9AEA15" w14:textId="77777777" w:rsidR="00E4138B" w:rsidRPr="00186EF2" w:rsidRDefault="00E4138B" w:rsidP="00E4138B">
      <w:pPr>
        <w:tabs>
          <w:tab w:val="left" w:pos="2450"/>
        </w:tabs>
        <w:spacing w:after="0" w:line="480" w:lineRule="auto"/>
        <w:jc w:val="both"/>
        <w:rPr>
          <w:rFonts w:ascii="Times New Roman" w:hAnsi="Times New Roman"/>
          <w:i/>
          <w:sz w:val="24"/>
          <w:szCs w:val="24"/>
        </w:rPr>
      </w:pPr>
      <w:r w:rsidRPr="00186EF2">
        <w:rPr>
          <w:rFonts w:ascii="Times New Roman" w:hAnsi="Times New Roman"/>
          <w:i/>
          <w:sz w:val="24"/>
          <w:szCs w:val="24"/>
        </w:rPr>
        <w:t xml:space="preserve">Baseline Recruitment staff is available at </w:t>
      </w:r>
    </w:p>
    <w:p w14:paraId="28130225" w14:textId="77777777" w:rsidR="00E4138B" w:rsidRDefault="00C55EF4" w:rsidP="00E4138B">
      <w:pPr>
        <w:spacing w:line="480" w:lineRule="auto"/>
        <w:jc w:val="both"/>
      </w:pPr>
      <w:hyperlink r:id="rId10" w:history="1">
        <w:r w:rsidR="00E4138B" w:rsidRPr="00186EF2">
          <w:rPr>
            <w:rFonts w:ascii="Times New Roman" w:hAnsi="Times New Roman"/>
            <w:i/>
            <w:color w:val="0563C1"/>
            <w:sz w:val="24"/>
            <w:szCs w:val="24"/>
            <w:u w:val="single"/>
          </w:rPr>
          <w:t>http://www.moli-sani.org/index.php?option=com_content&amp;task=view&amp;id=21128&amp;Itemid=118</w:t>
        </w:r>
      </w:hyperlink>
    </w:p>
    <w:p w14:paraId="5C7C3347" w14:textId="77777777" w:rsidR="00E4138B" w:rsidRPr="00FE21A1" w:rsidRDefault="00E4138B" w:rsidP="00525543">
      <w:pPr>
        <w:spacing w:line="360" w:lineRule="auto"/>
        <w:jc w:val="both"/>
        <w:rPr>
          <w:rFonts w:ascii="Times New Roman" w:eastAsia="Times New Roman" w:hAnsi="Times New Roman"/>
          <w:color w:val="000000"/>
          <w:sz w:val="24"/>
          <w:szCs w:val="24"/>
          <w:lang w:eastAsia="en-GB"/>
        </w:rPr>
      </w:pPr>
    </w:p>
    <w:sectPr w:rsidR="00E4138B" w:rsidRPr="00FE21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8B"/>
    <w:rsid w:val="00057180"/>
    <w:rsid w:val="00073EA0"/>
    <w:rsid w:val="00091987"/>
    <w:rsid w:val="00094D3D"/>
    <w:rsid w:val="0009590A"/>
    <w:rsid w:val="000D10E0"/>
    <w:rsid w:val="000D4FF0"/>
    <w:rsid w:val="000E10C1"/>
    <w:rsid w:val="00103720"/>
    <w:rsid w:val="001170AC"/>
    <w:rsid w:val="00125E06"/>
    <w:rsid w:val="00133CCB"/>
    <w:rsid w:val="001415EB"/>
    <w:rsid w:val="00144B03"/>
    <w:rsid w:val="0015087B"/>
    <w:rsid w:val="001544F8"/>
    <w:rsid w:val="00156229"/>
    <w:rsid w:val="001742A6"/>
    <w:rsid w:val="001F65AB"/>
    <w:rsid w:val="00200139"/>
    <w:rsid w:val="00201AC7"/>
    <w:rsid w:val="0022377D"/>
    <w:rsid w:val="00241250"/>
    <w:rsid w:val="00291BC9"/>
    <w:rsid w:val="002A76F1"/>
    <w:rsid w:val="002C21F1"/>
    <w:rsid w:val="002E6078"/>
    <w:rsid w:val="0033146E"/>
    <w:rsid w:val="00333E2B"/>
    <w:rsid w:val="00362978"/>
    <w:rsid w:val="003811FE"/>
    <w:rsid w:val="003B5296"/>
    <w:rsid w:val="003F7649"/>
    <w:rsid w:val="00413430"/>
    <w:rsid w:val="004544F1"/>
    <w:rsid w:val="004722E0"/>
    <w:rsid w:val="004917CB"/>
    <w:rsid w:val="004B5FF1"/>
    <w:rsid w:val="004F18E9"/>
    <w:rsid w:val="00515C70"/>
    <w:rsid w:val="00525543"/>
    <w:rsid w:val="005B2D22"/>
    <w:rsid w:val="005B3C84"/>
    <w:rsid w:val="005C361D"/>
    <w:rsid w:val="006253E8"/>
    <w:rsid w:val="0063651A"/>
    <w:rsid w:val="006418F0"/>
    <w:rsid w:val="0067700E"/>
    <w:rsid w:val="006A51A9"/>
    <w:rsid w:val="006B55AA"/>
    <w:rsid w:val="006C1CDE"/>
    <w:rsid w:val="006D7CFD"/>
    <w:rsid w:val="006F12F8"/>
    <w:rsid w:val="00734F3F"/>
    <w:rsid w:val="00781EB1"/>
    <w:rsid w:val="00796038"/>
    <w:rsid w:val="007A7C3F"/>
    <w:rsid w:val="007B5175"/>
    <w:rsid w:val="007E42D2"/>
    <w:rsid w:val="0086296D"/>
    <w:rsid w:val="00866920"/>
    <w:rsid w:val="00871857"/>
    <w:rsid w:val="00876055"/>
    <w:rsid w:val="00886DBC"/>
    <w:rsid w:val="008B28CE"/>
    <w:rsid w:val="00904DBB"/>
    <w:rsid w:val="0091230F"/>
    <w:rsid w:val="009132FA"/>
    <w:rsid w:val="0092304E"/>
    <w:rsid w:val="00965FBE"/>
    <w:rsid w:val="009D1179"/>
    <w:rsid w:val="009F18FD"/>
    <w:rsid w:val="00A14775"/>
    <w:rsid w:val="00A17D84"/>
    <w:rsid w:val="00A4607B"/>
    <w:rsid w:val="00A57FA4"/>
    <w:rsid w:val="00A77DA9"/>
    <w:rsid w:val="00A87DD4"/>
    <w:rsid w:val="00A97A83"/>
    <w:rsid w:val="00B02C8B"/>
    <w:rsid w:val="00B20110"/>
    <w:rsid w:val="00B2572E"/>
    <w:rsid w:val="00B25D34"/>
    <w:rsid w:val="00B274D5"/>
    <w:rsid w:val="00B3167C"/>
    <w:rsid w:val="00B36CA8"/>
    <w:rsid w:val="00B760C6"/>
    <w:rsid w:val="00B8712E"/>
    <w:rsid w:val="00BA43C2"/>
    <w:rsid w:val="00BA5CCB"/>
    <w:rsid w:val="00BE3CB7"/>
    <w:rsid w:val="00C07A00"/>
    <w:rsid w:val="00C93539"/>
    <w:rsid w:val="00C963ED"/>
    <w:rsid w:val="00CB5FC2"/>
    <w:rsid w:val="00CD0033"/>
    <w:rsid w:val="00D44DFE"/>
    <w:rsid w:val="00D671BF"/>
    <w:rsid w:val="00E10874"/>
    <w:rsid w:val="00E31613"/>
    <w:rsid w:val="00E4138B"/>
    <w:rsid w:val="00E74AD1"/>
    <w:rsid w:val="00E77306"/>
    <w:rsid w:val="00E95670"/>
    <w:rsid w:val="00EA3BE7"/>
    <w:rsid w:val="00EB34DD"/>
    <w:rsid w:val="00EF59F8"/>
    <w:rsid w:val="00F1752B"/>
    <w:rsid w:val="00F43083"/>
    <w:rsid w:val="00F849BA"/>
    <w:rsid w:val="00F8513B"/>
    <w:rsid w:val="00F913E5"/>
    <w:rsid w:val="00F95798"/>
    <w:rsid w:val="00FE2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9220"/>
  <w15:chartTrackingRefBased/>
  <w15:docId w15:val="{E681F1BE-6A89-471A-AEA0-B0D855D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3ED"/>
    <w:pPr>
      <w:spacing w:after="200" w:line="276" w:lineRule="auto"/>
    </w:pPr>
    <w:rPr>
      <w:rFonts w:ascii="Calibri" w:eastAsia="Calibri" w:hAnsi="Calibri"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60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6078"/>
    <w:rPr>
      <w:rFonts w:ascii="Segoe UI" w:eastAsia="Calibri" w:hAnsi="Segoe UI" w:cs="Segoe UI"/>
      <w:sz w:val="18"/>
      <w:szCs w:val="18"/>
      <w:lang w:val="en-GB"/>
    </w:rPr>
  </w:style>
  <w:style w:type="character" w:styleId="Collegamentoipertestuale">
    <w:name w:val="Hyperlink"/>
    <w:basedOn w:val="Carpredefinitoparagrafo"/>
    <w:uiPriority w:val="99"/>
    <w:unhideWhenUsed/>
    <w:rsid w:val="00A4607B"/>
    <w:rPr>
      <w:color w:val="0563C1" w:themeColor="hyperlink"/>
      <w:u w:val="single"/>
    </w:rPr>
  </w:style>
  <w:style w:type="character" w:customStyle="1" w:styleId="UnresolvedMention1">
    <w:name w:val="Unresolved Mention1"/>
    <w:basedOn w:val="Carpredefinitoparagrafo"/>
    <w:uiPriority w:val="99"/>
    <w:semiHidden/>
    <w:unhideWhenUsed/>
    <w:rsid w:val="00A4607B"/>
    <w:rPr>
      <w:color w:val="605E5C"/>
      <w:shd w:val="clear" w:color="auto" w:fill="E1DFDD"/>
    </w:rPr>
  </w:style>
  <w:style w:type="character" w:styleId="Collegamentovisitato">
    <w:name w:val="FollowedHyperlink"/>
    <w:basedOn w:val="Carpredefinitoparagrafo"/>
    <w:uiPriority w:val="99"/>
    <w:semiHidden/>
    <w:unhideWhenUsed/>
    <w:rsid w:val="00291BC9"/>
    <w:rPr>
      <w:color w:val="954F72" w:themeColor="followedHyperlink"/>
      <w:u w:val="single"/>
    </w:rPr>
  </w:style>
  <w:style w:type="character" w:styleId="Rimandocommento">
    <w:name w:val="annotation reference"/>
    <w:basedOn w:val="Carpredefinitoparagrafo"/>
    <w:uiPriority w:val="99"/>
    <w:semiHidden/>
    <w:unhideWhenUsed/>
    <w:rsid w:val="000D4FF0"/>
    <w:rPr>
      <w:sz w:val="16"/>
      <w:szCs w:val="16"/>
    </w:rPr>
  </w:style>
  <w:style w:type="paragraph" w:styleId="Testocommento">
    <w:name w:val="annotation text"/>
    <w:basedOn w:val="Normale"/>
    <w:link w:val="TestocommentoCarattere"/>
    <w:uiPriority w:val="99"/>
    <w:semiHidden/>
    <w:unhideWhenUsed/>
    <w:rsid w:val="000D4FF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4FF0"/>
    <w:rPr>
      <w:rFonts w:ascii="Calibri" w:eastAsia="Calibri" w:hAnsi="Calibri"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0D4FF0"/>
    <w:rPr>
      <w:b/>
      <w:bCs/>
    </w:rPr>
  </w:style>
  <w:style w:type="character" w:customStyle="1" w:styleId="SoggettocommentoCarattere">
    <w:name w:val="Soggetto commento Carattere"/>
    <w:basedOn w:val="TestocommentoCarattere"/>
    <w:link w:val="Soggettocommento"/>
    <w:uiPriority w:val="99"/>
    <w:semiHidden/>
    <w:rsid w:val="000D4FF0"/>
    <w:rPr>
      <w:rFonts w:ascii="Calibri" w:eastAsia="Calibri" w:hAnsi="Calibri" w:cs="Times New Roman"/>
      <w:b/>
      <w:bCs/>
      <w:sz w:val="20"/>
      <w:szCs w:val="20"/>
      <w:lang w:val="en-GB"/>
    </w:rPr>
  </w:style>
  <w:style w:type="character" w:styleId="Menzionenonrisolta">
    <w:name w:val="Unresolved Mention"/>
    <w:basedOn w:val="Carpredefinitoparagrafo"/>
    <w:uiPriority w:val="99"/>
    <w:semiHidden/>
    <w:unhideWhenUsed/>
    <w:rsid w:val="0092304E"/>
    <w:rPr>
      <w:color w:val="605E5C"/>
      <w:shd w:val="clear" w:color="auto" w:fill="E1DFDD"/>
    </w:rPr>
  </w:style>
  <w:style w:type="table" w:styleId="Grigliatabella">
    <w:name w:val="Table Grid"/>
    <w:basedOn w:val="Tabellanormale"/>
    <w:uiPriority w:val="39"/>
    <w:rsid w:val="0010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27083">
      <w:bodyDiv w:val="1"/>
      <w:marLeft w:val="0"/>
      <w:marRight w:val="0"/>
      <w:marTop w:val="0"/>
      <w:marBottom w:val="0"/>
      <w:divBdr>
        <w:top w:val="none" w:sz="0" w:space="0" w:color="auto"/>
        <w:left w:val="none" w:sz="0" w:space="0" w:color="auto"/>
        <w:bottom w:val="none" w:sz="0" w:space="0" w:color="auto"/>
        <w:right w:val="none" w:sz="0" w:space="0" w:color="auto"/>
      </w:divBdr>
    </w:div>
    <w:div w:id="652761731">
      <w:bodyDiv w:val="1"/>
      <w:marLeft w:val="0"/>
      <w:marRight w:val="0"/>
      <w:marTop w:val="0"/>
      <w:marBottom w:val="0"/>
      <w:divBdr>
        <w:top w:val="none" w:sz="0" w:space="0" w:color="auto"/>
        <w:left w:val="none" w:sz="0" w:space="0" w:color="auto"/>
        <w:bottom w:val="none" w:sz="0" w:space="0" w:color="auto"/>
        <w:right w:val="none" w:sz="0" w:space="0" w:color="auto"/>
      </w:divBdr>
    </w:div>
    <w:div w:id="1364555534">
      <w:bodyDiv w:val="1"/>
      <w:marLeft w:val="0"/>
      <w:marRight w:val="0"/>
      <w:marTop w:val="0"/>
      <w:marBottom w:val="0"/>
      <w:divBdr>
        <w:top w:val="none" w:sz="0" w:space="0" w:color="auto"/>
        <w:left w:val="none" w:sz="0" w:space="0" w:color="auto"/>
        <w:bottom w:val="none" w:sz="0" w:space="0" w:color="auto"/>
        <w:right w:val="none" w:sz="0" w:space="0" w:color="auto"/>
      </w:divBdr>
    </w:div>
    <w:div w:id="19230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hyperlink" Target="https://cordis.europa.eu/project/id/278913/reporting/it" TargetMode="External"/><Relationship Id="rId10" Type="http://schemas.openxmlformats.org/officeDocument/2006/relationships/hyperlink" Target="http://www.moli-sani.org/index.php?option=com_content&amp;task=view&amp;id=21128&amp;Itemid=118"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7D90-66F0-4B90-933A-3A97FF68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16803</Words>
  <Characters>95780</Characters>
  <Application>Microsoft Office Word</Application>
  <DocSecurity>0</DocSecurity>
  <Lines>798</Lines>
  <Paragraphs>224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Gialluisi</dc:creator>
  <cp:keywords/>
  <dc:description/>
  <cp:lastModifiedBy>Alessandro Gialluisi</cp:lastModifiedBy>
  <cp:revision>6</cp:revision>
  <dcterms:created xsi:type="dcterms:W3CDTF">2020-11-18T17:44:00Z</dcterms:created>
  <dcterms:modified xsi:type="dcterms:W3CDTF">2020-12-01T15:38:00Z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http://www.zotero.org/styles/molecular-psychiatry</vt:lpwstr>
  </property>
  <property fmtid="{D5CDD505-2E9C-101B-9397-08002B2CF9AE}" pid="4" name="Mendeley Unique User Id_1">
    <vt:lpwstr>7789cf0e-4d78-3afc-a841-faba2dbdd52f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http://www.zotero.org/styles/frontiers-in-neurology</vt:lpwstr>
  </property>
  <property fmtid="{D5CDD505-2E9C-101B-9397-08002B2CF9AE}" pid="14" name="Mendeley Recent Style Name 4_1">
    <vt:lpwstr>Frontiers in Neurology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http://www.zotero.org/styles/molecular-psychiatry</vt:lpwstr>
  </property>
  <property fmtid="{D5CDD505-2E9C-101B-9397-08002B2CF9AE}" pid="20" name="Mendeley Recent Style Name 7_1">
    <vt:lpwstr>Molecular Psychiatry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http://www.zotero.org/styles/thrombosis-and-haemostasis</vt:lpwstr>
  </property>
  <property fmtid="{D5CDD505-2E9C-101B-9397-08002B2CF9AE}" pid="24" name="Mendeley Recent Style Name 9_1">
    <vt:lpwstr>Thrombosis and Haemostasis</vt:lpwstr>
  </property>
</Properties>
</file>